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18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19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587375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-39370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-22225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On November 18, 2024, BellRing Brands, Inc. (the "Company") issued a press release announcing results for its fourth fiscal quarter and fiscal year ended September 30, 2024. A copy of the press release is attached hereto as Exhibit 99.1 and incorporated herein by reference.</w:t>
      </w:r>
    </w:p>
    <w:p>
      <w:pPr>
        <w:spacing w:after="0" w:line="129"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In addition, on September 30, 2024, the Company published to the "Investor Relations" section of its website, www.bellringbrands.com, a supplemental presentation related to results for its fourth fiscal quarter and fiscal year ended September 30, 2024.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b w:val="1"/>
          <w:bCs w:val="1"/>
          <w:color w:val="auto"/>
        </w:rPr>
        <w:t>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November 18, 2024</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4440" w:type="dxa"/>
            <w:vAlign w:val="bottom"/>
            <w:tcBorders>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Fourth Fiscal Quarter and Fiscal Year Ended September 30, 2024 Supplemental Presentation</w:t>
            </w:r>
          </w:p>
        </w:tc>
        <w:tc>
          <w:tcPr>
            <w:tcW w:w="4600" w:type="dxa"/>
            <w:vAlign w:val="bottom"/>
          </w:tcPr>
          <w:p>
            <w:pPr>
              <w:spacing w:after="0"/>
              <w:rPr>
                <w:sz w:val="11"/>
                <w:szCs w:val="1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18, 2024</w:t>
            </w: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400" w:type="dxa"/>
            <w:vAlign w:val="bottom"/>
          </w:tcPr>
          <w:p>
            <w:pPr>
              <w:spacing w:after="0"/>
              <w:rPr>
                <w:sz w:val="19"/>
                <w:szCs w:val="19"/>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40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400" w:type="dxa"/>
            <w:vAlign w:val="bottom"/>
          </w:tcPr>
          <w:p>
            <w:pPr>
              <w:spacing w:after="0"/>
              <w:rPr>
                <w:sz w:val="17"/>
                <w:szCs w:val="17"/>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400" w:type="dxa"/>
            <w:vAlign w:val="bottom"/>
          </w:tcPr>
          <w:p>
            <w:pPr>
              <w:spacing w:after="0"/>
              <w:rPr>
                <w:sz w:val="13"/>
                <w:szCs w:val="13"/>
                <w:color w:val="auto"/>
              </w:rPr>
            </w:pPr>
          </w:p>
        </w:tc>
        <w:tc>
          <w:tcPr>
            <w:tcW w:w="3060" w:type="dxa"/>
            <w:vAlign w:val="bottom"/>
          </w:tcPr>
          <w:p>
            <w:pPr>
              <w:ind w:left="214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994410" cy="474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Fourth Quarter and Fiscal Year 2024</w:t>
      </w:r>
    </w:p>
    <w:p>
      <w:pPr>
        <w:spacing w:after="0" w:line="1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St. Louis - November 18, 2024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fourth fiscal quarter and fiscal year 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September 30, </w:t>
      </w:r>
      <w:r>
        <w:rPr>
          <w:rFonts w:ascii="Times New Roman" w:cs="Times New Roman" w:eastAsia="Times New Roman" w:hAnsi="Times New Roman"/>
          <w:sz w:val="10"/>
          <w:szCs w:val="10"/>
          <w:color w:val="auto"/>
        </w:rPr>
        <w:t>2024</w:t>
      </w:r>
      <w:r>
        <w:rPr>
          <w:rFonts w:ascii="Times New Roman" w:cs="Times New Roman" w:eastAsia="Times New Roman" w:hAnsi="Times New Roman"/>
          <w:sz w:val="12"/>
          <w:szCs w:val="12"/>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Fourth quarter net sales of $555.8 million, operating profit of $112.1 million, net earnings of $71.7 million and Adjusted EBITDA* of $116.5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Fiscal year net sales of $1,996.2 million, operating profit of $387.7 million, net earnings of $246.5 million and Adjusted EBITDA* of $440.2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Generated $199.6 million in cash from operations in fiscal year 2024</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Fiscal year 2025 net sales and Adjusted EBITDA* expected to range between $2.24-$2.32 billion and $460-$490 million, respectively</w:t>
      </w:r>
    </w:p>
    <w:p>
      <w:pPr>
        <w:spacing w:after="0" w:line="98" w:lineRule="exact"/>
        <w:rPr>
          <w:sz w:val="20"/>
          <w:szCs w:val="20"/>
          <w:color w:val="auto"/>
        </w:rPr>
      </w:pPr>
    </w:p>
    <w:p>
      <w:pPr>
        <w:jc w:val="both"/>
        <w:ind w:right="160"/>
        <w:spacing w:after="0" w:line="237" w:lineRule="auto"/>
        <w:rPr>
          <w:sz w:val="20"/>
          <w:szCs w:val="20"/>
          <w:color w:val="auto"/>
        </w:rPr>
      </w:pPr>
      <w:r>
        <w:rPr>
          <w:rFonts w:ascii="Times New Roman" w:cs="Times New Roman" w:eastAsia="Times New Roman" w:hAnsi="Times New Roman"/>
          <w:sz w:val="10"/>
          <w:szCs w:val="10"/>
          <w:i w:val="1"/>
          <w:iCs w:val="1"/>
          <w:color w:val="auto"/>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spacing w:after="0" w:line="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 xml:space="preserve">“We finished the year strong, with our results coming in at the high end of our expectations.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consumption accelerated, lifted by better in stocks and meaningful distribution gains. Additionally,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achieved all time highs this quarter for household penetration and total distribution points, and saw strong market share gains in both shakes and powders,” said Darcy H. Davenport, President and Chief Executive Officer of BellRing. “Our momentum remains high as we enter 2025. The convenient nutrition category continues to provide strong tailwinds, with ready-to-drink shakes and powders in the early stages of growth. We have leading mainstream brands that deeply resonate with consumers, giving us confidence in the long-term prospects for our company.”</w:t>
      </w:r>
    </w:p>
    <w:p>
      <w:pPr>
        <w:spacing w:after="0" w:line="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and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powder products increased 14.4% and 42.7%, respectively,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powder products decreased 10.1% in the 13-week period ended September 29, 2024, as compared to the same period in 2023 (inclusive of Circana United States (“U.S.”) Multi Outlet including Convenience and management estimates of untracked channels). For additional information regarding consumption metrics, see the supplemental slide presentation on BellRing’s website, which can be accessed by visiting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$555.8 million, an increase of 17.6%, or $83.2 million, compared to the prior year period, driven by 18.9% increase in volume and 1.3% decrease in price/mix.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increased 20.3%, driven by 19.5% volume growth and 0.8% increase in price/mix.</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increased 20.7%, driven by 19.6% increase in volume and 1.1% increase in price/mix.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Volume gains were driven by organic growth and distribution gains.</w:t>
      </w:r>
    </w:p>
    <w:p>
      <w:pPr>
        <w:spacing w:after="0" w:line="101"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3.9%, driven by 6.7% increase in volume which was partially offset by a 2.8% decrease in price/mix. Volume gains were driven by strength in the international channel, partially offset by declines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domestic channels. The decrease in price/mix was driven by promotional activity and unfavorable mix.</w:t>
      </w:r>
    </w:p>
    <w:p>
      <w:pPr>
        <w:spacing w:after="0" w:line="7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Gross profit was $205.1 million, or 36.9% of net sales, an increase of 32.1%, or $49.8 million, compared to $155.3 million, or 32.9% of net sales, in the prior year period. Gross profit included mark-to-market adjustments on commodity hedges, which were favorable by $5.7 million and $0.8 million in the fourth quarter of 2024 and 2023, respectively, and were treated as adjustments for non-GAAP measures. The higher gross profit margin was driven by net input cost deflation and $3.5 million of production attainment fees received in the fourth quarter of 2024 from shake contract manufacturers.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jc w:val="both"/>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(“SG&amp;A”) expenses were $88.7 million, or 16.0% of net sales, an increase of $23.5 million compared to $65.2 million, or 13.8% of net sales, in the prior year period. SG&amp;A expenses included a $5.0 million provision for legal matters in the fourth quarter of 2023, which was treated as an adjustment for non-GAAP measures. SG&amp;A expenses in the fourth quarter of 2024 included higher marketing and consumer advertising expenses of $12.8 million, as well as increased employee expenses and distribution and warehousing expenses on higher volumes.</w:t>
      </w:r>
    </w:p>
    <w:p>
      <w:pPr>
        <w:spacing w:after="0" w:line="83"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 xml:space="preserve">Operating profit was $112.1 million, an increase of 43.5%, or $34.0 million, compared to $78.1 million in the prior year period. Operating profit in the fourth quarter of 2023 was negatively impacted by $7.1 million of accelerated amortization incurred in connection with the discontinuance of the North American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business, which was treated as an adjustment for non-GAAP measures.</w:t>
      </w:r>
    </w:p>
    <w:p>
      <w:pPr>
        <w:spacing w:after="0" w:line="7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Interest expense, net was $14.5 million and $16.1 million in the fourth quarter of 2024 and 2023, respectively, with the decline primarily driven by lower borrowings outstanding under BellRing’s revolving credit facility. Income tax expense was $25.9 million in the fourth quarter of 2024, an effective income tax rate of 26.5%, compared to $15.9 million in the fourth quarter of 2023, an effective income tax rate of 25.6%.</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Net earnings were $71.7 million, an increase of 55.5%, or $25.6 million, compared to $46.1 million in the prior year period. Net earnings per diluted common share were $0.55, an increase of 57.1%, compared to $0.35 in the prior year period. Adjusted net earnings* were $67.1 million, an increase of 22.7%, compared to $54.7 million in the prior year period. Adjusted net earnings per common share* were $0.51, an increase of 24.4%, compared to $0.41 in the prior year period.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$116.5 million, an increase of 18.3%, or $18.0 million, compared to $98.5 million in the prior 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Fiscal Year 2024 Results</w:t>
      </w:r>
    </w:p>
    <w:p>
      <w:pPr>
        <w:spacing w:after="0" w:line="116"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2"/>
          <w:szCs w:val="12"/>
          <w:color w:val="auto"/>
        </w:rPr>
        <w:t xml:space="preserve">Net sales were $1,996.2 million, an increase of 19.8%, or $329.4 million, compared to the prior year, driven by 24.1% increase in volume and 4.3% decrease in price/mix.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22.9%, driven by 25.1% increase in volume and 2.2% decrease in price/mix.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5.6%, driven by 9.6% increase in volume and 4.0% decrease in price/mix.</w:t>
      </w:r>
    </w:p>
    <w:p>
      <w:pPr>
        <w:spacing w:after="0" w:line="7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Gross profit was $707.3 million, or 35.4% of net sales, an increase of 33.4%, or $177.1 million, compared to $530.2 million, or 31.8% of net sales, in the prior year. The higher gross profit margin was driven by net input cost deflation, which was partially offset by incremental promotional activity.</w:t>
      </w:r>
    </w:p>
    <w:p>
      <w:pPr>
        <w:spacing w:after="0" w:line="7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SG&amp;A expenses were $284.6 million, or 14.3% of net sales, an increase of $68.3 million compared to $216.3 million, or 13.0% of net sales, in the prior year. SG&amp;A expenses in the twelve months ended September 30, 2024 included higher employee expenses and distribution and warehousing expenses on higher volumes, as well as increased marketing and consumer advertising expenses of $20.4 million.</w:t>
      </w:r>
    </w:p>
    <w:p>
      <w:pPr>
        <w:spacing w:after="0" w:line="7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Operating profit was $387.7 million, an increase of 34.9%, or $100.4 million, compared to $287.3 million in the prior year. Operating profit was negatively impacted by $17.4 million and $7.1 million of accelerated amortization in the twelve months ended September 30, 2024 and 2023, respectively, which was incurred in connection with the discontinuance of the North American </w:t>
      </w:r>
      <w:r>
        <w:rPr>
          <w:rFonts w:ascii="Times New Roman" w:cs="Times New Roman" w:eastAsia="Times New Roman" w:hAnsi="Times New Roman"/>
          <w:sz w:val="12"/>
          <w:szCs w:val="12"/>
          <w:i w:val="1"/>
          <w:iCs w:val="1"/>
          <w:color w:val="auto"/>
        </w:rPr>
        <w:t>PowerBar</w:t>
      </w:r>
      <w:r>
        <w:rPr>
          <w:rFonts w:ascii="Times New Roman" w:cs="Times New Roman" w:eastAsia="Times New Roman" w:hAnsi="Times New Roman"/>
          <w:sz w:val="12"/>
          <w:szCs w:val="12"/>
          <w:color w:val="auto"/>
        </w:rPr>
        <w:t xml:space="preserve"> business and treated as an adjustment for non-GAAP measures.</w:t>
      </w:r>
    </w:p>
    <w:p>
      <w:pPr>
        <w:spacing w:after="0" w:line="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Interest expense, net was $58.3 million and $66.9 million in the twelve months ended September 30, 2024 and 2023, respectively, with the decline primarily driven by lower borrowings outstanding under BellRing’s revolving credit facility. Income tax expense was $82.9 million in the twelve months ended September 30, 2024, an effective income tax rate of 25.2%, compared to $54.9 million in the twelve months ended September 30, 2023, an effective income tax rate of 24.9%.</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earnings were $246.5 million, an increase of 48.9%, or $81.0 million, compared to $165.5 million in the prior year. Net earnings per diluted common share were $1.86, an increase of 51.2%, compared to $1.23 in the prior year.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were $255.5 million, an increase of 44.2%, compared to $177.2 million in the prior year. Adjusted diluted earnings per common share* were $1.93, an increase of 46.2%, compared to $1.32 in the prior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was $440.2 million, an increase of 30.1%, or $101.9 million, compared to $338.3 million in the prior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*Adjusted net earnings, Adjusted diluted earnings per common share and Adjusted EBITDA are non-GAAP measures. For additional information regarding non-GAAP measures, see the related explanations presented under “Use of Non-GAAP Measures” later in this release.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64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0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During the fourth quarter of 2024, BellRing repurchased 0.7 million shares for $40.5 million at an average price of $55.97 per share. During the twelve months ended September 30, 2024, BellRing repurchased 2.6 million shares for $146.6 million at an average price of $56.12 per share. As of September 30, 2024, BellRing had $175.1 million remaining under its share repurchase authorization.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For fiscal year 2025, BellRing management expects net sales to range between $2.24-$2.32 billion and Adjusted EBITDA to range between $460-$490 million (resulting in net sales and Adjusted EBITDA growth of 12%-16% and 5%-11%, respectively, over fiscal year 2024). BellRing management expects fiscal year 2025 capital expenditures of approximately $7 million.</w:t>
      </w:r>
    </w:p>
    <w:p>
      <w:pPr>
        <w:spacing w:after="0" w:line="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reconciliations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November 19, 2024 at 9:00 a.m. EST to discuss financial results for the fourth quarter of fiscal year 2024 and fiscal year 2025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registering in advance at the following link: BellRing Q4 2024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80"/>
          </w:cols>
          <w:pgMar w:left="300" w:top="73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Adjusted EBITDA and capital expenditures outlook for fiscal year 2025.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ind w:left="420" w:right="2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third-party contract manufacturers for the manufacture of most of its products, including one manufacturer for nearly half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6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critical accounting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Holdings, Inc. (“Post”) following BellRing’s separation from Post and Post’s distribution of BellRing stock to Post’s shareholders (the “Spin-off”), including BellRing’s obligations under various agreements with Post;</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technology failures, cybersecurity incidents and corruption of BellRing’s data privacy protections;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38" w:right="319" w:bottom="1440" w:gutter="0" w:footer="0" w:header="0"/>
        </w:sectPr>
      </w:pPr>
    </w:p>
    <w:bookmarkStart w:id="7" w:name="page8"/>
    <w:bookmarkEnd w:id="7"/>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(415) 814-9388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160"/>
          </w:cols>
          <w:pgMar w:left="300" w:top="642"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60" w:type="dxa"/>
            <w:vAlign w:val="bottom"/>
          </w:tcPr>
          <w:p>
            <w:pPr>
              <w:spacing w:after="0"/>
              <w:rPr>
                <w:sz w:val="12"/>
                <w:szCs w:val="12"/>
                <w:color w:val="auto"/>
              </w:rPr>
            </w:pPr>
          </w:p>
        </w:tc>
        <w:tc>
          <w:tcPr>
            <w:tcW w:w="2060" w:type="dxa"/>
            <w:vAlign w:val="bottom"/>
            <w:gridSpan w:val="4"/>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62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1,996.2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1,666.8</w:t>
            </w:r>
          </w:p>
        </w:tc>
      </w:tr>
      <w:tr>
        <w:trPr>
          <w:trHeight w:val="15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goods sold</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317.3</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1,288.9</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1,136.6</w:t>
            </w:r>
          </w:p>
        </w:tc>
      </w:tr>
      <w:tr>
        <w:trPr>
          <w:trHeight w:val="14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707.3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530.2</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284.6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216.3</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35.0</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387.7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287.3</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 net</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58.3</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w:t>
            </w:r>
          </w:p>
        </w:tc>
      </w:tr>
      <w:tr>
        <w:trPr>
          <w:trHeight w:val="142"/>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329.4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220.4</w:t>
            </w: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82.9</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w:t>
            </w:r>
          </w:p>
        </w:tc>
      </w:tr>
      <w:tr>
        <w:trPr>
          <w:trHeight w:val="158"/>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246.5</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165.5</w:t>
            </w:r>
          </w:p>
        </w:tc>
      </w:tr>
      <w:tr>
        <w:trPr>
          <w:trHeight w:val="153"/>
        </w:trPr>
        <w:tc>
          <w:tcPr>
            <w:tcW w:w="6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0.56</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2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32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1.86</w:t>
            </w:r>
          </w:p>
        </w:tc>
        <w:tc>
          <w:tcPr>
            <w:tcW w:w="2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r>
      <w:tr>
        <w:trPr>
          <w:trHeight w:val="171"/>
        </w:trPr>
        <w:tc>
          <w:tcPr>
            <w:tcW w:w="6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129.1</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131.4</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130.3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133.0</w:t>
            </w:r>
          </w:p>
        </w:tc>
      </w:tr>
      <w:tr>
        <w:trPr>
          <w:trHeight w:val="155"/>
        </w:trPr>
        <w:tc>
          <w:tcPr>
            <w:tcW w:w="6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132.9</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980"/>
          </w:cols>
          <w:pgMar w:left="460" w:top="638" w:right="4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460" w:type="dxa"/>
            <w:vAlign w:val="bottom"/>
            <w:tcBorders>
              <w:bottom w:val="single" w:sz="8" w:color="auto"/>
            </w:tcBorders>
          </w:tcPr>
          <w:p>
            <w:pPr>
              <w:spacing w:after="0"/>
              <w:rPr>
                <w:sz w:val="12"/>
                <w:szCs w:val="12"/>
                <w:color w:val="auto"/>
              </w:rPr>
            </w:pPr>
          </w:p>
        </w:tc>
      </w:tr>
      <w:tr>
        <w:trPr>
          <w:trHeight w:val="162"/>
        </w:trPr>
        <w:tc>
          <w:tcPr>
            <w:tcW w:w="3200" w:type="dxa"/>
            <w:vAlign w:val="bottom"/>
            <w:shd w:val="clear" w:color="auto" w:fill="CCEEFF"/>
          </w:tcPr>
          <w:p>
            <w:pPr>
              <w:spacing w:after="0"/>
              <w:rPr>
                <w:sz w:val="14"/>
                <w:szCs w:val="14"/>
                <w:color w:val="auto"/>
              </w:rPr>
            </w:pPr>
          </w:p>
        </w:tc>
        <w:tc>
          <w:tcPr>
            <w:tcW w:w="5360" w:type="dxa"/>
            <w:vAlign w:val="bottom"/>
            <w:gridSpan w:val="2"/>
            <w:shd w:val="clear" w:color="auto" w:fill="CCEEFF"/>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6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168.2</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286.1</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592.7</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424.2</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176.8</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158"/>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837.0</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691.6</w:t>
            </w:r>
          </w:p>
        </w:tc>
      </w:tr>
      <w:tr>
        <w:trPr>
          <w:trHeight w:val="153"/>
        </w:trPr>
        <w:tc>
          <w:tcPr>
            <w:tcW w:w="320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78"/>
        </w:trPr>
        <w:tc>
          <w:tcPr>
            <w:tcW w:w="3200" w:type="dxa"/>
            <w:vAlign w:val="bottom"/>
          </w:tcPr>
          <w:p>
            <w:pPr>
              <w:spacing w:after="0"/>
              <w:rPr>
                <w:sz w:val="15"/>
                <w:szCs w:val="15"/>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536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w:t>
            </w: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203.7</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w:t>
            </w: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833.1</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856.8</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1,042.9</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1,015.1</w:t>
            </w: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Retained earnings (accumulated deficit)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(190.1)</w:t>
            </w: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(299.0)</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(151.0)</w:t>
            </w: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w:t>
            </w:r>
          </w:p>
        </w:tc>
        <w:tc>
          <w:tcPr>
            <w:tcW w:w="3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(323.5)</w:t>
            </w: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40" w:type="dxa"/>
            <w:vAlign w:val="bottom"/>
          </w:tcPr>
          <w:p>
            <w:pPr>
              <w:spacing w:after="0"/>
              <w:rPr>
                <w:sz w:val="12"/>
                <w:szCs w:val="12"/>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837.0</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691.6</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78"/>
        </w:trPr>
        <w:tc>
          <w:tcPr>
            <w:tcW w:w="3200" w:type="dxa"/>
            <w:vAlign w:val="bottom"/>
          </w:tcPr>
          <w:p>
            <w:pPr>
              <w:spacing w:after="0"/>
              <w:rPr>
                <w:sz w:val="24"/>
                <w:szCs w:val="24"/>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2"/>
        </w:trPr>
        <w:tc>
          <w:tcPr>
            <w:tcW w:w="3200" w:type="dxa"/>
            <w:vAlign w:val="bottom"/>
          </w:tcPr>
          <w:p>
            <w:pPr>
              <w:spacing w:after="0"/>
              <w:rPr>
                <w:sz w:val="12"/>
                <w:szCs w:val="12"/>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620" w:type="dxa"/>
            <w:vAlign w:val="bottom"/>
            <w:tcBorders>
              <w:bottom w:val="single" w:sz="8" w:color="auto"/>
            </w:tcBorders>
            <w:gridSpan w:val="4"/>
          </w:tcPr>
          <w:p>
            <w:pPr>
              <w:jc w:val="right"/>
              <w:ind w:right="662"/>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c>
          <w:tcPr>
            <w:tcW w:w="460" w:type="dxa"/>
            <w:vAlign w:val="bottom"/>
            <w:tcBorders>
              <w:bottom w:val="single" w:sz="8" w:color="auto"/>
            </w:tcBorders>
          </w:tcPr>
          <w:p>
            <w:pPr>
              <w:spacing w:after="0"/>
              <w:rPr>
                <w:sz w:val="13"/>
                <w:szCs w:val="13"/>
                <w:color w:val="auto"/>
              </w:rPr>
            </w:pPr>
          </w:p>
        </w:tc>
      </w:tr>
      <w:tr>
        <w:trPr>
          <w:trHeight w:val="134"/>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1"/>
                <w:szCs w:val="11"/>
                <w:color w:val="auto"/>
              </w:rPr>
            </w:pPr>
          </w:p>
        </w:tc>
      </w:tr>
      <w:tr>
        <w:trPr>
          <w:trHeight w:val="134"/>
        </w:trPr>
        <w:tc>
          <w:tcPr>
            <w:tcW w:w="3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6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215.6</w:t>
            </w:r>
          </w:p>
        </w:tc>
      </w:tr>
      <w:tr>
        <w:trPr>
          <w:trHeight w:val="15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in cash and cash equivalents</w:t>
            </w:r>
          </w:p>
        </w:tc>
        <w:tc>
          <w:tcPr>
            <w:tcW w:w="39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3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20"/>
          </w:cols>
          <w:pgMar w:left="340" w:top="63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and Adjusted diluted earnings per common share</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and Adjusted diluted earnings per common share are adjusted for the following items:</w:t>
      </w:r>
    </w:p>
    <w:p>
      <w:pPr>
        <w:spacing w:after="0" w:line="17" w:lineRule="exact"/>
        <w:rPr>
          <w:sz w:val="20"/>
          <w:szCs w:val="20"/>
          <w:color w:val="auto"/>
        </w:rPr>
      </w:pPr>
    </w:p>
    <w:p>
      <w:pPr>
        <w:ind w:left="42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or the discontinuation of the use of certain brands in certain regions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amount and frequency of such charges are not consistent. 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right="30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Provision for legal matters</w:t>
      </w:r>
      <w:r>
        <w:rPr>
          <w:rFonts w:ascii="Times New Roman" w:cs="Times New Roman" w:eastAsia="Times New Roman" w:hAnsi="Times New Roman"/>
          <w:sz w:val="12"/>
          <w:szCs w:val="12"/>
          <w:color w:val="auto"/>
        </w:rPr>
        <w:t>: BellRing has excluded gains and losses recorded to recognize the anticipated or actual resolution of certain litigation as BellRing believes such gains and losses do not reflect expected ongoing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future operating income and expenses and do not contribute to a meaningful evaluation of BellRing’s current operating performance or comparisons of BellRing’s operating performance to other periods.</w:t>
      </w:r>
    </w:p>
    <w:p>
      <w:pPr>
        <w:ind w:left="420" w:right="48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18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in connection with secondary offerings of shares of BellRing common stock previously held by Post, as the amount and frequency of such expenses are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200" w:hanging="212"/>
        <w:spacing w:after="0" w:line="260" w:lineRule="auto"/>
        <w:tabs>
          <w:tab w:leader="none" w:pos="41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 and Adjusted EBITDA as a percentage of net sales</w:t>
      </w:r>
    </w:p>
    <w:p>
      <w:pPr>
        <w:spacing w:after="0" w:line="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w:t>
      </w:r>
    </w:p>
    <w:p>
      <w:pPr>
        <w:spacing w:after="0" w:line="9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amortization, and the following adjustments discussed above: mark-to-market adjustments on commodity hedges, provision for legal matters, foreign currency gain/loss on intercompany loans and separation costs. Additionally, Adjusted EBITDA reflects an adjustment for the following item:</w:t>
      </w:r>
    </w:p>
    <w:p>
      <w:pPr>
        <w:spacing w:after="0" w:line="1" w:lineRule="exact"/>
        <w:rPr>
          <w:sz w:val="20"/>
          <w:szCs w:val="20"/>
          <w:color w:val="auto"/>
        </w:rPr>
      </w:pPr>
    </w:p>
    <w:p>
      <w:pPr>
        <w:ind w:left="420" w:right="160" w:hanging="212"/>
        <w:spacing w:after="0" w:line="255"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80"/>
          </w:cols>
          <w:pgMar w:left="300" w:top="641" w:right="319" w:bottom="1440" w:gutter="0" w:footer="0" w:header="0"/>
        </w:sectPr>
      </w:pPr>
    </w:p>
    <w:bookmarkStart w:id="11" w:name="page12"/>
    <w:bookmarkEnd w:id="11"/>
    <w:p>
      <w:pPr>
        <w:ind w:left="260"/>
        <w:spacing w:after="0" w:line="265" w:lineRule="auto"/>
        <w:rPr>
          <w:sz w:val="20"/>
          <w:szCs w:val="20"/>
          <w:color w:val="auto"/>
        </w:rPr>
      </w:pPr>
      <w:r>
        <w:rPr>
          <w:rFonts w:ascii="Times New Roman" w:cs="Times New Roman" w:eastAsia="Times New Roman" w:hAnsi="Times New Roman"/>
          <w:sz w:val="12"/>
          <w:szCs w:val="12"/>
          <w:color w:val="auto"/>
        </w:rPr>
        <w:t>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2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NET EARNINGS (Unaudited)</w:t>
      </w:r>
    </w:p>
    <w:p>
      <w:pPr>
        <w:spacing w:after="0" w:line="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Pr>
          <w:p>
            <w:pPr>
              <w:spacing w:after="0"/>
              <w:rPr>
                <w:sz w:val="12"/>
                <w:szCs w:val="1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62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46.1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246.5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165.5</w:t>
            </w:r>
          </w:p>
        </w:tc>
      </w:tr>
      <w:tr>
        <w:trPr>
          <w:trHeight w:val="171"/>
        </w:trPr>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7.1</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w:t>
            </w: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w:t>
            </w:r>
          </w:p>
        </w:tc>
      </w:tr>
      <w:tr>
        <w:trPr>
          <w:trHeight w:val="153"/>
        </w:trPr>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6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660" w:type="dxa"/>
            <w:vAlign w:val="bottom"/>
          </w:tcPr>
          <w:p>
            <w:pPr>
              <w:spacing w:after="0"/>
              <w:rPr>
                <w:sz w:val="13"/>
                <w:szCs w:val="13"/>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0.7</w:t>
            </w:r>
          </w:p>
        </w:tc>
      </w:tr>
      <w:tr>
        <w:trPr>
          <w:trHeight w:val="142"/>
        </w:trPr>
        <w:tc>
          <w:tcPr>
            <w:tcW w:w="62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11.3</w:t>
            </w: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11.9</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15.3</w:t>
            </w:r>
          </w:p>
        </w:tc>
      </w:tr>
      <w:tr>
        <w:trPr>
          <w:trHeight w:val="153"/>
        </w:trPr>
        <w:tc>
          <w:tcPr>
            <w:tcW w:w="6240" w:type="dxa"/>
            <w:vAlign w:val="bottom"/>
            <w:tcBorders>
              <w:bottom w:val="single" w:sz="8" w:color="CCEEFF"/>
            </w:tcBorders>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5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Net Earnings</w:t>
            </w: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54.7</w:t>
            </w:r>
          </w:p>
        </w:tc>
        <w:tc>
          <w:tcPr>
            <w:tcW w:w="3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255.5</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177.2</w:t>
            </w:r>
          </w:p>
        </w:tc>
      </w:tr>
    </w:tbl>
    <w:p>
      <w:pPr>
        <w:spacing w:after="0" w:line="160" w:lineRule="exact"/>
        <w:rPr>
          <w:sz w:val="20"/>
          <w:szCs w:val="20"/>
          <w:color w:val="auto"/>
        </w:rPr>
      </w:pPr>
    </w:p>
    <w:p>
      <w:pPr>
        <w:ind w:left="20" w:right="220" w:hanging="10"/>
        <w:spacing w:after="0" w:line="216" w:lineRule="auto"/>
        <w:tabs>
          <w:tab w:leader="none" w:pos="141"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except for separation costs, using a rate of 24.0%. For the twelve months ended September 30, 2023, income tax effect for separation costs was calculated using a rate of 8.0%.</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260" w:type="dxa"/>
            <w:vAlign w:val="bottom"/>
          </w:tcPr>
          <w:p>
            <w:pPr>
              <w:spacing w:after="0"/>
              <w:rPr>
                <w:sz w:val="11"/>
                <w:szCs w:val="11"/>
                <w:color w:val="auto"/>
              </w:rPr>
            </w:pPr>
          </w:p>
        </w:tc>
        <w:tc>
          <w:tcPr>
            <w:tcW w:w="4180" w:type="dxa"/>
            <w:vAlign w:val="bottom"/>
            <w:gridSpan w:val="4"/>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7"/>
              </w:rPr>
              <w:t>RECONCILIATION OF DILUTED EARNINGS PER COMMON SHARE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2"/>
        </w:trPr>
        <w:tc>
          <w:tcPr>
            <w:tcW w:w="3260" w:type="dxa"/>
            <w:vAlign w:val="bottom"/>
          </w:tcPr>
          <w:p>
            <w:pPr>
              <w:spacing w:after="0"/>
              <w:rPr>
                <w:sz w:val="12"/>
                <w:szCs w:val="12"/>
                <w:color w:val="auto"/>
              </w:rPr>
            </w:pPr>
          </w:p>
        </w:tc>
        <w:tc>
          <w:tcPr>
            <w:tcW w:w="4180" w:type="dxa"/>
            <w:vAlign w:val="bottom"/>
            <w:gridSpan w:val="4"/>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7"/>
              </w:rPr>
              <w:t>TO ADJUSTED DILUTED EARNINGS PER COMMON SHARE (Unaudited)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5"/>
        </w:trPr>
        <w:tc>
          <w:tcPr>
            <w:tcW w:w="32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60" w:type="dxa"/>
            <w:vAlign w:val="bottom"/>
          </w:tcPr>
          <w:p>
            <w:pPr>
              <w:spacing w:after="0"/>
              <w:rPr>
                <w:sz w:val="13"/>
                <w:szCs w:val="13"/>
                <w:color w:val="auto"/>
              </w:rPr>
            </w:pPr>
          </w:p>
        </w:tc>
        <w:tc>
          <w:tcPr>
            <w:tcW w:w="2060" w:type="dxa"/>
            <w:vAlign w:val="bottom"/>
            <w:gridSpan w:val="4"/>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3260" w:type="dxa"/>
            <w:vAlign w:val="bottom"/>
            <w:tcBorders>
              <w:bottom w:val="single" w:sz="8" w:color="CCEEFF"/>
            </w:tcBorders>
          </w:tcPr>
          <w:p>
            <w:pPr>
              <w:spacing w:after="0"/>
              <w:rPr>
                <w:sz w:val="11"/>
                <w:szCs w:val="11"/>
                <w:color w:val="auto"/>
              </w:rPr>
            </w:pPr>
          </w:p>
        </w:tc>
        <w:tc>
          <w:tcPr>
            <w:tcW w:w="29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Diluted Earnings per share of Common Stock</w:t>
            </w:r>
          </w:p>
        </w:tc>
        <w:tc>
          <w:tcPr>
            <w:tcW w:w="29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0.55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0.35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5"/>
              </w:rPr>
              <w:t>1.23</w:t>
            </w:r>
          </w:p>
        </w:tc>
      </w:tr>
      <w:tr>
        <w:trPr>
          <w:trHeight w:val="180"/>
        </w:trPr>
        <w:tc>
          <w:tcPr>
            <w:tcW w:w="3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3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0.05</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left="401"/>
              <w:spacing w:after="0"/>
              <w:rPr>
                <w:sz w:val="20"/>
                <w:szCs w:val="20"/>
                <w:color w:val="auto"/>
              </w:rPr>
            </w:pPr>
            <w:r>
              <w:rPr>
                <w:rFonts w:ascii="Times New Roman" w:cs="Times New Roman" w:eastAsia="Times New Roman" w:hAnsi="Times New Roman"/>
                <w:sz w:val="12"/>
                <w:szCs w:val="12"/>
                <w:color w:val="auto"/>
                <w:w w:val="95"/>
              </w:rPr>
              <w:t>0.05</w:t>
            </w:r>
          </w:p>
        </w:tc>
      </w:tr>
      <w:tr>
        <w:trPr>
          <w:trHeight w:val="153"/>
        </w:trPr>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2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5"/>
              </w:rPr>
              <w:t>0.02</w:t>
            </w:r>
          </w:p>
        </w:tc>
      </w:tr>
      <w:tr>
        <w:trPr>
          <w:trHeight w:val="153"/>
        </w:trPr>
        <w:tc>
          <w:tcPr>
            <w:tcW w:w="3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0.04</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80" w:type="dxa"/>
            <w:vAlign w:val="bottom"/>
          </w:tcPr>
          <w:p>
            <w:pPr>
              <w:jc w:val="center"/>
              <w:ind w:left="401"/>
              <w:spacing w:after="0"/>
              <w:rPr>
                <w:sz w:val="20"/>
                <w:szCs w:val="20"/>
                <w:color w:val="auto"/>
              </w:rPr>
            </w:pPr>
            <w:r>
              <w:rPr>
                <w:rFonts w:ascii="Times New Roman" w:cs="Times New Roman" w:eastAsia="Times New Roman" w:hAnsi="Times New Roman"/>
                <w:sz w:val="12"/>
                <w:szCs w:val="12"/>
                <w:color w:val="auto"/>
                <w:w w:val="95"/>
              </w:rPr>
              <w:t>0.04</w:t>
            </w:r>
          </w:p>
        </w:tc>
      </w:tr>
      <w:tr>
        <w:trPr>
          <w:trHeight w:val="153"/>
        </w:trPr>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2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5"/>
              </w:rPr>
              <w:t>0.01</w:t>
            </w:r>
          </w:p>
        </w:tc>
      </w:tr>
      <w:tr>
        <w:trPr>
          <w:trHeight w:val="142"/>
        </w:trPr>
        <w:tc>
          <w:tcPr>
            <w:tcW w:w="32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2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0.08</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0.09</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left="401"/>
              <w:spacing w:after="0"/>
              <w:rPr>
                <w:sz w:val="20"/>
                <w:szCs w:val="20"/>
                <w:color w:val="auto"/>
              </w:rPr>
            </w:pPr>
            <w:r>
              <w:rPr>
                <w:rFonts w:ascii="Times New Roman" w:cs="Times New Roman" w:eastAsia="Times New Roman" w:hAnsi="Times New Roman"/>
                <w:sz w:val="12"/>
                <w:szCs w:val="12"/>
                <w:color w:val="auto"/>
                <w:w w:val="95"/>
              </w:rPr>
              <w:t>0.12</w:t>
            </w:r>
          </w:p>
        </w:tc>
      </w:tr>
      <w:tr>
        <w:trPr>
          <w:trHeight w:val="153"/>
        </w:trPr>
        <w:tc>
          <w:tcPr>
            <w:tcW w:w="32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29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ind w:left="381"/>
              <w:spacing w:after="0"/>
              <w:rPr>
                <w:sz w:val="20"/>
                <w:szCs w:val="20"/>
                <w:color w:val="auto"/>
              </w:rPr>
            </w:pPr>
            <w:r>
              <w:rPr>
                <w:rFonts w:ascii="Times New Roman" w:cs="Times New Roman" w:eastAsia="Times New Roman" w:hAnsi="Times New Roman"/>
                <w:sz w:val="12"/>
                <w:szCs w:val="12"/>
                <w:color w:val="auto"/>
              </w:rPr>
              <w:t>(0.03)</w:t>
            </w:r>
          </w:p>
        </w:tc>
      </w:tr>
      <w:tr>
        <w:trPr>
          <w:trHeight w:val="124"/>
        </w:trPr>
        <w:tc>
          <w:tcPr>
            <w:tcW w:w="326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share of Common Stock</w:t>
            </w:r>
          </w:p>
        </w:tc>
        <w:tc>
          <w:tcPr>
            <w:tcW w:w="2980" w:type="dxa"/>
            <w:vAlign w:val="bottom"/>
          </w:tcPr>
          <w:p>
            <w:pPr>
              <w:spacing w:after="0"/>
              <w:rPr>
                <w:sz w:val="10"/>
                <w:szCs w:val="10"/>
                <w:color w:val="auto"/>
              </w:rPr>
            </w:pPr>
          </w:p>
        </w:tc>
        <w:tc>
          <w:tcPr>
            <w:tcW w:w="160" w:type="dxa"/>
            <w:vAlign w:val="bottom"/>
            <w:tcBorders>
              <w:bottom w:val="single" w:sz="8" w:color="auto"/>
            </w:tcBorders>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0.51</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0.41</w:t>
            </w:r>
          </w:p>
        </w:tc>
        <w:tc>
          <w:tcPr>
            <w:tcW w:w="320" w:type="dxa"/>
            <w:vAlign w:val="bottom"/>
          </w:tcPr>
          <w:p>
            <w:pPr>
              <w:spacing w:after="0"/>
              <w:rPr>
                <w:sz w:val="10"/>
                <w:szCs w:val="10"/>
                <w:color w:val="auto"/>
              </w:rPr>
            </w:pPr>
          </w:p>
        </w:tc>
        <w:tc>
          <w:tcPr>
            <w:tcW w:w="160" w:type="dxa"/>
            <w:vAlign w:val="bottom"/>
            <w:tcBorders>
              <w:bottom w:val="single" w:sz="8" w:color="auto"/>
            </w:tcBorders>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1.93</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center"/>
              <w:ind w:left="401"/>
              <w:spacing w:after="0" w:line="124" w:lineRule="exact"/>
              <w:rPr>
                <w:sz w:val="20"/>
                <w:szCs w:val="20"/>
                <w:color w:val="auto"/>
              </w:rPr>
            </w:pPr>
            <w:r>
              <w:rPr>
                <w:rFonts w:ascii="Times New Roman" w:cs="Times New Roman" w:eastAsia="Times New Roman" w:hAnsi="Times New Roman"/>
                <w:sz w:val="12"/>
                <w:szCs w:val="12"/>
                <w:color w:val="auto"/>
                <w:w w:val="95"/>
              </w:rPr>
              <w:t>1.32</w:t>
            </w:r>
          </w:p>
        </w:tc>
      </w:tr>
      <w:tr>
        <w:trPr>
          <w:trHeight w:val="20"/>
        </w:trPr>
        <w:tc>
          <w:tcPr>
            <w:tcW w:w="3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20" w:right="220" w:hanging="10"/>
        <w:spacing w:after="0" w:line="222" w:lineRule="auto"/>
        <w:tabs>
          <w:tab w:leader="none" w:pos="141"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Income tax effect on adjustments was calculated on all items, except for separation costs, using a rate of 24.0%. For the twelve months ended September 30, 2023, income tax effect for separation costs was calculated using a rate of 8.0%.</w:t>
      </w:r>
    </w:p>
    <w:p>
      <w:pPr>
        <w:spacing w:after="0" w:line="200" w:lineRule="exact"/>
        <w:rPr>
          <w:sz w:val="20"/>
          <w:szCs w:val="20"/>
          <w:color w:val="auto"/>
        </w:rPr>
      </w:pPr>
    </w:p>
    <w:p>
      <w:pPr>
        <w:spacing w:after="0" w:line="2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080"/>
          </w:cols>
          <w:pgMar w:left="460" w:top="642" w:right="3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TO ADJUSTED EBITDA (Unaudited)</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180" w:type="dxa"/>
            <w:vAlign w:val="bottom"/>
          </w:tcPr>
          <w:p>
            <w:pPr>
              <w:spacing w:after="0"/>
              <w:rPr>
                <w:sz w:val="12"/>
                <w:szCs w:val="12"/>
                <w:color w:val="auto"/>
              </w:rPr>
            </w:pPr>
          </w:p>
        </w:tc>
        <w:tc>
          <w:tcPr>
            <w:tcW w:w="2680" w:type="dxa"/>
            <w:vAlign w:val="bottom"/>
            <w:gridSpan w:val="6"/>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80" w:type="dxa"/>
            <w:vAlign w:val="bottom"/>
          </w:tcPr>
          <w:p>
            <w:pPr>
              <w:spacing w:after="0"/>
              <w:rPr>
                <w:sz w:val="12"/>
                <w:szCs w:val="12"/>
                <w:color w:val="auto"/>
              </w:rPr>
            </w:pPr>
          </w:p>
        </w:tc>
        <w:tc>
          <w:tcPr>
            <w:tcW w:w="218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Twelve Months Ended September 30,</w:t>
            </w:r>
          </w:p>
        </w:tc>
      </w:tr>
      <w:tr>
        <w:trPr>
          <w:trHeight w:val="134"/>
        </w:trPr>
        <w:tc>
          <w:tcPr>
            <w:tcW w:w="618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w:t>
            </w: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71.7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246.5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165.5</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15.9</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82.9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54.9</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16.1</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58.3</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66.9</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amortization</w:t>
            </w:r>
          </w:p>
        </w:tc>
        <w:tc>
          <w:tcPr>
            <w:tcW w:w="640" w:type="dxa"/>
            <w:vAlign w:val="bottom"/>
          </w:tcPr>
          <w:p>
            <w:pPr>
              <w:spacing w:after="0"/>
              <w:rPr>
                <w:sz w:val="13"/>
                <w:szCs w:val="13"/>
                <w:color w:val="auto"/>
              </w:rPr>
            </w:pPr>
          </w:p>
        </w:tc>
        <w:tc>
          <w:tcPr>
            <w:tcW w:w="4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12.5</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36.5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28.3</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21.5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14.5</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legal matters</w:t>
            </w:r>
          </w:p>
        </w:tc>
        <w:tc>
          <w:tcPr>
            <w:tcW w:w="64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5.0</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(0.8)</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(5.3)</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w:t>
            </w:r>
          </w:p>
        </w:tc>
      </w:tr>
      <w:tr>
        <w:trPr>
          <w:trHeight w:val="153"/>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gain on intercompany loans</w:t>
            </w:r>
          </w:p>
        </w:tc>
        <w:tc>
          <w:tcPr>
            <w:tcW w:w="64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6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0.7</w:t>
            </w:r>
          </w:p>
        </w:tc>
      </w:tr>
      <w:tr>
        <w:trPr>
          <w:trHeight w:val="158"/>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640" w:type="dxa"/>
            <w:vAlign w:val="bottom"/>
            <w:tcBorders>
              <w:top w:val="single" w:sz="8" w:color="auto"/>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88"/>
              </w:rPr>
              <w:t>116.5</w:t>
            </w:r>
          </w:p>
        </w:tc>
        <w:tc>
          <w:tcPr>
            <w:tcW w:w="2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98.5</w:t>
            </w:r>
          </w:p>
        </w:tc>
        <w:tc>
          <w:tcPr>
            <w:tcW w:w="3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440.2</w:t>
            </w:r>
          </w:p>
        </w:tc>
        <w:tc>
          <w:tcPr>
            <w:tcW w:w="2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338.3</w:t>
            </w:r>
          </w:p>
        </w:tc>
      </w:tr>
      <w:tr>
        <w:trPr>
          <w:trHeight w:val="17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as a percentage of Net Sales</w:t>
            </w:r>
          </w:p>
        </w:tc>
        <w:tc>
          <w:tcPr>
            <w:tcW w:w="6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12.9 %</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9.8 %</w:t>
            </w:r>
          </w:p>
        </w:tc>
        <w:tc>
          <w:tcPr>
            <w:tcW w:w="3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12.3 %</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9.9 %</w:t>
            </w:r>
          </w:p>
        </w:tc>
      </w:tr>
      <w:tr>
        <w:trPr>
          <w:trHeight w:val="151"/>
        </w:trPr>
        <w:tc>
          <w:tcPr>
            <w:tcW w:w="6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6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21.0 %</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20.8 %</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22.1 %</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20"/>
          </w:cols>
          <w:pgMar w:left="340" w:top="749" w:right="339"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2024-11-18T16:16:51Z</dcterms:created>
  <dcterms:modified xsi:type="dcterms:W3CDTF">2024-11-18T16:16:51Z</dcterms:modified>
</cp:coreProperties>
</file>