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40" w:right="16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31115</wp:posOffset>
            </wp:positionH>
            <wp:positionV relativeFrom="paragraph">
              <wp:posOffset>-222250</wp:posOffset>
            </wp:positionV>
            <wp:extent cx="118745" cy="1187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118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340"/>
        <w:spacing w:after="0" w:line="24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31115</wp:posOffset>
            </wp:positionH>
            <wp:positionV relativeFrom="paragraph">
              <wp:posOffset>-558800</wp:posOffset>
            </wp:positionV>
            <wp:extent cx="118745" cy="1187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118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3"/>
        </w:trPr>
        <w:tc>
          <w:tcPr>
            <w:tcW w:w="6180" w:type="dxa"/>
            <w:vAlign w:val="bottom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59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5194935</wp:posOffset>
            </wp:positionH>
            <wp:positionV relativeFrom="paragraph">
              <wp:posOffset>-605155</wp:posOffset>
            </wp:positionV>
            <wp:extent cx="57150" cy="6184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18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3914140</wp:posOffset>
            </wp:positionH>
            <wp:positionV relativeFrom="paragraph">
              <wp:posOffset>-605155</wp:posOffset>
            </wp:positionV>
            <wp:extent cx="57150" cy="6184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18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-1713865</wp:posOffset>
            </wp:positionH>
            <wp:positionV relativeFrom="paragraph">
              <wp:posOffset>642620</wp:posOffset>
            </wp:positionV>
            <wp:extent cx="7048500" cy="44367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0" cy="4436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60"/>
            <w:col w:w="8400"/>
          </w:cols>
          <w:pgMar w:left="460" w:top="214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1. Name and Address of Reporting Person</w:t>
      </w:r>
      <w:r>
        <w:rPr>
          <w:rFonts w:ascii="Arial" w:cs="Arial" w:eastAsia="Arial" w:hAnsi="Arial"/>
          <w:sz w:val="20"/>
          <w:szCs w:val="20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ERICKSON THOMAS P</w:t>
        </w:r>
      </w:hyperlink>
    </w:p>
    <w:p>
      <w:pPr>
        <w:spacing w:after="0" w:line="28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BELLRING BRANDS, INC.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1 N BRENTWOOD BLVD., SUITE 1550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2. Issuer Name 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BELLRING BRANDS,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BRBR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4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12/31/2025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720" w:firstLine="3"/>
        <w:spacing w:after="0" w:line="284" w:lineRule="auto"/>
        <w:tabs>
          <w:tab w:leader="none" w:pos="13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7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below)</w:t>
      </w:r>
    </w:p>
    <w:p>
      <w:pPr>
        <w:spacing w:after="0" w:line="56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23" w:space="720"/>
            <w:col w:w="3337"/>
          </w:cols>
          <w:pgMar w:left="460" w:top="214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0" w:type="dxa"/>
            <w:vAlign w:val="bottom"/>
            <w:gridSpan w:val="7"/>
          </w:tcPr>
          <w:p>
            <w:pPr>
              <w:jc w:val="center"/>
              <w:ind w:right="1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720" w:type="dxa"/>
            <w:vAlign w:val="bottom"/>
            <w:gridSpan w:val="9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Line)</w:t>
            </w: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ST. LOUIS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MO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63105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6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00" w:type="dxa"/>
            <w:vAlign w:val="bottom"/>
            <w:gridSpan w:val="5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8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80" w:type="dxa"/>
            <w:vAlign w:val="bottom"/>
            <w:gridSpan w:val="1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gridSpan w:val="4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6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440" w:type="dxa"/>
            <w:vAlign w:val="bottom"/>
            <w:gridSpan w:val="4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5"/>
              </w:rPr>
              <w:t>Reported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BellRing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Brands,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Inc.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12/31/2025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1,652.284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1,652.284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26.73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21,969.032</w:t>
            </w:r>
          </w:p>
        </w:tc>
        <w:tc>
          <w:tcPr>
            <w:tcW w:w="6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3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0000FF"/>
        </w:rPr>
        <w:t>Stock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0000FF"/>
        </w:rPr>
        <w:t>Equivalents</w:t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460" w:hanging="3"/>
        <w:spacing w:after="0" w:line="259" w:lineRule="auto"/>
        <w:tabs>
          <w:tab w:leader="none" w:pos="164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Reporting Person's retainer earned as a Director of Issuer is deferred into Issuer Common Stock equivalents under the Issuer's Deferred Compensation Plan for Directors. Reporting Person is credited with stock equivalents on a quarterly basis as soon as administratively practical following the quarter in which such retainer is earned. The value of these stock equivalents is distributed (on a one-for-one basis) in the form of Issuer Common Stock upon Reporting Person's retirement from the Board of Directors.</w:t>
      </w:r>
    </w:p>
    <w:p>
      <w:pPr>
        <w:sectPr>
          <w:pgSz w:w="11900" w:h="16838" w:orient="portrait"/>
          <w:cols w:equalWidth="0" w:num="1">
            <w:col w:w="11080"/>
          </w:cols>
          <w:pgMar w:left="460" w:top="214" w:right="359" w:bottom="1440" w:gutter="0" w:footer="0" w:header="0"/>
          <w:type w:val="continuous"/>
        </w:sectPr>
      </w:pP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2. The Common Stock equivalents have no fixed exercisable or expiration dates.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28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/s/ Craig L. Rosenthal,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-5080</wp:posOffset>
            </wp:positionV>
            <wp:extent cx="1318895" cy="76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889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in 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-12065</wp:posOffset>
            </wp:positionV>
            <wp:extent cx="282575" cy="762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57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01/05/2026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1270</wp:posOffset>
            </wp:positionH>
            <wp:positionV relativeFrom="paragraph">
              <wp:posOffset>-5080</wp:posOffset>
            </wp:positionV>
            <wp:extent cx="467995" cy="762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99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80" w:space="120"/>
            <w:col w:w="2280"/>
          </w:cols>
          <w:pgMar w:left="460" w:top="214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Reminder: Report on a separate line for each class of securities beneficially owned directly or indirectly.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60" w:hanging="3"/>
        <w:spacing w:after="0" w:line="324" w:lineRule="auto"/>
        <w:tabs>
          <w:tab w:leader="none" w:pos="171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4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790535" TargetMode="External"/><Relationship Id="rId14" Type="http://schemas.openxmlformats.org/officeDocument/2006/relationships/hyperlink" Target="http://www.sec.gov/cgi-bin/browse-edgar?action=getcompany&amp;CIK=000177201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2026-01-05T16:13:58Z</dcterms:created>
  <dcterms:modified xsi:type="dcterms:W3CDTF">2026-01-05T16:13:58Z</dcterms:modified>
</cp:coreProperties>
</file>