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40" w:right="2240"/>
        <w:spacing w:after="0" w:line="245" w:lineRule="auto"/>
        <w:rPr>
          <w:sz w:val="20"/>
          <w:szCs w:val="20"/>
          <w:color w:val="auto"/>
        </w:rPr>
      </w:pPr>
      <w:r>
        <w:rPr>
          <w:rFonts w:ascii="Arial" w:cs="Arial" w:eastAsia="Arial" w:hAnsi="Arial"/>
          <w:sz w:val="13"/>
          <w:szCs w:val="13"/>
          <w:b w:val="1"/>
          <w:bCs w:val="1"/>
          <w:color w:val="auto"/>
        </w:rPr>
        <w:t>As confidentially submitted to the Securities and Exchange Commission on April 5, 2019.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5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jc w:val="center"/>
        <w:ind w:right="-9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9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BellRing Brands,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tbl>
      <w:tblPr>
        <w:tblLayout w:type="fixed"/>
        <w:tblInd w:w="1220" w:type="dxa"/>
        <w:tblCellMar>
          <w:top w:w="0" w:type="dxa"/>
          <w:left w:w="0" w:type="dxa"/>
          <w:bottom w:w="0" w:type="dxa"/>
          <w:right w:w="0" w:type="dxa"/>
        </w:tblCellMar>
      </w:tblPr>
      <w:tr>
        <w:trPr>
          <w:trHeight w:val="153"/>
        </w:trPr>
        <w:tc>
          <w:tcPr>
            <w:tcW w:w="2660" w:type="dxa"/>
            <w:vAlign w:val="bottom"/>
          </w:tcPr>
          <w:p>
            <w:pPr>
              <w:jc w:val="center"/>
              <w:ind w:right="1059"/>
              <w:spacing w:after="0"/>
              <w:rPr>
                <w:sz w:val="20"/>
                <w:szCs w:val="20"/>
                <w:color w:val="auto"/>
              </w:rPr>
            </w:pPr>
            <w:r>
              <w:rPr>
                <w:rFonts w:ascii="Arial" w:cs="Arial" w:eastAsia="Arial" w:hAnsi="Arial"/>
                <w:sz w:val="13"/>
                <w:szCs w:val="13"/>
                <w:b w:val="1"/>
                <w:bCs w:val="1"/>
                <w:color w:val="auto"/>
                <w:w w:val="94"/>
              </w:rPr>
              <w:t>Delaware</w:t>
            </w:r>
          </w:p>
        </w:tc>
        <w:tc>
          <w:tcPr>
            <w:tcW w:w="3820" w:type="dxa"/>
            <w:vAlign w:val="bottom"/>
          </w:tcPr>
          <w:p>
            <w:pPr>
              <w:jc w:val="center"/>
              <w:ind w:right="39"/>
              <w:spacing w:after="0"/>
              <w:rPr>
                <w:sz w:val="20"/>
                <w:szCs w:val="20"/>
                <w:color w:val="auto"/>
              </w:rPr>
            </w:pPr>
            <w:r>
              <w:rPr>
                <w:rFonts w:ascii="Arial" w:cs="Arial" w:eastAsia="Arial" w:hAnsi="Arial"/>
                <w:sz w:val="13"/>
                <w:szCs w:val="13"/>
                <w:b w:val="1"/>
                <w:bCs w:val="1"/>
                <w:color w:val="auto"/>
                <w:w w:val="96"/>
              </w:rPr>
              <w:t>2000</w:t>
            </w:r>
          </w:p>
        </w:tc>
        <w:tc>
          <w:tcPr>
            <w:tcW w:w="2120" w:type="dxa"/>
            <w:vAlign w:val="bottom"/>
          </w:tcPr>
          <w:p>
            <w:pPr>
              <w:jc w:val="center"/>
              <w:ind w:left="1159"/>
              <w:spacing w:after="0"/>
              <w:rPr>
                <w:sz w:val="20"/>
                <w:szCs w:val="20"/>
                <w:color w:val="auto"/>
              </w:rPr>
            </w:pPr>
            <w:r>
              <w:rPr>
                <w:rFonts w:ascii="Arial" w:cs="Arial" w:eastAsia="Arial" w:hAnsi="Arial"/>
                <w:sz w:val="13"/>
                <w:szCs w:val="13"/>
                <w:b w:val="1"/>
                <w:bCs w:val="1"/>
                <w:color w:val="auto"/>
                <w:w w:val="95"/>
              </w:rPr>
              <w:t>83-4096323</w:t>
            </w:r>
          </w:p>
        </w:tc>
      </w:tr>
      <w:tr>
        <w:trPr>
          <w:trHeight w:val="135"/>
        </w:trPr>
        <w:tc>
          <w:tcPr>
            <w:tcW w:w="2660" w:type="dxa"/>
            <w:vAlign w:val="bottom"/>
          </w:tcPr>
          <w:p>
            <w:pPr>
              <w:jc w:val="center"/>
              <w:ind w:right="105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(Primary Standard Industrial</w:t>
            </w:r>
          </w:p>
        </w:tc>
        <w:tc>
          <w:tcPr>
            <w:tcW w:w="212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3"/>
              </w:rPr>
              <w:t>(I.R.S. Employer</w:t>
            </w:r>
          </w:p>
        </w:tc>
      </w:tr>
      <w:tr>
        <w:trPr>
          <w:trHeight w:val="150"/>
        </w:trPr>
        <w:tc>
          <w:tcPr>
            <w:tcW w:w="2660" w:type="dxa"/>
            <w:vAlign w:val="bottom"/>
          </w:tcPr>
          <w:p>
            <w:pPr>
              <w:jc w:val="center"/>
              <w:ind w:right="107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39"/>
              <w:spacing w:after="0"/>
              <w:rPr>
                <w:sz w:val="20"/>
                <w:szCs w:val="20"/>
                <w:color w:val="auto"/>
              </w:rPr>
            </w:pPr>
            <w:r>
              <w:rPr>
                <w:rFonts w:ascii="Arial" w:cs="Arial" w:eastAsia="Arial" w:hAnsi="Arial"/>
                <w:sz w:val="12"/>
                <w:szCs w:val="12"/>
                <w:b w:val="1"/>
                <w:bCs w:val="1"/>
                <w:color w:val="auto"/>
                <w:w w:val="87"/>
              </w:rPr>
              <w:t>Classification Code Number)</w:t>
            </w:r>
          </w:p>
        </w:tc>
        <w:tc>
          <w:tcPr>
            <w:tcW w:w="2120" w:type="dxa"/>
            <w:vAlign w:val="bottom"/>
          </w:tcPr>
          <w:p>
            <w:pPr>
              <w:jc w:val="center"/>
              <w:ind w:left="1159"/>
              <w:spacing w:after="0"/>
              <w:rPr>
                <w:sz w:val="20"/>
                <w:szCs w:val="20"/>
                <w:color w:val="auto"/>
              </w:rPr>
            </w:pPr>
            <w:r>
              <w:rPr>
                <w:rFonts w:ascii="Arial" w:cs="Arial" w:eastAsia="Arial" w:hAnsi="Arial"/>
                <w:sz w:val="12"/>
                <w:szCs w:val="12"/>
                <w:b w:val="1"/>
                <w:bCs w:val="1"/>
                <w:color w:val="auto"/>
                <w:w w:val="88"/>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2503 S. Hanley Road</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St. Louis, Missouri 63144</w:t>
      </w:r>
    </w:p>
    <w:p>
      <w:pPr>
        <w:jc w:val="center"/>
        <w:ind w:right="-99"/>
        <w:spacing w:after="0"/>
        <w:rPr>
          <w:sz w:val="20"/>
          <w:szCs w:val="20"/>
          <w:color w:val="auto"/>
        </w:rPr>
      </w:pPr>
      <w:r>
        <w:rPr>
          <w:rFonts w:ascii="Arial" w:cs="Arial" w:eastAsia="Arial" w:hAnsi="Arial"/>
          <w:sz w:val="13"/>
          <w:szCs w:val="13"/>
          <w:b w:val="1"/>
          <w:bCs w:val="1"/>
          <w:color w:val="auto"/>
        </w:rPr>
        <w:t>(314) 644-7600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Darcy Horn Davenport</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rPr>
          <w:sz w:val="20"/>
          <w:szCs w:val="20"/>
          <w:color w:val="auto"/>
        </w:rPr>
      </w:pPr>
      <w:r>
        <w:rPr>
          <w:rFonts w:ascii="Arial" w:cs="Arial" w:eastAsia="Arial" w:hAnsi="Arial"/>
          <w:sz w:val="13"/>
          <w:szCs w:val="13"/>
          <w:b w:val="1"/>
          <w:bCs w:val="1"/>
          <w:color w:val="auto"/>
        </w:rPr>
        <w:t>BellRing Brands, Inc.</w:t>
      </w:r>
    </w:p>
    <w:p>
      <w:pPr>
        <w:jc w:val="center"/>
        <w:ind w:right="-99"/>
        <w:spacing w:after="0"/>
        <w:rPr>
          <w:sz w:val="20"/>
          <w:szCs w:val="20"/>
          <w:color w:val="auto"/>
        </w:rPr>
      </w:pPr>
      <w:r>
        <w:rPr>
          <w:rFonts w:ascii="Arial" w:cs="Arial" w:eastAsia="Arial" w:hAnsi="Arial"/>
          <w:sz w:val="13"/>
          <w:szCs w:val="13"/>
          <w:b w:val="1"/>
          <w:bCs w:val="1"/>
          <w:color w:val="auto"/>
        </w:rPr>
        <w:t>2503 S. Hanley Road</w:t>
      </w:r>
    </w:p>
    <w:p>
      <w:pPr>
        <w:jc w:val="center"/>
        <w:ind w:right="-99"/>
        <w:spacing w:after="0"/>
        <w:rPr>
          <w:sz w:val="20"/>
          <w:szCs w:val="20"/>
          <w:color w:val="auto"/>
        </w:rPr>
      </w:pPr>
      <w:r>
        <w:rPr>
          <w:rFonts w:ascii="Arial" w:cs="Arial" w:eastAsia="Arial" w:hAnsi="Arial"/>
          <w:sz w:val="13"/>
          <w:szCs w:val="13"/>
          <w:b w:val="1"/>
          <w:bCs w:val="1"/>
          <w:color w:val="auto"/>
        </w:rPr>
        <w:t>St. Louis, Missouri 63144</w:t>
      </w:r>
    </w:p>
    <w:p>
      <w:pPr>
        <w:jc w:val="center"/>
        <w:ind w:right="-99"/>
        <w:spacing w:after="0"/>
        <w:rPr>
          <w:sz w:val="20"/>
          <w:szCs w:val="20"/>
          <w:color w:val="auto"/>
        </w:rPr>
      </w:pPr>
      <w:r>
        <w:rPr>
          <w:rFonts w:ascii="Arial" w:cs="Arial" w:eastAsia="Arial" w:hAnsi="Arial"/>
          <w:sz w:val="13"/>
          <w:szCs w:val="13"/>
          <w:b w:val="1"/>
          <w:bCs w:val="1"/>
          <w:color w:val="auto"/>
        </w:rPr>
        <w:t>Telephone: (314) 644-7600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5" w:lineRule="exact"/>
        <w:rPr>
          <w:sz w:val="24"/>
          <w:szCs w:val="24"/>
          <w:color w:val="auto"/>
        </w:rPr>
      </w:pPr>
    </w:p>
    <w:tbl>
      <w:tblPr>
        <w:tblLayout w:type="fixed"/>
        <w:tblInd w:w="96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3460" w:type="dxa"/>
            <w:vAlign w:val="bottom"/>
          </w:tcPr>
          <w:p>
            <w:pPr>
              <w:ind w:left="1340"/>
              <w:spacing w:after="0"/>
              <w:rPr>
                <w:sz w:val="20"/>
                <w:szCs w:val="20"/>
                <w:color w:val="auto"/>
              </w:rPr>
            </w:pPr>
            <w:r>
              <w:rPr>
                <w:rFonts w:ascii="Arial" w:cs="Arial" w:eastAsia="Arial" w:hAnsi="Arial"/>
                <w:sz w:val="13"/>
                <w:szCs w:val="13"/>
                <w:b w:val="1"/>
                <w:bCs w:val="1"/>
                <w:i w:val="1"/>
                <w:iCs w:val="1"/>
                <w:color w:val="auto"/>
              </w:rPr>
              <w:t>Copies to:</w:t>
            </w:r>
          </w:p>
        </w:tc>
        <w:tc>
          <w:tcPr>
            <w:tcW w:w="2860" w:type="dxa"/>
            <w:vAlign w:val="bottom"/>
          </w:tcPr>
          <w:p>
            <w:pPr>
              <w:spacing w:after="0"/>
              <w:rPr>
                <w:sz w:val="14"/>
                <w:szCs w:val="14"/>
                <w:color w:val="auto"/>
              </w:rPr>
            </w:pPr>
          </w:p>
        </w:tc>
      </w:tr>
      <w:tr>
        <w:trPr>
          <w:trHeight w:val="190"/>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5"/>
              </w:rPr>
              <w:t>Tom W. Zook</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5"/>
              </w:rPr>
              <w:t>Diedre J. Gray</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6"/>
              </w:rPr>
              <w:t>Ian D. Schuman</w:t>
            </w:r>
          </w:p>
        </w:tc>
      </w:tr>
      <w:tr>
        <w:trPr>
          <w:trHeight w:val="148"/>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7"/>
              </w:rPr>
              <w:t>Lewis Rice LLC</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2"/>
              </w:rPr>
              <w:t>Post Holdings, Inc.</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4"/>
              </w:rPr>
              <w:t>Benjamin D. Stern</w:t>
            </w:r>
          </w:p>
        </w:tc>
      </w:tr>
      <w:tr>
        <w:trPr>
          <w:trHeight w:val="148"/>
        </w:trPr>
        <w:tc>
          <w:tcPr>
            <w:tcW w:w="3040" w:type="dxa"/>
            <w:vAlign w:val="bottom"/>
          </w:tcPr>
          <w:p>
            <w:pPr>
              <w:jc w:val="center"/>
              <w:ind w:right="933"/>
              <w:spacing w:after="0"/>
              <w:rPr>
                <w:sz w:val="20"/>
                <w:szCs w:val="20"/>
                <w:color w:val="auto"/>
              </w:rPr>
            </w:pPr>
            <w:r>
              <w:rPr>
                <w:rFonts w:ascii="Arial" w:cs="Arial" w:eastAsia="Arial" w:hAnsi="Arial"/>
                <w:sz w:val="13"/>
                <w:szCs w:val="13"/>
                <w:b w:val="1"/>
                <w:bCs w:val="1"/>
                <w:color w:val="auto"/>
                <w:w w:val="91"/>
              </w:rPr>
              <w:t>600 Washington Avenue, Suite 2500</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4"/>
              </w:rPr>
              <w:t>2503 S. Hanley Road</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rPr>
              <w:t>Latham &amp; Watkins LLP</w:t>
            </w:r>
          </w:p>
        </w:tc>
      </w:tr>
      <w:tr>
        <w:trPr>
          <w:trHeight w:val="149"/>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3"/>
              </w:rPr>
              <w:t>St. Louis, Missouri 63101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3"/>
              </w:rPr>
              <w:t>St. Louis, Missouri 63144</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4"/>
              </w:rPr>
              <w:t>885 Third Avenue</w:t>
            </w:r>
          </w:p>
        </w:tc>
      </w:tr>
      <w:tr>
        <w:trPr>
          <w:trHeight w:val="148"/>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2"/>
              </w:rPr>
              <w:t>Telephone: (314) 444-7671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3"/>
              </w:rPr>
              <w:t>Telephone: (314) 644-7600</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5"/>
              </w:rPr>
              <w:t>New York, New York 10022-4834</w:t>
            </w:r>
          </w:p>
        </w:tc>
      </w:tr>
      <w:tr>
        <w:trPr>
          <w:trHeight w:val="174"/>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5"/>
              </w:rPr>
              <w:t>Fax: (314) 612-7671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5"/>
              </w:rPr>
              <w:t>Fax: (314) 646-3367</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2"/>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ind w:left="440"/>
        <w:spacing w:after="0"/>
        <w:rPr>
          <w:sz w:val="20"/>
          <w:szCs w:val="20"/>
          <w:color w:val="auto"/>
        </w:rPr>
      </w:pPr>
      <w:r>
        <w:rPr>
          <w:rFonts w:ascii="Arial" w:cs="Arial" w:eastAsia="Arial" w:hAnsi="Arial"/>
          <w:sz w:val="13"/>
          <w:szCs w:val="13"/>
          <w:b w:val="1"/>
          <w:bCs w:val="1"/>
          <w:color w:val="auto"/>
        </w:rPr>
        <w:t xml:space="preserve">Approximate date of commencement of proposed sale to public: </w:t>
      </w:r>
      <w:r>
        <w:rPr>
          <w:rFonts w:ascii="Arial" w:cs="Arial" w:eastAsia="Arial" w:hAnsi="Arial"/>
          <w:sz w:val="13"/>
          <w:szCs w:val="13"/>
          <w:color w:val="auto"/>
        </w:rPr>
        <w:t>As soon as practicable after this Registration Statement becomes effective.</w:t>
      </w:r>
    </w:p>
    <w:p>
      <w:pPr>
        <w:spacing w:after="0" w:line="30" w:lineRule="exact"/>
        <w:rPr>
          <w:sz w:val="24"/>
          <w:szCs w:val="24"/>
          <w:color w:val="auto"/>
        </w:rPr>
      </w:pPr>
    </w:p>
    <w:p>
      <w:pPr>
        <w:ind w:left="4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120" w:right="100" w:firstLine="330"/>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30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30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580" w:firstLine="330"/>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57"/>
        </w:trPr>
        <w:tc>
          <w:tcPr>
            <w:tcW w:w="1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8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 w:lineRule="exact"/>
        <w:rPr>
          <w:sz w:val="24"/>
          <w:szCs w:val="24"/>
          <w:color w:val="auto"/>
        </w:rPr>
      </w:pPr>
    </w:p>
    <w:p>
      <w:pPr>
        <w:ind w:left="120" w:right="140" w:firstLine="33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5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7"/>
        </w:trPr>
        <w:tc>
          <w:tcPr>
            <w:tcW w:w="7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ind w:left="20"/>
              <w:spacing w:after="0" w:line="107" w:lineRule="exact"/>
              <w:rPr>
                <w:sz w:val="20"/>
                <w:szCs w:val="20"/>
                <w:color w:val="auto"/>
              </w:rPr>
            </w:pPr>
            <w:r>
              <w:rPr>
                <w:rFonts w:ascii="Arial" w:cs="Arial" w:eastAsia="Arial" w:hAnsi="Arial"/>
                <w:sz w:val="12"/>
                <w:szCs w:val="12"/>
                <w:b w:val="1"/>
                <w:bCs w:val="1"/>
                <w:color w:val="auto"/>
                <w:w w:val="83"/>
              </w:rPr>
              <w:t>Proposed</w:t>
            </w:r>
          </w:p>
        </w:tc>
        <w:tc>
          <w:tcPr>
            <w:tcW w:w="1740" w:type="dxa"/>
            <w:vAlign w:val="bottom"/>
          </w:tcPr>
          <w:p>
            <w:pPr>
              <w:spacing w:after="0"/>
              <w:rPr>
                <w:sz w:val="9"/>
                <w:szCs w:val="9"/>
                <w:color w:val="auto"/>
              </w:rPr>
            </w:pPr>
          </w:p>
        </w:tc>
      </w:tr>
      <w:tr>
        <w:trPr>
          <w:trHeight w:val="135"/>
        </w:trPr>
        <w:tc>
          <w:tcPr>
            <w:tcW w:w="75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jc w:val="center"/>
              <w:ind w:left="40"/>
              <w:spacing w:after="0" w:line="135" w:lineRule="exact"/>
              <w:rPr>
                <w:sz w:val="20"/>
                <w:szCs w:val="20"/>
                <w:color w:val="auto"/>
              </w:rPr>
            </w:pPr>
            <w:r>
              <w:rPr>
                <w:rFonts w:ascii="Arial" w:cs="Arial" w:eastAsia="Arial" w:hAnsi="Arial"/>
                <w:sz w:val="12"/>
                <w:szCs w:val="12"/>
                <w:b w:val="1"/>
                <w:bCs w:val="1"/>
                <w:color w:val="auto"/>
                <w:w w:val="93"/>
              </w:rPr>
              <w:t>Maximum</w:t>
            </w:r>
          </w:p>
        </w:tc>
        <w:tc>
          <w:tcPr>
            <w:tcW w:w="1740" w:type="dxa"/>
            <w:vAlign w:val="bottom"/>
          </w:tcPr>
          <w:p>
            <w:pPr>
              <w:spacing w:after="0"/>
              <w:rPr>
                <w:sz w:val="11"/>
                <w:szCs w:val="11"/>
                <w:color w:val="auto"/>
              </w:rPr>
            </w:pPr>
          </w:p>
        </w:tc>
      </w:tr>
      <w:tr>
        <w:trPr>
          <w:trHeight w:val="135"/>
        </w:trPr>
        <w:tc>
          <w:tcPr>
            <w:tcW w:w="7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7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84"/>
              </w:rPr>
              <w:t>Aggregate</w:t>
            </w:r>
          </w:p>
        </w:tc>
        <w:tc>
          <w:tcPr>
            <w:tcW w:w="174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3"/>
        </w:trPr>
        <w:tc>
          <w:tcPr>
            <w:tcW w:w="7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7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2"/>
              </w:rPr>
              <w:t>Offering Price</w:t>
            </w:r>
            <w:r>
              <w:rPr>
                <w:rFonts w:ascii="Arial" w:cs="Arial" w:eastAsia="Arial" w:hAnsi="Arial"/>
                <w:sz w:val="9"/>
                <w:szCs w:val="9"/>
                <w:b w:val="1"/>
                <w:bCs w:val="1"/>
                <w:color w:val="auto"/>
                <w:w w:val="92"/>
              </w:rPr>
              <w:t>(1)(2)</w:t>
            </w: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5"/>
        </w:trPr>
        <w:tc>
          <w:tcPr>
            <w:tcW w:w="75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Class A common stock, par value $0.01 per share</w:t>
            </w:r>
          </w:p>
        </w:tc>
        <w:tc>
          <w:tcPr>
            <w:tcW w:w="1780" w:type="dxa"/>
            <w:vAlign w:val="bottom"/>
            <w:tcBorders>
              <w:bottom w:val="single" w:sz="8" w:color="auto"/>
              <w:right w:val="single" w:sz="8" w:color="auto"/>
            </w:tcBorders>
          </w:tcPr>
          <w:p>
            <w:pPr>
              <w:jc w:val="right"/>
              <w:ind w:right="960"/>
              <w:spacing w:after="0" w:line="14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right"/>
              <w:ind w:right="939"/>
              <w:spacing w:after="0" w:line="146" w:lineRule="exact"/>
              <w:rPr>
                <w:sz w:val="20"/>
                <w:szCs w:val="20"/>
                <w:color w:val="auto"/>
              </w:rPr>
            </w:pPr>
            <w:r>
              <w:rPr>
                <w:rFonts w:ascii="Arial" w:cs="Arial" w:eastAsia="Arial" w:hAnsi="Arial"/>
                <w:sz w:val="13"/>
                <w:szCs w:val="13"/>
                <w:color w:val="auto"/>
              </w:rPr>
              <w:t>$</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 (the “Securities Act”).</w:t>
      </w:r>
    </w:p>
    <w:p>
      <w:pPr>
        <w:spacing w:after="0" w:line="11"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ind w:left="120" w:right="100" w:firstLine="33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6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 dated April 5, 2019</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BellRing Brands, Inc.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0"/>
          <w:szCs w:val="20"/>
          <w:color w:val="auto"/>
        </w:rPr>
      </w:pPr>
    </w:p>
    <w:p>
      <w:pPr>
        <w:ind w:left="120"/>
        <w:spacing w:after="0"/>
        <w:tabs>
          <w:tab w:leader="none" w:pos="7480" w:val="left"/>
        </w:tabs>
        <w:rPr>
          <w:sz w:val="20"/>
          <w:szCs w:val="20"/>
          <w:color w:val="auto"/>
        </w:rPr>
      </w:pPr>
      <w:r>
        <w:rPr>
          <w:rFonts w:ascii="Arial" w:cs="Arial" w:eastAsia="Arial" w:hAnsi="Arial"/>
          <w:sz w:val="18"/>
          <w:szCs w:val="18"/>
          <w:b w:val="1"/>
          <w:bCs w:val="1"/>
          <w:i w:val="1"/>
          <w:iCs w:val="1"/>
          <w:color w:val="auto"/>
        </w:rPr>
        <w:t>This is the initial public offering of shares of our Class A common stock. We are offering</w:t>
      </w:r>
      <w:r>
        <w:rPr>
          <w:sz w:val="20"/>
          <w:szCs w:val="20"/>
          <w:color w:val="auto"/>
        </w:rPr>
        <w:tab/>
      </w:r>
      <w:r>
        <w:rPr>
          <w:rFonts w:ascii="Arial" w:cs="Arial" w:eastAsia="Arial" w:hAnsi="Arial"/>
          <w:sz w:val="15"/>
          <w:szCs w:val="15"/>
          <w:b w:val="1"/>
          <w:bCs w:val="1"/>
          <w:i w:val="1"/>
          <w:iCs w:val="1"/>
          <w:color w:val="auto"/>
        </w:rPr>
        <w:t>shares of our Class A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We estimate the initial public offering price for our Class A</w:t>
      </w:r>
    </w:p>
    <w:p>
      <w:pPr>
        <w:spacing w:after="0" w:line="46"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i w:val="1"/>
          <w:iCs w:val="1"/>
          <w:color w:val="auto"/>
        </w:rPr>
        <w:t>common stock will be between $ and $ per share. We intend to apply to list our Class A common stock on the New York Stock Exchange (the “NYSE”),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Each share of our Class A common stock and our Class B common stock entitles its holders to one vote on matters presented to our stockholders. Holders of our Class A common stock will be eligible for dividends and distributions upon liquidation. Holders of our Class B common stock will have no economic rights, including no rights to dividends or distributions upon liquidation. See “Description of Capital Stock.”</w:t>
      </w:r>
    </w:p>
    <w:p>
      <w:pPr>
        <w:spacing w:after="0" w:line="68" w:lineRule="exact"/>
        <w:rPr>
          <w:sz w:val="20"/>
          <w:szCs w:val="20"/>
          <w:color w:val="auto"/>
        </w:rPr>
      </w:pPr>
    </w:p>
    <w:p>
      <w:pPr>
        <w:jc w:val="both"/>
        <w:ind w:left="120" w:right="540"/>
        <w:spacing w:after="0" w:line="286" w:lineRule="auto"/>
        <w:rPr>
          <w:sz w:val="20"/>
          <w:szCs w:val="20"/>
          <w:color w:val="auto"/>
        </w:rPr>
      </w:pPr>
      <w:r>
        <w:rPr>
          <w:rFonts w:ascii="Arial" w:cs="Arial" w:eastAsia="Arial" w:hAnsi="Arial"/>
          <w:sz w:val="17"/>
          <w:szCs w:val="17"/>
          <w:b w:val="1"/>
          <w:bCs w:val="1"/>
          <w:i w:val="1"/>
          <w:iCs w:val="1"/>
          <w:color w:val="auto"/>
        </w:rPr>
        <w:t>Following this offering, Post Holdings, Inc.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 Emerging Growth Company Status.”</w:t>
      </w:r>
    </w:p>
    <w:p>
      <w:pPr>
        <w:spacing w:after="0" w:line="68" w:lineRule="exact"/>
        <w:rPr>
          <w:sz w:val="20"/>
          <w:szCs w:val="20"/>
          <w:color w:val="auto"/>
        </w:rPr>
      </w:pPr>
    </w:p>
    <w:p>
      <w:pPr>
        <w:ind w:left="120" w:right="30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3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23,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10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67"/>
        </w:trPr>
        <w:tc>
          <w:tcPr>
            <w:tcW w:w="352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28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9"/>
              </w:rPr>
              <w:t>Public</w:t>
            </w:r>
          </w:p>
        </w:tc>
        <w:tc>
          <w:tcPr>
            <w:tcW w:w="10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8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Brands, Inc.</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3320" w:type="dxa"/>
            <w:vAlign w:val="bottom"/>
            <w:gridSpan w:val="2"/>
          </w:tcPr>
          <w:p>
            <w:pPr>
              <w:jc w:val="right"/>
              <w:ind w:right="348"/>
              <w:spacing w:after="0" w:line="195" w:lineRule="exact"/>
              <w:rPr>
                <w:sz w:val="20"/>
                <w:szCs w:val="20"/>
                <w:color w:val="auto"/>
              </w:rPr>
            </w:pPr>
            <w:r>
              <w:rPr>
                <w:rFonts w:ascii="Arial" w:cs="Arial" w:eastAsia="Arial" w:hAnsi="Arial"/>
                <w:sz w:val="18"/>
                <w:szCs w:val="18"/>
                <w:i w:val="1"/>
                <w:iCs w:val="1"/>
                <w:color w:val="auto"/>
              </w:rPr>
              <w:t>$</w:t>
            </w:r>
          </w:p>
        </w:tc>
        <w:tc>
          <w:tcPr>
            <w:tcW w:w="2020" w:type="dxa"/>
            <w:vAlign w:val="bottom"/>
            <w:gridSpan w:val="2"/>
          </w:tcPr>
          <w:p>
            <w:pPr>
              <w:jc w:val="right"/>
              <w:ind w:right="708"/>
              <w:spacing w:after="0" w:line="195" w:lineRule="exact"/>
              <w:rPr>
                <w:sz w:val="20"/>
                <w:szCs w:val="20"/>
                <w:color w:val="auto"/>
              </w:rPr>
            </w:pPr>
            <w:r>
              <w:rPr>
                <w:rFonts w:ascii="Arial" w:cs="Arial" w:eastAsia="Arial" w:hAnsi="Arial"/>
                <w:sz w:val="18"/>
                <w:szCs w:val="18"/>
                <w:i w:val="1"/>
                <w:iCs w:val="1"/>
                <w:color w:val="auto"/>
              </w:rPr>
              <w:t>$</w:t>
            </w:r>
          </w:p>
        </w:tc>
        <w:tc>
          <w:tcPr>
            <w:tcW w:w="1820" w:type="dxa"/>
            <w:vAlign w:val="bottom"/>
            <w:gridSpan w:val="2"/>
          </w:tcPr>
          <w:p>
            <w:pPr>
              <w:ind w:left="1100"/>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3320" w:type="dxa"/>
            <w:vAlign w:val="bottom"/>
            <w:gridSpan w:val="2"/>
          </w:tcPr>
          <w:p>
            <w:pPr>
              <w:jc w:val="right"/>
              <w:ind w:right="348"/>
              <w:spacing w:after="0"/>
              <w:rPr>
                <w:sz w:val="20"/>
                <w:szCs w:val="20"/>
                <w:color w:val="auto"/>
              </w:rPr>
            </w:pPr>
            <w:r>
              <w:rPr>
                <w:rFonts w:ascii="Arial" w:cs="Arial" w:eastAsia="Arial" w:hAnsi="Arial"/>
                <w:sz w:val="18"/>
                <w:szCs w:val="18"/>
                <w:i w:val="1"/>
                <w:iCs w:val="1"/>
                <w:color w:val="auto"/>
              </w:rPr>
              <w:t>$</w:t>
            </w:r>
          </w:p>
        </w:tc>
        <w:tc>
          <w:tcPr>
            <w:tcW w:w="2020" w:type="dxa"/>
            <w:vAlign w:val="bottom"/>
            <w:gridSpan w:val="2"/>
          </w:tcPr>
          <w:p>
            <w:pPr>
              <w:jc w:val="right"/>
              <w:ind w:right="708"/>
              <w:spacing w:after="0"/>
              <w:rPr>
                <w:sz w:val="20"/>
                <w:szCs w:val="20"/>
                <w:color w:val="auto"/>
              </w:rPr>
            </w:pPr>
            <w:r>
              <w:rPr>
                <w:rFonts w:ascii="Arial" w:cs="Arial" w:eastAsia="Arial" w:hAnsi="Arial"/>
                <w:sz w:val="18"/>
                <w:szCs w:val="18"/>
                <w:i w:val="1"/>
                <w:iCs w:val="1"/>
                <w:color w:val="auto"/>
              </w:rPr>
              <w:t>$</w:t>
            </w:r>
          </w:p>
        </w:tc>
        <w:tc>
          <w:tcPr>
            <w:tcW w:w="1820" w:type="dxa"/>
            <w:vAlign w:val="bottom"/>
            <w:gridSpan w:val="2"/>
          </w:tcPr>
          <w:p>
            <w:pPr>
              <w:ind w:left="1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for a description of the compensation payable to the underwriters.</w:t>
      </w:r>
    </w:p>
    <w:p>
      <w:pPr>
        <w:spacing w:after="0" w:line="11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i w:val="1"/>
          <w:iCs w:val="1"/>
          <w:color w:val="auto"/>
        </w:rPr>
        <w:t>To the extent that the underwriters sell more than shares of Class A common stock, the underwriters have the option to purchase up to an additional shares of Class A common stock from us at the initial public offering price less the underwriting discount. See “Underwriting.”</w:t>
      </w:r>
    </w:p>
    <w:p>
      <w:pPr>
        <w:sectPr>
          <w:pgSz w:w="11900" w:h="16838" w:orient="portrait"/>
          <w:cols w:equalWidth="0" w:num="1">
            <w:col w:w="11140"/>
          </w:cols>
          <w:pgMar w:left="320" w:top="459" w:right="439" w:bottom="1440" w:gutter="0" w:footer="0" w:header="0"/>
        </w:sectPr>
      </w:pPr>
    </w:p>
    <w:p>
      <w:pPr>
        <w:spacing w:after="0" w:line="3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2019.</w:t>
      </w:r>
    </w:p>
    <w:p>
      <w:pPr>
        <w:spacing w:after="0" w:line="200" w:lineRule="exact"/>
        <w:rPr>
          <w:sz w:val="20"/>
          <w:szCs w:val="20"/>
          <w:color w:val="auto"/>
        </w:rPr>
      </w:pPr>
    </w:p>
    <w:p>
      <w:pPr>
        <w:sectPr>
          <w:pgSz w:w="11900" w:h="16838" w:orient="portrait"/>
          <w:cols w:equalWidth="0" w:num="2">
            <w:col w:w="6560" w:space="720"/>
            <w:col w:w="3860"/>
          </w:cols>
          <w:pgMar w:left="320" w:top="459" w:right="439" w:bottom="1440" w:gutter="0" w:footer="0" w:header="0"/>
          <w:type w:val="continuous"/>
        </w:sect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98"/>
        </w:trPr>
        <w:tc>
          <w:tcPr>
            <w:tcW w:w="1740" w:type="dxa"/>
            <w:vAlign w:val="bottom"/>
          </w:tcPr>
          <w:p>
            <w:pPr>
              <w:spacing w:after="0"/>
              <w:rPr>
                <w:sz w:val="20"/>
                <w:szCs w:val="20"/>
                <w:color w:val="auto"/>
              </w:rPr>
            </w:pPr>
            <w:r>
              <w:rPr>
                <w:rFonts w:ascii="Arial" w:cs="Arial" w:eastAsia="Arial" w:hAnsi="Arial"/>
                <w:sz w:val="23"/>
                <w:szCs w:val="23"/>
                <w:i w:val="1"/>
                <w:iCs w:val="1"/>
                <w:color w:val="auto"/>
              </w:rPr>
              <w:t>Morgan Stanley</w:t>
            </w:r>
          </w:p>
        </w:tc>
        <w:tc>
          <w:tcPr>
            <w:tcW w:w="4920" w:type="dxa"/>
            <w:vAlign w:val="bottom"/>
            <w:gridSpan w:val="2"/>
          </w:tcPr>
          <w:p>
            <w:pPr>
              <w:ind w:left="1920"/>
              <w:spacing w:after="0"/>
              <w:rPr>
                <w:sz w:val="20"/>
                <w:szCs w:val="20"/>
                <w:color w:val="auto"/>
              </w:rPr>
            </w:pPr>
            <w:r>
              <w:rPr>
                <w:rFonts w:ascii="Arial" w:cs="Arial" w:eastAsia="Arial" w:hAnsi="Arial"/>
                <w:sz w:val="23"/>
                <w:szCs w:val="23"/>
                <w:i w:val="1"/>
                <w:iCs w:val="1"/>
                <w:color w:val="auto"/>
              </w:rPr>
              <w:t>Goldman Sachs &amp; Co. LLC</w:t>
            </w:r>
          </w:p>
        </w:tc>
        <w:tc>
          <w:tcPr>
            <w:tcW w:w="2560" w:type="dxa"/>
            <w:vAlign w:val="bottom"/>
          </w:tcPr>
          <w:p>
            <w:pPr>
              <w:ind w:left="1020"/>
              <w:spacing w:after="0"/>
              <w:rPr>
                <w:sz w:val="20"/>
                <w:szCs w:val="20"/>
                <w:color w:val="auto"/>
              </w:rPr>
            </w:pPr>
            <w:r>
              <w:rPr>
                <w:rFonts w:ascii="Arial" w:cs="Arial" w:eastAsia="Arial" w:hAnsi="Arial"/>
                <w:sz w:val="23"/>
                <w:szCs w:val="23"/>
                <w:i w:val="1"/>
                <w:iCs w:val="1"/>
                <w:color w:val="auto"/>
              </w:rPr>
              <w:t>Citigroup</w:t>
            </w:r>
          </w:p>
        </w:tc>
        <w:tc>
          <w:tcPr>
            <w:tcW w:w="1800" w:type="dxa"/>
            <w:vAlign w:val="bottom"/>
          </w:tcPr>
          <w:p>
            <w:pPr>
              <w:ind w:left="660"/>
              <w:spacing w:after="0"/>
              <w:rPr>
                <w:sz w:val="20"/>
                <w:szCs w:val="20"/>
                <w:color w:val="auto"/>
              </w:rPr>
            </w:pPr>
            <w:r>
              <w:rPr>
                <w:rFonts w:ascii="Arial" w:cs="Arial" w:eastAsia="Arial" w:hAnsi="Arial"/>
                <w:sz w:val="23"/>
                <w:szCs w:val="23"/>
                <w:i w:val="1"/>
                <w:iCs w:val="1"/>
                <w:color w:val="auto"/>
                <w:w w:val="90"/>
              </w:rPr>
              <w:t>J.P. Morgan</w:t>
            </w:r>
          </w:p>
        </w:tc>
        <w:tc>
          <w:tcPr>
            <w:tcW w:w="0" w:type="dxa"/>
            <w:vAlign w:val="bottom"/>
          </w:tcPr>
          <w:p>
            <w:pPr>
              <w:spacing w:after="0"/>
              <w:rPr>
                <w:sz w:val="1"/>
                <w:szCs w:val="1"/>
                <w:color w:val="auto"/>
              </w:rPr>
            </w:pPr>
          </w:p>
        </w:tc>
      </w:tr>
      <w:tr>
        <w:trPr>
          <w:trHeight w:val="240"/>
        </w:trPr>
        <w:tc>
          <w:tcPr>
            <w:tcW w:w="1740" w:type="dxa"/>
            <w:vAlign w:val="bottom"/>
            <w:vMerge w:val="restart"/>
          </w:tcPr>
          <w:p>
            <w:pPr>
              <w:spacing w:after="0"/>
              <w:rPr>
                <w:sz w:val="20"/>
                <w:szCs w:val="20"/>
                <w:color w:val="auto"/>
              </w:rPr>
            </w:pPr>
            <w:r>
              <w:rPr>
                <w:rFonts w:ascii="Arial" w:cs="Arial" w:eastAsia="Arial" w:hAnsi="Arial"/>
                <w:sz w:val="18"/>
                <w:szCs w:val="18"/>
                <w:i w:val="1"/>
                <w:iCs w:val="1"/>
                <w:color w:val="auto"/>
              </w:rPr>
              <w:t>Prospectus dated</w:t>
            </w:r>
          </w:p>
        </w:tc>
        <w:tc>
          <w:tcPr>
            <w:tcW w:w="2600" w:type="dxa"/>
            <w:vAlign w:val="bottom"/>
            <w:vMerge w:val="restart"/>
          </w:tcPr>
          <w:p>
            <w:pPr>
              <w:jc w:val="right"/>
              <w:ind w:right="1737"/>
              <w:spacing w:after="0"/>
              <w:rPr>
                <w:sz w:val="20"/>
                <w:szCs w:val="20"/>
                <w:color w:val="auto"/>
              </w:rPr>
            </w:pPr>
            <w:r>
              <w:rPr>
                <w:rFonts w:ascii="Arial" w:cs="Arial" w:eastAsia="Arial" w:hAnsi="Arial"/>
                <w:sz w:val="18"/>
                <w:szCs w:val="18"/>
                <w:i w:val="1"/>
                <w:iCs w:val="1"/>
                <w:color w:val="auto"/>
              </w:rPr>
              <w:t>, 2019.</w:t>
            </w:r>
          </w:p>
        </w:tc>
        <w:tc>
          <w:tcPr>
            <w:tcW w:w="232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74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4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18"/>
          </w:tcPr>
          <w:p>
            <w:pPr>
              <w:ind w:left="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120" w:type="dxa"/>
            <w:vAlign w:val="bottom"/>
          </w:tcPr>
          <w:p>
            <w:pPr>
              <w:spacing w:after="0"/>
              <w:rPr>
                <w:sz w:val="24"/>
                <w:szCs w:val="24"/>
                <w:color w:val="auto"/>
              </w:rPr>
            </w:pPr>
          </w:p>
        </w:tc>
        <w:tc>
          <w:tcPr>
            <w:tcW w:w="45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580" w:type="dxa"/>
            <w:vAlign w:val="bottom"/>
            <w:gridSpan w:val="1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BUSINESS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440" w:type="dxa"/>
            <w:vAlign w:val="bottom"/>
            <w:gridSpan w:val="10"/>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23</w:t>
            </w:r>
          </w:p>
        </w:tc>
        <w:tc>
          <w:tcPr>
            <w:tcW w:w="4580" w:type="dxa"/>
            <w:vAlign w:val="bottom"/>
            <w:gridSpan w:val="1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7"/>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CAUTIONARY STATEMENT REGARDING FORWARD-</w:t>
              </w:r>
            </w:hyperlink>
          </w:p>
        </w:tc>
        <w:tc>
          <w:tcPr>
            <w:tcW w:w="18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4580" w:type="dxa"/>
            <w:vAlign w:val="bottom"/>
            <w:gridSpan w:val="1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LOOKING STATEMENTS</w:t>
              </w:r>
            </w:hyperlink>
          </w:p>
        </w:tc>
        <w:tc>
          <w:tcPr>
            <w:tcW w:w="2160" w:type="dxa"/>
            <w:vAlign w:val="bottom"/>
            <w:tcBorders>
              <w:top w:val="single" w:sz="8" w:color="0000EE"/>
            </w:tcBorders>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52</w:t>
            </w: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PRINCIPAL STOCKHOLDERS</w:t>
              </w:r>
            </w:hyperlink>
          </w:p>
        </w:tc>
        <w:tc>
          <w:tcPr>
            <w:tcW w:w="60" w:type="dxa"/>
            <w:vAlign w:val="bottom"/>
            <w:tcBorders>
              <w:top w:val="single" w:sz="8" w:color="0000EE"/>
            </w:tcBorders>
          </w:tcPr>
          <w:p>
            <w:pPr>
              <w:spacing w:after="0"/>
              <w:rPr>
                <w:sz w:val="17"/>
                <w:szCs w:val="17"/>
                <w:color w:val="auto"/>
              </w:rPr>
            </w:pPr>
          </w:p>
        </w:tc>
        <w:tc>
          <w:tcPr>
            <w:tcW w:w="214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20" w:type="dxa"/>
            <w:vAlign w:val="bottom"/>
          </w:tcPr>
          <w:p>
            <w:pPr>
              <w:spacing w:after="0"/>
              <w:rPr>
                <w:sz w:val="17"/>
                <w:szCs w:val="17"/>
                <w:color w:val="auto"/>
              </w:rPr>
            </w:pPr>
          </w:p>
        </w:tc>
        <w:tc>
          <w:tcPr>
            <w:tcW w:w="1600" w:type="dxa"/>
            <w:vAlign w:val="bottom"/>
            <w:gridSpan w:val="8"/>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USE OF PROCEEDS</w:t>
              </w:r>
            </w:hyperlink>
          </w:p>
        </w:tc>
        <w:tc>
          <w:tcPr>
            <w:tcW w:w="2920" w:type="dxa"/>
            <w:vAlign w:val="bottom"/>
            <w:gridSpan w:val="11"/>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54</w:t>
            </w:r>
          </w:p>
        </w:tc>
        <w:tc>
          <w:tcPr>
            <w:tcW w:w="4580" w:type="dxa"/>
            <w:vAlign w:val="bottom"/>
            <w:gridSpan w:val="1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CERTAIN INDEBTEDNESS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DIVIDEND POLICY</w:t>
              </w:r>
            </w:hyperlink>
          </w:p>
        </w:tc>
        <w:tc>
          <w:tcPr>
            <w:tcW w:w="20" w:type="dxa"/>
            <w:vAlign w:val="bottom"/>
            <w:tcBorders>
              <w:top w:val="single" w:sz="8" w:color="0000EE"/>
            </w:tcBorders>
          </w:tcPr>
          <w:p>
            <w:pPr>
              <w:spacing w:after="0"/>
              <w:rPr>
                <w:sz w:val="17"/>
                <w:szCs w:val="17"/>
                <w:color w:val="auto"/>
              </w:rPr>
            </w:pPr>
          </w:p>
        </w:tc>
        <w:tc>
          <w:tcPr>
            <w:tcW w:w="2920" w:type="dxa"/>
            <w:vAlign w:val="bottom"/>
            <w:gridSpan w:val="11"/>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55</w:t>
            </w:r>
          </w:p>
        </w:tc>
        <w:tc>
          <w:tcPr>
            <w:tcW w:w="3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CAPITAL STOCK</w:t>
              </w:r>
            </w:hyperlink>
          </w:p>
        </w:tc>
        <w:tc>
          <w:tcPr>
            <w:tcW w:w="96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CAPITALIZATION</w:t>
              </w:r>
            </w:hyperlink>
          </w:p>
        </w:tc>
        <w:tc>
          <w:tcPr>
            <w:tcW w:w="120" w:type="dxa"/>
            <w:vAlign w:val="bottom"/>
          </w:tcPr>
          <w:p>
            <w:pPr>
              <w:spacing w:after="0"/>
              <w:rPr>
                <w:sz w:val="17"/>
                <w:szCs w:val="17"/>
                <w:color w:val="auto"/>
              </w:rPr>
            </w:pPr>
          </w:p>
        </w:tc>
        <w:tc>
          <w:tcPr>
            <w:tcW w:w="2940" w:type="dxa"/>
            <w:vAlign w:val="bottom"/>
            <w:gridSpan w:val="12"/>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56</w:t>
            </w:r>
          </w:p>
        </w:tc>
        <w:tc>
          <w:tcPr>
            <w:tcW w:w="31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SHARES ELIGIBLE FOR FUTURE SALE</w:t>
              </w:r>
            </w:hyperlink>
          </w:p>
        </w:tc>
        <w:tc>
          <w:tcPr>
            <w:tcW w:w="14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DILUTION</w:t>
              </w:r>
            </w:hyperlink>
          </w:p>
        </w:tc>
        <w:tc>
          <w:tcPr>
            <w:tcW w:w="3660" w:type="dxa"/>
            <w:vAlign w:val="bottom"/>
            <w:gridSpan w:val="17"/>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58</w:t>
            </w:r>
          </w:p>
        </w:tc>
        <w:tc>
          <w:tcPr>
            <w:tcW w:w="40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CERTAIN RELATIONSHIPS AND RELATED PARTY</w:t>
              </w:r>
            </w:hyperlink>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SELECTED HISTORICAL CONDENSED COMBINED</w:t>
              </w:r>
            </w:hyperlink>
          </w:p>
        </w:tc>
        <w:tc>
          <w:tcPr>
            <w:tcW w:w="36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1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TRANSACTIONS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1"/>
          </w:tcPr>
          <w:p>
            <w:pPr>
              <w:spacing w:after="0" w:line="196"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FINANCIAL AND OTHER INFORMATION</w:t>
              </w:r>
            </w:hyperlink>
          </w:p>
        </w:tc>
        <w:tc>
          <w:tcPr>
            <w:tcW w:w="640" w:type="dxa"/>
            <w:vAlign w:val="bottom"/>
            <w:gridSpan w:val="3"/>
          </w:tcPr>
          <w:p>
            <w:pPr>
              <w:spacing w:after="0"/>
              <w:rPr>
                <w:sz w:val="17"/>
                <w:szCs w:val="17"/>
                <w:color w:val="auto"/>
              </w:rPr>
            </w:pPr>
          </w:p>
        </w:tc>
        <w:tc>
          <w:tcPr>
            <w:tcW w:w="360" w:type="dxa"/>
            <w:vAlign w:val="bottom"/>
            <w:gridSpan w:val="4"/>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59</w:t>
            </w:r>
          </w:p>
        </w:tc>
        <w:tc>
          <w:tcPr>
            <w:tcW w:w="4580" w:type="dxa"/>
            <w:vAlign w:val="bottom"/>
            <w:gridSpan w:val="1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gridSpan w:val="19"/>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EXPLANATION AND RECONCILIATION OF NON-GAAP</w:t>
              </w:r>
            </w:hyperlink>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16"/>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MEASURES</w:t>
              </w:r>
            </w:hyperlink>
          </w:p>
        </w:tc>
        <w:tc>
          <w:tcPr>
            <w:tcW w:w="40" w:type="dxa"/>
            <w:vAlign w:val="bottom"/>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61</w:t>
            </w:r>
          </w:p>
        </w:tc>
        <w:tc>
          <w:tcPr>
            <w:tcW w:w="4580" w:type="dxa"/>
            <w:vAlign w:val="bottom"/>
            <w:gridSpan w:val="1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UNDERWRITERS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UNAUDITED PRO FORMA CONDENSED</w:t>
              </w:r>
            </w:hyperlink>
          </w:p>
        </w:tc>
        <w:tc>
          <w:tcPr>
            <w:tcW w:w="124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LEGAL MATTERS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FINANCIAL INFORMATION</w:t>
              </w:r>
            </w:hyperlink>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64</w:t>
            </w:r>
          </w:p>
        </w:tc>
        <w:tc>
          <w:tcPr>
            <w:tcW w:w="4580" w:type="dxa"/>
            <w:vAlign w:val="bottom"/>
            <w:gridSpan w:val="1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EXPERTS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MANAGEMENT’S DISCUSSION AND ANALYSIS OF</w:t>
              </w:r>
            </w:hyperlink>
          </w:p>
        </w:tc>
        <w:tc>
          <w:tcPr>
            <w:tcW w:w="3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WHERE YOU CAN FIND MORE INFORMATION</w:t>
              </w:r>
            </w:hyperlink>
          </w:p>
        </w:tc>
        <w:tc>
          <w:tcPr>
            <w:tcW w:w="76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FINANCIAL CONDITION AND RESULTS OF</w:t>
              </w:r>
            </w:hyperlink>
          </w:p>
        </w:tc>
        <w:tc>
          <w:tcPr>
            <w:tcW w:w="80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INDEX TO FINANCIAL STATEMENTS</w:t>
              </w:r>
            </w:hyperlink>
          </w:p>
        </w:tc>
        <w:tc>
          <w:tcPr>
            <w:tcW w:w="154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OPERATIONS</w:t>
              </w:r>
            </w:hyperlink>
          </w:p>
        </w:tc>
        <w:tc>
          <w:tcPr>
            <w:tcW w:w="3240" w:type="dxa"/>
            <w:vAlign w:val="bottom"/>
            <w:gridSpan w:val="14"/>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71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980" w:hanging="432"/>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 after the completion of the formation transactions, will be an indirect wholly-owned subsidiary of BellRing Brands, LLC.</w:t>
      </w:r>
    </w:p>
    <w:p>
      <w:pPr>
        <w:spacing w:after="0" w:line="92"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Brands, LLC, BellRing Brands, Inc. and Post in connection with the formation transactions and this offering.</w:t>
      </w:r>
    </w:p>
    <w:p>
      <w:pPr>
        <w:spacing w:after="0" w:line="131" w:lineRule="exact"/>
        <w:rPr>
          <w:sz w:val="20"/>
          <w:szCs w:val="20"/>
          <w:color w:val="auto"/>
        </w:rPr>
      </w:pPr>
    </w:p>
    <w:p>
      <w:pPr>
        <w:ind w:left="980" w:right="240" w:hanging="432"/>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exchange agreement, the investor rights agreement, the amended and restated limited liability company agreement, the tax matters agreement, the tax receivable agreement and the transition services agreement.</w:t>
      </w:r>
    </w:p>
    <w:p>
      <w:pPr>
        <w:spacing w:after="0" w:line="92" w:lineRule="exact"/>
        <w:rPr>
          <w:rFonts w:ascii="Arial" w:cs="Arial" w:eastAsia="Arial" w:hAnsi="Arial"/>
          <w:sz w:val="18"/>
          <w:szCs w:val="18"/>
          <w:color w:val="auto"/>
        </w:rPr>
      </w:pPr>
    </w:p>
    <w:p>
      <w:pPr>
        <w:ind w:left="980" w:right="42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jc w:val="both"/>
        <w:ind w:left="980" w:right="10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9"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LLC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980" w:right="26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“exchange agreement” refers to the exchange agreement to be entered into among Post, BellRing Brands, Inc. and BellRing Brands, LLC in connection with the formation transactions and this offering.</w:t>
      </w:r>
    </w:p>
    <w:p>
      <w:pPr>
        <w:spacing w:after="0" w:line="75" w:lineRule="exact"/>
        <w:rPr>
          <w:rFonts w:ascii="Arial" w:cs="Arial" w:eastAsia="Arial" w:hAnsi="Arial"/>
          <w:sz w:val="18"/>
          <w:szCs w:val="18"/>
          <w:color w:val="auto"/>
        </w:rPr>
      </w:pPr>
    </w:p>
    <w:p>
      <w:pPr>
        <w:ind w:left="980" w:right="14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2015” refers to the fiscal year ended September 30, 2015; “fiscal 2016” refers to the fiscal year ended September 30, 2016; “fiscal 2017” refers to the fiscal year ended September 30, 2017; “fiscal 2018” refers to the fiscal year ended September 30, 2018; and “fiscal 2019” refers to the fiscal year ending September 30, 2019.</w:t>
      </w:r>
    </w:p>
    <w:p>
      <w:pPr>
        <w:spacing w:after="0" w:line="89" w:lineRule="exact"/>
        <w:rPr>
          <w:rFonts w:ascii="Arial" w:cs="Arial" w:eastAsia="Arial" w:hAnsi="Arial"/>
          <w:sz w:val="18"/>
          <w:szCs w:val="18"/>
          <w:color w:val="auto"/>
        </w:rPr>
      </w:pPr>
    </w:p>
    <w:p>
      <w:pPr>
        <w:ind w:left="980" w:right="44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75"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the total U.S. population that purchased a specified item at least once during a specified time period.</w:t>
      </w:r>
    </w:p>
    <w:p>
      <w:pPr>
        <w:spacing w:after="0" w:line="75" w:lineRule="exact"/>
        <w:rPr>
          <w:rFonts w:ascii="Arial" w:cs="Arial" w:eastAsia="Arial" w:hAnsi="Arial"/>
          <w:sz w:val="18"/>
          <w:szCs w:val="18"/>
          <w:color w:val="auto"/>
        </w:rPr>
      </w:pPr>
    </w:p>
    <w:p>
      <w:pPr>
        <w:ind w:left="980" w:right="5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980" w:right="32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 refers to Post Holdings, Inc., a Missouri corporation.</w:t>
      </w:r>
    </w:p>
    <w:p>
      <w:pPr>
        <w:spacing w:after="0" w:line="130" w:lineRule="exact"/>
        <w:rPr>
          <w:rFonts w:ascii="Arial" w:cs="Arial" w:eastAsia="Arial" w:hAnsi="Arial"/>
          <w:sz w:val="18"/>
          <w:szCs w:val="18"/>
          <w:color w:val="auto"/>
        </w:rPr>
      </w:pPr>
    </w:p>
    <w:p>
      <w:pPr>
        <w:ind w:left="980" w:right="24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28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980" w:right="8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LLC, a Delaware limited liability company and wholly-owned subsidiary of Dymatize Enterprises, LLC.</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size” refers to the average amount of product purchased by one buying household on a single shopping trip.</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product buyers who purchase at least twice during specified time period.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980" w:right="54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between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980" w:right="72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between BellRing Brands, Inc. and Post in connection with the formation transactions and this offering.</w:t>
      </w:r>
    </w:p>
    <w:p>
      <w:pPr>
        <w:spacing w:after="0" w:line="75" w:lineRule="exact"/>
        <w:rPr>
          <w:rFonts w:ascii="Arial" w:cs="Arial" w:eastAsia="Arial" w:hAnsi="Arial"/>
          <w:sz w:val="18"/>
          <w:szCs w:val="18"/>
          <w:color w:val="auto"/>
        </w:rPr>
      </w:pPr>
    </w:p>
    <w:p>
      <w:pPr>
        <w:ind w:left="980" w:right="6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9"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services agreement” refers to the transition services agreement to be entered into between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980" w:hanging="432"/>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70" w:lineRule="exact"/>
        <w:rPr>
          <w:rFonts w:ascii="Arial" w:cs="Arial" w:eastAsia="Arial" w:hAnsi="Arial"/>
          <w:sz w:val="17"/>
          <w:szCs w:val="17"/>
          <w:color w:val="auto"/>
        </w:rPr>
      </w:pPr>
    </w:p>
    <w:p>
      <w:pPr>
        <w:ind w:left="98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you are cautioned not to give undue weight to such information. Market share data is based on information from Nielsen and other industry publications, surveys and forecasts.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9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9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compete in all major product forms, including ready-to-drink (“RTD”) protein shakes, powders and nutrition bars, and are distributed across a diverse network of channels including club, food, drug and mass (“FDM”), eCommerce, convenience and specialty. Our vision is to create a healthier world where no one is nutritionally left behind and EVERYONE wants and has access to great-tasting nutrition. Our commitment to consumers is to strive to make highly effective products that deliver best-in-class nutritionals and superior taste. Our Company is guided by the following core values:</w:t>
      </w:r>
    </w:p>
    <w:p>
      <w:pPr>
        <w:spacing w:after="0" w:line="100" w:lineRule="exact"/>
        <w:rPr>
          <w:sz w:val="20"/>
          <w:szCs w:val="20"/>
          <w:color w:val="auto"/>
        </w:rPr>
      </w:pPr>
    </w:p>
    <w:p>
      <w:pPr>
        <w:ind w:left="1120" w:right="78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20" w:right="300" w:hanging="403"/>
        <w:spacing w:after="0" w:line="26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9" w:lineRule="exact"/>
        <w:rPr>
          <w:rFonts w:ascii="Arial" w:cs="Arial" w:eastAsia="Arial" w:hAnsi="Arial"/>
          <w:sz w:val="18"/>
          <w:szCs w:val="18"/>
          <w:color w:val="auto"/>
        </w:rPr>
      </w:pPr>
    </w:p>
    <w:p>
      <w:pPr>
        <w:ind w:left="1120" w:right="240" w:hanging="403"/>
        <w:spacing w:after="0" w:line="308"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120" w:right="20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 xml:space="preserve">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one of the fastest-growing brands in the convenient nutrition category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which comprise the majority of our net sales, hold the #1 share position in RTD protein shakes measured by Nielsen household panel data for the 52 week period ended December 29, 2018. Net sales of our </w:t>
      </w: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RTD shakes grew at a compound annual growth rate (“CAGR”) of 42% from fiscal 2016 to fiscal 2018. Our</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 is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 leader targeting fitness enthusiasts, who value the brand for its science-based product development and athletic performance focus. Our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is one of the most well-known brands in the convenient nutrition category and targets a range of consumers from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athletes to active individuals.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56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Within our product portfolio, 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320" w:top="459" w:right="7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net sales by brand and product form are listed below:</w:t>
      </w:r>
    </w:p>
    <w:p>
      <w:pPr>
        <w:spacing w:after="0" w:line="248" w:lineRule="exact"/>
        <w:rPr>
          <w:sz w:val="20"/>
          <w:szCs w:val="20"/>
          <w:color w:val="auto"/>
        </w:rPr>
      </w:pPr>
    </w:p>
    <w:p>
      <w:pPr>
        <w:ind w:left="1840"/>
        <w:spacing w:after="0"/>
        <w:tabs>
          <w:tab w:leader="none" w:pos="684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98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 xml:space="preserve">Our product portfolio has benefited from the consumer trends driving the rapid growth in the convenient nutrition category. Mainstream consumers are increasingly focused on the consumption of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third party category study: everyday nutrition, adult nutrition, sports nutrition and weight management. We believe most brands are positioned to appeal primarily to one consumer need state, but we have developed brand equities and product value propositions to appeal to a broad range of need states. Everyday nutrition, where we have the largest presence, is the fastest-growing need state in the category and spans a range of consumption occasions, including breakfast, snack, meal replacement and treats. In the U.S., management estimates that the everyday nutrition need state accounted for $3.0 billion in sales for the 52 week period ended November 24, 2018 and grew at a 20% CAGR from 2014 to 2018, based on data from Nielsen tracked channels.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focused primarily on the sports nutrition need state.</w:t>
      </w:r>
    </w:p>
    <w:p>
      <w:pPr>
        <w:spacing w:after="0" w:line="168"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and have developed deep, long-standing relationships with customers such as Costco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further our penetration across all channels.</w:t>
      </w:r>
    </w:p>
    <w:p>
      <w:pPr>
        <w:spacing w:after="0" w:line="178"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financial profile, including high margins, modest capital expenditures and limited working capital requirements, enables us to generate significant free cash flow. These attributes provide us with the financial flexibility to continue to invest in brand marketing, research and development and people development and to pursue value-enhancing acquisitions as opportunities arise. See “Explanation and Reconciliation of Non-GAAP Measures” for a reconciliation of Adjusted net earnings and Adjusted EBITDA, each a non-GAAP measure, to the most directly comparable GAAP measure.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300" w:right="140" w:firstLine="426"/>
        <w:spacing w:after="0" w:line="342" w:lineRule="auto"/>
        <w:rPr>
          <w:sz w:val="20"/>
          <w:szCs w:val="20"/>
          <w:color w:val="auto"/>
        </w:rPr>
      </w:pPr>
      <w:r>
        <w:rPr>
          <w:rFonts w:ascii="Arial" w:cs="Arial" w:eastAsia="Arial" w:hAnsi="Arial"/>
          <w:sz w:val="16"/>
          <w:szCs w:val="16"/>
          <w:color w:val="auto"/>
        </w:rPr>
        <w:t>We operate in the $31.3 billion global convenient nutrition category, a rapidly-growing and on-trend category within food and beverage. At $17.1 billion, the U.S. market is the largest and most developed market in the world and grew at a CAGR of 9% between 2014 and 2018.</w:t>
      </w:r>
    </w:p>
    <w:p>
      <w:pPr>
        <w:spacing w:after="0" w:line="124"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We believe the category’s growth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2018 Nielsen report showing U.S. consumers have a growing appetite for protein with 55% of U.S. households indicating that protein is now an important attribute to consider when buying food for their households. Additionally, as the IRI 2016 State of the Snack Food Industry report indicates,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These statistics, together with a modest household penetration of just 5% for our RTD protein shakes for the 52 week period ended December 29, 2018 demonstrate our significant room for growth.</w:t>
      </w:r>
    </w:p>
    <w:p>
      <w:pPr>
        <w:spacing w:after="0" w:line="172"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the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largest brand and is positioned to appeal to mainstream consumers seeking convenient, delicious protein products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 enjoy throughout the day. Our flagship 11 ounce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Company’s growth. Our consumer advocates are the cornerstone of our marketing efforts and we believe no other brand in the</w:t>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 xml:space="preserve">category inspires brand love similar to that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The brand has achieved category-leading share requirements and repeat purchase frequencies.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holds the #1 share in the convenient nutrition RTD category based on Nielsen household panel data for the 52 week period ended December 29, 2018.</w:t>
      </w:r>
    </w:p>
    <w:p>
      <w:pPr>
        <w:spacing w:after="0" w:line="184"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a high-quality sports nutrition brand that targets fitness enthusiasts, who trust the brand for its science-based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athletic performance focus and third party validation that its products are free of banned substances.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’s award-winning product portfolio spans protein powders, protein bars and nutritional supplements. We believe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7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The brand aims to deliver nutrient dense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both in the U.S. and internationally and has a notable presence in Western Europe.</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delivers products with high protein and superior taste. The brand’s RTD protein shakes are formulated to deliver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levels of 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portfolio to include new flavors, high protein Clear RTD beverages, powders and nutrition bars.</w:t>
      </w:r>
    </w:p>
    <w:p>
      <w:pPr>
        <w:spacing w:after="0" w:line="161"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has expanded its product portfolio to include a natural vegan protein bar and protein bars fortified with calcium and magnesium.</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jc w:val="both"/>
        <w:ind w:left="300" w:right="160" w:firstLine="426"/>
        <w:spacing w:after="0" w:line="263"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originated in the club channel and we have deep, long-standing relationships with our club customers. We have organically grown our sales in the club channel, and we have progressively introduced new flavors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42" w:lineRule="auto"/>
        <w:rPr>
          <w:sz w:val="20"/>
          <w:szCs w:val="20"/>
          <w:color w:val="auto"/>
        </w:rPr>
      </w:pPr>
      <w:r>
        <w:rPr>
          <w:rFonts w:ascii="Arial" w:cs="Arial" w:eastAsia="Arial" w:hAnsi="Arial"/>
          <w:sz w:val="16"/>
          <w:szCs w:val="16"/>
          <w:color w:val="auto"/>
        </w:rPr>
        <w:t xml:space="preserve">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with our major club and mass customers.</w:t>
      </w:r>
    </w:p>
    <w:p>
      <w:pPr>
        <w:spacing w:after="0" w:line="124"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00" w:right="18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w:t>
      </w:r>
    </w:p>
    <w:p>
      <w:pPr>
        <w:spacing w:after="0" w:line="31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3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9392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 our largest brand, holds the #1 share position in RTD protein shakes as measured by Nielsen household panel data for the 52</w:t>
      </w:r>
      <w:r>
        <w:rPr>
          <w:rFonts w:ascii="Arial" w:cs="Arial" w:eastAsia="Arial" w:hAnsi="Arial"/>
          <w:sz w:val="17"/>
          <w:szCs w:val="17"/>
          <w:i w:val="1"/>
          <w:iCs w:val="1"/>
          <w:color w:val="auto"/>
        </w:rPr>
        <w:t xml:space="preserve"> </w:t>
      </w:r>
      <w:r>
        <w:rPr>
          <w:rFonts w:ascii="Arial" w:cs="Arial" w:eastAsia="Arial" w:hAnsi="Arial"/>
          <w:sz w:val="17"/>
          <w:szCs w:val="17"/>
          <w:color w:val="auto"/>
        </w:rPr>
        <w:t>week period ended December 29, 2018. However, the brand’s household penetration is 5% (compared to 23% for the convenient nutrition category) for the 52 week period ended December 29, 2018, which we believe provides significant opportunity for further expansion. We believe the brand is well-positioned to increase household penetration given its mainstream relevance and approachable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9" w:lineRule="auto"/>
        <w:rPr>
          <w:sz w:val="20"/>
          <w:szCs w:val="20"/>
          <w:color w:val="auto"/>
        </w:rPr>
      </w:pPr>
      <w:r>
        <w:rPr>
          <w:rFonts w:ascii="Arial" w:cs="Arial" w:eastAsia="Arial" w:hAnsi="Arial"/>
          <w:sz w:val="17"/>
          <w:szCs w:val="17"/>
          <w:color w:val="auto"/>
        </w:rPr>
        <w:t xml:space="preserve">positioning with the everyday consumer; it has demonstrated this ability by contributing to the overall growth of the category. Based on data from Nielsen tracked channels for the 52 week period ended January 26, 2019, 53% of the convenient nutrition RTD category’s growth was driven by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play in healthy and active lifestyles. We plan to continue investing in comprehensive marketing plans that include national advertising, social media, sampling and grassroots efforts to introduce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82"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 xml:space="preserve">We believe there are significant growth opportunities in our existing club, FDM, eCommerce and convenience channels across our brand portfolio. We have proven our ability to generate leading velocity rates even in channels where we have a small presence. For example,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maintains only a 4% share of shelf space within the convenient nutrition RTD category in the FDM channel, but is generating 9%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sales and has some of the highest product velocity rates in the category in the FDM channel. </w:t>
      </w:r>
      <w:r>
        <w:rPr>
          <w:rFonts w:ascii="Arial" w:cs="Arial" w:eastAsia="Arial" w:hAnsi="Arial"/>
          <w:sz w:val="17"/>
          <w:szCs w:val="17"/>
          <w:i w:val="1"/>
          <w:iCs w:val="1"/>
          <w:color w:val="auto"/>
        </w:rPr>
        <w:t>Dymatize</w:t>
      </w:r>
      <w:r>
        <w:rPr>
          <w:rFonts w:ascii="Arial" w:cs="Arial" w:eastAsia="Arial" w:hAnsi="Arial"/>
          <w:sz w:val="17"/>
          <w:szCs w:val="17"/>
          <w:color w:val="auto"/>
        </w:rPr>
        <w:t>, which recently entered into the club and mass channels, also is already experiencing strong velocities versus its competitors based on data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to the center-of-store where there is more foot traffic. We intend to test center-of-store placements in partnerships with our key customers.</w:t>
      </w:r>
    </w:p>
    <w:p>
      <w:pPr>
        <w:spacing w:after="0" w:line="181" w:lineRule="exact"/>
        <w:rPr>
          <w:sz w:val="20"/>
          <w:szCs w:val="20"/>
          <w:color w:val="auto"/>
        </w:rPr>
      </w:pPr>
    </w:p>
    <w:p>
      <w:pPr>
        <w:ind w:left="300" w:right="100" w:firstLine="426"/>
        <w:spacing w:after="0" w:line="311"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4"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i w:val="1"/>
          <w:iCs w:val="1"/>
          <w:color w:val="auto"/>
        </w:rPr>
        <w:t xml:space="preserve">Protein </w:t>
      </w:r>
      <w:r>
        <w:rPr>
          <w:rFonts w:ascii="Arial" w:cs="Arial" w:eastAsia="Arial" w:hAnsi="Arial"/>
          <w:sz w:val="16"/>
          <w:szCs w:val="16"/>
          <w:color w:val="auto"/>
        </w:rPr>
        <w:t>RTD shakes since the end of fiscal 2015 and accounted for 25% of fiscal 2018 net sales of our</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RTD shakes. We expect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introduce two additional flavors in the fall of 2019. We also have improved the taste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and nutrition bar formulations to ensure we continue to delight consumers. Our new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offering is already generating top 10% category velocities in FDM in less than twelve months. Additionally, our newly launched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nutrition bars in Europe have moved into a leading position with the #1 mass food retailer in Germany. We also have experienced success with our category disrupting innovation strategy. As a recent example, we were one of the first companies to reach mass market levels with a clear refreshing protein RTD beverage. We launched this platform across both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and</w:t>
      </w:r>
      <w:r>
        <w:rPr>
          <w:rFonts w:ascii="Arial" w:cs="Arial" w:eastAsia="Arial" w:hAnsi="Arial"/>
          <w:sz w:val="16"/>
          <w:szCs w:val="16"/>
          <w:i w:val="1"/>
          <w:iCs w:val="1"/>
          <w:color w:val="auto"/>
        </w:rPr>
        <w:t xml:space="preserve"> Dymatize</w:t>
      </w:r>
      <w:r>
        <w:rPr>
          <w:rFonts w:ascii="Arial" w:cs="Arial" w:eastAsia="Arial" w:hAnsi="Arial"/>
          <w:sz w:val="16"/>
          <w:szCs w:val="16"/>
          <w:color w:val="auto"/>
        </w:rPr>
        <w:t>. The</w:t>
      </w:r>
      <w:r>
        <w:rPr>
          <w:rFonts w:ascii="Arial" w:cs="Arial" w:eastAsia="Arial" w:hAnsi="Arial"/>
          <w:sz w:val="16"/>
          <w:szCs w:val="16"/>
          <w:i w:val="1"/>
          <w:iCs w:val="1"/>
          <w:color w:val="auto"/>
        </w:rPr>
        <w:t xml:space="preserve"> Premier Protein Clear </w:t>
      </w:r>
      <w:r>
        <w:rPr>
          <w:rFonts w:ascii="Arial" w:cs="Arial" w:eastAsia="Arial" w:hAnsi="Arial"/>
          <w:sz w:val="16"/>
          <w:szCs w:val="16"/>
          <w:color w:val="auto"/>
        </w:rPr>
        <w:t>RTD product has rapidly expanded and is now distributed nationwide in Costco, Sam’s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Club and other key retailers.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continues to be a leader in disruptive product innovation with several leading products for its core enthusiasts, the most recent being </w:t>
      </w:r>
      <w:r>
        <w:rPr>
          <w:rFonts w:ascii="Arial" w:cs="Arial" w:eastAsia="Arial" w:hAnsi="Arial"/>
          <w:sz w:val="16"/>
          <w:szCs w:val="16"/>
          <w:i w:val="1"/>
          <w:iCs w:val="1"/>
          <w:color w:val="auto"/>
        </w:rPr>
        <w:t>All9 Amino</w:t>
      </w:r>
      <w:r>
        <w:rPr>
          <w:rFonts w:ascii="Arial" w:cs="Arial" w:eastAsia="Arial" w:hAnsi="Arial"/>
          <w:sz w:val="16"/>
          <w:szCs w:val="16"/>
          <w:color w:val="auto"/>
        </w:rPr>
        <w:t>, a supplement that provides the nine essential amino acids for optimal muscle protein synthesis.</w:t>
      </w:r>
    </w:p>
    <w:p>
      <w:pPr>
        <w:spacing w:after="0" w:line="166"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maintain a robust three 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Even though the U.S. convenient nutrition market accounts for the largest portion of our business, our Company is uniquely positioned to take advantage of the rapidly growing international market. The international convenient nutrition category is expected to grow from sales of $14.2 billion in 2018 to sales of $17.6 billion in 2021, representing a CAGR of 7%.</w:t>
      </w:r>
    </w:p>
    <w:p>
      <w:pPr>
        <w:spacing w:after="0" w:line="184"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8"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United Kingdom (the “U.K.”), Japan and Australia.</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00" w:right="380" w:firstLine="426"/>
        <w:spacing w:after="0" w:line="301" w:lineRule="auto"/>
        <w:rPr>
          <w:sz w:val="20"/>
          <w:szCs w:val="20"/>
          <w:color w:val="auto"/>
        </w:rPr>
      </w:pPr>
      <w:r>
        <w:rPr>
          <w:rFonts w:ascii="Arial" w:cs="Arial" w:eastAsia="Arial" w:hAnsi="Arial"/>
          <w:sz w:val="16"/>
          <w:szCs w:val="16"/>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spacing w:after="0" w:line="277" w:lineRule="auto"/>
        <w:rPr>
          <w:sz w:val="20"/>
          <w:szCs w:val="20"/>
          <w:color w:val="auto"/>
        </w:rPr>
      </w:pPr>
      <w:r>
        <w:rPr>
          <w:rFonts w:ascii="Arial" w:cs="Arial" w:eastAsia="Arial" w:hAnsi="Arial"/>
          <w:sz w:val="18"/>
          <w:szCs w:val="18"/>
          <w:color w:val="auto"/>
        </w:rPr>
        <w:t>accretive acquisitions. The combination of consolidating selling, general and administrative functions, leveraging our scale and optimizing our supply chain will enable us to drive acquisition synergies in future transactions we may pursue.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120" w:right="32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120" w:hanging="403"/>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92"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120" w:right="20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120" w:right="34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120" w:right="30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must identify changing consumer and customer preferences and develop and offer products to meet these preferences.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142" w:lineRule="exact"/>
        <w:rPr>
          <w:rFonts w:ascii="Arial" w:cs="Arial" w:eastAsia="Arial" w:hAnsi="Arial"/>
          <w:sz w:val="17"/>
          <w:szCs w:val="17"/>
          <w:color w:val="auto"/>
        </w:rPr>
      </w:pPr>
    </w:p>
    <w:p>
      <w:pPr>
        <w:ind w:left="1120" w:right="20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120" w:right="8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75" w:lineRule="exact"/>
        <w:rPr>
          <w:rFonts w:ascii="Arial" w:cs="Arial" w:eastAsia="Arial" w:hAnsi="Arial"/>
          <w:sz w:val="18"/>
          <w:szCs w:val="18"/>
          <w:color w:val="auto"/>
        </w:rPr>
      </w:pPr>
    </w:p>
    <w:p>
      <w:pPr>
        <w:ind w:left="1120" w:right="300" w:hanging="403"/>
        <w:spacing w:after="0" w:line="263"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4"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120" w:right="40" w:hanging="403"/>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9" w:lineRule="exact"/>
        <w:rPr>
          <w:rFonts w:ascii="Arial" w:cs="Arial" w:eastAsia="Arial" w:hAnsi="Arial"/>
          <w:sz w:val="18"/>
          <w:szCs w:val="18"/>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660" w:right="180" w:hanging="511"/>
        <w:spacing w:after="0" w:line="277"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will distribute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660" w:hanging="511"/>
        <w:spacing w:after="0"/>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Premier Nutrition will convert from a Delaware corporation to a Delaware limited liability company;</w:t>
      </w:r>
    </w:p>
    <w:p>
      <w:pPr>
        <w:spacing w:after="0" w:line="130" w:lineRule="exact"/>
        <w:rPr>
          <w:rFonts w:ascii="Arial" w:cs="Arial" w:eastAsia="Arial" w:hAnsi="Arial"/>
          <w:sz w:val="18"/>
          <w:szCs w:val="18"/>
          <w:color w:val="auto"/>
        </w:rPr>
      </w:pPr>
    </w:p>
    <w:p>
      <w:pPr>
        <w:ind w:left="1660" w:right="220" w:hanging="511"/>
        <w:spacing w:after="0" w:line="308" w:lineRule="auto"/>
        <w:tabs>
          <w:tab w:leader="none" w:pos="1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Post will borrow $ million under the Post bridge loan as described under “—Debt Financing Arrangements—Post Bridge Loan” and “Description of Certain Indebtedness.” We will not receive any of the proceeds of the Post bridge loan;</w:t>
      </w:r>
    </w:p>
    <w:p>
      <w:pPr>
        <w:spacing w:after="0" w:line="51" w:lineRule="exact"/>
        <w:rPr>
          <w:rFonts w:ascii="Arial" w:cs="Arial" w:eastAsia="Arial" w:hAnsi="Arial"/>
          <w:sz w:val="17"/>
          <w:szCs w:val="17"/>
          <w:color w:val="auto"/>
        </w:rPr>
      </w:pPr>
    </w:p>
    <w:p>
      <w:pPr>
        <w:ind w:left="1660" w:hanging="511"/>
        <w:spacing w:after="0" w:line="277"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Post Acquisition Sub IV, LLC will merge into BellRing Brands, LLC and, as a result, Active Nutrition International will become a direct subsidiary of BellRing Brands, LLC; and</w:t>
      </w:r>
    </w:p>
    <w:p>
      <w:pPr>
        <w:spacing w:after="0" w:line="75" w:lineRule="exact"/>
        <w:rPr>
          <w:rFonts w:ascii="Arial" w:cs="Arial" w:eastAsia="Arial" w:hAnsi="Arial"/>
          <w:sz w:val="18"/>
          <w:szCs w:val="18"/>
          <w:color w:val="auto"/>
        </w:rPr>
      </w:pPr>
    </w:p>
    <w:p>
      <w:pPr>
        <w:ind w:left="1660" w:right="560" w:hanging="511"/>
        <w:spacing w:after="0" w:line="277"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Post will contribute Premier Nutrition to BellRing Brands, LLC, and BellRing Brands, LLC will then contribute Premier Nutrition and Active Nutrition International to Dymatize Enterprises.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660" w:right="200" w:hanging="511"/>
        <w:spacing w:after="0" w:line="277"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080" w:right="140" w:hanging="405"/>
        <w:spacing w:after="0" w:line="277" w:lineRule="auto"/>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w:t>
      </w:r>
    </w:p>
    <w:p>
      <w:pPr>
        <w:spacing w:after="0" w:line="75" w:lineRule="exact"/>
        <w:rPr>
          <w:rFonts w:ascii="Arial" w:cs="Arial" w:eastAsia="Arial" w:hAnsi="Arial"/>
          <w:sz w:val="18"/>
          <w:szCs w:val="18"/>
          <w:color w:val="auto"/>
        </w:rPr>
      </w:pPr>
    </w:p>
    <w:p>
      <w:pPr>
        <w:ind w:left="2080" w:hanging="405"/>
        <w:spacing w:after="0"/>
        <w:tabs>
          <w:tab w:leader="none" w:pos="2080" w:val="left"/>
        </w:tabs>
        <w:numPr>
          <w:ilvl w:val="2"/>
          <w:numId w:val="9"/>
        </w:numPr>
        <w:rPr>
          <w:rFonts w:ascii="Arial" w:cs="Arial" w:eastAsia="Arial" w:hAnsi="Arial"/>
          <w:sz w:val="16"/>
          <w:szCs w:val="16"/>
          <w:color w:val="auto"/>
        </w:rPr>
      </w:pPr>
      <w:r>
        <w:rPr>
          <w:rFonts w:ascii="Arial" w:cs="Arial" w:eastAsia="Arial" w:hAnsi="Arial"/>
          <w:sz w:val="16"/>
          <w:szCs w:val="16"/>
          <w:color w:val="auto"/>
        </w:rPr>
        <w:t>Class B common stock, par value $0.01 per share, which will have no economic interests and will have one vote per share;</w:t>
      </w:r>
    </w:p>
    <w:p>
      <w:pPr>
        <w:spacing w:after="0" w:line="153" w:lineRule="exact"/>
        <w:rPr>
          <w:rFonts w:ascii="Arial" w:cs="Arial" w:eastAsia="Arial" w:hAnsi="Arial"/>
          <w:sz w:val="16"/>
          <w:szCs w:val="16"/>
          <w:color w:val="auto"/>
        </w:rPr>
      </w:pPr>
    </w:p>
    <w:p>
      <w:pPr>
        <w:ind w:left="1660" w:right="240" w:hanging="511"/>
        <w:spacing w:after="0" w:line="263"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9" w:lineRule="exact"/>
        <w:rPr>
          <w:rFonts w:ascii="Arial" w:cs="Arial" w:eastAsia="Arial" w:hAnsi="Arial"/>
          <w:sz w:val="18"/>
          <w:szCs w:val="18"/>
          <w:color w:val="auto"/>
        </w:rPr>
      </w:pPr>
    </w:p>
    <w:p>
      <w:pPr>
        <w:ind w:left="2080" w:right="120" w:hanging="405"/>
        <w:spacing w:after="0" w:line="277" w:lineRule="auto"/>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080" w:right="140" w:hanging="405"/>
        <w:spacing w:after="0" w:line="263" w:lineRule="auto"/>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 and Post’s existing membership interests in BellRing Brands, LLC will be reclassified as one BellRing Brands, LLC Unit;</w:t>
      </w:r>
    </w:p>
    <w:p>
      <w:pPr>
        <w:spacing w:after="0" w:line="89" w:lineRule="exact"/>
        <w:rPr>
          <w:rFonts w:ascii="Arial" w:cs="Arial" w:eastAsia="Arial" w:hAnsi="Arial"/>
          <w:sz w:val="18"/>
          <w:szCs w:val="18"/>
          <w:color w:val="auto"/>
        </w:rPr>
      </w:pPr>
    </w:p>
    <w:p>
      <w:pPr>
        <w:ind w:left="1660" w:right="240" w:hanging="511"/>
        <w:spacing w:after="0" w:line="277" w:lineRule="auto"/>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40"/>
        <w:spacing w:after="0"/>
        <w:tabs>
          <w:tab w:leader="none" w:pos="1640" w:val="left"/>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BellRing Brands, LLC will issue</w:t>
      </w:r>
      <w:r>
        <w:rPr>
          <w:sz w:val="20"/>
          <w:szCs w:val="20"/>
          <w:color w:val="auto"/>
        </w:rPr>
        <w:tab/>
      </w:r>
      <w:r>
        <w:rPr>
          <w:rFonts w:ascii="Arial" w:cs="Arial" w:eastAsia="Arial" w:hAnsi="Arial"/>
          <w:sz w:val="16"/>
          <w:szCs w:val="16"/>
          <w:color w:val="auto"/>
        </w:rPr>
        <w:t>BellRing Brands, LLC Units to Post;</w:t>
      </w:r>
    </w:p>
    <w:p>
      <w:pPr>
        <w:spacing w:after="0" w:line="131" w:lineRule="exact"/>
        <w:rPr>
          <w:sz w:val="20"/>
          <w:szCs w:val="20"/>
          <w:color w:val="auto"/>
        </w:rPr>
      </w:pPr>
    </w:p>
    <w:p>
      <w:pPr>
        <w:ind w:left="1660" w:right="260" w:hanging="511"/>
        <w:spacing w:after="0" w:line="291" w:lineRule="auto"/>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BellRing Brands, Inc. will issue to Post (in exchange for the 1,000 shares of common stock initially issued to Post in connection with its incorporation, which shares will be cancelled as part of the exchange, together with the additional consideration</w:t>
      </w:r>
    </w:p>
    <w:p>
      <w:pPr>
        <w:sectPr>
          <w:pgSz w:w="11900" w:h="16838" w:orient="portrait"/>
          <w:cols w:equalWidth="0" w:num="1">
            <w:col w:w="11140"/>
          </w:cols>
          <w:pgMar w:left="320" w:top="459" w:right="439" w:bottom="1440" w:gutter="0" w:footer="0" w:header="0"/>
        </w:sectPr>
      </w:pPr>
    </w:p>
    <w:p>
      <w:pPr>
        <w:ind w:left="1660" w:right="440"/>
        <w:spacing w:after="0" w:line="260" w:lineRule="auto"/>
        <w:rPr>
          <w:sz w:val="20"/>
          <w:szCs w:val="20"/>
          <w:color w:val="auto"/>
        </w:rPr>
      </w:pPr>
      <w:r>
        <w:rPr>
          <w:rFonts w:ascii="Arial" w:cs="Arial" w:eastAsia="Arial" w:hAnsi="Arial"/>
          <w:sz w:val="18"/>
          <w:szCs w:val="18"/>
          <w:color w:val="auto"/>
        </w:rPr>
        <w:t>described in the master transaction agreement) shares of Class B common stock, which will equal the total number of BellRing Brands, LLC Units to be owned by Post;</w:t>
      </w:r>
    </w:p>
    <w:p>
      <w:pPr>
        <w:sectPr>
          <w:pgSz w:w="11900" w:h="16838" w:orient="portrait"/>
          <w:cols w:equalWidth="0" w:num="1">
            <w:col w:w="11140"/>
          </w:cols>
          <w:pgMar w:left="320" w:top="459" w:right="439" w:bottom="1440" w:gutter="0" w:footer="0" w:header="0"/>
          <w:type w:val="continuous"/>
        </w:sectPr>
      </w:pPr>
    </w:p>
    <w:p>
      <w:pPr>
        <w:spacing w:after="0" w:line="91" w:lineRule="exact"/>
        <w:rPr>
          <w:sz w:val="20"/>
          <w:szCs w:val="20"/>
          <w:color w:val="auto"/>
        </w:rPr>
      </w:pPr>
    </w:p>
    <w:p>
      <w:pPr>
        <w:ind w:left="1660" w:right="360" w:hanging="511"/>
        <w:spacing w:after="0" w:line="257"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660" w:right="280" w:hanging="511"/>
        <w:spacing w:after="0" w:line="263"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 and</w:t>
      </w:r>
    </w:p>
    <w:p>
      <w:pPr>
        <w:spacing w:after="0" w:line="89" w:lineRule="exact"/>
        <w:rPr>
          <w:rFonts w:ascii="Arial" w:cs="Arial" w:eastAsia="Arial" w:hAnsi="Arial"/>
          <w:sz w:val="18"/>
          <w:szCs w:val="18"/>
          <w:color w:val="auto"/>
        </w:rPr>
      </w:pPr>
    </w:p>
    <w:p>
      <w:pPr>
        <w:ind w:left="1660" w:right="260" w:hanging="511"/>
        <w:spacing w:after="0" w:line="259"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exchange agreement, (iii) the investor rights agreement, (iv) the tax receivable agreement and (v) the tax matters agreement, each as described under “Certain Relationships and Related Party Transactions—Post-Offering Relationship with Post.”</w:t>
      </w:r>
    </w:p>
    <w:p>
      <w:pPr>
        <w:spacing w:after="0" w:line="187" w:lineRule="exact"/>
        <w:rPr>
          <w:sz w:val="20"/>
          <w:szCs w:val="20"/>
          <w:color w:val="auto"/>
        </w:rPr>
      </w:pPr>
    </w:p>
    <w:p>
      <w:pPr>
        <w:ind w:left="300" w:right="240" w:firstLine="426"/>
        <w:spacing w:after="0" w:line="271" w:lineRule="auto"/>
        <w:rPr>
          <w:sz w:val="20"/>
          <w:szCs w:val="20"/>
          <w:color w:val="auto"/>
        </w:rPr>
      </w:pPr>
      <w:r>
        <w:rPr>
          <w:rFonts w:ascii="Arial" w:cs="Arial" w:eastAsia="Arial" w:hAnsi="Arial"/>
          <w:sz w:val="17"/>
          <w:szCs w:val="17"/>
          <w:color w:val="auto"/>
        </w:rPr>
        <w:t>In this offering, BellRing Brands, Inc. will issue shares of Class A common stock (or shares if the underwriters exercise their over-allotment option in full) in exchange for net proceeds of approximately $ million (or approximately $ million if the underwriters exercise their over-allotment option in full), assuming the shares are offered at $ per share (the midpoint of the price range listed on the cover</w:t>
      </w:r>
    </w:p>
    <w:p>
      <w:pPr>
        <w:ind w:left="300" w:right="280"/>
        <w:spacing w:after="0" w:line="277" w:lineRule="auto"/>
        <w:rPr>
          <w:sz w:val="20"/>
          <w:szCs w:val="20"/>
          <w:color w:val="auto"/>
        </w:rPr>
      </w:pPr>
      <w:r>
        <w:rPr>
          <w:rFonts w:ascii="Arial" w:cs="Arial" w:eastAsia="Arial" w:hAnsi="Arial"/>
          <w:sz w:val="17"/>
          <w:szCs w:val="17"/>
          <w:color w:val="auto"/>
        </w:rPr>
        <w:t>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81" w:lineRule="exact"/>
        <w:rPr>
          <w:sz w:val="20"/>
          <w:szCs w:val="20"/>
          <w:color w:val="auto"/>
        </w:rPr>
      </w:pPr>
    </w:p>
    <w:p>
      <w:pPr>
        <w:ind w:left="720" w:right="400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120" w:right="240" w:hanging="403"/>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will have no independent means of generating revenue or cash flow.</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120" w:right="360" w:hanging="403"/>
        <w:spacing w:after="0" w:line="279"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BellRing Brands, LLC will be treated as a partnership for U.S. federal income tax purposes immediately after BellRing Brands, Inc.’s purchase of BellRing Brands, LLC Units in connection with this offering and, as such, will not itself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ind w:left="160"/>
              <w:spacing w:after="0"/>
              <w:rPr>
                <w:sz w:val="20"/>
                <w:szCs w:val="20"/>
                <w:color w:val="auto"/>
              </w:rPr>
            </w:pPr>
            <w:r>
              <w:rPr>
                <w:rFonts w:ascii="Arial" w:cs="Arial" w:eastAsia="Arial" w:hAnsi="Arial"/>
                <w:sz w:val="18"/>
                <w:szCs w:val="18"/>
                <w:color w:val="auto"/>
              </w:rPr>
              <w:t>Post will hold</w:t>
            </w:r>
          </w:p>
        </w:tc>
        <w:tc>
          <w:tcPr>
            <w:tcW w:w="8440" w:type="dxa"/>
            <w:vAlign w:val="bottom"/>
          </w:tcPr>
          <w:p>
            <w:pPr>
              <w:jc w:val="right"/>
              <w:ind w:right="310"/>
              <w:spacing w:after="0"/>
              <w:rPr>
                <w:sz w:val="20"/>
                <w:szCs w:val="20"/>
                <w:color w:val="auto"/>
              </w:rPr>
            </w:pPr>
            <w:r>
              <w:rPr>
                <w:rFonts w:ascii="Arial" w:cs="Arial" w:eastAsia="Arial" w:hAnsi="Arial"/>
                <w:sz w:val="18"/>
                <w:szCs w:val="18"/>
                <w:color w:val="auto"/>
                <w:w w:val="92"/>
              </w:rPr>
              <w:t>BellRing Brands, LLC Units and the same number of shares of BellRing Brands, Inc. Class B common stock,</w:t>
            </w:r>
          </w:p>
        </w:tc>
      </w:tr>
      <w:tr>
        <w:trPr>
          <w:trHeight w:val="230"/>
        </w:trPr>
        <w:tc>
          <w:tcPr>
            <w:tcW w:w="84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w w:val="99"/>
              </w:rPr>
              <w:t>which will represent</w:t>
            </w:r>
          </w:p>
        </w:tc>
        <w:tc>
          <w:tcPr>
            <w:tcW w:w="8440" w:type="dxa"/>
            <w:vAlign w:val="bottom"/>
          </w:tcPr>
          <w:p>
            <w:pPr>
              <w:jc w:val="right"/>
              <w:ind w:right="5410"/>
              <w:spacing w:after="0"/>
              <w:rPr>
                <w:sz w:val="20"/>
                <w:szCs w:val="20"/>
                <w:color w:val="auto"/>
              </w:rPr>
            </w:pPr>
            <w:r>
              <w:rPr>
                <w:rFonts w:ascii="Arial" w:cs="Arial" w:eastAsia="Arial" w:hAnsi="Arial"/>
                <w:sz w:val="18"/>
                <w:szCs w:val="18"/>
                <w:color w:val="auto"/>
                <w:w w:val="95"/>
              </w:rPr>
              <w:t>% of the combined voting power of the</w:t>
            </w:r>
          </w:p>
        </w:tc>
      </w:tr>
      <w:tr>
        <w:trPr>
          <w:trHeight w:val="240"/>
        </w:trPr>
        <w:tc>
          <w:tcPr>
            <w:tcW w:w="8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40" w:type="dxa"/>
            <w:vAlign w:val="bottom"/>
          </w:tcPr>
          <w:p>
            <w:pPr>
              <w:jc w:val="right"/>
              <w:ind w:right="53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40" w:right="80"/>
        <w:spacing w:after="0" w:line="268" w:lineRule="auto"/>
        <w:rPr>
          <w:sz w:val="20"/>
          <w:szCs w:val="20"/>
          <w:color w:val="auto"/>
        </w:rPr>
      </w:pPr>
      <w:r>
        <w:rPr>
          <w:rFonts w:ascii="Arial" w:cs="Arial" w:eastAsia="Arial" w:hAnsi="Arial"/>
          <w:sz w:val="17"/>
          <w:szCs w:val="17"/>
          <w:color w:val="auto"/>
        </w:rPr>
        <w:t>common stock of BellRing Brands, Inc. (or % if the underwriters exercise their over-allotment option in full) and % of the economic interest in BellRing Brands, LLC (or % if the underwriters exercise their over-allotment option in full). Subject to the terms of the exchange agreement and the amended and restated limited liability company agreement, Post may exchange BellRing Brands, LLC Units (and the corresponding number of shares of BellRing Brands, Inc. Class B common stock) for, at BellRing Brands, LLC’s option (as determined by its Board of Managers), (i) shares of BellRing Brands, Inc. Class A common stock or (ii) cash (based on the market price of the shares of BellRing Brands, Inc.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Shares of BellRing Brands, Inc. Class B common stock will be initially owned solely by Post and cannot be transferred except to affiliates of Post or except in connection with an exchange of shares of Class B common stock and the corresponding BellRing Brands, LLC Units for Class A common stock as described above (and any Class B common stock so exchanged for shares of Class A common stock will be cancelled). We do not intend to list our Class B common stock on any stock exchange. See “Certain Relationships and Related Party Transactions—Post-Offering Relationship with Post—Exchange Agreement.”</w:t>
      </w:r>
    </w:p>
    <w:p>
      <w:pPr>
        <w:sectPr>
          <w:pgSz w:w="11900" w:h="16838" w:orient="portrait"/>
          <w:cols w:equalWidth="0" w:num="1">
            <w:col w:w="10920"/>
          </w:cols>
          <w:pgMar w:left="320" w:top="459" w:right="659" w:bottom="1440" w:gutter="0" w:footer="0" w:header="0"/>
        </w:sectPr>
      </w:pPr>
    </w:p>
    <w:p>
      <w:pPr>
        <w:spacing w:after="0" w:line="9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purchasers in this offering (i) will own shares of our Class A common stock, which will represent % of the combined voting power of our common stock (or % if the underwriters exercise their over-allotment option in full) and 100% of the economic interest in BellRing Brands, Inc., and (ii) through BellRing Brands, Inc.’s ownership of BellRing Brands, LLC Units, indirectly will hold % of the economic interest in BellRing Brands, LLC (or % if the underwriters exercise their over-allotment option in full).</w:t>
      </w:r>
    </w:p>
    <w:p>
      <w:pPr>
        <w:spacing w:after="0" w:line="77" w:lineRule="exact"/>
        <w:rPr>
          <w:sz w:val="20"/>
          <w:szCs w:val="20"/>
          <w:color w:val="auto"/>
        </w:rPr>
      </w:pPr>
    </w:p>
    <w:p>
      <w:pPr>
        <w:sectPr>
          <w:pgSz w:w="11900" w:h="16838" w:orient="portrait"/>
          <w:cols w:equalWidth="0" w:num="2">
            <w:col w:w="780" w:space="340"/>
            <w:col w:w="9800"/>
          </w:cols>
          <w:pgMar w:left="320" w:top="459" w:right="659" w:bottom="1440" w:gutter="0" w:footer="0" w:header="0"/>
          <w:type w:val="continuous"/>
        </w:sectPr>
      </w:pPr>
    </w:p>
    <w:p>
      <w:pPr>
        <w:ind w:left="1120" w:hanging="403"/>
        <w:spacing w:after="0" w:line="255"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(i) a one-to-one ratio between the number of shares of Class A common stock issued by BellRing Brands, Inc. and the number of BellRing Brands, LLC Units owned by BellRing Brands, Inc. and (ii) a one-to-one ratio between the number of shares of Class B common stock issued by BellRing Brands, Inc. and owned by Post and its affiliates and the number of BellRing Brands, LLC Units owned by Post and its affiliates. See “Certain Relationships and Related Party Transactions—Post-Offering Relationship with Post—Amended and Restated Limited Liability Company Agreement.”</w:t>
      </w:r>
    </w:p>
    <w:p>
      <w:pPr>
        <w:spacing w:after="0" w:line="97" w:lineRule="exact"/>
        <w:rPr>
          <w:rFonts w:ascii="Arial" w:cs="Arial" w:eastAsia="Arial" w:hAnsi="Arial"/>
          <w:sz w:val="18"/>
          <w:szCs w:val="18"/>
          <w:color w:val="auto"/>
        </w:rPr>
      </w:pPr>
    </w:p>
    <w:p>
      <w:pPr>
        <w:ind w:left="1120" w:right="20" w:hanging="403"/>
        <w:spacing w:after="0" w:line="29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Class B common stock of BellRing Brands, Inc.</w:t>
      </w:r>
    </w:p>
    <w:p>
      <w:pPr>
        <w:spacing w:after="0" w:line="70" w:lineRule="exact"/>
        <w:rPr>
          <w:rFonts w:ascii="Arial" w:cs="Arial" w:eastAsia="Arial" w:hAnsi="Arial"/>
          <w:sz w:val="16"/>
          <w:szCs w:val="16"/>
          <w:color w:val="auto"/>
        </w:rPr>
      </w:pPr>
    </w:p>
    <w:p>
      <w:pPr>
        <w:ind w:left="1120" w:right="60" w:hanging="403"/>
        <w:spacing w:after="0" w:line="286"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93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7093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following diagram shows our corporate structure after completion of the formation transactions and this offering (assuming an initial public offering price at the midpoint of the estimated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00" w:right="240" w:firstLine="426"/>
        <w:spacing w:after="0" w:line="301" w:lineRule="auto"/>
        <w:rPr>
          <w:sz w:val="20"/>
          <w:szCs w:val="20"/>
          <w:color w:val="auto"/>
        </w:rPr>
      </w:pPr>
      <w:r>
        <w:rPr>
          <w:rFonts w:ascii="Arial" w:cs="Arial" w:eastAsia="Arial" w:hAnsi="Arial"/>
          <w:sz w:val="16"/>
          <w:szCs w:val="16"/>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308" w:lineRule="auto"/>
        <w:rPr>
          <w:sz w:val="20"/>
          <w:szCs w:val="20"/>
          <w:color w:val="auto"/>
        </w:rPr>
      </w:pPr>
      <w:r>
        <w:rPr>
          <w:rFonts w:ascii="Arial" w:cs="Arial" w:eastAsia="Arial" w:hAnsi="Arial"/>
          <w:sz w:val="17"/>
          <w:szCs w:val="17"/>
          <w:color w:val="auto"/>
        </w:rPr>
        <w:t>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Prior to the completion of this offering, Post will borrow $ million under an unsecured bridge loan (which we refer to as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w:t>
      </w:r>
    </w:p>
    <w:p>
      <w:pPr>
        <w:spacing w:after="0" w:line="165"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w:t>
      </w:r>
    </w:p>
    <w:p>
      <w:pPr>
        <w:spacing w:after="0" w:line="46" w:lineRule="exact"/>
        <w:rPr>
          <w:sz w:val="20"/>
          <w:szCs w:val="20"/>
          <w:color w:val="auto"/>
        </w:rPr>
      </w:pPr>
    </w:p>
    <w:p>
      <w:pPr>
        <w:ind w:left="300" w:right="40"/>
        <w:spacing w:after="0" w:line="269" w:lineRule="auto"/>
        <w:rPr>
          <w:sz w:val="20"/>
          <w:szCs w:val="20"/>
          <w:color w:val="auto"/>
        </w:rPr>
      </w:pPr>
      <w:r>
        <w:rPr>
          <w:rFonts w:ascii="Arial" w:cs="Arial" w:eastAsia="Arial" w:hAnsi="Arial"/>
          <w:sz w:val="17"/>
          <w:szCs w:val="17"/>
          <w:color w:val="auto"/>
        </w:rPr>
        <w:t>into debt facilities consisting of a $ million revolving credit facility and $ million of other indebtedness (which we refer to collectively as the “debt facilities”),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such term loans or through an offering of senior notes, will receive net proceeds of approximately $ million, after deducting fees and expenses.</w:t>
      </w:r>
    </w:p>
    <w:p>
      <w:pPr>
        <w:spacing w:after="0" w:line="180"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300" w:right="280" w:firstLine="426"/>
        <w:spacing w:after="0" w:line="275" w:lineRule="auto"/>
        <w:rPr>
          <w:sz w:val="20"/>
          <w:szCs w:val="20"/>
          <w:color w:val="auto"/>
        </w:rPr>
      </w:pPr>
      <w:r>
        <w:rPr>
          <w:rFonts w:ascii="Arial" w:cs="Arial" w:eastAsia="Arial" w:hAnsi="Arial"/>
          <w:sz w:val="17"/>
          <w:szCs w:val="17"/>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w:t>
      </w:r>
    </w:p>
    <w:p>
      <w:pPr>
        <w:spacing w:after="0" w:line="46" w:lineRule="exact"/>
        <w:rPr>
          <w:sz w:val="20"/>
          <w:szCs w:val="20"/>
          <w:color w:val="auto"/>
        </w:rPr>
      </w:pPr>
    </w:p>
    <w:p>
      <w:pPr>
        <w:ind w:left="300" w:right="180"/>
        <w:spacing w:after="0" w:line="253" w:lineRule="auto"/>
        <w:rPr>
          <w:sz w:val="20"/>
          <w:szCs w:val="20"/>
          <w:color w:val="auto"/>
        </w:rPr>
      </w:pPr>
      <w:r>
        <w:rPr>
          <w:rFonts w:ascii="Arial" w:cs="Arial" w:eastAsia="Arial" w:hAnsi="Arial"/>
          <w:sz w:val="18"/>
          <w:szCs w:val="18"/>
          <w:color w:val="auto"/>
        </w:rPr>
        <w:t>Post will own shares of our Class B common stock and will therefore control approximately % of the combined voting power of our outstanding common stock (or % if the underwriters exercise their over-allotment option in full).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91"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Post will receive the net proceeds of the Post bridge loan, estimated to be approximately $ million after deducting fees and expenses, which it expects to use to repay a portion of its existing debt. Neither BellRing Brands, Inc. nor BellRing Brands, LLC will receive any of the proceeds of the Post bridge loan.</w:t>
      </w:r>
    </w:p>
    <w:p>
      <w:pPr>
        <w:spacing w:after="0" w:line="184"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exchange agreement, (iii) the investor rights agreement, (iv) the tax receivable agreement and</w:t>
      </w:r>
    </w:p>
    <w:p>
      <w:pPr>
        <w:ind w:left="300" w:right="280" w:hanging="2"/>
        <w:spacing w:after="0" w:line="260" w:lineRule="auto"/>
        <w:tabs>
          <w:tab w:leader="none" w:pos="5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tax matters agreement, each as described under “Certain Relationships and Related Party Transactions—Post-Offering Relationship with Post.”</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00" w:right="480" w:firstLine="426"/>
        <w:spacing w:after="0" w:line="263"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9" w:lineRule="exact"/>
        <w:rPr>
          <w:sz w:val="20"/>
          <w:szCs w:val="20"/>
          <w:color w:val="auto"/>
        </w:rPr>
      </w:pPr>
    </w:p>
    <w:p>
      <w:pPr>
        <w:ind w:left="1120" w:hanging="403"/>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20" w:right="160" w:hanging="403"/>
        <w:spacing w:after="0" w:line="311"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4" w:lineRule="exact"/>
        <w:rPr>
          <w:rFonts w:ascii="Arial" w:cs="Arial" w:eastAsia="Arial" w:hAnsi="Arial"/>
          <w:sz w:val="16"/>
          <w:szCs w:val="16"/>
          <w:color w:val="auto"/>
        </w:rPr>
      </w:pPr>
    </w:p>
    <w:p>
      <w:pPr>
        <w:ind w:left="1120" w:hanging="403"/>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9" w:lineRule="exact"/>
        <w:rPr>
          <w:sz w:val="20"/>
          <w:szCs w:val="20"/>
          <w:color w:val="auto"/>
        </w:rPr>
      </w:pPr>
    </w:p>
    <w:p>
      <w:pPr>
        <w:ind w:left="1120" w:hanging="403"/>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20" w:right="600" w:hanging="403"/>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120" w:right="360" w:hanging="403"/>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3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3930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right="100" w:hanging="403"/>
        <w:spacing w:after="0" w:line="263"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1120" w:right="80" w:hanging="403"/>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w:t>
      </w:r>
    </w:p>
    <w:p>
      <w:pPr>
        <w:ind w:left="300" w:right="120"/>
        <w:spacing w:after="0" w:line="302" w:lineRule="auto"/>
        <w:rPr>
          <w:sz w:val="20"/>
          <w:szCs w:val="20"/>
          <w:color w:val="auto"/>
        </w:rPr>
      </w:pPr>
      <w:r>
        <w:rPr>
          <w:rFonts w:ascii="Arial" w:cs="Arial" w:eastAsia="Arial" w:hAnsi="Arial"/>
          <w:sz w:val="16"/>
          <w:szCs w:val="16"/>
          <w:color w:val="auto"/>
        </w:rPr>
        <w:t>Louis, Missouri 63144, and its telephone number is (314) 644-7600. BellRing Brands, Inc.’s website is .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32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THE OFFERING</w:t>
            </w:r>
          </w:p>
        </w:tc>
        <w:tc>
          <w:tcPr>
            <w:tcW w:w="1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40" w:type="dxa"/>
            <w:vAlign w:val="bottom"/>
          </w:tcPr>
          <w:p>
            <w:pPr>
              <w:spacing w:after="0"/>
              <w:rPr>
                <w:sz w:val="20"/>
                <w:szCs w:val="20"/>
                <w:color w:val="auto"/>
              </w:rPr>
            </w:pPr>
            <w:r>
              <w:rPr>
                <w:rFonts w:ascii="Arial" w:cs="Arial" w:eastAsia="Arial" w:hAnsi="Arial"/>
                <w:sz w:val="18"/>
                <w:szCs w:val="18"/>
                <w:color w:val="auto"/>
              </w:rPr>
              <w:t>Issuer</w:t>
            </w:r>
          </w:p>
        </w:tc>
        <w:tc>
          <w:tcPr>
            <w:tcW w:w="3140" w:type="dxa"/>
            <w:vAlign w:val="bottom"/>
            <w:gridSpan w:val="2"/>
          </w:tcPr>
          <w:p>
            <w:pPr>
              <w:ind w:left="1200"/>
              <w:spacing w:after="0"/>
              <w:rPr>
                <w:sz w:val="20"/>
                <w:szCs w:val="20"/>
                <w:color w:val="auto"/>
              </w:rPr>
            </w:pPr>
            <w:r>
              <w:rPr>
                <w:rFonts w:ascii="Arial" w:cs="Arial" w:eastAsia="Arial" w:hAnsi="Arial"/>
                <w:sz w:val="18"/>
                <w:szCs w:val="18"/>
                <w:color w:val="auto"/>
              </w:rPr>
              <w:t>BellRing Brands, Inc.</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Class A common stock offered</w:t>
            </w:r>
          </w:p>
        </w:tc>
        <w:tc>
          <w:tcPr>
            <w:tcW w:w="1780" w:type="dxa"/>
            <w:vAlign w:val="bottom"/>
          </w:tcPr>
          <w:p>
            <w:pPr>
              <w:spacing w:after="0"/>
              <w:rPr>
                <w:sz w:val="23"/>
                <w:szCs w:val="23"/>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shares (or</w:t>
            </w:r>
          </w:p>
        </w:tc>
        <w:tc>
          <w:tcPr>
            <w:tcW w:w="3000" w:type="dxa"/>
            <w:vAlign w:val="bottom"/>
          </w:tcPr>
          <w:p>
            <w:pPr>
              <w:ind w:left="340"/>
              <w:spacing w:after="0"/>
              <w:rPr>
                <w:sz w:val="20"/>
                <w:szCs w:val="20"/>
                <w:color w:val="auto"/>
              </w:rPr>
            </w:pPr>
            <w:r>
              <w:rPr>
                <w:rFonts w:ascii="Arial" w:cs="Arial" w:eastAsia="Arial" w:hAnsi="Arial"/>
                <w:sz w:val="18"/>
                <w:szCs w:val="18"/>
                <w:color w:val="auto"/>
                <w:w w:val="96"/>
              </w:rPr>
              <w:t>shares if the underwriters exercise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8"/>
              </w:rPr>
              <w:t>their over-allotment option in full). Each share of our Class 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9"/>
              </w:rPr>
              <w:t>common stock will be eligible for dividends and distributions</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140" w:type="dxa"/>
            <w:vAlign w:val="bottom"/>
            <w:gridSpan w:val="2"/>
          </w:tcPr>
          <w:p>
            <w:pPr>
              <w:ind w:left="1380"/>
              <w:spacing w:after="0"/>
              <w:rPr>
                <w:sz w:val="20"/>
                <w:szCs w:val="20"/>
                <w:color w:val="auto"/>
              </w:rPr>
            </w:pPr>
            <w:r>
              <w:rPr>
                <w:rFonts w:ascii="Arial" w:cs="Arial" w:eastAsia="Arial" w:hAnsi="Arial"/>
                <w:sz w:val="18"/>
                <w:szCs w:val="18"/>
                <w:color w:val="auto"/>
              </w:rPr>
              <w:t>upon liquidation.</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18"/>
                <w:szCs w:val="18"/>
                <w:color w:val="auto"/>
                <w:w w:val="95"/>
              </w:rPr>
              <w:t>Class A common stock to be outstanding after this offering</w:t>
            </w:r>
          </w:p>
        </w:tc>
        <w:tc>
          <w:tcPr>
            <w:tcW w:w="1780" w:type="dxa"/>
            <w:vAlign w:val="bottom"/>
          </w:tcPr>
          <w:p>
            <w:pPr>
              <w:spacing w:after="0"/>
              <w:rPr>
                <w:sz w:val="24"/>
                <w:szCs w:val="24"/>
                <w:color w:val="auto"/>
              </w:rPr>
            </w:pPr>
          </w:p>
        </w:tc>
        <w:tc>
          <w:tcPr>
            <w:tcW w:w="1360" w:type="dxa"/>
            <w:vAlign w:val="bottom"/>
            <w:vMerge w:val="restart"/>
          </w:tcPr>
          <w:p>
            <w:pPr>
              <w:ind w:left="200"/>
              <w:spacing w:after="0"/>
              <w:rPr>
                <w:sz w:val="20"/>
                <w:szCs w:val="20"/>
                <w:color w:val="auto"/>
              </w:rPr>
            </w:pPr>
            <w:r>
              <w:rPr>
                <w:rFonts w:ascii="Arial" w:cs="Arial" w:eastAsia="Arial" w:hAnsi="Arial"/>
                <w:sz w:val="18"/>
                <w:szCs w:val="18"/>
                <w:color w:val="auto"/>
              </w:rPr>
              <w:t>shares (or</w:t>
            </w:r>
          </w:p>
        </w:tc>
        <w:tc>
          <w:tcPr>
            <w:tcW w:w="3000" w:type="dxa"/>
            <w:vAlign w:val="bottom"/>
            <w:vMerge w:val="restart"/>
          </w:tcPr>
          <w:p>
            <w:pPr>
              <w:ind w:left="340"/>
              <w:spacing w:after="0"/>
              <w:rPr>
                <w:sz w:val="20"/>
                <w:szCs w:val="20"/>
                <w:color w:val="auto"/>
              </w:rPr>
            </w:pPr>
            <w:r>
              <w:rPr>
                <w:rFonts w:ascii="Arial" w:cs="Arial" w:eastAsia="Arial" w:hAnsi="Arial"/>
                <w:sz w:val="18"/>
                <w:szCs w:val="18"/>
                <w:color w:val="auto"/>
                <w:w w:val="96"/>
              </w:rPr>
              <w:t>shares if the underwriters exercise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Over-allotment option</w:t>
            </w: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9"/>
              </w:rPr>
              <w:t>We have granted to the underwriters an option to purchase up</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780" w:type="dxa"/>
            <w:vAlign w:val="bottom"/>
          </w:tcPr>
          <w:p>
            <w:pPr>
              <w:ind w:left="1380"/>
              <w:spacing w:after="0"/>
              <w:rPr>
                <w:sz w:val="20"/>
                <w:szCs w:val="20"/>
                <w:color w:val="auto"/>
              </w:rPr>
            </w:pPr>
            <w:r>
              <w:rPr>
                <w:rFonts w:ascii="Arial" w:cs="Arial" w:eastAsia="Arial" w:hAnsi="Arial"/>
                <w:sz w:val="18"/>
                <w:szCs w:val="18"/>
                <w:color w:val="auto"/>
              </w:rPr>
              <w:t>to</w:t>
            </w: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w w:val="90"/>
              </w:rPr>
              <w:t>additional shares of our Class A common stock from us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2"/>
              </w:rPr>
              <w:t>at the initial public offering price (less underwriting discounts and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8"/>
              </w:rPr>
              <w:t>commissions) to cover over-allotments, if any, for a period of</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thirty days from the date of this prospectus.</w:t>
            </w: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B common stock to be outstanding after this offering</w:t>
            </w:r>
          </w:p>
        </w:tc>
        <w:tc>
          <w:tcPr>
            <w:tcW w:w="1780" w:type="dxa"/>
            <w:vAlign w:val="bottom"/>
          </w:tcPr>
          <w:p>
            <w:pPr>
              <w:spacing w:after="0"/>
              <w:rPr>
                <w:sz w:val="24"/>
                <w:szCs w:val="24"/>
                <w:color w:val="auto"/>
              </w:rPr>
            </w:pPr>
          </w:p>
        </w:tc>
        <w:tc>
          <w:tcPr>
            <w:tcW w:w="436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shares, all of which will be issued to Post. Each share of</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our Class B common stock will have no economic rights.</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Voting rights</w:t>
            </w: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4"/>
              </w:rPr>
              <w:t>One vote per share; Class A common stock and Class B common</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1"/>
              </w:rPr>
              <w:t>stock vote together as a single class on all matters submitted to a</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8"/>
              </w:rPr>
              <w:t>vote of stockholders. See “Description of Capital Stock.” The</w:t>
            </w:r>
          </w:p>
        </w:tc>
        <w:tc>
          <w:tcPr>
            <w:tcW w:w="0" w:type="dxa"/>
            <w:vAlign w:val="bottom"/>
          </w:tcPr>
          <w:p>
            <w:pPr>
              <w:spacing w:after="0"/>
              <w:rPr>
                <w:sz w:val="1"/>
                <w:szCs w:val="1"/>
                <w:color w:val="auto"/>
              </w:rPr>
            </w:pPr>
          </w:p>
        </w:tc>
      </w:tr>
    </w:tbl>
    <w:p>
      <w:pPr>
        <w:ind w:left="6120"/>
        <w:spacing w:after="0"/>
        <w:rPr>
          <w:sz w:val="20"/>
          <w:szCs w:val="20"/>
          <w:color w:val="auto"/>
        </w:rPr>
      </w:pPr>
      <w:r>
        <w:rPr>
          <w:rFonts w:ascii="Arial" w:cs="Arial" w:eastAsia="Arial" w:hAnsi="Arial"/>
          <w:sz w:val="16"/>
          <w:szCs w:val="16"/>
          <w:color w:val="auto"/>
        </w:rPr>
        <w:t>aggregate voting power of our outstanding Class B common stock</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will be equal to the aggregate percentage of BellRing Brands,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Units held by Post.</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Rights of the Class B Common Stock and BellRing Brands,</w:t>
      </w:r>
    </w:p>
    <w:p>
      <w:pPr>
        <w:spacing w:after="0" w:line="23"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8"/>
          <w:szCs w:val="18"/>
          <w:color w:val="auto"/>
        </w:rPr>
        <w:t>LLC Units</w:t>
      </w:r>
      <w:r>
        <w:rPr>
          <w:sz w:val="20"/>
          <w:szCs w:val="20"/>
          <w:color w:val="auto"/>
        </w:rPr>
        <w:tab/>
      </w:r>
      <w:r>
        <w:rPr>
          <w:rFonts w:ascii="Arial" w:cs="Arial" w:eastAsia="Arial" w:hAnsi="Arial"/>
          <w:sz w:val="15"/>
          <w:szCs w:val="15"/>
          <w:color w:val="auto"/>
        </w:rPr>
        <w:t>Subject to the terms of the exchange agreement and the amended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restated limited liability company agreement, BellRing Brands,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Units (and the corresponding number of shares of our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Class B common stock) may be exchanged with BellRing Brands,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at any time for, at BellRing Brands, LLC’s option (as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determined by its Board of Managers), (i) shares of our Class A</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common stock or (ii) cash (based on the market price of the shares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of our Class A common stock). The exchange of BellRing Brands,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LLC Units and shares of Class B common stock for shares of</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Class A common stock will be at an initial exchange rate of one</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share of Class A common stock for one BellRing Brands, LLC</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Unit and the corresponding share of Class B common stock,</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subject to customary exchange 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0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2"/>
              </w:rPr>
              <w:t>adjustments for stock splits, stock dividends and reclassifications.</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When a BellRing Brands, LLC Unit and the corresponding share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of our Class B common stock are exchanged by a holder of</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BellRing Brands, LLC Units for a share of our Class A common</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stock or for cash, such share of Class B common stock so</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exchanged will be cancelled.</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Listing</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4"/>
              </w:rPr>
              <w:t>We intend to apply to list our Class A common stock on the NYSE</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under the trading symbol “  ”.</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Controlled company</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4"/>
              </w:rPr>
              <w:t>As a result of Post’s ownership of all of our Class B common stock</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following this offering, Post will beneficially own more than 50%</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of the combined voting power of our outstanding common stock,</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and we will be a “controlled company” within the meaning of the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NYSE corporate governance standards; however, we do not</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3"/>
              </w:rPr>
              <w:t>currently expect to rely on the “controlled company” exemptions.</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Use of proceeds</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9"/>
              </w:rPr>
              <w:t>We estimate that the net proceeds from the sale of our Class A</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6"/>
              </w:rPr>
              <w:t>common stock in this offering, after deducting the underwriting</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discount and expenses of this offering, will be approximately</w:t>
            </w:r>
          </w:p>
        </w:tc>
      </w:tr>
      <w:tr>
        <w:trPr>
          <w:trHeight w:val="216"/>
        </w:trPr>
        <w:tc>
          <w:tcPr>
            <w:tcW w:w="3560" w:type="dxa"/>
            <w:vAlign w:val="bottom"/>
          </w:tcPr>
          <w:p>
            <w:pPr>
              <w:spacing w:after="0"/>
              <w:rPr>
                <w:sz w:val="18"/>
                <w:szCs w:val="18"/>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rPr>
              <w:t>$</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3300" w:type="dxa"/>
            <w:vAlign w:val="bottom"/>
          </w:tcPr>
          <w:p>
            <w:pPr>
              <w:ind w:left="200"/>
              <w:spacing w:after="0"/>
              <w:rPr>
                <w:sz w:val="20"/>
                <w:szCs w:val="20"/>
                <w:color w:val="auto"/>
              </w:rPr>
            </w:pPr>
            <w:r>
              <w:rPr>
                <w:rFonts w:ascii="Arial" w:cs="Arial" w:eastAsia="Arial" w:hAnsi="Arial"/>
                <w:sz w:val="18"/>
                <w:szCs w:val="18"/>
                <w:color w:val="auto"/>
                <w:w w:val="98"/>
              </w:rPr>
              <w:t>million if the underwriters exercise their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over-allotment option in full) based on an assumed initial public</w:t>
            </w:r>
          </w:p>
        </w:tc>
      </w:tr>
      <w:tr>
        <w:trPr>
          <w:trHeight w:val="216"/>
        </w:trPr>
        <w:tc>
          <w:tcPr>
            <w:tcW w:w="3560" w:type="dxa"/>
            <w:vAlign w:val="bottom"/>
          </w:tcPr>
          <w:p>
            <w:pPr>
              <w:spacing w:after="0"/>
              <w:rPr>
                <w:sz w:val="18"/>
                <w:szCs w:val="18"/>
                <w:color w:val="auto"/>
              </w:rPr>
            </w:pPr>
          </w:p>
        </w:tc>
        <w:tc>
          <w:tcPr>
            <w:tcW w:w="3780" w:type="dxa"/>
            <w:vAlign w:val="bottom"/>
            <w:gridSpan w:val="2"/>
          </w:tcPr>
          <w:p>
            <w:pPr>
              <w:ind w:left="2260"/>
              <w:spacing w:after="0"/>
              <w:rPr>
                <w:sz w:val="20"/>
                <w:szCs w:val="20"/>
                <w:color w:val="auto"/>
              </w:rPr>
            </w:pPr>
            <w:r>
              <w:rPr>
                <w:rFonts w:ascii="Arial" w:cs="Arial" w:eastAsia="Arial" w:hAnsi="Arial"/>
                <w:sz w:val="18"/>
                <w:szCs w:val="18"/>
                <w:color w:val="auto"/>
              </w:rPr>
              <w:t>offering price of $</w:t>
            </w:r>
          </w:p>
        </w:tc>
        <w:tc>
          <w:tcPr>
            <w:tcW w:w="3300" w:type="dxa"/>
            <w:vAlign w:val="bottom"/>
          </w:tcPr>
          <w:p>
            <w:pPr>
              <w:ind w:left="160"/>
              <w:spacing w:after="0"/>
              <w:rPr>
                <w:sz w:val="20"/>
                <w:szCs w:val="20"/>
                <w:color w:val="auto"/>
              </w:rPr>
            </w:pPr>
            <w:r>
              <w:rPr>
                <w:rFonts w:ascii="Arial" w:cs="Arial" w:eastAsia="Arial" w:hAnsi="Arial"/>
                <w:sz w:val="18"/>
                <w:szCs w:val="18"/>
                <w:color w:val="auto"/>
                <w:w w:val="98"/>
              </w:rPr>
              <w:t>per share (the midpoint of the estimated</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7"/>
              </w:rPr>
              <w:t>initial public offering price range set forth on the cover page of</w:t>
            </w:r>
          </w:p>
        </w:tc>
      </w:tr>
      <w:tr>
        <w:trPr>
          <w:trHeight w:val="230"/>
        </w:trPr>
        <w:tc>
          <w:tcPr>
            <w:tcW w:w="3560" w:type="dxa"/>
            <w:vAlign w:val="bottom"/>
          </w:tcPr>
          <w:p>
            <w:pPr>
              <w:spacing w:after="0"/>
              <w:rPr>
                <w:sz w:val="20"/>
                <w:szCs w:val="20"/>
                <w:color w:val="auto"/>
              </w:rPr>
            </w:pPr>
          </w:p>
        </w:tc>
        <w:tc>
          <w:tcPr>
            <w:tcW w:w="3780" w:type="dxa"/>
            <w:vAlign w:val="bottom"/>
            <w:gridSpan w:val="2"/>
          </w:tcPr>
          <w:p>
            <w:pPr>
              <w:ind w:left="2260"/>
              <w:spacing w:after="0"/>
              <w:rPr>
                <w:sz w:val="20"/>
                <w:szCs w:val="20"/>
                <w:color w:val="auto"/>
              </w:rPr>
            </w:pPr>
            <w:r>
              <w:rPr>
                <w:rFonts w:ascii="Arial" w:cs="Arial" w:eastAsia="Arial" w:hAnsi="Arial"/>
                <w:sz w:val="18"/>
                <w:szCs w:val="18"/>
                <w:color w:val="auto"/>
              </w:rPr>
              <w:t>this prospectus).</w:t>
            </w:r>
          </w:p>
        </w:tc>
        <w:tc>
          <w:tcPr>
            <w:tcW w:w="3300" w:type="dxa"/>
            <w:vAlign w:val="bottom"/>
          </w:tcPr>
          <w:p>
            <w:pPr>
              <w:spacing w:after="0"/>
              <w:rPr>
                <w:sz w:val="20"/>
                <w:szCs w:val="20"/>
                <w:color w:val="auto"/>
              </w:rPr>
            </w:pPr>
          </w:p>
        </w:tc>
      </w:tr>
      <w:tr>
        <w:trPr>
          <w:trHeight w:val="283"/>
        </w:trPr>
        <w:tc>
          <w:tcPr>
            <w:tcW w:w="3560" w:type="dxa"/>
            <w:vAlign w:val="bottom"/>
          </w:tcPr>
          <w:p>
            <w:pPr>
              <w:spacing w:after="0"/>
              <w:rPr>
                <w:sz w:val="24"/>
                <w:szCs w:val="24"/>
                <w:color w:val="auto"/>
              </w:rPr>
            </w:pP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rPr>
              <w:t>BellRing Brands, Inc. will contribute the net proceeds of this</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offering to BellRing Brands, LLC in exchange for BellRing</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Brands, LLC Units as described under “—Formation</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9"/>
              </w:rPr>
              <w:t>Transactions.” BellRing Brands, LLC, in turn, will use the net</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7"/>
              </w:rPr>
              <w:t>proceeds of this offering that it receives from BellRing Brands,</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Inc. to repay a portion of the Post bridge loan. Immediately after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1"/>
              </w:rPr>
              <w:t>the completion of the formation transactions and the completion of</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3"/>
              </w:rPr>
              <w:t>this offering, BellRing Brands, LLC expects to enter into the debt</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8"/>
              </w:rPr>
              <w:t>facilities and use the proceeds of such borrowing to repay the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1"/>
              </w:rPr>
              <w:t>remaining balance of the Post bridge loan. See “Use of Proceeds”</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and “Description of Certain Indebtedness—Debt Facilities”.</w:t>
            </w:r>
          </w:p>
        </w:tc>
      </w:tr>
      <w:tr>
        <w:trPr>
          <w:trHeight w:val="283"/>
        </w:trPr>
        <w:tc>
          <w:tcPr>
            <w:tcW w:w="3560" w:type="dxa"/>
            <w:vAlign w:val="bottom"/>
          </w:tcPr>
          <w:p>
            <w:pPr>
              <w:spacing w:after="0"/>
              <w:rPr>
                <w:sz w:val="20"/>
                <w:szCs w:val="20"/>
                <w:color w:val="auto"/>
              </w:rPr>
            </w:pPr>
            <w:r>
              <w:rPr>
                <w:rFonts w:ascii="Arial" w:cs="Arial" w:eastAsia="Arial" w:hAnsi="Arial"/>
                <w:sz w:val="18"/>
                <w:szCs w:val="18"/>
                <w:color w:val="auto"/>
              </w:rPr>
              <w:t>Dividend Policy</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2"/>
              </w:rPr>
              <w:t>We do not intend to pay dividends on our Class A common stock or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to cause BellRing Brands, LLC to make distributions to its</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members (other than to make certain distributions as described</w:t>
            </w:r>
          </w:p>
        </w:tc>
      </w:tr>
    </w:tbl>
    <w:p>
      <w:pPr>
        <w:ind w:left="6120"/>
        <w:spacing w:after="0"/>
        <w:rPr>
          <w:sz w:val="20"/>
          <w:szCs w:val="20"/>
          <w:color w:val="auto"/>
        </w:rPr>
      </w:pPr>
      <w:r>
        <w:rPr>
          <w:rFonts w:ascii="Arial" w:cs="Arial" w:eastAsia="Arial" w:hAnsi="Arial"/>
          <w:sz w:val="17"/>
          <w:szCs w:val="17"/>
          <w:color w:val="auto"/>
        </w:rPr>
        <w:t>under “Certain Relationships and Related Party Transactions—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Post-Offering Relationship 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Post—Amended and Restated Limited Liability Company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Agreement”). We anticipate that we will retain all available funds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and any future earnings to support our operations and to finance</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growth and development of our business. Any future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determination to pay dividends on our Class A common stock will</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be made by our Board of Directors.</w:t>
      </w:r>
    </w:p>
    <w:p>
      <w:pPr>
        <w:sectPr>
          <w:pgSz w:w="11900" w:h="16838" w:orient="portrait"/>
          <w:cols w:equalWidth="0" w:num="1">
            <w:col w:w="10920"/>
          </w:cols>
          <w:pgMar w:left="320" w:top="459" w:right="659" w:bottom="1440" w:gutter="0" w:footer="0" w:header="0"/>
        </w:sectPr>
      </w:pP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Tax Receivable Agreement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hanging="179"/>
        <w:spacing w:after="0" w:line="285" w:lineRule="auto"/>
        <w:rPr>
          <w:sz w:val="20"/>
          <w:szCs w:val="20"/>
          <w:color w:val="auto"/>
        </w:rPr>
      </w:pPr>
      <w:r>
        <w:rPr>
          <w:rFonts w:ascii="Arial" w:cs="Arial" w:eastAsia="Arial" w:hAnsi="Arial"/>
          <w:sz w:val="16"/>
          <w:szCs w:val="16"/>
          <w:color w:val="auto"/>
        </w:rPr>
        <w:t>We intend to enter into a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Post’s (or certain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 (c) certain tax benefits attributable to payments under the tax receivable agreement. See “Certain Relationships and Related Party Transactions—Post-Offering Relationship with Post—Tax Receivable Agreement.”</w:t>
      </w:r>
    </w:p>
    <w:p>
      <w:pPr>
        <w:spacing w:after="0" w:line="174" w:lineRule="exact"/>
        <w:rPr>
          <w:sz w:val="20"/>
          <w:szCs w:val="20"/>
          <w:color w:val="auto"/>
        </w:rPr>
      </w:pPr>
    </w:p>
    <w:p>
      <w:pPr>
        <w:sectPr>
          <w:pgSz w:w="11900" w:h="16838" w:orient="portrait"/>
          <w:cols w:equalWidth="0" w:num="2">
            <w:col w:w="5400" w:space="720"/>
            <w:col w:w="4800"/>
          </w:cols>
          <w:pgMar w:left="320" w:top="459" w:right="659" w:bottom="1440" w:gutter="0" w:footer="0" w:header="0"/>
          <w:type w:val="continuous"/>
        </w:sectPr>
      </w:pPr>
    </w:p>
    <w:p>
      <w:pPr>
        <w:ind w:left="300" w:right="280" w:firstLine="426"/>
        <w:spacing w:after="0" w:line="291"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that we plan to adopt</w:t>
      </w:r>
    </w:p>
    <w:p>
      <w:pPr>
        <w:ind w:left="300" w:right="60"/>
        <w:spacing w:after="0" w:line="255" w:lineRule="auto"/>
        <w:rPr>
          <w:sz w:val="20"/>
          <w:szCs w:val="20"/>
          <w:color w:val="auto"/>
        </w:rPr>
      </w:pPr>
      <w:r>
        <w:rPr>
          <w:rFonts w:ascii="Arial" w:cs="Arial" w:eastAsia="Arial" w:hAnsi="Arial"/>
          <w:sz w:val="18"/>
          <w:szCs w:val="18"/>
          <w:color w:val="auto"/>
        </w:rPr>
        <w:t>prior to this offering. We have reserved shares of our Class A common stock for issuance under the BellRing Brands, Inc. 2019 Long-Term Incentive Plan. See “Executive Compensation—BellRing Brands, Inc. 2019 Long-Term Incentive Plan” for additional information regarding our equity incentive plan.</w:t>
      </w:r>
    </w:p>
    <w:p>
      <w:pPr>
        <w:spacing w:after="0" w:line="190"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120" w:right="20" w:hanging="403"/>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The following tables set forth certain summary historical condensed combined financial data for Post’s Active Nutrition business as of and for each of the fiscal years in the three-year period ended September 30, 2018, and as of and for the three months ended December 31, 2018 and 2017.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three months ended December 31, 2018 and 2017 and (iv) “Management’s Discussion and Analysis of Financial Condition and Results of Operations,” each of which is contained elsewhere in this prospectus.</w:t>
      </w:r>
    </w:p>
    <w:p>
      <w:pPr>
        <w:spacing w:after="0" w:line="165"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summary unaudited historical condensed combined financial data as of and for the three months ended December 31, 2018 and 2017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Active Nutrition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760" w:type="dxa"/>
            <w:vAlign w:val="bottom"/>
            <w:gridSpan w:val="7"/>
          </w:tcPr>
          <w:p>
            <w:pPr>
              <w:jc w:val="center"/>
              <w:ind w:right="228"/>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34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368"/>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sales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185.8</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$ 186.0</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$ 827.5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$574.7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179.2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20" w:type="dxa"/>
            <w:vAlign w:val="bottom"/>
            <w:gridSpan w:val="3"/>
          </w:tcPr>
          <w:p>
            <w:pPr>
              <w:jc w:val="right"/>
              <w:ind w:right="8"/>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1"/>
              </w:rPr>
              <w:t>(133.0)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(84.0)</w:t>
            </w: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w w:val="84"/>
              </w:rPr>
              <w:t>118.5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Active Nutrition</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8"/>
            <w:vMerge w:val="restart"/>
          </w:tcPr>
          <w:p>
            <w:pPr>
              <w:jc w:val="right"/>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560.4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451.7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280" w:hanging="422"/>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6"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All of our RTD protein shakes and most of our other products are manufactured by a limited number of independent third party contract manufacturers. In fiscal 2018, approximately 92%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came from a single supplier and approximately 67%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6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For example, production capacity constraints for our RTD protein shakes adversely affected our business and results of operations during fiscal 2019, which resulted in the volume increases of our RTD protein shakes being significantly below recent growth trends. See “Management’s Discussion and Analysis of Financial Condition and Results of Operations.” If we need to replace an existing third party contract manufacturer, our products may not be available when required on acceptable terms, or at all.</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convenient nutrition category, which includes the everyday nutrition, adult nutrition, sports nutrition and weight management consumer need states, is highly competitive. We compete with other brands in the convenient nutrition category and with many nutritional food and beverage players.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274"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Competitors can be affected differently by weather conditions and natural disasters depending on the location of their suppliers and operations.</w:t>
      </w:r>
    </w:p>
    <w:p>
      <w:pPr>
        <w:spacing w:after="0" w:line="178"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develop and offer products to meet these preferences.</w:t>
      </w:r>
    </w:p>
    <w:p>
      <w:pPr>
        <w:spacing w:after="0" w:line="1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26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7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269"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9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March 1, 2019, we had approximately 370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5" w:lineRule="exact"/>
        <w:rPr>
          <w:sz w:val="20"/>
          <w:szCs w:val="20"/>
          <w:color w:val="auto"/>
        </w:rPr>
      </w:pPr>
    </w:p>
    <w:p>
      <w:pPr>
        <w:ind w:left="560" w:right="92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6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980" w:right="220" w:hanging="432"/>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8"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4"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or BellRing Brands, LLC, in which case tax penalties and interest may be imposed that could adversely our financial position and affect the value of our stock.</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market size and related estimates may prove to be inaccurate.</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forecasts and information obtained from</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With approximately 370 employees as of March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 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300"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7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9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120" w:right="660" w:firstLine="440"/>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of Proceeds,”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980" w:right="260" w:hanging="43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980" w:right="180" w:hanging="43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980" w:right="280" w:hanging="432"/>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70"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56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7" w:lineRule="auto"/>
        <w:rPr>
          <w:sz w:val="20"/>
          <w:szCs w:val="20"/>
          <w:color w:val="auto"/>
        </w:rPr>
      </w:pPr>
      <w:r>
        <w:rPr>
          <w:rFonts w:ascii="Arial" w:cs="Arial" w:eastAsia="Arial" w:hAnsi="Arial"/>
          <w:sz w:val="16"/>
          <w:szCs w:val="16"/>
          <w:color w:val="auto"/>
        </w:rPr>
        <w:t>that may be incurred in compliance with these restrictions could be substantial. These restrictions also may not prevent us from incurring certain obligations that may not constitute indebtedness under the documents governing our indebtedness. In addition, in order to preserve its intended tax treatment in connection with the formation transactions, we expect that Post will require that BellRing Brands, LLC maintain a level of outstanding</w:t>
      </w:r>
    </w:p>
    <w:p>
      <w:pPr>
        <w:spacing w:after="0" w:line="2" w:lineRule="exact"/>
        <w:rPr>
          <w:sz w:val="20"/>
          <w:szCs w:val="20"/>
          <w:color w:val="auto"/>
        </w:rPr>
      </w:pPr>
    </w:p>
    <w:p>
      <w:pPr>
        <w:ind w:left="120"/>
        <w:spacing w:after="0"/>
        <w:tabs>
          <w:tab w:leader="none" w:pos="2680" w:val="left"/>
        </w:tabs>
        <w:rPr>
          <w:sz w:val="20"/>
          <w:szCs w:val="20"/>
          <w:color w:val="auto"/>
        </w:rPr>
      </w:pPr>
      <w:r>
        <w:rPr>
          <w:rFonts w:ascii="Arial" w:cs="Arial" w:eastAsia="Arial" w:hAnsi="Arial"/>
          <w:sz w:val="18"/>
          <w:szCs w:val="18"/>
          <w:color w:val="auto"/>
        </w:rPr>
        <w:t>indebtedness at least equal to $</w:t>
      </w:r>
      <w:r>
        <w:rPr>
          <w:sz w:val="20"/>
          <w:szCs w:val="20"/>
          <w:color w:val="auto"/>
        </w:rPr>
        <w:tab/>
      </w:r>
      <w:r>
        <w:rPr>
          <w:rFonts w:ascii="Arial" w:cs="Arial" w:eastAsia="Arial" w:hAnsi="Arial"/>
          <w:sz w:val="16"/>
          <w:szCs w:val="16"/>
          <w:color w:val="auto"/>
        </w:rPr>
        <w:t>for so long as Post owns an interest in BellRing Brands, LLC.</w:t>
      </w:r>
    </w:p>
    <w:p>
      <w:pPr>
        <w:spacing w:after="0" w:line="319" w:lineRule="exact"/>
        <w:rPr>
          <w:sz w:val="20"/>
          <w:szCs w:val="20"/>
          <w:color w:val="auto"/>
        </w:rPr>
      </w:pPr>
    </w:p>
    <w:p>
      <w:pPr>
        <w:ind w:left="560" w:right="32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95"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After the completion of this offering, Post will own all of the shares of our Class B common stock, which will represent approximately % of the total outstanding shares of our common stock and approximately % of the total voting power of both classes of our common stock outstanding after this offering (or approximately % and %, respectively, if the underwriters exercise their over-allotment option in full). The calculation of Post’s voting power reflects an assumed initial public offering price of $ per share, which is the midpoint of the estimated offering price range set forth on the cover page of this prospectus.</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long as Post owns shares of our common stock representing a majority of the total voting power of our outstanding common stock, it will be able to control nearly all corporate actions that require a stockholder vote, regardless of the vote of any other stockholder. As a result, Post will have the ability to control significant matters involving us, including:</w:t>
      </w:r>
    </w:p>
    <w:p>
      <w:pPr>
        <w:spacing w:after="0" w:line="89" w:lineRule="exact"/>
        <w:rPr>
          <w:sz w:val="20"/>
          <w:szCs w:val="20"/>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980" w:right="760" w:hanging="43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shares of our common stock representing less than a majority of the total voting power of our outstanding common stock, Post will have the ability to substantially influence these matters for as long as it owns a significant portion of the voting power.</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150-day lock-up period, Post, if it has exchanged shares of our Class B common stock and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In addition, Post may determine to distribute its beneficial retained interest in BellRing Brands, LLC by means of a tax-free spin-off to its shareholders. See “Shares Eligible for Future Sale.”</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120" w:right="440" w:firstLine="440"/>
        <w:spacing w:after="0" w:line="255" w:lineRule="auto"/>
        <w:rPr>
          <w:sz w:val="20"/>
          <w:szCs w:val="20"/>
          <w:color w:val="auto"/>
        </w:rPr>
      </w:pPr>
      <w:r>
        <w:rPr>
          <w:rFonts w:ascii="Arial" w:cs="Arial" w:eastAsia="Arial" w:hAnsi="Arial"/>
          <w:sz w:val="18"/>
          <w:szCs w:val="18"/>
          <w:color w:val="auto"/>
        </w:rPr>
        <w:t>Our amended and restated certificate of incorporation will include certain provisions regulating and defining the conduct of our affairs to the extent that they may involve Post and its directors, officers, employees, agents and other affiliates (except that we and our subsidiaries will not be deemed affiliates of Post or its affiliates for purposes of these provisions) and our rights, powers, duties and liabilities and those of our directors, officers, managers, employees and stockholders in connection with our relationship with Post. In general, and except as may be set forth in any agreement between us and Post, these provisions will provide that Post may carry on and conduct any business of any kind, nature or description, whether or not such business is competitive with or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same or similar lines of business as us; Post may do business with any of our customers, vendors and lessors; and Post may make investments in any kind of property in which we may make investments. In addition, these provisions will provide that we renounce any interest or expectancy to participate in any business of Post.</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Moreover, our amended and restated certificate of incorporation will provide that we renounce any interests or expectancy in corporate opportunities which become known to (i) any of our directors, officers, managers or employees who also are directors, officers, employees, agents or other affiliates of Post or its affiliates (except that we and our subsidiaries will not be deemed affiliates of Post or its affiliates for the purposes of the provision) or (ii) Post or its affiliates. Generally, neither Post nor our directors, officers, managers or employees who also are directors, officers, employees, agents or other affiliates of Post or its affiliates will be liable to us or our stockholders for breach of any fiduciary duty by reason of the fact that any such person pursues or acquires any corporate opportunity for the account of Post or its affiliates, directs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or employees in writing, solely in his or her capacity as a director, officer, manager or employee of us.</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other affiliates of Post serve as our directors, officers, managers or employees. The corporate opportunity provision may exacerbate conflicts of interest between Post and us because the provision effectively permits one of our directors, officers, managers or employees who also serves as a director, officer, employee, agent or other affiliate of Post or its affiliates to choose to direct a corporate opportunity to Post or its affiliates instead of to us.</w:t>
      </w:r>
    </w:p>
    <w:p>
      <w:pPr>
        <w:spacing w:after="0" w:line="284"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connection with this offering, BellRing Brands, LLC will enter into a tax matters agreement with Post. Under the tax matters agreement, Post will be responsible for all taxes for Post’s Active Nutrition business which relate to pre-offering periods, and BellRing Brands, LLC generally will be responsible and will be required to indemnify Post or any of its affiliates (other than us or any of our subsidiaries)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96" w:lineRule="auto"/>
        <w:rPr>
          <w:sz w:val="20"/>
          <w:szCs w:val="20"/>
          <w:color w:val="auto"/>
        </w:rPr>
      </w:pPr>
      <w:r>
        <w:rPr>
          <w:rFonts w:ascii="Arial" w:cs="Arial" w:eastAsia="Arial" w:hAnsi="Arial"/>
          <w:sz w:val="16"/>
          <w:szCs w:val="16"/>
          <w:color w:val="auto"/>
        </w:rPr>
        <w:t>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6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We will be required to pay Post for certain tax benefits we may realize that arise in connection with this offering and related transactions. Payments under the tax receivable agreement may be substantial and, in certain circumstances, may be accelerated and/or significantly exceed the actual tax benefits we realize.</w:t>
      </w:r>
    </w:p>
    <w:p>
      <w:pPr>
        <w:spacing w:after="0" w:line="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the future, our Class B common stock, together with the corresponding number of BellRing Brands, LLC Units, may be exchanged for, at the option of BellRing Brands, LLC (as determined by its Board of Managers), shares of our Class A common stock, or for cash. See “Certain Relationships and Related Party Transactions—Post-Offering Relationship with Post—Exchange Agreement.” These exchanges, as well as certain other actual or deemed distributions from BellRing Brands, LLC to Post (or certain of its transferees or assignees), may result in increases in our proportionate shares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assets to the extent the increased tax basis is allocated to those assets. The IRS may challenge all or part of these tax basis increases and no assurances can be made regarding the availability of these tax basis increases.</w:t>
      </w:r>
    </w:p>
    <w:p>
      <w:pPr>
        <w:spacing w:after="0" w:line="166"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Upon the closing of this offering, we will enter into a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w:t>
      </w:r>
    </w:p>
    <w:p>
      <w:pPr>
        <w:spacing w:after="0" w:line="4" w:lineRule="exact"/>
        <w:rPr>
          <w:sz w:val="20"/>
          <w:szCs w:val="20"/>
          <w:color w:val="auto"/>
        </w:rPr>
      </w:pPr>
    </w:p>
    <w:p>
      <w:pPr>
        <w:ind w:left="120" w:right="100" w:hanging="4"/>
        <w:spacing w:after="0" w:line="295" w:lineRule="auto"/>
        <w:tabs>
          <w:tab w:leader="none" w:pos="3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Post could be substantial.</w:t>
      </w:r>
    </w:p>
    <w:p>
      <w:pPr>
        <w:spacing w:after="0" w:line="16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Post generally will not reimburse us for any payments that may previously have been made under the tax receivable agreement even if the IRS subsequently disallows the tax basis increase or any other relevant tax item. Instead, any excess cash payments made by us to Post will be netted against any future cash payments that we might otherwise be required to make under the terms of the tax receivable agreement. However, we might not determine that we have effectively made an excess cash payment to Post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 Our ability to achieve tax benefits from any tax basis increase in BellRing Brands, LLC’s assets and the payments to be made under the tax receivable agreement will depend upon a number of factors, including the timing and amount of our future income and the nature of our assets.</w:t>
      </w:r>
    </w:p>
    <w:p>
      <w:pPr>
        <w:spacing w:after="0" w:line="17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the tax receivable agreement will provide that, upon a merger, asset sale or other form of business combination or certain other changes of control or if, at any time, we elect an early termination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tax receivable agreement or materially breach any of our material obligations under the tax receivable agreement, our (or our successor’s) obligations under the tax receivable agreement with respect to exchanged or acquired shares of our Class B common stock, together with the corresponding number of BellRing Brands, LLC Units (whether exchanged or acquired before or after such change of control or early termination), would be required to be paid significantly in advance of the actual realization, if any, of any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shares of our Class B common stock, together with the corresponding number of BellRing Brands, LLC Units, that have not been exchanged will be deemed exchanged for the market value of our Class A common stock at the time of termination. Consequently, it is possible that the actual tax savings realized by us may be significantly less than the corresponding tax receivable agreement payments that we will be required to make to Post under the tax receivable agreement.</w:t>
      </w:r>
    </w:p>
    <w:p>
      <w:pPr>
        <w:spacing w:after="0" w:line="166"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Any payments made by us to Post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w:t>
      </w:r>
    </w:p>
    <w:p>
      <w:pPr>
        <w:spacing w:after="0" w:line="265" w:lineRule="exact"/>
        <w:rPr>
          <w:sz w:val="20"/>
          <w:szCs w:val="20"/>
          <w:color w:val="auto"/>
        </w:rPr>
      </w:pPr>
    </w:p>
    <w:p>
      <w:pPr>
        <w:ind w:left="560" w:right="40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shares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w:t>
      </w:r>
    </w:p>
    <w:p>
      <w:pPr>
        <w:spacing w:after="0" w:line="1" w:lineRule="exact"/>
        <w:rPr>
          <w:sz w:val="20"/>
          <w:szCs w:val="20"/>
          <w:color w:val="auto"/>
        </w:rPr>
      </w:pPr>
    </w:p>
    <w:p>
      <w:pPr>
        <w:ind w:left="120" w:right="40" w:hanging="4"/>
        <w:spacing w:after="0" w:line="323" w:lineRule="auto"/>
        <w:tabs>
          <w:tab w:leader="none" w:pos="3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tax benefits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6"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exchanges of BellRing Brands, LLC Units (and the corresponding number of shares of Class B common stock), such cash payments may reduce the amount of overall cash flow that would otherwise be available to us.</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Subject to the terms of the exchange agreement and the amended and restated limited liability company agreement, BellRing Brands, LLC Units (and the corresponding number of shares of our Class B common stock) may be exchanged with BellRing Brands, LLC at any time for, at the option of BellRing Brands, LLC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90"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exchanged shares of our Class B common stock and the corresponding number of BellRing Brands, LLC Units for shares of our Class A common stock, to sell or otherwise dispose of all or a portion of the shares of our Class A common stock that it owns to third parties. In addition, Post may determine to distribute its beneficial retained interest in BellRing Brands, LLC by means of a tax-free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Prior to completion of this offering, Post has provided us with various services including finance, information technology, legal, human resources, quality and purchasing functions. Following this offering, we expect Post to continue to provide many of these services to us for a fee provided for in the transition services agreement described in “Certain Relationships and Related Party Transactions—Post-Offering Relationship with Post—Transition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560" w:right="24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303"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and purchasing functions. Following this offering, Post will continue to provide some of these services to us on a transitional basis pursuant to a transition services agreement. For more information regarding the transition services agreement, see “Certain Relationships and Related Party Transactions—Post-Offering Relationship with Post—Transition Services Agreement.” However, we cannot assure you that all of these functions will be successfully executed by Post during the transition period or that we will not have to expend significant efforts or costs materially in excess of those estimated in the transition services agreement. Any interruption in these services could have a material adverse effect on our business, financial condition, results of operations and cash flows. In addition, at the end of this transition period, we will need to perform these functions ourselves or hire third parties to perform these functions on our behalf.</w:t>
      </w:r>
    </w:p>
    <w:p>
      <w:pPr>
        <w:spacing w:after="0" w:line="280" w:lineRule="exact"/>
        <w:rPr>
          <w:sz w:val="20"/>
          <w:szCs w:val="20"/>
          <w:color w:val="auto"/>
        </w:rPr>
      </w:pPr>
    </w:p>
    <w:p>
      <w:pPr>
        <w:ind w:left="560" w:right="34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2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6"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 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w:t>
      </w:r>
    </w:p>
    <w:p>
      <w:pPr>
        <w:ind w:left="120" w:right="80"/>
        <w:spacing w:after="0" w:line="281" w:lineRule="auto"/>
        <w:rPr>
          <w:sz w:val="20"/>
          <w:szCs w:val="20"/>
          <w:color w:val="auto"/>
        </w:rPr>
      </w:pPr>
      <w:r>
        <w:rPr>
          <w:rFonts w:ascii="Arial" w:cs="Arial" w:eastAsia="Arial" w:hAnsi="Arial"/>
          <w:sz w:val="16"/>
          <w:szCs w:val="16"/>
          <w:color w:val="auto"/>
        </w:rPr>
        <w:t>substantial dilution of $ per share, the difference between the price per share you paid for a share of Class A common stock (based on the midpoint of the estimated offering price range set forth on the cover page of this prospectus) and the as adjusted net tangible book value per share of our Class A</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common stock calculated as of , after giving effect to the issuance of shares of our Class A common stock in this offering. For additional information about the dilution that you will experience immediately after this offering, see “Dilution.”</w:t>
      </w:r>
    </w:p>
    <w:p>
      <w:pPr>
        <w:spacing w:after="0" w:line="293"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among us, Post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87"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 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apply to list our Class A common stock on the NYSE under the symbol “ ”.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5" w:lineRule="exact"/>
        <w:rPr>
          <w:sz w:val="20"/>
          <w:szCs w:val="20"/>
          <w:color w:val="auto"/>
        </w:rPr>
      </w:pPr>
    </w:p>
    <w:p>
      <w:pPr>
        <w:ind w:left="560" w:right="42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w:t>
      </w:r>
    </w:p>
    <w:p>
      <w:pPr>
        <w:spacing w:after="0" w:line="1"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have</w:t>
      </w:r>
      <w:r>
        <w:rPr>
          <w:sz w:val="20"/>
          <w:szCs w:val="20"/>
          <w:color w:val="auto"/>
        </w:rPr>
        <w:tab/>
      </w:r>
      <w:r>
        <w:rPr>
          <w:rFonts w:ascii="Arial" w:cs="Arial" w:eastAsia="Arial" w:hAnsi="Arial"/>
          <w:sz w:val="18"/>
          <w:szCs w:val="18"/>
          <w:color w:val="auto"/>
        </w:rPr>
        <w:t>shares of outstanding Class A common stock 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fully diluted basis, assuming that all of the BellRing Brands, LLC Units outstanding (and the corresponding shares of our Class B common stock) after giving effect to the formation transactions and this offering described under “Prospectus Summary—Formation Transactions,” excluding those held by us, are exchanged into shares of our Class A common stock and assuming no exercise of the underwriters’ over-allotment option. Also, in the future, we may issue common stock in connection with investments or acquisitions. The number of shares of common stock issued in connection with an investment or acquisition could constitute a material portion of our then outstanding shares of common stock.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w:t>
      </w:r>
    </w:p>
    <w:p>
      <w:pPr>
        <w:spacing w:after="0" w:line="4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and Post, which will hold BellRing Brands, LLC Units and the same number of shares of our Class B common stock, which will represent % of the combined voting power of our outstanding common stock (or % if the underwriters exercise their over-allotment option in full). Subject to the terms of the exchange agreement and the amended and restated limited liability company agreement, BellRing Brands, LLC Units (and the corresponding number of shares of our Class B common stock) will be exchangeable for, at the option of BellRing Brands, LLC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Shares of our Class A common stock issuable upon an exchange of BellRing Brands, LLC Units as described above would be considered “restricted securities,” as that term is defined in Rule 144 under the Securities Act, unless the exchange is registered under the Securities Act. We, our executive officers and directors and Post also will agree with the underwriters not to 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150 days after the date of this prospectus, except with the prior written consent of the representatives of the underwriters. After the expiration of the 150-day lock-up period, the shares of our Class A common stock issuable upon exchange of BellRing Brands, LLC Units (and the corresponding number of shares of our Class B common stock) will be eligible for resale from time to time, subject to certain contractual restrictions and the requirements of the Securities Act.</w:t>
      </w:r>
    </w:p>
    <w:p>
      <w:pPr>
        <w:spacing w:after="0" w:line="17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intend to file a registration statement under the Securities Act registering shares of our Class A common stock reserved for issuance under the BellRing Brands, Inc. 2019 Long-Term Incentive Plan, which will be effective at the time of the offering,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150-day lock-up period described above.</w:t>
      </w:r>
    </w:p>
    <w:p>
      <w:pPr>
        <w:spacing w:after="0" w:line="30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560"/>
        <w:spacing w:after="0"/>
        <w:tabs>
          <w:tab w:leader="none" w:pos="7440" w:val="left"/>
        </w:tabs>
        <w:rPr>
          <w:sz w:val="20"/>
          <w:szCs w:val="20"/>
          <w:color w:val="auto"/>
        </w:rPr>
      </w:pPr>
      <w:r>
        <w:rPr>
          <w:rFonts w:ascii="Arial" w:cs="Arial" w:eastAsia="Arial" w:hAnsi="Arial"/>
          <w:sz w:val="18"/>
          <w:szCs w:val="18"/>
          <w:color w:val="auto"/>
        </w:rPr>
        <w:t>Our amended and restated certificate of incorporation will authorize us to issue up to</w:t>
      </w:r>
      <w:r>
        <w:rPr>
          <w:sz w:val="20"/>
          <w:szCs w:val="20"/>
          <w:color w:val="auto"/>
        </w:rPr>
        <w:tab/>
      </w:r>
      <w:r>
        <w:rPr>
          <w:rFonts w:ascii="Arial" w:cs="Arial" w:eastAsia="Arial" w:hAnsi="Arial"/>
          <w:sz w:val="16"/>
          <w:szCs w:val="16"/>
          <w:color w:val="auto"/>
        </w:rPr>
        <w:t>shares of Class A common stock, up</w:t>
      </w:r>
    </w:p>
    <w:p>
      <w:pPr>
        <w:spacing w:after="0" w:line="23" w:lineRule="exact"/>
        <w:rPr>
          <w:sz w:val="20"/>
          <w:szCs w:val="20"/>
          <w:color w:val="auto"/>
        </w:rPr>
      </w:pPr>
    </w:p>
    <w:p>
      <w:pPr>
        <w:ind w:left="120"/>
        <w:spacing w:after="0"/>
        <w:tabs>
          <w:tab w:leader="none" w:pos="1040" w:val="left"/>
          <w:tab w:leader="none" w:pos="49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shares of Class B common stock and up to</w:t>
      </w:r>
      <w:r>
        <w:rPr>
          <w:sz w:val="20"/>
          <w:szCs w:val="20"/>
          <w:color w:val="auto"/>
        </w:rPr>
        <w:tab/>
      </w:r>
      <w:r>
        <w:rPr>
          <w:rFonts w:ascii="Arial" w:cs="Arial" w:eastAsia="Arial" w:hAnsi="Arial"/>
          <w:sz w:val="16"/>
          <w:szCs w:val="16"/>
          <w:color w:val="auto"/>
        </w:rPr>
        <w:t>shares of preferred stock with such rights and preferences as may be determined by</w:t>
      </w:r>
    </w:p>
    <w:p>
      <w:pPr>
        <w:spacing w:after="0" w:line="9"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our Board of Directors. Subject to compliance with applicable law and various ancillary agreements we intend to enter into with Post and its affiliates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than us and our subsidiaries)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“Use of Proceeds” and Description of Certain Indebtedness—Debt Facilities.” Our management will not have any discretion over the specific use of such proceeds.</w:t>
      </w:r>
    </w:p>
    <w:p>
      <w:pPr>
        <w:spacing w:after="0" w:line="296"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3" w:lineRule="exact"/>
        <w:rPr>
          <w:sz w:val="20"/>
          <w:szCs w:val="20"/>
          <w:color w:val="auto"/>
        </w:rPr>
      </w:pPr>
    </w:p>
    <w:p>
      <w:pPr>
        <w:ind w:left="980" w:right="660" w:hanging="432"/>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no longer holds a majority of the total voting power of our common stock;</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transferees of any of them) will not be deemed to be “interested stockholders,” regardless of the percentage of our stock owned by them, and accordingly will not be subject to such restrictions.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common stock ownership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279"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4" w:lineRule="exact"/>
        <w:rPr>
          <w:sz w:val="20"/>
          <w:szCs w:val="20"/>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9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980" w:right="20" w:hanging="432"/>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9" w:lineRule="exact"/>
        <w:rPr>
          <w:sz w:val="20"/>
          <w:szCs w:val="20"/>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92"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303"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BellRing Brands, Inc. In addition to tax expenses, BellRing Brands, Inc. also will incur expenses related to its operations, including expenses under the tax receivable agreement, which could be significant. See “Certain Relationships and Related Party Transactions—Post-Offering Relationship with Post—Tax Receivable Agreement.” We expect that BellRing Brands, LLC will make distributions in an amount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sufficient to allow BellRing Brands, Inc. to pay its tax obligations in respect of taxable income allocated to us from BellRing Brands, LLC and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8" w:lineRule="exact"/>
        <w:rPr>
          <w:sz w:val="20"/>
          <w:szCs w:val="20"/>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980" w:right="38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980" w:right="16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980" w:right="480" w:hanging="432"/>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980" w:right="400" w:hanging="432"/>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980" w:right="44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980" w:right="100" w:hanging="432"/>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60"/>
          </w:cols>
          <w:pgMar w:left="320" w:top="459" w:right="7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 and expenses of this offering, will be approximately $ million ($ million if the underwriters exercise their over-allotment option in full) based on an assumed initial public offering price of $ per share (the midpoint of the estimated initial public offering price range set forth on the cover page of this prospectus).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“Description of Certain Indebtedness—Debt Facilities”. The Post bridge loan bears an interest rate of % and</w:t>
      </w:r>
    </w:p>
    <w:p>
      <w:pPr>
        <w:spacing w:after="0" w:line="2" w:lineRule="exact"/>
        <w:rPr>
          <w:sz w:val="20"/>
          <w:szCs w:val="20"/>
          <w:color w:val="auto"/>
        </w:rPr>
      </w:pPr>
    </w:p>
    <w:p>
      <w:pPr>
        <w:ind w:left="120" w:right="200"/>
        <w:spacing w:after="0" w:line="290" w:lineRule="auto"/>
        <w:rPr>
          <w:sz w:val="20"/>
          <w:szCs w:val="20"/>
          <w:color w:val="auto"/>
        </w:rPr>
      </w:pPr>
      <w:r>
        <w:rPr>
          <w:rFonts w:ascii="Arial" w:cs="Arial" w:eastAsia="Arial" w:hAnsi="Arial"/>
          <w:sz w:val="17"/>
          <w:szCs w:val="17"/>
          <w:color w:val="auto"/>
        </w:rPr>
        <w:t>matures on .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61" w:lineRule="exact"/>
        <w:rPr>
          <w:sz w:val="20"/>
          <w:szCs w:val="20"/>
          <w:color w:val="auto"/>
        </w:rPr>
      </w:pPr>
    </w:p>
    <w:p>
      <w:pPr>
        <w:ind w:left="120" w:right="20" w:firstLine="440"/>
        <w:spacing w:after="0"/>
        <w:rPr>
          <w:sz w:val="20"/>
          <w:szCs w:val="20"/>
          <w:color w:val="auto"/>
        </w:rPr>
      </w:pPr>
      <w:r>
        <w:rPr>
          <w:rFonts w:ascii="Arial" w:cs="Arial" w:eastAsia="Arial" w:hAnsi="Arial"/>
          <w:sz w:val="1"/>
          <w:szCs w:val="1"/>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 the same and after deducting the estimated underwriting discounts and commissions. Similarly, each increase or decrease of 1.0 million in the number of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are offering would increase or decrease the net proceeds to us from this offering by $ million, assuming no change in the assumed initial public offering price of $ per share and after deducting the estimated underwriting discounts and commissions.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will be distributed pro rata to its members, currently us and Post, according to the number of BellRing Brands, LLC Units held by each of us. Future agreements governing our indebtedness may also limit our ability to pay dividends. See “Description of Certain Indebtedness” for a description of the restrictions on our ability to pay dividends.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our cash and cash equivalents and capitalization as of December 31, 2018:</w:t>
      </w:r>
    </w:p>
    <w:p>
      <w:pPr>
        <w:spacing w:after="0" w:line="131"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1" w:lineRule="exact"/>
        <w:rPr>
          <w:sz w:val="20"/>
          <w:szCs w:val="20"/>
          <w:color w:val="auto"/>
        </w:rPr>
      </w:pPr>
    </w:p>
    <w:p>
      <w:pPr>
        <w:ind w:left="980" w:right="60" w:hanging="439"/>
        <w:spacing w:after="0" w:line="257" w:lineRule="auto"/>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after giving effect to: (i) this offering, at an assumed initial public offering price of $ per share (which is the midpoint of the estimated offering price range set forth on the cover page of this prospectus) and (ii) the entry of BellRing Brands, LLC into the debt facilities, the borrowing by BellRing Brands, LLC under the debt facilities and the application of the net proceeds of this offering and the debt facilities to repay in full the Post bridge loan as described under “Use of Proceeds,” and assuming no exercise of the underwriters’ over-allotment option.</w:t>
      </w:r>
    </w:p>
    <w:p>
      <w:pPr>
        <w:spacing w:after="0" w:line="18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 audited combined financial statements and the notes thereto as of September 30, 2018 and 2017 and for the three fiscal years ended September 30, 2018 and Post’s Active Nutrition business unaudited condensed combined financial statements and the notes thereto for the three months ended December 31, 2018 and 2017, each appearing elsewhere in this prospectus.</w:t>
      </w:r>
    </w:p>
    <w:p>
      <w:pPr>
        <w:spacing w:after="0" w:line="19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As of December 31, 2018</w:t>
      </w:r>
    </w:p>
    <w:p>
      <w:pPr>
        <w:jc w:val="center"/>
        <w:ind w:left="9000"/>
        <w:spacing w:after="0" w:line="236" w:lineRule="auto"/>
        <w:rPr>
          <w:sz w:val="20"/>
          <w:szCs w:val="20"/>
          <w:color w:val="auto"/>
        </w:rPr>
      </w:pPr>
      <w:r>
        <w:rPr>
          <w:rFonts w:ascii="Arial" w:cs="Arial" w:eastAsia="Arial" w:hAnsi="Arial"/>
          <w:sz w:val="14"/>
          <w:szCs w:val="14"/>
          <w:b w:val="1"/>
          <w:bCs w:val="1"/>
          <w:color w:val="auto"/>
        </w:rPr>
        <w:t>(unaudited)</w:t>
      </w:r>
    </w:p>
    <w:tbl>
      <w:tblPr>
        <w:tblLayout w:type="fixed"/>
        <w:tblInd w:w="120" w:type="dxa"/>
        <w:tblCellMar>
          <w:top w:w="0" w:type="dxa"/>
          <w:left w:w="0" w:type="dxa"/>
          <w:bottom w:w="0" w:type="dxa"/>
          <w:right w:w="0" w:type="dxa"/>
        </w:tblCellMar>
      </w:tblPr>
      <w:tr>
        <w:trPr>
          <w:trHeight w:val="119"/>
        </w:trPr>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7"/>
              </w:rPr>
              <w:t>Active</w:t>
            </w:r>
          </w:p>
        </w:tc>
        <w:tc>
          <w:tcPr>
            <w:tcW w:w="76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BellRing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Brands, Inc.</w:t>
            </w:r>
          </w:p>
        </w:tc>
        <w:tc>
          <w:tcPr>
            <w:tcW w:w="0" w:type="dxa"/>
            <w:vAlign w:val="bottom"/>
          </w:tcPr>
          <w:p>
            <w:pPr>
              <w:spacing w:after="0"/>
              <w:rPr>
                <w:sz w:val="1"/>
                <w:szCs w:val="1"/>
                <w:color w:val="auto"/>
              </w:rPr>
            </w:pPr>
          </w:p>
        </w:tc>
      </w:tr>
      <w:tr>
        <w:trPr>
          <w:trHeight w:val="171"/>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42"/>
        </w:trPr>
        <w:tc>
          <w:tcPr>
            <w:tcW w:w="15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(a)(b)(c)</w:t>
            </w:r>
          </w:p>
        </w:tc>
        <w:tc>
          <w:tcPr>
            <w:tcW w:w="2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2</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Debt facilities</w:t>
            </w:r>
            <w:r>
              <w:rPr>
                <w:rFonts w:ascii="Arial" w:cs="Arial" w:eastAsia="Arial" w:hAnsi="Arial"/>
                <w:sz w:val="15"/>
                <w:szCs w:val="15"/>
                <w:color w:val="auto"/>
                <w:w w:val="95"/>
              </w:rPr>
              <w:t>(a)</w:t>
            </w:r>
          </w:p>
        </w:tc>
        <w:tc>
          <w:tcPr>
            <w:tcW w:w="2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Stockholders’ Equity:</w:t>
            </w:r>
          </w:p>
        </w:tc>
        <w:tc>
          <w:tcPr>
            <w:tcW w:w="2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60"/>
              <w:spacing w:after="0"/>
              <w:rPr>
                <w:sz w:val="20"/>
                <w:szCs w:val="20"/>
                <w:color w:val="auto"/>
              </w:rPr>
            </w:pPr>
            <w:r>
              <w:rPr>
                <w:rFonts w:ascii="Arial" w:cs="Arial" w:eastAsia="Arial" w:hAnsi="Arial"/>
                <w:sz w:val="18"/>
                <w:szCs w:val="18"/>
                <w:color w:val="auto"/>
                <w:w w:val="95"/>
              </w:rPr>
              <w:t>Common stock:</w:t>
            </w:r>
          </w:p>
        </w:tc>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A, par value $0.01 per share; actual:</w:t>
            </w:r>
          </w:p>
        </w:tc>
        <w:tc>
          <w:tcPr>
            <w:tcW w:w="2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shares outstanding; as adjusted:</w:t>
            </w:r>
          </w:p>
        </w:tc>
        <w:tc>
          <w:tcPr>
            <w:tcW w:w="2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Class B, par value $0.01 per share; actual:</w:t>
            </w:r>
          </w:p>
        </w:tc>
        <w:tc>
          <w:tcPr>
            <w:tcW w:w="2100" w:type="dxa"/>
            <w:vAlign w:val="bottom"/>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540"/>
              <w:spacing w:after="0"/>
              <w:rPr>
                <w:sz w:val="20"/>
                <w:szCs w:val="20"/>
                <w:color w:val="auto"/>
              </w:rPr>
            </w:pPr>
            <w:r>
              <w:rPr>
                <w:rFonts w:ascii="Arial" w:cs="Arial" w:eastAsia="Arial" w:hAnsi="Arial"/>
                <w:sz w:val="18"/>
                <w:szCs w:val="18"/>
                <w:color w:val="auto"/>
              </w:rPr>
              <w:t>and</w:t>
            </w:r>
          </w:p>
        </w:tc>
        <w:tc>
          <w:tcPr>
            <w:tcW w:w="2460" w:type="dxa"/>
            <w:vAlign w:val="bottom"/>
          </w:tcPr>
          <w:p>
            <w:pPr>
              <w:ind w:left="20"/>
              <w:spacing w:after="0"/>
              <w:rPr>
                <w:sz w:val="20"/>
                <w:szCs w:val="20"/>
                <w:color w:val="auto"/>
              </w:rPr>
            </w:pPr>
            <w:r>
              <w:rPr>
                <w:rFonts w:ascii="Arial" w:cs="Arial" w:eastAsia="Arial" w:hAnsi="Arial"/>
                <w:sz w:val="18"/>
                <w:szCs w:val="18"/>
                <w:color w:val="auto"/>
                <w:w w:val="93"/>
              </w:rPr>
              <w:t>shares outstanding; as adjusted:</w:t>
            </w:r>
          </w:p>
        </w:tc>
        <w:tc>
          <w:tcPr>
            <w:tcW w:w="2100" w:type="dxa"/>
            <w:vAlign w:val="bottom"/>
          </w:tcPr>
          <w:p>
            <w:pPr>
              <w:ind w:left="64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tcPr>
          <w:p>
            <w:pPr>
              <w:ind w:left="660"/>
              <w:spacing w:after="0"/>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540"/>
              <w:spacing w:after="0"/>
              <w:rPr>
                <w:sz w:val="20"/>
                <w:szCs w:val="20"/>
                <w:color w:val="auto"/>
              </w:rPr>
            </w:pPr>
            <w:r>
              <w:rPr>
                <w:rFonts w:ascii="Arial" w:cs="Arial" w:eastAsia="Arial" w:hAnsi="Arial"/>
                <w:sz w:val="18"/>
                <w:szCs w:val="18"/>
                <w:color w:val="auto"/>
              </w:rPr>
              <w:t>and</w:t>
            </w:r>
          </w:p>
        </w:tc>
        <w:tc>
          <w:tcPr>
            <w:tcW w:w="2460" w:type="dxa"/>
            <w:vAlign w:val="bottom"/>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$0.01 per share;</w:t>
            </w:r>
          </w:p>
        </w:tc>
        <w:tc>
          <w:tcPr>
            <w:tcW w:w="51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authorized, no shares issued and outstanding actual</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and as adjusted</w:t>
            </w:r>
          </w:p>
        </w:tc>
        <w:tc>
          <w:tcPr>
            <w:tcW w:w="2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474.2</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72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52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2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472.5</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80" w:hanging="42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of their obligations under the Post bridge loan. We will not receive any of the proceeds of the Post bridge loan.</w:t>
      </w:r>
    </w:p>
    <w:p>
      <w:pPr>
        <w:spacing w:after="0" w:line="92"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Immediately after the completion of the formation transactions and the completion of this offering, BellRing Brands, LLC expects to enter into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table above, we have assumed:</w:t>
      </w:r>
    </w:p>
    <w:p>
      <w:pPr>
        <w:spacing w:after="0" w:line="131" w:lineRule="exact"/>
        <w:rPr>
          <w:sz w:val="20"/>
          <w:szCs w:val="20"/>
          <w:color w:val="auto"/>
        </w:rPr>
      </w:pPr>
    </w:p>
    <w:p>
      <w:pPr>
        <w:ind w:left="980" w:hanging="432"/>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will be no borrowings under the revolving credit facility portion of the new debt facilities in connection with this offering; and</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ectPr>
          <w:pgSz w:w="11900" w:h="16838" w:orient="portrait"/>
          <w:cols w:equalWidth="0" w:num="1">
            <w:col w:w="11140"/>
          </w:cols>
          <w:pgMar w:left="320" w:top="459" w:right="439" w:bottom="1440" w:gutter="0" w:footer="0" w:header="0"/>
        </w:sectPr>
      </w:pPr>
    </w:p>
    <w:p>
      <w:pPr>
        <w:spacing w:after="0" w:line="23" w:lineRule="exact"/>
        <w:rPr>
          <w:sz w:val="20"/>
          <w:szCs w:val="20"/>
          <w:color w:val="auto"/>
        </w:rPr>
      </w:pPr>
    </w:p>
    <w:p>
      <w:pPr>
        <w:jc w:val="both"/>
        <w:ind w:left="980" w:right="340"/>
        <w:spacing w:after="0" w:line="260" w:lineRule="auto"/>
        <w:rPr>
          <w:sz w:val="20"/>
          <w:szCs w:val="20"/>
          <w:color w:val="auto"/>
        </w:rPr>
      </w:pPr>
      <w:r>
        <w:rPr>
          <w:rFonts w:ascii="Arial" w:cs="Arial" w:eastAsia="Arial" w:hAnsi="Arial"/>
          <w:sz w:val="18"/>
          <w:szCs w:val="18"/>
          <w:color w:val="auto"/>
        </w:rPr>
        <w:t>will be incurred and that BellRing Brands, LLC will receive net proceeds from the borrowings of $ million, after deducting fees and expenses.</w:t>
      </w:r>
    </w:p>
    <w:p>
      <w:pPr>
        <w:sectPr>
          <w:pgSz w:w="11900" w:h="16838" w:orient="portrait"/>
          <w:cols w:equalWidth="0" w:num="1">
            <w:col w:w="11140"/>
          </w:cols>
          <w:pgMar w:left="320" w:top="459" w:right="439" w:bottom="1440" w:gutter="0" w:footer="0" w:header="0"/>
          <w:type w:val="continuous"/>
        </w:sectPr>
      </w:pPr>
    </w:p>
    <w:p>
      <w:pPr>
        <w:spacing w:after="0" w:line="91"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Post in connection with its incorporation, which shares will be cancelled as part of the exchange), together with the additional consideration</w:t>
      </w:r>
    </w:p>
    <w:p>
      <w:pPr>
        <w:spacing w:after="0" w:line="248"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described in the master transaction agreement, shares of its Class B common stock, which will equal the total number of BellRing Brands, LLC Units to be owned by Post.</w:t>
      </w:r>
    </w:p>
    <w:p>
      <w:pPr>
        <w:spacing w:after="0" w:line="76" w:lineRule="exact"/>
        <w:rPr>
          <w:sz w:val="20"/>
          <w:szCs w:val="20"/>
          <w:color w:val="auto"/>
        </w:rPr>
      </w:pPr>
    </w:p>
    <w:p>
      <w:pPr>
        <w:ind w:left="540" w:right="1980"/>
        <w:spacing w:after="0" w:line="277" w:lineRule="auto"/>
        <w:rPr>
          <w:sz w:val="20"/>
          <w:szCs w:val="20"/>
          <w:color w:val="auto"/>
        </w:rPr>
      </w:pPr>
      <w:r>
        <w:rPr>
          <w:rFonts w:ascii="Arial" w:cs="Arial" w:eastAsia="Arial" w:hAnsi="Arial"/>
          <w:sz w:val="18"/>
          <w:szCs w:val="18"/>
          <w:color w:val="auto"/>
        </w:rPr>
        <w:t>In this offering, BellRing Brands, Inc. expects to issue approximately shares of its Class A common stock (or approximately shares if the underwriters exercise their over-allotment option in full).</w:t>
      </w:r>
    </w:p>
    <w:p>
      <w:pPr>
        <w:spacing w:after="0" w:line="76" w:lineRule="exact"/>
        <w:rPr>
          <w:sz w:val="20"/>
          <w:szCs w:val="20"/>
          <w:color w:val="auto"/>
        </w:rPr>
      </w:pPr>
    </w:p>
    <w:p>
      <w:pPr>
        <w:ind w:left="540" w:right="80" w:hanging="419"/>
        <w:spacing w:after="0" w:line="291" w:lineRule="auto"/>
        <w:tabs>
          <w:tab w:leader="none" w:pos="520" w:val="left"/>
        </w:tabs>
        <w:rPr>
          <w:sz w:val="20"/>
          <w:szCs w:val="20"/>
          <w:color w:val="auto"/>
        </w:rPr>
      </w:pPr>
      <w:r>
        <w:rPr>
          <w:rFonts w:ascii="Arial" w:cs="Arial" w:eastAsia="Arial" w:hAnsi="Arial"/>
          <w:sz w:val="16"/>
          <w:szCs w:val="16"/>
          <w:color w:val="auto"/>
        </w:rPr>
        <w:t>(c)</w:t>
        <w:tab/>
        <w:t>BellRing Brands, Inc. expects to receive net proceeds from this offering of approximately $ million (or approximately $ million if the underwriters exercise their over-allotment option in full), assuming the shares are offered at $ per share (the midpoint of the price range listed</w:t>
      </w:r>
    </w:p>
    <w:p>
      <w:pPr>
        <w:jc w:val="both"/>
        <w:ind w:left="540" w:right="300"/>
        <w:spacing w:after="0" w:line="273" w:lineRule="auto"/>
        <w:rPr>
          <w:sz w:val="20"/>
          <w:szCs w:val="20"/>
          <w:color w:val="auto"/>
        </w:rPr>
      </w:pPr>
      <w:r>
        <w:rPr>
          <w:rFonts w:ascii="Arial" w:cs="Arial" w:eastAsia="Arial" w:hAnsi="Arial"/>
          <w:sz w:val="17"/>
          <w:szCs w:val="17"/>
          <w:color w:val="auto"/>
        </w:rPr>
        <w:t>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you invest in our Class A common stock, your ownership interest will be diluted to the extent that the initial public offering price per share of our Class A common stock exceeds the pro forma as adjusted net tangible book value per share of our Class A common stock immediately following this offering. Our pro forma net tangible book value gives effect to the pro forma adjustments to our capitalization referred to under “Capitalization.” Net tangible book value is equal to our total stockholders’ equity, less intangible assets, immediately prior to the closing of this offering. As adjusted net tangible book value is further adjusted to give effect to our sale of shares of our Class A common stock in this offering at an assumed initial public offering price of $ per share, which is the midpoint of the estimated offering price range set forth on the cover page of this prospectus, after deducting the estimated underwriting discounts and commissions and estimated offering expenses payable by us.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net tangible book value per share represents the net tangible book value divided by the total number of shares of our common stock</w:t>
      </w:r>
    </w:p>
    <w:p>
      <w:pPr>
        <w:spacing w:after="0" w:line="35" w:lineRule="exact"/>
        <w:rPr>
          <w:sz w:val="20"/>
          <w:szCs w:val="20"/>
          <w:color w:val="auto"/>
        </w:rPr>
      </w:pPr>
    </w:p>
    <w:p>
      <w:pPr>
        <w:ind w:left="120"/>
        <w:spacing w:after="0"/>
        <w:tabs>
          <w:tab w:leader="none" w:pos="6680" w:val="left"/>
          <w:tab w:leader="none" w:pos="7420" w:val="left"/>
        </w:tabs>
        <w:rPr>
          <w:sz w:val="20"/>
          <w:szCs w:val="20"/>
          <w:color w:val="auto"/>
        </w:rPr>
      </w:pPr>
      <w:r>
        <w:rPr>
          <w:rFonts w:ascii="Arial" w:cs="Arial" w:eastAsia="Arial" w:hAnsi="Arial"/>
          <w:sz w:val="18"/>
          <w:szCs w:val="18"/>
          <w:color w:val="auto"/>
        </w:rPr>
        <w:t>outstanding. As of December 31, 2018, the net tangible book value would have been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per share of our common stock.</w:t>
      </w:r>
    </w:p>
    <w:p>
      <w:pPr>
        <w:spacing w:after="0" w:line="211"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After giving effect to the formation transactions and our sale of shares of Class A common stock in this offering at an assumed initial public offering price of $ per share (which is the midpoint of the estimated offering price range set forth on the cover page of this prospectus), after</w:t>
      </w:r>
    </w:p>
    <w:p>
      <w:pPr>
        <w:ind w:left="120" w:right="60"/>
        <w:spacing w:after="0" w:line="265" w:lineRule="auto"/>
        <w:rPr>
          <w:sz w:val="20"/>
          <w:szCs w:val="20"/>
          <w:color w:val="auto"/>
        </w:rPr>
      </w:pPr>
      <w:r>
        <w:rPr>
          <w:rFonts w:ascii="Arial" w:cs="Arial" w:eastAsia="Arial" w:hAnsi="Arial"/>
          <w:sz w:val="17"/>
          <w:szCs w:val="17"/>
          <w:color w:val="auto"/>
        </w:rPr>
        <w:t>deducting the estimated underwriting discounts and commissions and estimated offering expenses payable by us, the as adjusted net tangible book value as of December 31, 2018 would have been approximately $ , or $ per share of common stock. Therefore, this offering will result in an immediate increase of $ in the tangible book value per share of our common stock outstanding prior to this offering and an immediate dilution of</w:t>
      </w:r>
    </w:p>
    <w:p>
      <w:pPr>
        <w:ind w:left="560" w:hanging="444"/>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tangible book value per share of our Class A common stock purchased in this offering.</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December 31, 2018</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adjusted net tangible book value per share upon completion of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from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above discussion and table are based on the number of shares outstanding at December 31, 2018 on a pro forma basis and excludes an</w:t>
      </w:r>
    </w:p>
    <w:p>
      <w:pPr>
        <w:spacing w:after="0" w:line="35"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aggregate of additional shares of our Class A common stock that will be issuable upon exchange of BellRing Brands, LLC Units and our Class B common stock or reserved for future awards pursuant to the BellRing Brands, Inc. 2019 Long-Term Incentive Plan.</w:t>
      </w:r>
    </w:p>
    <w:p>
      <w:pPr>
        <w:spacing w:after="0" w:line="18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A $1.00 increase or decrease in the assumed initial public offering price of $ per share (the midpoint of the estimated offering price range set forth on the cover page of this prospectus) would increase or decrease the as adjusted net tangible book value per share after this offering by $ per share and increase or decrease the dilution to new investors in this offering by $ per share, in each case assuming the number of shares of Class A</w:t>
      </w:r>
    </w:p>
    <w:p>
      <w:pPr>
        <w:spacing w:after="0" w:line="2" w:lineRule="exact"/>
        <w:rPr>
          <w:sz w:val="20"/>
          <w:szCs w:val="20"/>
          <w:color w:val="auto"/>
        </w:rPr>
      </w:pPr>
    </w:p>
    <w:p>
      <w:pPr>
        <w:ind w:left="120" w:right="140"/>
        <w:spacing w:after="0" w:line="421" w:lineRule="auto"/>
        <w:rPr>
          <w:sz w:val="20"/>
          <w:szCs w:val="20"/>
          <w:color w:val="auto"/>
        </w:rPr>
      </w:pPr>
      <w:r>
        <w:rPr>
          <w:rFonts w:ascii="Arial" w:cs="Arial" w:eastAsia="Arial" w:hAnsi="Arial"/>
          <w:sz w:val="16"/>
          <w:szCs w:val="16"/>
          <w:color w:val="auto"/>
        </w:rPr>
        <w:t>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full, the as adjusted net tangible book value per share of our common stock would be $ per share, and the dilution in net tangible book value per share to investors in this offering would be $ per share of Class A common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and for each of the fiscal years in the three-year period ended September 30, 2018 and as of December 31, 2018 and for the three months ended December 31, 2018 and 2017.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three months ended December 31, 2018 and 2017 and (iv) “Management’s Discussion and Analysis of Financial Condition and Results of Operations,” each of which is contained elsewhere in this prospectus.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selected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selected unaudited historical condensed combined financial data as of and for the three months ended December 31, 2018 and 2017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9"/>
              </w:rPr>
              <w:t>Active Nutrition</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827.5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713.2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Investing activities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350"/>
        </w:trPr>
        <w:tc>
          <w:tcPr>
            <w:tcW w:w="430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Active Nutrition</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11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4"/>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7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716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880" w:right="180" w:hanging="349"/>
        <w:spacing w:after="0" w:line="311"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4" w:lineRule="exact"/>
        <w:rPr>
          <w:rFonts w:ascii="Arial" w:cs="Arial" w:eastAsia="Arial" w:hAnsi="Arial"/>
          <w:sz w:val="16"/>
          <w:szCs w:val="16"/>
          <w:color w:val="auto"/>
        </w:rPr>
      </w:pPr>
    </w:p>
    <w:p>
      <w:pPr>
        <w:ind w:left="880" w:right="60" w:hanging="359"/>
        <w:spacing w:after="0" w:line="311"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Restructuring and plant closure costs</w:t>
      </w:r>
      <w:r>
        <w:rPr>
          <w:rFonts w:ascii="Arial" w:cs="Arial" w:eastAsia="Arial" w:hAnsi="Arial"/>
          <w:sz w:val="16"/>
          <w:szCs w:val="16"/>
          <w:color w:val="auto"/>
        </w:rPr>
        <w:t>: We have excluded certain costs associated with facility closures as the amount and frequency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54" w:lineRule="exact"/>
        <w:rPr>
          <w:rFonts w:ascii="Arial" w:cs="Arial" w:eastAsia="Arial" w:hAnsi="Arial"/>
          <w:sz w:val="16"/>
          <w:szCs w:val="16"/>
          <w:color w:val="auto"/>
        </w:rPr>
      </w:pPr>
    </w:p>
    <w:p>
      <w:pPr>
        <w:ind w:left="880" w:right="60" w:hanging="349"/>
        <w:spacing w:after="0" w:line="259"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880" w:right="140" w:hanging="359"/>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9" w:lineRule="exact"/>
        <w:rPr>
          <w:rFonts w:ascii="Arial" w:cs="Arial" w:eastAsia="Arial" w:hAnsi="Arial"/>
          <w:sz w:val="18"/>
          <w:szCs w:val="18"/>
          <w:color w:val="auto"/>
        </w:rPr>
      </w:pPr>
    </w:p>
    <w:p>
      <w:pPr>
        <w:ind w:left="880" w:right="260" w:hanging="349"/>
        <w:spacing w:after="0" w:line="301"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62" w:lineRule="exact"/>
        <w:rPr>
          <w:rFonts w:ascii="Arial" w:cs="Arial" w:eastAsia="Arial" w:hAnsi="Arial"/>
          <w:sz w:val="16"/>
          <w:szCs w:val="16"/>
          <w:color w:val="auto"/>
        </w:rPr>
      </w:pPr>
    </w:p>
    <w:p>
      <w:pPr>
        <w:ind w:left="880" w:hanging="329"/>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 reconciliation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tables below, as we believe that our GAAP effective income tax rate as reported is not representative of the income tax expense impact of the adjustments.</w:t>
      </w:r>
    </w:p>
    <w:p>
      <w:pPr>
        <w:spacing w:after="0" w:line="89" w:lineRule="exact"/>
        <w:rPr>
          <w:rFonts w:ascii="Arial" w:cs="Arial" w:eastAsia="Arial" w:hAnsi="Arial"/>
          <w:sz w:val="18"/>
          <w:szCs w:val="18"/>
          <w:color w:val="auto"/>
        </w:rPr>
      </w:pPr>
    </w:p>
    <w:p>
      <w:pPr>
        <w:ind w:left="880" w:right="180" w:hanging="359"/>
        <w:spacing w:after="0" w:line="311"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60" w:firstLine="5"/>
        <w:spacing w:after="0" w:line="263" w:lineRule="auto"/>
        <w:tabs>
          <w:tab w:leader="none" w:pos="11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performance to other periods.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9" w:lineRule="exact"/>
        <w:rPr>
          <w:sz w:val="20"/>
          <w:szCs w:val="20"/>
          <w:color w:val="auto"/>
        </w:rPr>
      </w:pPr>
    </w:p>
    <w:p>
      <w:pPr>
        <w:ind w:left="880" w:right="160" w:hanging="359"/>
        <w:spacing w:after="0" w:line="296"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Non-cash stock-based compensation</w:t>
      </w:r>
      <w:r>
        <w:rPr>
          <w:rFonts w:ascii="Arial" w:cs="Arial" w:eastAsia="Arial" w:hAnsi="Arial"/>
          <w:sz w:val="16"/>
          <w:szCs w:val="16"/>
          <w:color w:val="auto"/>
        </w:rPr>
        <w:t>: Our compensation strategy has included the use of Post stock-based compensation to attract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the Company’s operating performance to other periods.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207"/>
              <w:spacing w:after="0"/>
              <w:rPr>
                <w:sz w:val="20"/>
                <w:szCs w:val="20"/>
                <w:color w:val="auto"/>
              </w:rPr>
            </w:pPr>
            <w:r>
              <w:rPr>
                <w:rFonts w:ascii="Arial" w:cs="Arial" w:eastAsia="Arial" w:hAnsi="Arial"/>
                <w:sz w:val="14"/>
                <w:szCs w:val="14"/>
                <w:b w:val="1"/>
                <w:bCs w:val="1"/>
                <w:color w:val="auto"/>
              </w:rPr>
              <w:t>Active Nutrition</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15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153"/>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Restructuring and plant closure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costs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Provision for legal settlement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Net Adjustments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vMerge w:val="continue"/>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Separation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Assets held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40" w:type="dxa"/>
            <w:vAlign w:val="bottom"/>
            <w:vMerge w:val="restart"/>
          </w:tcPr>
          <w:p>
            <w:pPr>
              <w:jc w:val="right"/>
              <w:ind w:right="77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02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line="272"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the three months ended December 31, 2018, income tax effect on adjustments was calculated using 23.5%, the sum of our fiscal 2019 U.S. federal corporate income tax rate plus our blended state income tax rate net of federal deductions. For the three months ended December 31, 2017 and the year ended September 30, 2018, income tax effect on adjustments was calculated using 27.2%, the sum of our fiscal 2018 blended U.S. federal corporate income tax rate plus our blended state income tax rate. For the year ended September 30, 2017, income tax effect on adjustments was calculated using 37.7%, the sum of our fiscal 2017 U.S. federal corporate income tax rate plus our state income tax rate. For the year ended September 30, 2016, income tax effect on adjustments was calculated using 37.3%, the sum of our fiscal 2016 U.S. federal corporate income tax rate plus our blended state income tax rate.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unaudited pro forma condensed consolidated balance sheet and statements of operations have been prepared to reflect (i) the</w:t>
      </w:r>
    </w:p>
    <w:p>
      <w:pPr>
        <w:spacing w:after="0" w:line="35"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formation transactions described in “Prospectus Summary—Formation Transactions,” including the issuance of shares of our Class B common stock and BellRing Brands, LLC Units to Post; (ii) the sale of shares of our Class A common stock in this offering, at an assumed initial public offering price of $ per share (which is the midpoint of the estimated offering price range set forth on the cover page of this prospectus) and assuming no exercise by the underwriters of their over-allotment option to purchase additional shares of our Class A common stock; and</w:t>
      </w:r>
    </w:p>
    <w:p>
      <w:pPr>
        <w:spacing w:after="0" w:line="1" w:lineRule="exact"/>
        <w:rPr>
          <w:sz w:val="20"/>
          <w:szCs w:val="20"/>
          <w:color w:val="auto"/>
        </w:rPr>
      </w:pPr>
    </w:p>
    <w:p>
      <w:pPr>
        <w:ind w:left="120" w:right="180" w:hanging="4"/>
        <w:spacing w:after="0" w:line="253" w:lineRule="auto"/>
        <w:tabs>
          <w:tab w:leader="none" w:pos="4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entry of BellRing Brands, LLC into the debt facilities, its borrowing under the debt facilities and the application of the net proceeds of this offering and the debt facilities to repay in full the Post bridge loan as described under “Use of Proceeds.” The unaudited pro forma condensed consolidated balance sheet at December 31, 2018 is presented as if each of these events had occurred at December 31, 2018. The unaudited pro forma condensed consolidated statements of operations for the year ended September 30, 2018 and the three months ended December 31, 2018 are presented as if each of these events had occurred on October 1, 2017.</w:t>
      </w:r>
    </w:p>
    <w:p>
      <w:pPr>
        <w:spacing w:after="0" w:line="19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December 31, 2018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Following the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980" w:right="60" w:hanging="308"/>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Post’s Active Nutrition business audited combined financial statements and the notes thereto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980" w:right="340" w:hanging="318"/>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Post’s Active Nutrition business unaudited condensed combined financial statements and the notes thereto as of December 31, 2018 and September 30, 2018 and for the three months ended December 31, 2018 and 2017 included in this prospectus; and</w:t>
      </w:r>
    </w:p>
    <w:p>
      <w:pPr>
        <w:spacing w:after="0" w:line="51" w:lineRule="exact"/>
        <w:rPr>
          <w:rFonts w:ascii="Arial" w:cs="Arial" w:eastAsia="Arial" w:hAnsi="Arial"/>
          <w:sz w:val="17"/>
          <w:szCs w:val="17"/>
          <w:color w:val="auto"/>
        </w:rPr>
      </w:pPr>
    </w:p>
    <w:p>
      <w:pPr>
        <w:ind w:left="980" w:hanging="308"/>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Historical</w:t>
            </w:r>
          </w:p>
        </w:tc>
        <w:tc>
          <w:tcPr>
            <w:tcW w:w="920" w:type="dxa"/>
            <w:vAlign w:val="bottom"/>
          </w:tcPr>
          <w:p>
            <w:pPr>
              <w:spacing w:after="0"/>
              <w:rPr>
                <w:sz w:val="20"/>
                <w:szCs w:val="20"/>
                <w:color w:val="auto"/>
              </w:rPr>
            </w:pPr>
            <w:r>
              <w:rPr>
                <w:rFonts w:ascii="Arial" w:cs="Arial" w:eastAsia="Arial" w:hAnsi="Arial"/>
                <w:sz w:val="14"/>
                <w:szCs w:val="14"/>
                <w:b w:val="1"/>
                <w:bCs w:val="1"/>
                <w:color w:val="auto"/>
                <w:w w:val="90"/>
              </w:rPr>
              <w:t>Adjustments</w:t>
            </w:r>
            <w:r>
              <w:rPr>
                <w:rFonts w:ascii="Arial" w:cs="Arial" w:eastAsia="Arial" w:hAnsi="Arial"/>
                <w:sz w:val="12"/>
                <w:szCs w:val="12"/>
                <w:b w:val="1"/>
                <w:bCs w:val="1"/>
                <w:color w:val="auto"/>
                <w:w w:val="90"/>
              </w:rPr>
              <w:t>(a)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7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7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224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r>
              <w:rPr>
                <w:rFonts w:ascii="Arial" w:cs="Arial" w:eastAsia="Arial" w:hAnsi="Arial"/>
                <w:sz w:val="15"/>
                <w:szCs w:val="15"/>
                <w:color w:val="auto"/>
              </w:rPr>
              <w:t>(d)</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Receivables, net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77.2</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4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79.6</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Prepaids and other current assets</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220" w:type="dxa"/>
            <w:vAlign w:val="bottom"/>
            <w:gridSpan w:val="2"/>
          </w:tcPr>
          <w:p>
            <w:pPr>
              <w:ind w:left="10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65.9</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Other assets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44.0</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460" w:type="dxa"/>
            <w:vAlign w:val="bottom"/>
          </w:tcPr>
          <w:p>
            <w:pPr>
              <w:ind w:left="720"/>
              <w:spacing w:after="0"/>
              <w:rPr>
                <w:sz w:val="20"/>
                <w:szCs w:val="20"/>
                <w:color w:val="auto"/>
              </w:rPr>
            </w:pPr>
            <w:r>
              <w:rPr>
                <w:rFonts w:ascii="Arial" w:cs="Arial" w:eastAsia="Arial" w:hAnsi="Arial"/>
                <w:sz w:val="18"/>
                <w:szCs w:val="18"/>
                <w:color w:val="auto"/>
                <w:w w:val="96"/>
              </w:rPr>
              <w:t>Other current liabilities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28.1</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72.1</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Other liabilities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88.5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Stockholders’ Equity</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stock:</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Class A, par value $0.01 per share; actual:</w:t>
            </w:r>
          </w:p>
        </w:tc>
        <w:tc>
          <w:tcPr>
            <w:tcW w:w="280" w:type="dxa"/>
            <w:vAlign w:val="bottom"/>
          </w:tcPr>
          <w:p>
            <w:pPr>
              <w:spacing w:after="0"/>
              <w:rPr>
                <w:sz w:val="17"/>
                <w:szCs w:val="17"/>
                <w:color w:val="auto"/>
              </w:rPr>
            </w:pPr>
          </w:p>
        </w:tc>
        <w:tc>
          <w:tcPr>
            <w:tcW w:w="22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shares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900"/>
              <w:spacing w:after="0"/>
              <w:rPr>
                <w:sz w:val="20"/>
                <w:szCs w:val="20"/>
                <w:color w:val="auto"/>
              </w:rPr>
            </w:pPr>
            <w:r>
              <w:rPr>
                <w:rFonts w:ascii="Arial" w:cs="Arial" w:eastAsia="Arial" w:hAnsi="Arial"/>
                <w:sz w:val="18"/>
                <w:szCs w:val="18"/>
                <w:color w:val="auto"/>
              </w:rPr>
              <w:t>authorized,</w:t>
            </w:r>
          </w:p>
        </w:tc>
        <w:tc>
          <w:tcPr>
            <w:tcW w:w="1760" w:type="dxa"/>
            <w:vAlign w:val="bottom"/>
          </w:tcPr>
          <w:p>
            <w:pPr>
              <w:ind w:left="40"/>
              <w:spacing w:after="0"/>
              <w:rPr>
                <w:sz w:val="20"/>
                <w:szCs w:val="20"/>
                <w:color w:val="auto"/>
              </w:rPr>
            </w:pPr>
            <w:r>
              <w:rPr>
                <w:rFonts w:ascii="Arial" w:cs="Arial" w:eastAsia="Arial" w:hAnsi="Arial"/>
                <w:sz w:val="18"/>
                <w:szCs w:val="18"/>
                <w:color w:val="auto"/>
              </w:rPr>
              <w:t>shares issued and</w:t>
            </w:r>
          </w:p>
        </w:tc>
        <w:tc>
          <w:tcPr>
            <w:tcW w:w="280" w:type="dxa"/>
            <w:vAlign w:val="bottom"/>
          </w:tcPr>
          <w:p>
            <w:pPr>
              <w:spacing w:after="0"/>
              <w:rPr>
                <w:sz w:val="18"/>
                <w:szCs w:val="18"/>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shares outstanding;</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900"/>
              <w:spacing w:after="0"/>
              <w:rPr>
                <w:sz w:val="20"/>
                <w:szCs w:val="20"/>
                <w:color w:val="auto"/>
              </w:rPr>
            </w:pPr>
            <w:r>
              <w:rPr>
                <w:rFonts w:ascii="Arial" w:cs="Arial" w:eastAsia="Arial" w:hAnsi="Arial"/>
                <w:sz w:val="18"/>
                <w:szCs w:val="18"/>
                <w:color w:val="auto"/>
              </w:rPr>
              <w:t>as adjusted:</w:t>
            </w:r>
          </w:p>
        </w:tc>
        <w:tc>
          <w:tcPr>
            <w:tcW w:w="1760" w:type="dxa"/>
            <w:vAlign w:val="bottom"/>
          </w:tcPr>
          <w:p>
            <w:pPr>
              <w:ind w:left="100"/>
              <w:spacing w:after="0"/>
              <w:rPr>
                <w:sz w:val="20"/>
                <w:szCs w:val="20"/>
                <w:color w:val="auto"/>
              </w:rPr>
            </w:pPr>
            <w:r>
              <w:rPr>
                <w:rFonts w:ascii="Arial" w:cs="Arial" w:eastAsia="Arial" w:hAnsi="Arial"/>
                <w:sz w:val="18"/>
                <w:szCs w:val="18"/>
                <w:color w:val="auto"/>
              </w:rPr>
              <w:t>shares authorized,</w:t>
            </w:r>
          </w:p>
        </w:tc>
        <w:tc>
          <w:tcPr>
            <w:tcW w:w="280" w:type="dxa"/>
            <w:vAlign w:val="bottom"/>
          </w:tcPr>
          <w:p>
            <w:pPr>
              <w:spacing w:after="0"/>
              <w:rPr>
                <w:sz w:val="18"/>
                <w:szCs w:val="18"/>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rPr>
              <w:t>shares issued and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66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Class B, par value $0.01 per share; actual:</w:t>
            </w:r>
          </w:p>
        </w:tc>
        <w:tc>
          <w:tcPr>
            <w:tcW w:w="280" w:type="dxa"/>
            <w:vAlign w:val="bottom"/>
            <w:shd w:val="clear" w:color="auto" w:fill="CCEEFF"/>
          </w:tcPr>
          <w:p>
            <w:pPr>
              <w:spacing w:after="0"/>
              <w:rPr>
                <w:sz w:val="17"/>
                <w:szCs w:val="17"/>
                <w:color w:val="auto"/>
              </w:rPr>
            </w:pPr>
          </w:p>
        </w:tc>
        <w:tc>
          <w:tcPr>
            <w:tcW w:w="22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authorized,</w:t>
            </w:r>
          </w:p>
        </w:tc>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and</w:t>
            </w:r>
          </w:p>
        </w:tc>
        <w:tc>
          <w:tcPr>
            <w:tcW w:w="2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shares outstanding;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as adjusted:</w:t>
            </w:r>
          </w:p>
        </w:tc>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authorized,</w:t>
            </w:r>
          </w:p>
        </w:tc>
        <w:tc>
          <w:tcPr>
            <w:tcW w:w="2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shares issued and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shares outstanding</w:t>
            </w:r>
          </w:p>
        </w:tc>
        <w:tc>
          <w:tcPr>
            <w:tcW w:w="2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color w:val="auto"/>
              </w:rPr>
              <w:t>(a)</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Preferred stock, par value $0.01 per share;</w:t>
            </w:r>
          </w:p>
        </w:tc>
        <w:tc>
          <w:tcPr>
            <w:tcW w:w="2520" w:type="dxa"/>
            <w:vAlign w:val="bottom"/>
            <w:gridSpan w:val="4"/>
          </w:tcPr>
          <w:p>
            <w:pPr>
              <w:spacing w:after="0" w:line="201" w:lineRule="exact"/>
              <w:rPr>
                <w:sz w:val="20"/>
                <w:szCs w:val="20"/>
                <w:color w:val="auto"/>
              </w:rPr>
            </w:pPr>
            <w:r>
              <w:rPr>
                <w:rFonts w:ascii="Arial" w:cs="Arial" w:eastAsia="Arial" w:hAnsi="Arial"/>
                <w:sz w:val="18"/>
                <w:szCs w:val="18"/>
                <w:color w:val="auto"/>
              </w:rPr>
              <w:t>shares authorized, no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540"/>
              <w:spacing w:after="0"/>
              <w:rPr>
                <w:sz w:val="20"/>
                <w:szCs w:val="20"/>
                <w:color w:val="auto"/>
              </w:rPr>
            </w:pPr>
            <w:r>
              <w:rPr>
                <w:rFonts w:ascii="Arial" w:cs="Arial" w:eastAsia="Arial" w:hAnsi="Arial"/>
                <w:sz w:val="18"/>
                <w:szCs w:val="18"/>
                <w:color w:val="auto"/>
                <w:w w:val="88"/>
              </w:rPr>
              <w:t>shares issued and outstanding actual and pro forma</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color w:val="auto"/>
              </w:rPr>
              <w:t>(c)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474.2</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3"/>
        </w:trPr>
        <w:tc>
          <w:tcPr>
            <w:tcW w:w="4500" w:type="dxa"/>
            <w:vAlign w:val="bottom"/>
            <w:gridSpan w:val="3"/>
          </w:tcPr>
          <w:p>
            <w:pPr>
              <w:ind w:left="1440"/>
              <w:spacing w:after="0"/>
              <w:rPr>
                <w:sz w:val="20"/>
                <w:szCs w:val="20"/>
                <w:color w:val="auto"/>
              </w:rPr>
            </w:pPr>
            <w:r>
              <w:rPr>
                <w:rFonts w:ascii="Arial" w:cs="Arial" w:eastAsia="Arial" w:hAnsi="Arial"/>
                <w:sz w:val="18"/>
                <w:szCs w:val="18"/>
                <w:color w:val="auto"/>
                <w:w w:val="94"/>
              </w:rPr>
              <w:t>Total Liabilities and Stockholders’ Equity</w:t>
            </w:r>
          </w:p>
        </w:tc>
        <w:tc>
          <w:tcPr>
            <w:tcW w:w="2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DECEMBER 31,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Active Nutrition</w:t>
            </w:r>
          </w:p>
        </w:tc>
        <w:tc>
          <w:tcPr>
            <w:tcW w:w="66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Historical</w:t>
            </w:r>
          </w:p>
        </w:tc>
        <w:tc>
          <w:tcPr>
            <w:tcW w:w="6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5"/>
                <w:szCs w:val="15"/>
                <w:color w:val="auto"/>
              </w:rPr>
              <w:t>(b)</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5"/>
                <w:szCs w:val="15"/>
                <w:color w:val="auto"/>
              </w:rPr>
              <w:t>(e)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580" w:type="dxa"/>
            <w:vAlign w:val="bottom"/>
          </w:tcPr>
          <w:p>
            <w:pPr>
              <w:jc w:val="right"/>
              <w:ind w:right="115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60" w:type="dxa"/>
            <w:vAlign w:val="bottom"/>
          </w:tcPr>
          <w:p>
            <w:pPr>
              <w:spacing w:after="0"/>
              <w:rPr>
                <w:sz w:val="24"/>
                <w:szCs w:val="24"/>
                <w:color w:val="auto"/>
              </w:rPr>
            </w:pPr>
          </w:p>
        </w:tc>
      </w:tr>
      <w:tr>
        <w:trPr>
          <w:trHeight w:val="364"/>
        </w:trPr>
        <w:tc>
          <w:tcPr>
            <w:tcW w:w="1680" w:type="dxa"/>
            <w:vAlign w:val="bottom"/>
          </w:tcPr>
          <w:p>
            <w:pPr>
              <w:spacing w:after="0"/>
              <w:rPr>
                <w:sz w:val="24"/>
                <w:szCs w:val="24"/>
                <w:color w:val="auto"/>
              </w:rPr>
            </w:pPr>
          </w:p>
        </w:tc>
        <w:tc>
          <w:tcPr>
            <w:tcW w:w="8580" w:type="dxa"/>
            <w:vAlign w:val="bottom"/>
          </w:tcPr>
          <w:p>
            <w:pPr>
              <w:jc w:val="right"/>
              <w:ind w:right="4570"/>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(b)</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580" w:type="dxa"/>
            <w:vAlign w:val="bottom"/>
          </w:tcPr>
          <w:p>
            <w:pPr>
              <w:jc w:val="right"/>
              <w:ind w:right="115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60" w:type="dxa"/>
            <w:vAlign w:val="bottom"/>
          </w:tcPr>
          <w:p>
            <w:pPr>
              <w:spacing w:after="0"/>
              <w:rPr>
                <w:sz w:val="24"/>
                <w:szCs w:val="24"/>
                <w:color w:val="auto"/>
              </w:rPr>
            </w:pPr>
          </w:p>
        </w:tc>
      </w:tr>
      <w:tr>
        <w:trPr>
          <w:trHeight w:val="364"/>
        </w:trPr>
        <w:tc>
          <w:tcPr>
            <w:tcW w:w="1680" w:type="dxa"/>
            <w:vAlign w:val="bottom"/>
          </w:tcPr>
          <w:p>
            <w:pPr>
              <w:spacing w:after="0"/>
              <w:rPr>
                <w:sz w:val="24"/>
                <w:szCs w:val="24"/>
                <w:color w:val="auto"/>
              </w:rPr>
            </w:pPr>
          </w:p>
        </w:tc>
        <w:tc>
          <w:tcPr>
            <w:tcW w:w="8580" w:type="dxa"/>
            <w:vAlign w:val="bottom"/>
          </w:tcPr>
          <w:p>
            <w:pPr>
              <w:jc w:val="right"/>
              <w:ind w:right="4570"/>
              <w:spacing w:after="0"/>
              <w:rPr>
                <w:sz w:val="20"/>
                <w:szCs w:val="20"/>
                <w:color w:val="auto"/>
              </w:rPr>
            </w:pPr>
            <w:r>
              <w:rPr>
                <w:rFonts w:ascii="Arial" w:cs="Arial" w:eastAsia="Arial" w:hAnsi="Arial"/>
                <w:sz w:val="18"/>
                <w:szCs w:val="18"/>
                <w:color w:val="auto"/>
              </w:rPr>
              <w:t>67</w:t>
            </w:r>
          </w:p>
        </w:tc>
        <w:tc>
          <w:tcPr>
            <w:tcW w:w="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will have one vote per share.</w:t>
      </w:r>
    </w:p>
    <w:p>
      <w:pPr>
        <w:spacing w:after="0" w:line="176"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980" w:hanging="43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entities currently comprising Post’s Active Nutrition business will become subsidiaries of BellRing Brands, LLC.</w:t>
      </w:r>
    </w:p>
    <w:p>
      <w:pPr>
        <w:spacing w:after="0" w:line="130"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700" w:val="left"/>
          <w:tab w:leader="none" w:pos="5560" w:val="left"/>
          <w:tab w:leader="none" w:pos="9820" w:val="left"/>
        </w:tabs>
        <w:rPr>
          <w:sz w:val="20"/>
          <w:szCs w:val="20"/>
          <w:color w:val="auto"/>
        </w:rPr>
      </w:pPr>
      <w:r>
        <w:rPr>
          <w:rFonts w:ascii="Arial" w:cs="Arial" w:eastAsia="Arial" w:hAnsi="Arial"/>
          <w:sz w:val="18"/>
          <w:szCs w:val="18"/>
          <w:color w:val="auto"/>
        </w:rPr>
        <w:t>Post will hold</w:t>
      </w:r>
      <w:r>
        <w:rPr>
          <w:sz w:val="20"/>
          <w:szCs w:val="20"/>
          <w:color w:val="auto"/>
        </w:rPr>
        <w:tab/>
      </w:r>
      <w:r>
        <w:rPr>
          <w:rFonts w:ascii="Arial" w:cs="Arial" w:eastAsia="Arial" w:hAnsi="Arial"/>
          <w:sz w:val="18"/>
          <w:szCs w:val="18"/>
          <w:color w:val="auto"/>
        </w:rPr>
        <w:t>BellRing Brands, LLC Units, which will represent</w:t>
        <w:tab/>
        <w:t>% of the economic interest in BellRing Brands, LLC (or</w:t>
      </w:r>
      <w:r>
        <w:rPr>
          <w:sz w:val="20"/>
          <w:szCs w:val="20"/>
          <w:color w:val="auto"/>
        </w:rPr>
        <w:tab/>
      </w:r>
      <w:r>
        <w:rPr>
          <w:rFonts w:ascii="Arial" w:cs="Arial" w:eastAsia="Arial" w:hAnsi="Arial"/>
          <w:sz w:val="17"/>
          <w:szCs w:val="17"/>
          <w:color w:val="auto"/>
        </w:rPr>
        <w:t>% if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exercise their over-allotment option in full), and the same number of shares of Class B common stock, which will</w:t>
      </w:r>
    </w:p>
    <w:p>
      <w:pPr>
        <w:spacing w:after="0" w:line="21" w:lineRule="exact"/>
        <w:rPr>
          <w:sz w:val="20"/>
          <w:szCs w:val="20"/>
          <w:color w:val="auto"/>
        </w:rPr>
      </w:pPr>
    </w:p>
    <w:p>
      <w:pPr>
        <w:spacing w:after="0"/>
        <w:tabs>
          <w:tab w:leader="none" w:pos="860" w:val="left"/>
          <w:tab w:leader="none" w:pos="7080" w:val="left"/>
        </w:tabs>
        <w:rPr>
          <w:sz w:val="20"/>
          <w:szCs w:val="20"/>
          <w:color w:val="auto"/>
        </w:rPr>
      </w:pPr>
      <w:r>
        <w:rPr>
          <w:rFonts w:ascii="Arial" w:cs="Arial" w:eastAsia="Arial" w:hAnsi="Arial"/>
          <w:sz w:val="18"/>
          <w:szCs w:val="18"/>
          <w:color w:val="auto"/>
        </w:rPr>
        <w:t>represent</w:t>
        <w:tab/>
        <w:t>% of the combined voting power of the common stock of BellRing Brands, Inc. (or</w:t>
      </w:r>
      <w:r>
        <w:rPr>
          <w:sz w:val="20"/>
          <w:szCs w:val="20"/>
          <w:color w:val="auto"/>
        </w:rPr>
        <w:tab/>
      </w:r>
      <w:r>
        <w:rPr>
          <w:rFonts w:ascii="Arial" w:cs="Arial" w:eastAsia="Arial" w:hAnsi="Arial"/>
          <w:sz w:val="16"/>
          <w:szCs w:val="16"/>
          <w:color w:val="auto"/>
        </w:rPr>
        <w:t>% if the underwriters exercise their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in full).</w:t>
      </w:r>
    </w:p>
    <w:p>
      <w:pPr>
        <w:spacing w:after="0" w:line="116" w:lineRule="exact"/>
        <w:rPr>
          <w:sz w:val="20"/>
          <w:szCs w:val="20"/>
          <w:color w:val="auto"/>
        </w:rPr>
      </w:pPr>
    </w:p>
    <w:p>
      <w:pPr>
        <w:sectPr>
          <w:pgSz w:w="11900" w:h="16838" w:orient="portrait"/>
          <w:cols w:equalWidth="0" w:num="2">
            <w:col w:w="620" w:space="360"/>
            <w:col w:w="10140"/>
          </w:cols>
          <w:pgMar w:left="320" w:top="459" w:right="45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Arial" w:cs="Arial" w:eastAsia="Arial" w:hAnsi="Arial"/>
          <w:sz w:val="18"/>
          <w:szCs w:val="18"/>
          <w:color w:val="auto"/>
        </w:rPr>
        <w:t>The purchasers in this offering (i) will own shares of Class A common stock, which will represent % of the combined voting power of the common stock of BellRing Brands, Inc. (or % if the underwriters exercise their over-allotment option in full) and own 100% of the economic interest in BellRing Brands, Inc., and (ii) through BellRing Brands, Inc.’s ownership of BellRing Brands, LLC Units, indirectly will hold % of the economic interest in BellRing Brands, LLC (or % if the underwriters exercise their over-allotment option in full).</w:t>
      </w:r>
    </w:p>
    <w:p>
      <w:pPr>
        <w:spacing w:after="0" w:line="93" w:lineRule="exact"/>
        <w:rPr>
          <w:sz w:val="20"/>
          <w:szCs w:val="20"/>
          <w:color w:val="auto"/>
        </w:rPr>
      </w:pPr>
    </w:p>
    <w:p>
      <w:pPr>
        <w:sectPr>
          <w:pgSz w:w="11900" w:h="16838" w:orient="portrait"/>
          <w:cols w:equalWidth="0" w:num="2">
            <w:col w:w="620" w:space="360"/>
            <w:col w:w="10140"/>
          </w:cols>
          <w:pgMar w:left="320" w:top="459" w:right="459" w:bottom="1440" w:gutter="0" w:footer="0" w:header="0"/>
          <w:type w:val="continuous"/>
        </w:sectPr>
      </w:pPr>
    </w:p>
    <w:p>
      <w:pPr>
        <w:ind w:left="980" w:right="60" w:hanging="432"/>
        <w:spacing w:after="0" w:line="290"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Class B common stock of BellRing Brands, Inc.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420" w:hanging="432"/>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a portion of the consolidated net earnings (loss) will be allocated to the non-controlling interest to reflect the entitlement of Post to a portion of the consolidated net earnings (loss).</w:t>
      </w:r>
    </w:p>
    <w:p>
      <w:pPr>
        <w:spacing w:after="0" w:line="291" w:lineRule="exact"/>
        <w:rPr>
          <w:rFonts w:ascii="Arial" w:cs="Arial" w:eastAsia="Arial" w:hAnsi="Arial"/>
          <w:sz w:val="18"/>
          <w:szCs w:val="18"/>
          <w:color w:val="auto"/>
        </w:rPr>
      </w:pPr>
    </w:p>
    <w:p>
      <w:pPr>
        <w:ind w:left="820" w:hanging="264"/>
        <w:spacing w:after="0"/>
        <w:tabs>
          <w:tab w:leader="none" w:pos="820" w:val="left"/>
        </w:tabs>
        <w:numPr>
          <w:ilvl w:val="1"/>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obligations under the Post bridge loan. We will not receive any of the proceeds of the Post bridge loan. See “Prospectus Summary—Debt Financing Arrangements—Post Bridge Loan” and “Description of Certain Indebtedness.”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 See “Prospectus Summary—Debt Financing Arrangements—Post Bridge Loan” and “Description of Certain Indebtedness.”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980" w:right="40" w:hanging="432"/>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will be no borrowings under the revolving credit facility portion of the new debt facilities of BellRing Brands, LLC in connection with this offering;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pacing w:after="0" w:line="23" w:lineRule="exact"/>
        <w:rPr>
          <w:sz w:val="20"/>
          <w:szCs w:val="20"/>
          <w:color w:val="auto"/>
        </w:rPr>
      </w:pPr>
    </w:p>
    <w:p>
      <w:pPr>
        <w:ind w:left="980"/>
        <w:spacing w:after="0"/>
        <w:tabs>
          <w:tab w:leader="none" w:pos="4460" w:val="left"/>
        </w:tabs>
        <w:rPr>
          <w:sz w:val="20"/>
          <w:szCs w:val="20"/>
          <w:color w:val="auto"/>
        </w:rPr>
      </w:pPr>
      <w:r>
        <w:rPr>
          <w:rFonts w:ascii="Arial" w:cs="Arial" w:eastAsia="Arial" w:hAnsi="Arial"/>
          <w:sz w:val="18"/>
          <w:szCs w:val="18"/>
          <w:color w:val="auto"/>
        </w:rPr>
        <w:t>will be incurred at an assumed interest rate of</w:t>
      </w:r>
      <w:r>
        <w:rPr>
          <w:sz w:val="20"/>
          <w:szCs w:val="20"/>
          <w:color w:val="auto"/>
        </w:rPr>
        <w:tab/>
      </w:r>
      <w:r>
        <w:rPr>
          <w:rFonts w:ascii="Arial" w:cs="Arial" w:eastAsia="Arial" w:hAnsi="Arial"/>
          <w:sz w:val="16"/>
          <w:szCs w:val="16"/>
          <w:color w:val="auto"/>
        </w:rPr>
        <w:t>% and that BellRing Brands, LLC will receive net proceeds from the borrowings of</w:t>
      </w:r>
    </w:p>
    <w:p>
      <w:pPr>
        <w:spacing w:after="0" w:line="9" w:lineRule="exact"/>
        <w:rPr>
          <w:sz w:val="20"/>
          <w:szCs w:val="20"/>
          <w:color w:val="auto"/>
        </w:rPr>
      </w:pPr>
    </w:p>
    <w:p>
      <w:pPr>
        <w:ind w:left="1420" w:hanging="440"/>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million, after deducting fees and expenses.</w:t>
      </w:r>
    </w:p>
    <w:p>
      <w:pPr>
        <w:spacing w:after="0" w:line="211"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The final principal balance of the term loan or senior note portion of such debt facilities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 assumed above for the debt</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facilities would increase or decrease pro forma interest expense by approximately $ million for the fiscal year ended September 30, 2018 and approximately $ million for the three months ended December 31, 2018 (assuming the principal balance of the debt facilities does not change from that assumed above).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560"/>
        <w:spacing w:after="0"/>
        <w:tabs>
          <w:tab w:leader="none" w:pos="4080" w:val="left"/>
        </w:tabs>
        <w:rPr>
          <w:sz w:val="20"/>
          <w:szCs w:val="20"/>
          <w:color w:val="auto"/>
        </w:rPr>
      </w:pPr>
      <w:r>
        <w:rPr>
          <w:rFonts w:ascii="Arial" w:cs="Arial" w:eastAsia="Arial" w:hAnsi="Arial"/>
          <w:sz w:val="18"/>
          <w:szCs w:val="18"/>
          <w:color w:val="auto"/>
        </w:rPr>
        <w:t>BellRing Brands, Inc. expects to issue</w:t>
      </w:r>
      <w:r>
        <w:rPr>
          <w:sz w:val="20"/>
          <w:szCs w:val="20"/>
          <w:color w:val="auto"/>
        </w:rPr>
        <w:tab/>
      </w:r>
      <w:r>
        <w:rPr>
          <w:rFonts w:ascii="Arial" w:cs="Arial" w:eastAsia="Arial" w:hAnsi="Arial"/>
          <w:sz w:val="16"/>
          <w:szCs w:val="16"/>
          <w:color w:val="auto"/>
        </w:rPr>
        <w:t>shares of Class A common stock in this offering. The unaudited pro forma consolidated basic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diluted earnings per share for the periods presented are based on the combined basic and diluted weighted-average shares outstanding to be issued by</w:t>
      </w:r>
    </w:p>
    <w:p>
      <w:pPr>
        <w:spacing w:after="0" w:line="386"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BellRing Brands, Inc. in this offering. The calculation includes shares of Class A common stock assumed to be sold in this offering. The shares of BellRing Brands, Inc. Class B common stock do not share in its earnings and are therefore not included in the weighted average shares outstanding or net earnings available per common share.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 cover page of this prospectus), after deducting underwriting discounts and commissions and estimated offering expenses payable by us.</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560"/>
        <w:spacing w:after="0"/>
        <w:tabs>
          <w:tab w:leader="none" w:pos="7060" w:val="left"/>
        </w:tabs>
        <w:rPr>
          <w:sz w:val="20"/>
          <w:szCs w:val="20"/>
          <w:color w:val="auto"/>
        </w:rPr>
      </w:pPr>
      <w:r>
        <w:rPr>
          <w:rFonts w:ascii="Arial" w:cs="Arial" w:eastAsia="Arial" w:hAnsi="Arial"/>
          <w:sz w:val="17"/>
          <w:szCs w:val="17"/>
          <w:color w:val="auto"/>
        </w:rPr>
        <w:t>To reflect the tax effect of the pro forma adjustments at an assumed effective tax rate of</w:t>
        <w:tab/>
        <w:t>%.</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Post’s Active Nutrition business (which we also refer to as “Active Nutrition”) historical combined financial statements and the accompanying notes and other financial information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Post’s Active Nutrition business and the allocation of certain Post corporate expenses relating to Active Nutrition based on the historical financial statements and accounting records of Post. In the opinion of management, the assumptions underlying Post’s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BellRing Brands, Inc. was formed as a Delaware corporation in 2019 for the purpose of completing this offering. Upon completion of the formation transactions, BellRing Brands, LLC will become the holder of Active Nutrition, which, effective as of the fiscal quarter ended June 30, 2015, has been comprised of Premier Nutrition, Dymatize Enterprises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 We are a provider of highly nutritious, great-tasting products including RTD protein shakes, other RTD beverages, powders, nutrition bars and nutritional supplements in the convenient nutrition category. The following discussion contains references to the three months ended December 31, 2018 and 2017 and the years ended September 30, 2018, 2017 and 2016, which represent the financial results of our predecessor, Active Nutrition, for the same periods.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success of companies in the convenient nutrition category is driven by how well players can grow, develop and differentiate their brands. We expect the convergence of several factors to support the continued growth of the convenient nutrition category, including:</w:t>
      </w:r>
    </w:p>
    <w:p>
      <w:pPr>
        <w:spacing w:after="0" w:line="52" w:lineRule="exact"/>
        <w:rPr>
          <w:sz w:val="20"/>
          <w:szCs w:val="20"/>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980" w:right="300" w:hanging="432"/>
        <w:spacing w:after="0" w:line="30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highly competitive nature of the industry, which involves competition from a host of nutritional food and beverage players, including manufacturers of other branded food and beverage products as well as manufacturers of private label products; and</w:t>
      </w:r>
    </w:p>
    <w:p>
      <w:pPr>
        <w:spacing w:after="0" w:line="51" w:lineRule="exact"/>
        <w:rPr>
          <w:rFonts w:ascii="Arial" w:cs="Arial" w:eastAsia="Arial" w:hAnsi="Arial"/>
          <w:sz w:val="17"/>
          <w:szCs w:val="17"/>
          <w:color w:val="auto"/>
        </w:rPr>
      </w:pPr>
    </w:p>
    <w:p>
      <w:pPr>
        <w:ind w:left="980" w:right="440" w:hanging="43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With the rapid consumption growth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have added significant capacity at our contract manufacturing partners in order to keep up with consumer demand. However, due to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combination of better than expected volume growth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To increase inventory and to minimize the overall impact to customers and consumers, Active Nutrition reduced its available RTD protein shake flavors in the first quarter of fiscal 2019 from seven to its two best-selling flavors, chocolate and vanilla. This decision adversely impacted the year-over-year growth rate for the three months ended December 31, 2018 compared to growth trends experienced in fiscal 2018 and 2017. During the second quarter of fiscal 2019, Active Nutrition began to re-introduce certain flavors and expects all flavors to be back in stock and shipping early in the third quarter of fiscal 2019. With these actions as well as planned incremental capacity in the second half of fiscal 2019, management believes we will be able to meet expected customer demand and our inventory levels will be enough to accelerate our growth beyond that experienced since beginning of fiscal 2019.</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Costs included in “Cost of goods sold” on the Combined Statements of Operations and Comprehensive Income include:</w:t>
      </w:r>
    </w:p>
    <w:p>
      <w:pPr>
        <w:spacing w:after="0" w:line="131"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980" w:right="360" w:hanging="432"/>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980" w:hanging="432"/>
        <w:spacing w:after="0" w:line="275"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includes all packaging and ingredients used, for an agreed-upon tolling charge for each item produced as well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81" w:lineRule="exact"/>
        <w:rPr>
          <w:rFonts w:ascii="Arial" w:cs="Arial" w:eastAsia="Arial" w:hAnsi="Arial"/>
          <w:sz w:val="17"/>
          <w:szCs w:val="17"/>
          <w:color w:val="auto"/>
        </w:rPr>
      </w:pPr>
    </w:p>
    <w:p>
      <w:pPr>
        <w:ind w:left="980" w:right="60" w:hanging="432"/>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Our freight costs are impacted by fuel costs, as well as by carrier availability.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Costs included in “Selling, general and administrative expenses” on the Combined Statements of Operations and Comprehensive Income include:</w:t>
      </w:r>
    </w:p>
    <w:p>
      <w:pPr>
        <w:spacing w:after="0" w:line="154" w:lineRule="exact"/>
        <w:rPr>
          <w:sz w:val="20"/>
          <w:szCs w:val="20"/>
          <w:color w:val="auto"/>
        </w:rPr>
      </w:pPr>
    </w:p>
    <w:p>
      <w:pPr>
        <w:ind w:left="980" w:hanging="432"/>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80" w:right="20" w:hanging="432"/>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corporate allocations</w:t>
      </w:r>
      <w:r>
        <w:rPr>
          <w:rFonts w:ascii="Arial" w:cs="Arial" w:eastAsia="Arial" w:hAnsi="Arial"/>
          <w:sz w:val="18"/>
          <w:szCs w:val="18"/>
          <w:color w:val="auto"/>
        </w:rPr>
        <w:t>, which include allocations from Post of general and administrative costs, including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costs related to the finance, information technology, legal, human resources, quality and purchasing functions. These cost allocations will not continue subsequent to our separation from Post.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because of customer spending patterns and promotional activity. Historically, our first fiscal quarter is seasonally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low for net sales for all brands driven by a slowdown for our products during the holiday season, and for </w:t>
      </w:r>
      <w:r>
        <w:rPr>
          <w:rFonts w:ascii="Arial" w:cs="Arial" w:eastAsia="Arial" w:hAnsi="Arial"/>
          <w:sz w:val="18"/>
          <w:szCs w:val="18"/>
          <w:i w:val="1"/>
          <w:iCs w:val="1"/>
          <w:color w:val="auto"/>
        </w:rPr>
        <w:t>PowerBar</w:t>
      </w:r>
      <w:r>
        <w:rPr>
          <w:rFonts w:ascii="Arial" w:cs="Arial" w:eastAsia="Arial" w:hAnsi="Arial"/>
          <w:sz w:val="18"/>
          <w:szCs w:val="18"/>
          <w:color w:val="auto"/>
        </w:rPr>
        <w:t>, colder weather which impacts outdoor activities. However, sales typically increase throughout the remainder of the fiscal year as a result of promotional activity at key retailers as well as organic growth of the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the three months ended December 31, 2018 and 2017, “Earnings before Income Taxes” (“EBIT”) on the Condensed Combined Statements of Operations and Comprehensive Income were impacted by the following items:</w:t>
      </w:r>
    </w:p>
    <w:p>
      <w:pPr>
        <w:spacing w:after="0" w:line="76" w:lineRule="exact"/>
        <w:rPr>
          <w:sz w:val="20"/>
          <w:szCs w:val="20"/>
          <w:color w:val="auto"/>
        </w:rPr>
      </w:pPr>
    </w:p>
    <w:p>
      <w:pPr>
        <w:ind w:left="980" w:right="700" w:hanging="432"/>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short-term supply constraints for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three months ended December 31,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separation costs of $1.2 million related to the separation from Post for the three months ended December 31, 2018; and</w:t>
      </w:r>
    </w:p>
    <w:p>
      <w:pPr>
        <w:spacing w:after="0" w:line="130" w:lineRule="exact"/>
        <w:rPr>
          <w:rFonts w:ascii="Arial" w:cs="Arial" w:eastAsia="Arial" w:hAnsi="Arial"/>
          <w:sz w:val="18"/>
          <w:szCs w:val="18"/>
          <w:color w:val="auto"/>
        </w:rPr>
      </w:pPr>
    </w:p>
    <w:p>
      <w:pPr>
        <w:ind w:left="980" w:right="360" w:hanging="432"/>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$1.1 million from selling expenses to net sales in the three months ended December 31, 2018, in connection with the adoption of Accounting Standards Update (“ASU”) 2014-09, “Revenue from Contracts with Customers (Topic 606).”</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restructuring and plant closure costs of $5.0 million and losses on assets held for sale of $4.5 million in the year ended September 30, 2016.</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Three Months Ended December 31, 2018 and 2017</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7"/>
              </w:rPr>
              <w:t>Active Nutrition</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8"/>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8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EBIT Margin</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Net sales decreased $0.2 million during the three months ended December 31, 2018 as compared to the corresponding period in the prior year.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up $3.1 million, or 11%, with volume up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5%, primarily due to distribution gains in the club and mass channels, volume growth in the eCommerce channel and favorable product mix. Sales of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products were up $3.0 million, or 2%, with volume up 4%, primarily driven by increases in sales of RTD protein shake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partially offset by lower sales of nutrition bars. Increases in RTD protein shake product volumes for the three months ended December 31, 2018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were down $5.1 million, or 34%, with volume down 40%, primarily due to strategic sales reductions of low performing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our North American portfolio, as well as consumption declines. These negative impacts were partially offset by a favorable channel and product mix. Sales of all other products were down $1.2 million. Current year net sales were impacted by the reclassification of certain payments to customers of $1.1 million from selling expenses to net sales in connection with the adoption of ASU 2014-09 (see below for further discussion).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EBIT increased $14.1 million, or 75%, for the three months ended December 31, 2018, as compared to the corresponding period in the prior year. EBIT in the three months ended December 31, 2017 was impacted by a litigation settlement accrual of $9.0 million. Excluding this impact, EBIT increased $5.1 million, or 18%. Gross profit margins improved to 35% in the three months ended December 31, 2018, from 34% in the prior year period. This increase was driven by lower net inventory costs of $4.7 million, as favorable raw materials costs were partially offset by increased manufacturing and freight costs. Selling, general and administrative costs, excluding the impact of a litigation settlement accrual of $9.0 million, were lower primarily driven by reduced advertising and consumer spending of $2.4 million partially offset by increased corporate cost allocations of $1.4 million, as compared to the prior year period, driven primarily by additional transaction costs incurred related to the separation from Post.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effective income tax rate was 23.7% for the three months ended December 31, 2018. In accordance with Accounting Standards Codification (“ASC”) Topic 740, “Income Taxes,” income tax expense (benefit) is recorded for interim periods using the estimated annual effective income tax rate for the full fiscal year adjusted for the impact of discrete items occurring during the interim periods.</w:t>
      </w:r>
    </w:p>
    <w:p>
      <w:pPr>
        <w:spacing w:after="0" w:line="16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the three months ended December 31, 2017, an income tax benefit of $4.3 million was recorded, resulting in an effective tax rate of (22.9)%. This benefit was driven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fiscal 2019 tax year and was prorated with the pre-December 22, 2017 U.S. federal corporate income tax rate of 35% for the fiscal 2018 tax year. This proration resulted in a blended U.S. federal corporate income tax rate of 24.5% for fiscal 2018. During the three months ended December 31, 2017, Active Nutrition (i) remeasured its existing deferred tax assets and liabilities considering both the fiscal 2018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Condensed Combined Statement of Operations and Comprehensive Income for the three months ended December 31, 2018. For additional information regarding ASU 2014-09, refer to Note 3 of “Notes to Condensed Combined Financial Statements” for the three months ended December 31, 2018 and 2017.</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Active Nutrition</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Year Ended September 30,</w:t>
            </w: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Year Ended September 30,</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Change</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$827.5</w:t>
            </w:r>
          </w:p>
        </w:tc>
        <w:tc>
          <w:tcPr>
            <w:tcW w:w="2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713.2</w:t>
            </w: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574.7</w:t>
            </w: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395.5</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179.2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119.8</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EBIT Margin</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impacts were partially offset by new product introductions and favorable foreign exchange. Sales of all other products were up $0.3 million.</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EBIT increased $54.2 million, or 83%, for the year ended September 30, 2018. EBIT in the year ended September 30, 2018 was impacted by a litigation settlement accrual of $9.0 million and in the year ended 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Net sales increased $138.5 million, or 24%, during the year ended September 30, 2017 as compared to the corresponding period in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$4.8 million, or 4%, primarily due to weakness in the domestic specialty channel and higher promotional activity, partially offset by an increase in volume of 10%. The increase in volume is primarily the result of a favorable product mix, distribution gains in the eCommerce channel and international growth.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products.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7"/>
              </w:rPr>
              <w:t>Active Nutrition</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1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140" w:hanging="424"/>
        <w:spacing w:after="0" w:line="26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fiscal 2019 tax year and is prorated with the pre-December 22, 2017 U.S. federal corporate income tax rate of 35% for the fiscal 2018 tax year. This proration resulted in a blended U.S. federal corporate income tax rate of 24.5% for fiscal 2018. Adjustments were made in the following instances: (i) Active Nutrition remeasured its existing deferred tax assets and liabilities considering both the fiscal 2018 blended rate and the 21% rate for future periods and recorded a tax benefit of $9.9 million and (ii) Active Nutrition calculated the one-time transition tax and recorded tax expense of $0.5 million. Full expensing of certain depreciable assets will result in a temporary difference as assets are placed in service.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Active Nutrition</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Three Months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vMerge w:val="restart"/>
          </w:tcPr>
          <w:p>
            <w:pPr>
              <w:jc w:val="right"/>
              <w:ind w:right="4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20" w:type="dxa"/>
            <w:vAlign w:val="bottom"/>
          </w:tcPr>
          <w:p>
            <w:pPr>
              <w:spacing w:after="0"/>
              <w:rPr>
                <w:sz w:val="18"/>
                <w:szCs w:val="18"/>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(6.4)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(133.0)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 requirements are provided directly by Post and cash generated by us is generally remitted directly to Post.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 cover page of this prospectus), after deducting underwriting discounts and commissions and estimated offering expenses payable by us.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185"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4"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part of the formation transactions and this offering, BellRing Brands, LLC and its subsidiaries and BellRing Brands, Inc.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Additionally, BellRing Brands, Inc. or one of its subsidiaries intends to enter into a tax receivable agreement with Post that will provide for the payment by BellRing Brands, Inc. or one of its subsidiaries to Post (or certain of its transferees or other assignees) of 85% of the amount of cash savings, if any, in U.S. federal, state and local income tax or franchise tax that BellRing Brands, Inc. actually realizes (or, in some circumstances, BellRing Brands, Inc. is deemed to realize) as a result of (a) the increase in the tax basis of assets of BellRing Brands, LLC attributable to (i) an exchange of Post’s (or certain transferees or assignees) BellRing Brands, LLC Units (and corresponding shares of BellRing Brands, Inc.’s Class B common stock) for shares of BellRing Brands, Inc.’s Class A common stock or cash or (ii) certain actual or deemed distributions from BellRing Brands, LLC to Post (or certain transferees or assignees), (b) tax benefits related to imputed interest deemed to be paid by BellRing Brands, Inc. or one of its subsidiaries as a result of the tax receivable agreement and (c) certain tax benefits attributable to payments under the tax receivable agreement.</w:t>
      </w:r>
    </w:p>
    <w:p>
      <w:pPr>
        <w:spacing w:after="0" w:line="165"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capital expenditures and other financing requirements for the foreseeable future.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as described below under “Certain Relationships and Related Party Transactions—Post-Offering Relationship with Post—Coordination of BellRing Brands, Inc. and BellRing Brands, LLC.” The amended and restated limited liability company agreement provides, to the extent cash is available, for distributions pro rata to the holders of BellRing Brands, LLC Units such that members receive an amount of cash sufficient to cover the estimated taxes payable by them.</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Cash provided by operating activities for the three months ended December 31, 2018 increased by $5.9 million compared to the prior year period. The increase was driven by higher earnings before income taxes, partially offset by unfavorable working capital changes of $10.2 million. Changes in working capital were primarily driven by the impacts of fluctuations in the timing of sales and collections of trade receivables and fluctuations in the 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provided by operating activities for the year ended September 30, 2017 increased by $39.6 million compared to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Cash used in investing activities for the three months ended December 31, 2018 increased by $0.7 million compared to the prior year period, resulting from an increase in capital expenditures.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Cash used in financing activities for the three months ended December 31, 2017 was $6.4 million compared to cash provided by financing activities of $0.4 million in the prior year period. Financing activities primarily relate to cash transfers to and from Post. The components of net transfers include cash deposits from Active Nutrition to Post and cash borrowings received from Post used to fund operations or capital expenditures and allocations of Post’s corporate expenses (see Note 8 of “Notes to Condensed Combined Financial Statements” for the three months ended December 31, 2018 and 2017).</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Cash used in financing activities for the year ended September 30, 2018 increased $49.0 million compared to the prior year period. Financing activities primarily relate to cash transfers to and from Post. The components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of net transfers include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 to cash transfers to and from Post. The components of net transfers include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1 Year</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$365.3</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$ 114.3</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$ 119.5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 w:hanging="424"/>
        <w:spacing w:after="0" w:line="255"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spacing w:after="0" w:line="2" w:lineRule="exact"/>
        <w:rPr>
          <w:rFonts w:ascii="Arial" w:cs="Arial" w:eastAsia="Arial" w:hAnsi="Arial"/>
          <w:sz w:val="18"/>
          <w:szCs w:val="18"/>
          <w:color w:val="auto"/>
        </w:rPr>
      </w:pPr>
    </w:p>
    <w:p>
      <w:pPr>
        <w:ind w:left="540" w:right="74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540" w:right="180" w:hanging="424"/>
        <w:spacing w:after="0" w:line="255"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Trends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impact on Active Nutrition’s operations for the years ended September 30, 2018, 2017 and 2016, but could have a material impact in the future if inflation rates were to significantly exceed our ability to achieve price increases.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80"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—Revenue is recognized when title of goods is transferred to the customer, as specified by the shipping terms. Net sales</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Customer trade allowances are generally computed as a 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5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320" w:top="459" w:right="6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 of variable consideration are resolved in a short time frame and do not require any additional constraint on variable consideration.</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5" w:lineRule="exact"/>
        <w:rPr>
          <w:sz w:val="20"/>
          <w:szCs w:val="20"/>
          <w:color w:val="auto"/>
        </w:rPr>
      </w:pPr>
    </w:p>
    <w:p>
      <w:pPr>
        <w:ind w:left="120" w:right="200" w:firstLine="440"/>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w:t>
      </w:r>
      <w:r>
        <w:rPr>
          <w:rFonts w:ascii="Arial" w:cs="Arial" w:eastAsia="Arial" w:hAnsi="Arial"/>
          <w:sz w:val="17"/>
          <w:szCs w:val="17"/>
          <w:b w:val="1"/>
          <w:bCs w:val="1"/>
          <w:color w:val="auto"/>
        </w:rPr>
        <w:t xml:space="preserve"> </w:t>
      </w:r>
      <w:r>
        <w:rPr>
          <w:rFonts w:ascii="Arial" w:cs="Arial" w:eastAsia="Arial" w:hAnsi="Arial"/>
          <w:sz w:val="17"/>
          <w:szCs w:val="17"/>
          <w:color w:val="auto"/>
        </w:rPr>
        <w:t>for 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the cost of acquired businesses over the fair market value of their identifiable net assets. We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reporting units.</w:t>
      </w:r>
    </w:p>
    <w:p>
      <w:pPr>
        <w:spacing w:after="0" w:line="19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allow for step two of the analysis prescribed prior to the adoption of ASU 2017-04, Active Nutrition recorded an impairment charge of goodwill down to the fair value. At the time of the analysis, the Dymatize reporting unit had $26.5 million of remaining goodwill, and therefore an impairment charge was recorded for the entire goodwill balance of $26.5 million.</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 their carrying values by more than 100%.</w:t>
      </w:r>
    </w:p>
    <w:p>
      <w:pPr>
        <w:spacing w:after="0" w:line="184" w:lineRule="exact"/>
        <w:rPr>
          <w:sz w:val="20"/>
          <w:szCs w:val="20"/>
          <w:color w:val="auto"/>
        </w:rPr>
      </w:pPr>
    </w:p>
    <w:p>
      <w:pPr>
        <w:ind w:left="120" w:right="80" w:firstLine="440"/>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16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three months ended December 31, 2018 and 2017 for more information about estimates affecting income taxes.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three months ended December 31, 2018 and 2017 for a discussion regarding recently issued and adopted accounting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target a broad range of consumers, compete in all major product forms, including RTD protein shakes, powders and nutrition bars, and are distributed across a diverse network of channels including club, FDM, eCommerce, convenience and specialty. Our vision is to create a healthier world where no one is nutritionally left behind and EVERYONE wants and has access to great-tasting nutrition. Our commitment to consumers is to strive to make highly effective products that deliver best-in-class nutritionals and superior taste. Our Company is guided by the following core values:</w:t>
      </w:r>
    </w:p>
    <w:p>
      <w:pPr>
        <w:spacing w:after="0" w:line="70" w:lineRule="exact"/>
        <w:rPr>
          <w:sz w:val="20"/>
          <w:szCs w:val="20"/>
          <w:color w:val="auto"/>
        </w:rPr>
      </w:pPr>
    </w:p>
    <w:p>
      <w:pPr>
        <w:ind w:left="980" w:hanging="432"/>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agility to quickly seize opportunities.</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not always easy (or enjoyable) to be healthy. This is why we never compromise on our commitment to strive to make highly effective products that deliver best-in-class nutritionals and superior taste.</w:t>
      </w:r>
    </w:p>
    <w:p>
      <w:pPr>
        <w:spacing w:after="0" w:line="89"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980" w:right="100" w:hanging="432"/>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happily sharing credit—all to Ring the Bell.</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Our largest brand,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one of the fastest-growing brands in the convenient nutrition category and is positioned to appeal to mainstream consumers focused on healthy nutrition.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which comprise the majority of our net sales, hold the #1 share position in RTD protein shakes measured by Nielsen household panel data for the 52 week period ended December 29, 2018. Net sales of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shakes grew at a CAGR of 42% from fiscal 2016 to fiscal 2018. Our</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brand is a market leader targeting fitness enthusiasts, who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the brand for its science-based product development and athletic performance focus.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one of the most well-known brands in the convenient nutrition category and targets a range of consumers from committed athletes to active individuals.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3154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1746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Within our product portfolio, 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net sales by brand and product form are listed below:</w:t>
      </w:r>
    </w:p>
    <w:p>
      <w:pPr>
        <w:spacing w:after="0" w:line="248" w:lineRule="exact"/>
        <w:rPr>
          <w:sz w:val="20"/>
          <w:szCs w:val="20"/>
          <w:color w:val="auto"/>
        </w:rPr>
      </w:pPr>
    </w:p>
    <w:p>
      <w:pPr>
        <w:ind w:left="1740"/>
        <w:spacing w:after="0"/>
        <w:tabs>
          <w:tab w:leader="none" w:pos="696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94615</wp:posOffset>
            </wp:positionV>
            <wp:extent cx="5888990" cy="1877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889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8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product portfolio has benefited from the consumer trends driving the rapid growth in the convenient nutrition category. Mainstream consumers are increasingly focused on the consumption of healthier food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320" w:top="459" w:right="5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4" w:lineRule="auto"/>
        <w:rPr>
          <w:sz w:val="20"/>
          <w:szCs w:val="20"/>
          <w:color w:val="auto"/>
        </w:rPr>
      </w:pPr>
      <w:r>
        <w:rPr>
          <w:rFonts w:ascii="Arial" w:cs="Arial" w:eastAsia="Arial" w:hAnsi="Arial"/>
          <w:sz w:val="16"/>
          <w:szCs w:val="16"/>
          <w:color w:val="auto"/>
        </w:rPr>
        <w:t>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third party category study: everyday nutrition, adult nutrition, sports nutrition and weight management. We believe most brands are positioned to appeal primarily to one consumer need state, but we have developed brand equities and product value propositions to appeal to a broad range of need states. Everyday nutrition, where we have the largest presence, is the fastest-growing need state in the category and spans a range of consumption occasions, including breakfast, snack, meal replacement and treats. In the U.S., management estimates that the everyday nutrition need state accounted for</w:t>
      </w:r>
    </w:p>
    <w:p>
      <w:pPr>
        <w:spacing w:after="0" w:line="2"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 xml:space="preserve">$3.0 billion in sales for the 52 week period ended November 24, 2018 and grew at a 20% CAGR from 2014 to 2018, based on data from Nielsen tracked channels.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focused primarily on the sports nutrition need state.</w:t>
      </w:r>
    </w:p>
    <w:p>
      <w:pPr>
        <w:spacing w:after="0" w:line="15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and have developed deep, long-standing relationships with customers such as Costco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further our penetration across all channels.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organically grown our net sales from $574.7 million in fiscal 2016 to $827.5 million in fiscal 2018, representing a CAGR of 20%. Over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same period, net income grew from $19.9 million in fiscal 2016 to $96.1 million in fiscal 2018, representing a CAGR of 120%, Adjusted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earnings grew from $29.3 million in fiscal 2016 to $93.3 million in fiscal 2018, representing a CAGR of 78% and Adjusted EBITDA grew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$72.0 million in fiscal 2016 to $156.5 million in fiscal 2018, representing a CAGR of 47%. Our attractive financial profile, including high margins,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modest capital expenditures and limited working capital requirements, enables us to generate significant free cash flow. These attributes provide us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financial flexibility to continue to invest in brand marketing, research and development and people development and to pursue value-enhancing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acquisitions as opportunities arise. See “Explanation and Reconciliation of Non-GAAP Measures” for a reconciliation of Adjusted net earnings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 each a non-GAAP measure, to the most directly comparable GAAP measure.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9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In fiscal 2013, Post acquired Premier Nutrition, which, at the time, was a marketer and distributor of high quality protein shakes and nutrition bars under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nutritional supplements under the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brand. Premier Nutrition, Inc. was founded in 1997, and Joint Juice, Inc. was founded in 1999. In 2011, Joint Juice, Inc. acquired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related assets from Premier Nutrition, Inc. via a corporate restructuring, and the resulting entity assumed the name Premier Nutrition Corporation. Premier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70"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and nutrition bars under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Dymatize Enterprises was founded in 1994. At the time of the acquisition,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In fiscal 2015, Post acquired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brands, Active Nutrition International (formerly known as PowerBar Europe GmbH) and manufacturing facilities in Boise, Idaho and Voerde, Germany.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was founded in 1986. In fiscal 2015, Post sold the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 In that same fiscal year, Post also ceased all production at, and thereafter sold, the Boise manufacturing facility. All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operate in the $31.3 billion global convenient nutrition category, a rapidly-growing and on-trend category within food and beverage. The U.S. is our primary market and is the largest and most developed market in the world, accounting for $17.1 billion of category sales in 2018. In the U.S., the convenient nutrition category grew at a CAGR of 9% from 2014 to 2018.</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Based on third party research and management estimates, we believe approximately 38% of the U.S. market is comprised of tracked channels with the remaining 62% in untracked channels (Costco, eCommerce, natural, specialty, vending and foodservice). Bars, RTDs and powders are the three primary product forms in the U.S. In tracked Nielsen channels for the 52 week period ended December 29, 2018, bars have a 46% dollar share, RTDs have a 39% dollar share, powders have an 11% dollar share and other product forms have a 3% dollar share (numbers do not add to 100% due to rounding). However, management believes the powder share for the total U.S. market (tracked and untracked) is significantly greater than the 11% share in tracked channels based on other third party sources and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sales in eCommerce.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Tracked Channels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160655</wp:posOffset>
            </wp:positionV>
            <wp:extent cx="2751455" cy="2451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14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Arial" w:cs="Arial" w:eastAsia="Arial" w:hAnsi="Arial"/>
          <w:sz w:val="14"/>
          <w:szCs w:val="14"/>
          <w:i w:val="1"/>
          <w:iCs w:val="1"/>
          <w:color w:val="auto"/>
        </w:rPr>
        <w:t>Source: Nielsen, 52 week period ended 12/29/2018</w:t>
      </w:r>
    </w:p>
    <w:p>
      <w:pPr>
        <w:spacing w:after="0" w:line="96" w:lineRule="exact"/>
        <w:rPr>
          <w:sz w:val="20"/>
          <w:szCs w:val="20"/>
          <w:color w:val="auto"/>
        </w:rPr>
      </w:pPr>
    </w:p>
    <w:p>
      <w:pPr>
        <w:ind w:left="410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third party category study: everyday nutrition, adult nutrition, sports nutrition and weight management. Using data from Nielsen tracked channels for the 52 week period ended November 24, 2018 and a third party category study, management estimates that, excluding the private label sales from the category (which accounts for 5% of the sales in the category), everyday nutrition represents a 49% share of the category, adult nutrition represents a 17% share of the category, sports nutrition represents a 17% share of the category and weight management represents a 16% share of the category (numbers do not add to 100% due to rounding).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168910</wp:posOffset>
            </wp:positionV>
            <wp:extent cx="5014595" cy="3797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1459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Everyday nutrition is the largest, fastest-growing need state in the category and spans a range of consumption occasions (breakfast, snack, meal replacement and treats).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16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2018 Nielsen report shows U.S. consumers have a growing appetite for protein with 55% of U.S. households indicating that protein is now an important attribute to consider when buying food for their households. In addition, the IRI 2016 State of the Snack Food Industry report indicates that consumers are increasingly eating smaller meals more frequently throughout the day and 46% of consumers snack more than three times a day.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“Mainstreaming” convenient nutrition is fueling growth in the category across all forms, with total U.S. household penetration reaching 54% for the 52 week period ended June 30, 2018 (an increase from 52% for a comparable period in 2017). Nutritional drinks, including protein shakes, are increasingly being used as convenient and nutritious meal replacements, as illustrated by independent third party research revealing that 39% of consumers use nutritional and performance drinks as a substitute for breakfast. In addition, three in five consumers use nutritional and performance drinks as a meal replacement, and 48% of consumers consume them as part of a meal, up from just 20% in 2012. Protein powders are gaining more shelf space in traditional retail channels such as grocery and convenience. Management believes there is a significant growth opportunity in liquids and powders as household penetration for the 52 week period ended December 29, 2018 was only 23% for liquids and 11% for powders, compared to 43% for bars.</w:t>
      </w:r>
    </w:p>
    <w:p>
      <w:pPr>
        <w:spacing w:after="0" w:line="192"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 U.S. market is the largest and most developed market in the convenient nutrition category. However, we believe the international market remains a sizeable and underdeveloped opportunity where our Company is positioned for success. The $14.2 billion international convenient nutrition category consists of developed established markets such as Western Europe, the U.K., Japan and Australia and large emerging markets such as China, India and Brazil. China, India and the U.K. represent the biggest growth opportunities: China’s market size is estimated to be $1.5 billion for 2018, having grown 25% from 2017 to 2018; India’s market size is estimated to be $0.7 billion for 2018, having grown 13% from 2017 to 2018; and the U.K.’s market size is estimated to be $1.3 billion for 2018, having grown 14% from 2017 to 2018.</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We operate in the $31.3 billion global convenient nutrition category, a rapidly-growing and on-trend category within food and beverage. At $17.1 billion, the U.S. market is the largest and most developed market in the world and grew at a CAGR of 9% between 2014 and 2018.</w:t>
      </w:r>
    </w:p>
    <w:p>
      <w:pPr>
        <w:spacing w:after="0" w:line="12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6"/>
          <w:szCs w:val="16"/>
          <w:color w:val="auto"/>
        </w:rPr>
        <w:t>We believe the category’s growth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2018 Nielsen report showing U.S. consumers have a growing appetite for protein with 55% of U.S. households indicating that protein is now an important attribute to consider when buying food for their households.</w:t>
      </w:r>
    </w:p>
    <w:p>
      <w:pPr>
        <w:spacing w:after="0" w:line="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Additionally, as the IRI 2016 State of the Snack Food Industry report indicates,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These statistics, together with a modest household penetration of just 5% for our RTD protein shakes for the 52 week period ended December 29, 2018, demonstrate our significant room for growth.</w:t>
      </w:r>
    </w:p>
    <w:p>
      <w:pPr>
        <w:spacing w:after="0" w:line="18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the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largest brand and is positioned to appeal to mainstream consumers seeking convenient, delicious protein products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enjoy throughout the day. Our flagship 11 ounce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Company’s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The brand has achieved category-leading share requirements and repeat purchase frequencies.</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holds the #1 share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convenient nutrition RTD category based on Nielsen household panel data for the 52 week period ended December 29, 2018.</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9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The brand aims to deliver nutrient dense products to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both in the U.S. and internationally and has a notable presence in Western Europe.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portfolio to include new flavors, high protein Clear RTD beverages, powders and nutrition bars.</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products deliver concentrated energy and protein in convenient formats that can be consumed by competitive athletes and fitness</w:t>
      </w:r>
      <w:r>
        <w:rPr>
          <w:rFonts w:ascii="Arial" w:cs="Arial" w:eastAsia="Arial" w:hAnsi="Arial"/>
          <w:sz w:val="18"/>
          <w:szCs w:val="18"/>
          <w:i w:val="1"/>
          <w:iCs w:val="1"/>
          <w:color w:val="auto"/>
        </w:rPr>
        <w:t xml:space="preserve"> </w:t>
      </w:r>
      <w:r>
        <w:rPr>
          <w:rFonts w:ascii="Arial" w:cs="Arial" w:eastAsia="Arial" w:hAnsi="Arial"/>
          <w:sz w:val="18"/>
          <w:szCs w:val="18"/>
          <w:color w:val="auto"/>
        </w:rPr>
        <w:t>enthusiasts to help reach peak performance. The brand’s performance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endurance products, targeted at endurance athletes, delivers carbohydrates in different product forms such as nutrition bars, gels, chews and powders for in-game usage. To adapt to evolving consumer trends,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expanded its product portfolio to include a natural vegan protein bar and protein bars fortified with calcium and magnesium.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120" w:right="520" w:firstLine="440"/>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71"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142875</wp:posOffset>
            </wp:positionV>
            <wp:extent cx="4852035" cy="3891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5203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 our largest brand, holds the #1 share position in RTD protein shakes as measured by Nielsen household panel data for the 52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week period ended December 29, 2018. However, the brand’s household penetration is 5% (compared to 23% for the convenient nutrition category) for the 52 week period ended December 29, 2018, which we believe provides significant opportunity for further expansion. We believe the brand is well-positioned to increase household penetration given its mainstream relevance and approachable positioning with the everyday consumer; it has demonstrated this ability by contributing to the overall growth of the category. Based on data from Nielsen tracked channels for the 52 week period ended January 26, 2019, 53% of the convenient nutrition RTD category’s growth was driven by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play in healthy and active lifestyles. We plan to continue investing in comprehensive marketing plans that include national advertising, social media, sampling and grassroots efforts to introduce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as a leading brand that delivers a differentiated offering of nutritional products. We believe these efforts drive new household</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as well as deeper loyalty and consumer love for the brand.</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We believe there are significant growth opportunities in our existing club, FDM, eCommerce and convenience channels across our brand portfolio. We have proven our ability to generate leading velocity rates even in channels where we have a small presence. For example,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maintains only a 4% share of shelf space within the convenient nutrition RTD category in the FDM channel, but is generating 9% of the sales and has some of the highest product velocity rates in the category in the FDM channel. </w:t>
      </w:r>
      <w:r>
        <w:rPr>
          <w:rFonts w:ascii="Arial" w:cs="Arial" w:eastAsia="Arial" w:hAnsi="Arial"/>
          <w:sz w:val="17"/>
          <w:szCs w:val="17"/>
          <w:i w:val="1"/>
          <w:iCs w:val="1"/>
          <w:color w:val="auto"/>
        </w:rPr>
        <w:t>Dymatize</w:t>
      </w:r>
      <w:r>
        <w:rPr>
          <w:rFonts w:ascii="Arial" w:cs="Arial" w:eastAsia="Arial" w:hAnsi="Arial"/>
          <w:sz w:val="17"/>
          <w:szCs w:val="17"/>
          <w:color w:val="auto"/>
        </w:rPr>
        <w:t>, which recently entered into the club and mass channels, also is already experiencing strong velocities versus its competitors based on data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to the center-of-store where there is more foot traffic. We intend to test center-of-store placements in partnerships with our key customers.</w:t>
      </w:r>
    </w:p>
    <w:p>
      <w:pPr>
        <w:spacing w:after="0" w:line="18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consumer needs. We employ a dual path innovation strategy with line extensions combined with category disrupting innovation.</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accounted for 25% of fiscal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expect to introduce two additional flavors in the fall of 2019. We also have improved the taste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and nutrition bar formulations to ensure we continue to delight consumers.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is already generating top 10% category velocities in FDM in less than twelve months. Additionally, our newly launched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in Europe have moved into a leading position with the #1 mass food retailer in Germany. We also have experienced success with our category disrupting innovation strategy. As a recent example, we were one of the first companies to reach mass market levels with a clear refreshing protein RTD beverage.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 Protein Clear</w:t>
      </w:r>
      <w:r>
        <w:rPr>
          <w:rFonts w:ascii="Arial" w:cs="Arial" w:eastAsia="Arial" w:hAnsi="Arial"/>
          <w:sz w:val="17"/>
          <w:szCs w:val="17"/>
          <w:color w:val="auto"/>
        </w:rPr>
        <w:t xml:space="preserve"> RTD product has rapidly expanded and is now distributed nationwide in Costco, Sam’s Club and other key retailers.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continues to be a leader in disruptive product 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Even though the U.S. convenient nutrition market accounts for the largest portion of our business, our Company is uniquely positioned to take advantage of the rapidly growing international market. The international convenient nutrition category is expected to grow from sales of $14.2 billion in 2018 to sales of $17.6 billion in 2021, representing a CAGR of 7%.</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We have an established and growing international business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continue distribution momentum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We are seeking to expand our wholesale and direct-to-consumer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business with specific emphasis on growing sales of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We are focused on leveraging recent marketing investments to accelerate FDM expansion of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in Western Europe, while continuing to maintain a strong presence in the specialty channel, which drives brand awareness.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 to drive the expansion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by offering a wider range of products in the FDM channel and investing behind our existing eCommerce platform.</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a leading mainstream, lifestyle brand in the convenient nutrition category, holding the #1 position in the U.S. convenient</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RTD category as measured by Nielsen household panel data for the 52 week period ended December 29, 2018.</w:t>
      </w:r>
    </w:p>
    <w:p>
      <w:pPr>
        <w:spacing w:after="0" w:line="14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treats) and appeal to a broad range of consumer need states. As a result, it has been one of the few brands in the category that has successfully expanded across consumer types as well as product forms.</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is the fastest-growing RTD protein beverage brand in the U.S. convenient nutrition category in Nielsen tracked channels data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52 week period ended January 16, 2019. In Nielsen tracked channels, our RTD protein shake sales have organically grown at a 68% CAGR from fiscal 2015 to fiscal 2018, considerably outpacing the broader category.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growth over this period has expanded the broader convenient nutrition category, driving 53% of convenient nutrition RTD category growth for the 52 week period ended January 26, 2019. </w:t>
      </w:r>
      <w:r>
        <w:rPr>
          <w:rFonts w:ascii="Arial" w:cs="Arial" w:eastAsia="Arial" w:hAnsi="Arial"/>
          <w:sz w:val="18"/>
          <w:szCs w:val="18"/>
          <w:i w:val="1"/>
          <w:iCs w:val="1"/>
          <w:color w:val="auto"/>
        </w:rPr>
        <w:t>Premier Protein</w:t>
      </w:r>
      <w:r>
        <w:rPr>
          <w:rFonts w:ascii="Arial" w:cs="Arial" w:eastAsia="Arial" w:hAnsi="Arial"/>
          <w:sz w:val="18"/>
          <w:szCs w:val="18"/>
          <w:color w:val="auto"/>
        </w:rPr>
        <w:t>’s organic growth is fueled by our consumers’ loyalty to and love for the brand and its products, as new users are often introduced by their friends, families or health care providers.</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’s product characteristics and category-leading consumer loyalty differentiate the brand from its competitors. According to Nielsen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consumer metrics, the brand’s RTD protein shakes outpace the competition in buy rate, purchase size, repeat rate and share of requirements. Despite these metrics, for the 52 week period ended December 29, 2018, </w:t>
      </w:r>
      <w:r>
        <w:rPr>
          <w:rFonts w:ascii="Arial" w:cs="Arial" w:eastAsia="Arial" w:hAnsi="Arial"/>
          <w:sz w:val="16"/>
          <w:szCs w:val="16"/>
          <w:i w:val="1"/>
          <w:iCs w:val="1"/>
          <w:color w:val="auto"/>
        </w:rPr>
        <w:t>Premier Protein</w:t>
      </w:r>
      <w:r>
        <w:rPr>
          <w:rFonts w:ascii="Arial" w:cs="Arial" w:eastAsia="Arial" w:hAnsi="Arial"/>
          <w:sz w:val="16"/>
          <w:szCs w:val="16"/>
          <w:color w:val="auto"/>
        </w:rPr>
        <w:t>’s U.S. household penetration rate of 5% remains well below the broader category’s household penetration rate of 23%, which we believe underscores the brand’s significant runway for growth.</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Key Metric: Nielsen Household Panel, Total US RTD, 52 week period ended 12/29/18</w:t>
            </w:r>
          </w:p>
        </w:tc>
        <w:tc>
          <w:tcPr>
            <w:tcW w:w="2220" w:type="dxa"/>
            <w:vAlign w:val="bottom"/>
          </w:tcPr>
          <w:p>
            <w:pPr>
              <w:jc w:val="right"/>
              <w:ind w:right="133"/>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15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$ 76.5</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Purchase Size</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$ 23.6</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Repeat Rate</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Share of Requirements (Loyalty)</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73%</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portfolio consists of RTD protein shakes, refreshing protein beverages, nutrition bars and protein powders.</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’s flagship 11 ounce RTD protein shakes contain 30 grams of protein with only one gram of sugar and 160 calories. They are gluten- and</w:t>
      </w:r>
      <w:r>
        <w:rPr>
          <w:rFonts w:ascii="Arial" w:cs="Arial" w:eastAsia="Arial" w:hAnsi="Arial"/>
          <w:sz w:val="18"/>
          <w:szCs w:val="18"/>
          <w:i w:val="1"/>
          <w:iCs w:val="1"/>
          <w:color w:val="auto"/>
        </w:rPr>
        <w:t xml:space="preserve"> </w:t>
      </w:r>
      <w:r>
        <w:rPr>
          <w:rFonts w:ascii="Arial" w:cs="Arial" w:eastAsia="Arial" w:hAnsi="Arial"/>
          <w:sz w:val="18"/>
          <w:szCs w:val="18"/>
          <w:color w:val="auto"/>
        </w:rPr>
        <w:t>soy-free, low fat and fortified with 24</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 xml:space="preserve">vitamins and minerals. Our RTD protein shakes are formulated to deliver great-tasting, leading protein levels while maintaining one of the leanest nutritional profiles in the category (as measured by sugar and calorie content). The product profile appeals to consumers of every age in all four need states.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a variety of flavors including chocolate, vanilla, cookies &amp; cream, caramel, bananas &amp; cream, strawberries &amp; cream and peaches &amp; cream. Two additional flavors will be introduced in the fall of 2019.</w:t>
      </w:r>
    </w:p>
    <w:p>
      <w:pPr>
        <w:spacing w:after="0" w:line="17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has accelerated efforts to expand its portfolio of high protein products across new product forms. The brand recently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protein powders and refreshing protein beverages, and plans to launch a new nutrition bar line in fiscal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6"/>
          <w:szCs w:val="16"/>
          <w:i w:val="1"/>
          <w:iCs w:val="1"/>
          <w:color w:val="auto"/>
        </w:rPr>
        <w:t>Premier Protein Clear</w:t>
      </w:r>
      <w:r>
        <w:rPr>
          <w:rFonts w:ascii="Arial" w:cs="Arial" w:eastAsia="Arial" w:hAnsi="Arial"/>
          <w:sz w:val="16"/>
          <w:szCs w:val="16"/>
          <w:color w:val="auto"/>
        </w:rPr>
        <w:t xml:space="preserve"> beverages are positioned as thirst quenching, functional products that deliver to consumers refreshing protein beverages with no sugar. Refreshing protein beverages is an emerging space in the convenient nutrition category and we view it as a large growth opportunity for the brand.</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intend to expand the portfolio in fiscal 2019 to deliver a new indulgent 20 gram nutrition bar with superior taste and texture to appeal to more mainstream consumers.</w:t>
      </w:r>
    </w:p>
    <w:p>
      <w:pPr>
        <w:spacing w:after="0" w:line="18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be found in major Canadian retailers and recently has expanded its high protein offerings into Europe with five nutrition bars and two protein powders.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and second highest velocities for bars according to German Nielsen data for December 2018.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also is sold in the club channel in Mexico, Japan and Korea.</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still in the early stages of its expansion. We expect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We intend to innovate across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bringing new flavors and products to our loyal consumer base.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 xml:space="preserve">In addition to powders,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offers a suite of products to meet the needs of athletes—including pre-workout and post-workout recovery products. In late fiscal 2018,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launched a line of value-priced products formulated for the mainstream athlete to be sold in FDM channels. </w:t>
      </w:r>
      <w:r>
        <w:rPr>
          <w:rFonts w:ascii="Arial" w:cs="Arial" w:eastAsia="Arial" w:hAnsi="Arial"/>
          <w:sz w:val="17"/>
          <w:szCs w:val="17"/>
          <w:i w:val="1"/>
          <w:iCs w:val="1"/>
          <w:color w:val="auto"/>
        </w:rPr>
        <w:t xml:space="preserve">Dymatize </w:t>
      </w:r>
      <w:r>
        <w:rPr>
          <w:rFonts w:ascii="Arial" w:cs="Arial" w:eastAsia="Arial" w:hAnsi="Arial"/>
          <w:sz w:val="17"/>
          <w:szCs w:val="17"/>
          <w:color w:val="auto"/>
        </w:rPr>
        <w:t>is an industry-leading brand, winning a number of Bodybuilding.com Awards, including:</w:t>
      </w:r>
    </w:p>
    <w:p>
      <w:pPr>
        <w:spacing w:after="0" w:line="71" w:lineRule="exact"/>
        <w:rPr>
          <w:sz w:val="20"/>
          <w:szCs w:val="20"/>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The brand delivers nutrient dense products to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The brand also has recently expanded into eCommerce as well as the FDM channels to drive incremental scale. In German Nielsen tracked channels,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#2 in the sports nutrition category and is the #1 energy bar brand as measured by 2018 volume, organically growing at a CAGR of 9% from 2016 to 2018.</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980" w:right="20" w:hanging="432"/>
        <w:spacing w:after="0" w:line="282"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designed for specific usage occasions for committed athletes;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980" w:right="460" w:hanging="432"/>
        <w:spacing w:after="0" w:line="282"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 velocities, consumer insights and proven ability to grow their sales in the convenient nutrition category. In the 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markets in the E.U. and the U.K. for multiple channels, including FDM, convenience, specialty and eCommerce. We also sell through distributors in the specialty channel.</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leads the category in consumer loyalty and repeat purchases and has enthusiastic fans who grow the brand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we believe delivers a differentiated offering of nutritional products.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ind w:left="980" w:right="240" w:hanging="432"/>
        <w:spacing w:after="0" w:line="347"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Website: </w:t>
      </w:r>
      <w:r>
        <w:rPr>
          <w:rFonts w:ascii="Arial" w:cs="Arial" w:eastAsia="Arial" w:hAnsi="Arial"/>
          <w:sz w:val="16"/>
          <w:szCs w:val="16"/>
          <w:color w:val="auto"/>
        </w:rPr>
        <w:t>Our brand websites serve as the primary source of information on our products, a source of recipes and health inspiration, and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launch point to purchase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In 2018, www.premierprotein.com had more than 1.3 million visitors.</w:t>
      </w:r>
    </w:p>
    <w:p>
      <w:pPr>
        <w:spacing w:after="0" w:line="21" w:lineRule="exact"/>
        <w:rPr>
          <w:rFonts w:ascii="Arial" w:cs="Arial" w:eastAsia="Arial" w:hAnsi="Arial"/>
          <w:sz w:val="16"/>
          <w:szCs w:val="16"/>
          <w:color w:val="auto"/>
        </w:rPr>
      </w:pPr>
    </w:p>
    <w:p>
      <w:pPr>
        <w:ind w:left="980" w:right="320" w:hanging="432"/>
        <w:spacing w:after="0" w:line="282"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social media channel. We leverage Instagram to connect with our fans and influencers,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product news and offer giveaways.</w:t>
      </w:r>
    </w:p>
    <w:p>
      <w:pPr>
        <w:spacing w:after="0" w:line="67" w:lineRule="exact"/>
        <w:rPr>
          <w:rFonts w:ascii="Arial" w:cs="Arial" w:eastAsia="Arial" w:hAnsi="Arial"/>
          <w:sz w:val="18"/>
          <w:szCs w:val="18"/>
          <w:color w:val="auto"/>
        </w:rPr>
      </w:pPr>
    </w:p>
    <w:p>
      <w:pPr>
        <w:ind w:left="980" w:right="160" w:hanging="432"/>
        <w:spacing w:after="0" w:line="261"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highest reach social platform with approximately one million likes as of March 2019, which is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highest in the category. We also maintain a product rating of 4.6/5 stars, according to over 3,000 reviewers. Facebook is our primary social channel for sharing product news, posting motivational stories to accompany our fans on their fitness journey and answering consumer questions.</w:t>
      </w:r>
    </w:p>
    <w:p>
      <w:pPr>
        <w:spacing w:after="0" w:line="85" w:lineRule="exact"/>
        <w:rPr>
          <w:rFonts w:ascii="Arial" w:cs="Arial" w:eastAsia="Arial" w:hAnsi="Arial"/>
          <w:sz w:val="18"/>
          <w:szCs w:val="18"/>
          <w:color w:val="auto"/>
        </w:rPr>
      </w:pPr>
    </w:p>
    <w:p>
      <w:pPr>
        <w:ind w:left="980" w:hanging="432"/>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42" w:lineRule="exact"/>
        <w:rPr>
          <w:rFonts w:ascii="Arial" w:cs="Arial" w:eastAsia="Arial" w:hAnsi="Arial"/>
          <w:sz w:val="17"/>
          <w:szCs w:val="17"/>
          <w:color w:val="auto"/>
        </w:rPr>
      </w:pPr>
    </w:p>
    <w:p>
      <w:pPr>
        <w:ind w:left="980" w:hanging="432"/>
        <w:spacing w:after="0" w:line="282"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 recipes</w:t>
      </w:r>
      <w:r>
        <w:rPr>
          <w:rFonts w:ascii="Arial" w:cs="Arial" w:eastAsia="Arial" w:hAnsi="Arial"/>
          <w:sz w:val="18"/>
          <w:szCs w:val="18"/>
          <w:b w:val="1"/>
          <w:bCs w:val="1"/>
          <w:color w:val="auto"/>
        </w:rPr>
        <w:t xml:space="preserve"> </w:t>
      </w:r>
      <w:r>
        <w:rPr>
          <w:rFonts w:ascii="Arial" w:cs="Arial" w:eastAsia="Arial" w:hAnsi="Arial"/>
          <w:sz w:val="18"/>
          <w:szCs w:val="18"/>
          <w:color w:val="auto"/>
        </w:rPr>
        <w:t>on our Pinterest board to help incorporate protein into their diets.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Our influencers are highly vetted and selected based on brand fit, content quality, organic product usage and engagement rates. Consistent with the brand’s strategy, we work with real life, approachable fans with whom our consumers can relate. As of December 2018, we reached over 3.4 million fans through our influencers’ social media channels.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32 million impressions per month. As of March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6" w:lineRule="exact"/>
        <w:rPr>
          <w:sz w:val="20"/>
          <w:szCs w:val="20"/>
          <w:color w:val="auto"/>
        </w:rPr>
      </w:pPr>
    </w:p>
    <w:p>
      <w:pPr>
        <w:ind w:left="980" w:right="880" w:hanging="432"/>
        <w:spacing w:after="0" w:line="312"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5" w:lineRule="exact"/>
        <w:rPr>
          <w:rFonts w:ascii="Arial" w:cs="Arial" w:eastAsia="Arial" w:hAnsi="Arial"/>
          <w:sz w:val="17"/>
          <w:szCs w:val="17"/>
          <w:color w:val="auto"/>
        </w:rPr>
      </w:pPr>
    </w:p>
    <w:p>
      <w:pPr>
        <w:ind w:left="980" w:right="180" w:hanging="432"/>
        <w:spacing w:after="0" w:line="266"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March 2019, we had more than 200,000 Instagram followers, growing 37% over the prior year.</w:t>
      </w:r>
    </w:p>
    <w:p>
      <w:pPr>
        <w:spacing w:after="0" w:line="81" w:lineRule="exact"/>
        <w:rPr>
          <w:rFonts w:ascii="Arial" w:cs="Arial" w:eastAsia="Arial" w:hAnsi="Arial"/>
          <w:sz w:val="18"/>
          <w:szCs w:val="18"/>
          <w:color w:val="auto"/>
        </w:rPr>
      </w:pPr>
    </w:p>
    <w:p>
      <w:pPr>
        <w:jc w:val="both"/>
        <w:ind w:left="980" w:right="240" w:hanging="432"/>
        <w:spacing w:after="0" w:line="347"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March 2019, we had more than 800,000 Facebook followers, growing 32% over the prior year.</w:t>
      </w:r>
    </w:p>
    <w:p>
      <w:pPr>
        <w:spacing w:after="0" w:line="21" w:lineRule="exact"/>
        <w:rPr>
          <w:rFonts w:ascii="Arial" w:cs="Arial" w:eastAsia="Arial" w:hAnsi="Arial"/>
          <w:sz w:val="16"/>
          <w:szCs w:val="16"/>
          <w:color w:val="auto"/>
        </w:rPr>
      </w:pPr>
    </w:p>
    <w:p>
      <w:pPr>
        <w:ind w:left="980" w:hanging="432"/>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spacing w:after="0" w:line="2"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1" w:lineRule="exact"/>
        <w:rPr>
          <w:sz w:val="20"/>
          <w:szCs w:val="20"/>
          <w:color w:val="auto"/>
        </w:rPr>
      </w:pPr>
    </w:p>
    <w:p>
      <w:pPr>
        <w:jc w:val="both"/>
        <w:ind w:left="980" w:right="40" w:hanging="432"/>
        <w:spacing w:after="0" w:line="347"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Website: </w:t>
      </w:r>
      <w:r>
        <w:rPr>
          <w:rFonts w:ascii="Arial" w:cs="Arial" w:eastAsia="Arial" w:hAnsi="Arial"/>
          <w:sz w:val="16"/>
          <w:szCs w:val="16"/>
          <w:color w:val="auto"/>
        </w:rPr>
        <w:t>Our brand websites serve as the primary source of information for our products, as a source of athlete and nutrition inspiration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 point of purchase for all existing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In 2018, www.powerbar.eu had more than four hundred thousand unique visitors.</w:t>
      </w:r>
    </w:p>
    <w:p>
      <w:pPr>
        <w:spacing w:after="0" w:line="21" w:lineRule="exact"/>
        <w:rPr>
          <w:rFonts w:ascii="Arial" w:cs="Arial" w:eastAsia="Arial" w:hAnsi="Arial"/>
          <w:sz w:val="16"/>
          <w:szCs w:val="16"/>
          <w:color w:val="auto"/>
        </w:rPr>
      </w:pPr>
    </w:p>
    <w:p>
      <w:pPr>
        <w:ind w:left="980" w:hanging="432"/>
        <w:spacing w:after="0" w:line="266"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and fastest-growing social media channel. We leverage Instagram to connect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athletes and influencers. We also use Instagram to share product news and event stories as well as to conduct raffles and lotteries to drive community engagement.</w:t>
      </w:r>
    </w:p>
    <w:p>
      <w:pPr>
        <w:spacing w:after="0" w:line="81" w:lineRule="exact"/>
        <w:rPr>
          <w:rFonts w:ascii="Arial" w:cs="Arial" w:eastAsia="Arial" w:hAnsi="Arial"/>
          <w:sz w:val="18"/>
          <w:szCs w:val="18"/>
          <w:color w:val="auto"/>
        </w:rPr>
      </w:pPr>
    </w:p>
    <w:p>
      <w:pPr>
        <w:ind w:left="980" w:right="20" w:hanging="432"/>
        <w:spacing w:after="0" w:line="282"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answering consumer queries.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leverage extensive research and data tools to understand consumer trends and work in partnership with our customers to remain at the forefront of innovation.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then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Sourcing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Raw materials used in our business consist of ingredients and packaging materials purchased from local, regional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 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3"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brands.</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the international Food Safety Standards (ISO/FSSC 22.000, IFS or BRC), and OHSAS 18001 (Health and Safety).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440"/>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sites maintain Global Food Safety Initiative certifications,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8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We have experienced in the past, and expect to continue to experience, seasonal fluctuations in our sales because of consumer spending patterns and promotional activity. Historically, our first quarter of the fiscal year is seasonally low for net sales for all brands driven by a slowdown for our products during the holiday season, and for </w:t>
      </w:r>
      <w:r>
        <w:rPr>
          <w:rFonts w:ascii="Arial" w:cs="Arial" w:eastAsia="Arial" w:hAnsi="Arial"/>
          <w:sz w:val="16"/>
          <w:szCs w:val="16"/>
          <w:i w:val="1"/>
          <w:iCs w:val="1"/>
          <w:color w:val="auto"/>
        </w:rPr>
        <w:t>PowerBar</w:t>
      </w:r>
      <w:r>
        <w:rPr>
          <w:rFonts w:ascii="Arial" w:cs="Arial" w:eastAsia="Arial" w:hAnsi="Arial"/>
          <w:sz w:val="16"/>
          <w:szCs w:val="16"/>
          <w:color w:val="auto"/>
        </w:rPr>
        <w:t>, colder weather which impacts outdoor activities. However, sales typically increase throughout the remainder of the fiscal year as a result of promotional activity at key retailers as well as organic growth of the business.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expect to enter into a sublease for our principal executive offices in St. Louis, Missouri. The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Gümlingen,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320" w:top="459" w:right="5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120" w:right="380" w:firstLine="440"/>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2"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approximately 370 employees as of March 1, 2019. Of these employees, approximately 190 are in the U.S., approximately 170 are in Germany and approximately 10 are in other countries.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6 of “Notes to Combined Financial Statements” for the years ended September 30, 2018, 2017 and 2016 and Note 9 of “Notes to Condensed Combined Financial Statements” for the three months ended December 31, 2018 and 2017.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position, results of operations or cash flows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980" w:right="240" w:hanging="432"/>
        <w:spacing w:after="0" w:line="263"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9" w:lineRule="exact"/>
        <w:rPr>
          <w:sz w:val="20"/>
          <w:szCs w:val="20"/>
          <w:color w:val="auto"/>
        </w:rPr>
      </w:pPr>
    </w:p>
    <w:p>
      <w:pPr>
        <w:ind w:left="980" w:hanging="432"/>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980" w:right="20" w:hanging="432"/>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980" w:right="40" w:hanging="432"/>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980" w:right="500" w:hanging="432"/>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As of the date of this prospectus, we have not determined who will be our executive officers and directors at the time of this offering, other than Robert V. Vitale, who is expected to be our Executive Chairman, Darcy Horn Davenport, who is expected to serve as our President and Chief Executive Officer and as a member of our Board of Directors, and Paul A. Rode, who is expected to serve as our Chief Financial Officer. In subsequent amendments to this prospectus, we will identify the individuals who will be our other executive officers, if any, and directors at the time of this offering and provide the relevant disclosures regarding such individuals and the composition of our Board of Directors. The following sets forth, as of the date of this prospectus, information regarding individuals who are expected to serve as our executive officers and directors at the time of this offering.</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ind w:left="1160"/>
              <w:spacing w:after="0"/>
              <w:rPr>
                <w:sz w:val="20"/>
                <w:szCs w:val="20"/>
                <w:color w:val="auto"/>
              </w:rPr>
            </w:pPr>
            <w:r>
              <w:rPr>
                <w:rFonts w:ascii="Arial" w:cs="Arial" w:eastAsia="Arial" w:hAnsi="Arial"/>
                <w:sz w:val="14"/>
                <w:szCs w:val="14"/>
                <w:b w:val="1"/>
                <w:bCs w:val="1"/>
                <w:color w:val="auto"/>
                <w:w w:val="83"/>
              </w:rPr>
              <w:t>Age</w:t>
            </w:r>
          </w:p>
        </w:tc>
        <w:tc>
          <w:tcPr>
            <w:tcW w:w="76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61"/>
        </w:trPr>
        <w:tc>
          <w:tcPr>
            <w:tcW w:w="360" w:type="dxa"/>
            <w:vAlign w:val="bottom"/>
            <w:tcBorders>
              <w:top w:val="single" w:sz="8" w:color="auto"/>
            </w:tcBorders>
          </w:tcPr>
          <w:p>
            <w:pPr>
              <w:spacing w:after="0"/>
              <w:rPr>
                <w:sz w:val="5"/>
                <w:szCs w:val="5"/>
                <w:color w:val="auto"/>
              </w:rPr>
            </w:pPr>
          </w:p>
        </w:tc>
        <w:tc>
          <w:tcPr>
            <w:tcW w:w="2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560" w:type="dxa"/>
            <w:vAlign w:val="bottom"/>
          </w:tcPr>
          <w:p>
            <w:pPr>
              <w:spacing w:after="0"/>
              <w:rPr>
                <w:sz w:val="5"/>
                <w:szCs w:val="5"/>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w:t>
            </w:r>
          </w:p>
        </w:tc>
      </w:tr>
      <w:tr>
        <w:trPr>
          <w:trHeight w:val="283"/>
        </w:trPr>
        <w:tc>
          <w:tcPr>
            <w:tcW w:w="280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400" w:type="dxa"/>
            <w:vAlign w:val="bottom"/>
            <w:gridSpan w:val="2"/>
          </w:tcPr>
          <w:p>
            <w:pPr>
              <w:ind w:left="1160"/>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68"/>
        </w:trPr>
        <w:tc>
          <w:tcPr>
            <w:tcW w:w="3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60" w:type="dxa"/>
            <w:vAlign w:val="bottom"/>
          </w:tcPr>
          <w:p>
            <w:pPr>
              <w:spacing w:after="0"/>
              <w:rPr>
                <w:sz w:val="5"/>
                <w:szCs w:val="5"/>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Robert V. Vitale </w:t>
      </w:r>
      <w:r>
        <w:rPr>
          <w:rFonts w:ascii="Arial" w:cs="Arial" w:eastAsia="Arial" w:hAnsi="Arial"/>
          <w:sz w:val="17"/>
          <w:szCs w:val="17"/>
          <w:color w:val="auto"/>
        </w:rPr>
        <w:t>will serve as our Executive Chairman upon completion of this offering. Mr. Vitale has been the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will serve as our President and Chief Executive Officer and as a member of our Board of Directors upon completion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offering.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 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 xml:space="preserve">Paul A. Rode </w:t>
      </w:r>
      <w:r>
        <w:rPr>
          <w:rFonts w:ascii="Arial" w:cs="Arial" w:eastAsia="Arial" w:hAnsi="Arial"/>
          <w:sz w:val="18"/>
          <w:szCs w:val="18"/>
          <w:color w:val="auto"/>
        </w:rPr>
        <w:t>will serve as our Chief Financial Officer. Mr. Rode has served as Chief Financial Officer of Post’s Active Nutrition business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2015 and as Chief Financial Officer of Consumer Brands, a prior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expect that upon or before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120" w:right="80" w:firstLine="980"/>
        <w:spacing w:after="0" w:line="259" w:lineRule="auto"/>
        <w:rPr>
          <w:sz w:val="20"/>
          <w:szCs w:val="20"/>
          <w:color w:val="auto"/>
        </w:rPr>
      </w:pPr>
      <w:r>
        <w:rPr>
          <w:rFonts w:ascii="Arial" w:cs="Arial" w:eastAsia="Arial" w:hAnsi="Arial"/>
          <w:sz w:val="18"/>
          <w:szCs w:val="18"/>
          <w:color w:val="auto"/>
        </w:rPr>
        <w:t>will serve as Class I directors, will serve as Class II directors and will serve as Class III directors.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Upon or before the completion of this offering, we expect our Board of Directors will be set at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our Board of Directors will consist of a majority of independent directors upon or before the completion of this offering. Upon or</w:t>
      </w:r>
    </w:p>
    <w:p>
      <w:pPr>
        <w:spacing w:after="0" w:line="35" w:lineRule="exact"/>
        <w:rPr>
          <w:sz w:val="20"/>
          <w:szCs w:val="20"/>
          <w:color w:val="auto"/>
        </w:rPr>
      </w:pPr>
    </w:p>
    <w:p>
      <w:pPr>
        <w:ind w:left="120"/>
        <w:spacing w:after="0"/>
        <w:tabs>
          <w:tab w:leader="none" w:pos="4640" w:val="left"/>
        </w:tabs>
        <w:rPr>
          <w:sz w:val="20"/>
          <w:szCs w:val="20"/>
          <w:color w:val="auto"/>
        </w:rPr>
      </w:pPr>
      <w:r>
        <w:rPr>
          <w:rFonts w:ascii="Arial" w:cs="Arial" w:eastAsia="Arial" w:hAnsi="Arial"/>
          <w:sz w:val="18"/>
          <w:szCs w:val="18"/>
          <w:color w:val="auto"/>
        </w:rPr>
        <w:t>before the completion of this offering, we expect that</w:t>
      </w:r>
      <w:r>
        <w:rPr>
          <w:sz w:val="20"/>
          <w:szCs w:val="20"/>
          <w:color w:val="auto"/>
        </w:rPr>
        <w:tab/>
      </w:r>
      <w:r>
        <w:rPr>
          <w:rFonts w:ascii="Arial" w:cs="Arial" w:eastAsia="Arial" w:hAnsi="Arial"/>
          <w:sz w:val="18"/>
          <w:szCs w:val="18"/>
          <w:color w:val="auto"/>
        </w:rPr>
        <w:t>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40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519"/>
        </w:trPr>
        <w:tc>
          <w:tcPr>
            <w:tcW w:w="940" w:type="dxa"/>
            <w:vAlign w:val="bottom"/>
          </w:tcPr>
          <w:p>
            <w:pPr>
              <w:ind w:left="120"/>
              <w:spacing w:after="0"/>
              <w:rPr>
                <w:sz w:val="20"/>
                <w:szCs w:val="20"/>
                <w:color w:val="auto"/>
              </w:rPr>
            </w:pPr>
            <w:r>
              <w:rPr>
                <w:rFonts w:ascii="Arial" w:cs="Arial" w:eastAsia="Arial" w:hAnsi="Arial"/>
                <w:sz w:val="18"/>
                <w:szCs w:val="18"/>
                <w:color w:val="auto"/>
              </w:rPr>
              <w:t>the</w:t>
            </w:r>
          </w:p>
        </w:tc>
        <w:tc>
          <w:tcPr>
            <w:tcW w:w="10120" w:type="dxa"/>
            <w:vAlign w:val="bottom"/>
            <w:gridSpan w:val="3"/>
          </w:tcPr>
          <w:p>
            <w:pPr>
              <w:ind w:left="120"/>
              <w:spacing w:after="0"/>
              <w:rPr>
                <w:sz w:val="20"/>
                <w:szCs w:val="20"/>
                <w:color w:val="auto"/>
              </w:rPr>
            </w:pPr>
            <w:r>
              <w:rPr>
                <w:rFonts w:ascii="Arial" w:cs="Arial" w:eastAsia="Arial" w:hAnsi="Arial"/>
                <w:sz w:val="18"/>
                <w:szCs w:val="18"/>
                <w:color w:val="auto"/>
                <w:w w:val="91"/>
              </w:rPr>
              <w:t>members of our Board of Directors will qualify as “independent” under the NYSE corporate governance standards. Our Board of Directors</w:t>
            </w:r>
          </w:p>
        </w:tc>
      </w:tr>
      <w:tr>
        <w:trPr>
          <w:trHeight w:val="216"/>
        </w:trPr>
        <w:tc>
          <w:tcPr>
            <w:tcW w:w="4760" w:type="dxa"/>
            <w:vAlign w:val="bottom"/>
            <w:gridSpan w:val="3"/>
          </w:tcPr>
          <w:p>
            <w:pPr>
              <w:ind w:left="120"/>
              <w:spacing w:after="0"/>
              <w:rPr>
                <w:sz w:val="20"/>
                <w:szCs w:val="20"/>
                <w:color w:val="auto"/>
              </w:rPr>
            </w:pPr>
            <w:r>
              <w:rPr>
                <w:rFonts w:ascii="Arial" w:cs="Arial" w:eastAsia="Arial" w:hAnsi="Arial"/>
                <w:sz w:val="18"/>
                <w:szCs w:val="18"/>
                <w:color w:val="auto"/>
                <w:w w:val="95"/>
              </w:rPr>
              <w:t>has determined as of the date of this prospectus that each of</w:t>
            </w:r>
          </w:p>
        </w:tc>
        <w:tc>
          <w:tcPr>
            <w:tcW w:w="6300" w:type="dxa"/>
            <w:vAlign w:val="bottom"/>
          </w:tcPr>
          <w:p>
            <w:pPr>
              <w:ind w:left="360"/>
              <w:spacing w:after="0"/>
              <w:rPr>
                <w:sz w:val="20"/>
                <w:szCs w:val="20"/>
                <w:color w:val="auto"/>
              </w:rPr>
            </w:pPr>
            <w:r>
              <w:rPr>
                <w:rFonts w:ascii="Arial" w:cs="Arial" w:eastAsia="Arial" w:hAnsi="Arial"/>
                <w:sz w:val="18"/>
                <w:szCs w:val="18"/>
                <w:color w:val="auto"/>
                <w:w w:val="96"/>
              </w:rPr>
              <w:t>is an independent director as defined under the NYSE corporate governance</w:t>
            </w:r>
          </w:p>
        </w:tc>
      </w:tr>
      <w:tr>
        <w:trPr>
          <w:trHeight w:val="230"/>
        </w:trPr>
        <w:tc>
          <w:tcPr>
            <w:tcW w:w="940" w:type="dxa"/>
            <w:vAlign w:val="bottom"/>
          </w:tcPr>
          <w:p>
            <w:pPr>
              <w:ind w:left="120"/>
              <w:spacing w:after="0"/>
              <w:rPr>
                <w:sz w:val="20"/>
                <w:szCs w:val="20"/>
                <w:color w:val="auto"/>
              </w:rPr>
            </w:pPr>
            <w:r>
              <w:rPr>
                <w:rFonts w:ascii="Arial" w:cs="Arial" w:eastAsia="Arial" w:hAnsi="Arial"/>
                <w:sz w:val="18"/>
                <w:szCs w:val="18"/>
                <w:color w:val="auto"/>
                <w:w w:val="95"/>
              </w:rPr>
              <w:t>standards.</w:t>
            </w:r>
          </w:p>
        </w:tc>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300" w:type="dxa"/>
            <w:vAlign w:val="bottom"/>
          </w:tcPr>
          <w:p>
            <w:pPr>
              <w:spacing w:after="0"/>
              <w:rPr>
                <w:sz w:val="20"/>
                <w:szCs w:val="20"/>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Board of Directors will establish standing committees in connection with the discharge of its responsibilities. Upon or before the completion of this offering, these committees will include an Audit Committee and a Corporate Governance and Compensation Committee. Our Board of Directors also may establish such other committees as it deems appropriate, in accordance with applicable law and regulations and our corporate governance documents.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6"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7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or before the completion of this offering, we expect that all of the members of our Corporate Governance and Compensation Committee will be “independent” as defined under the NYSE corporate governance standards.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Prior to the completion of this offering, our Board of Directors will adopt a code of conduct that applies to all of our directors, officers and employees, including any persons serving as a principal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45"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principal financial officer, principal accounting officer and controller and persons performing similar functions. Upon completion of this offering, the</w:t>
      </w:r>
    </w:p>
    <w:p>
      <w:pPr>
        <w:spacing w:after="0" w:line="35"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full text of the code of conduct will be available on our website located at . We intend to disclose any amendments to or waivers from a provision of our code of conduct that applies to our executive officers on our website.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9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None of our current directors has received compensation for his or her service as our director. Upon or before the completion of this offering, we expect that our Board of Directors will adopt a compensation program for our independent directors that will enable us to attract and retain qualified directors, provide them with compensation at a level that is consistent with our compensation objectives and encourage their ownership of our Class A common stock to further the alignment of their interests with the interests of our stockholders.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the date of this prospectus, we have not yet finalized our named executive officers other than Robert V. Vitale, our Executive Chairman, and Darcy Horn Davenport, our President and Chief Executive Officer, each of whom served as principal executive officers of the Company in fiscal 2018, and Paul A. Rode, our Chief Financial Officer. We refer to these executive officers as our “named executive officers” or “NEOs.” We will identify our other named executive officer(s) and include the relevant disclosures relating to his or her compensation in subsequent amendments to this prospectus.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sections set forth certain information about compensation paid to our named executive officers.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2018 and, where required, fiscal 2017 by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Qualified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Bonus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6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tcPr>
          <w:p>
            <w:pPr>
              <w:jc w:val="right"/>
              <w:ind w:right="10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2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Chairman</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Darcy Horn Davenport</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477,292</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296,371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13,218</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65,378</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1,853,969</w:t>
            </w:r>
          </w:p>
        </w:tc>
        <w:tc>
          <w:tcPr>
            <w:tcW w:w="0" w:type="dxa"/>
            <w:vAlign w:val="bottom"/>
          </w:tcPr>
          <w:p>
            <w:pPr>
              <w:spacing w:after="0"/>
              <w:rPr>
                <w:sz w:val="1"/>
                <w:szCs w:val="1"/>
                <w:color w:val="auto"/>
              </w:rPr>
            </w:pPr>
          </w:p>
        </w:tc>
      </w:tr>
      <w:tr>
        <w:trPr>
          <w:trHeight w:val="182"/>
        </w:trPr>
        <w:tc>
          <w:tcPr>
            <w:tcW w:w="3380" w:type="dxa"/>
            <w:vAlign w:val="bottom"/>
            <w:gridSpan w:val="2"/>
          </w:tcPr>
          <w:p>
            <w:pPr>
              <w:ind w:left="140"/>
              <w:spacing w:after="0"/>
              <w:rPr>
                <w:sz w:val="20"/>
                <w:szCs w:val="20"/>
                <w:color w:val="auto"/>
              </w:rPr>
            </w:pPr>
            <w:r>
              <w:rPr>
                <w:rFonts w:ascii="Arial" w:cs="Arial" w:eastAsia="Arial" w:hAnsi="Arial"/>
                <w:sz w:val="14"/>
                <w:szCs w:val="14"/>
                <w:i w:val="1"/>
                <w:iCs w:val="1"/>
                <w:color w:val="auto"/>
              </w:rPr>
              <w:t>President and Chief Executive Officer</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7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8"/>
              </w:rPr>
              <w:t>280,456</w:t>
            </w:r>
          </w:p>
        </w:tc>
        <w:tc>
          <w:tcPr>
            <w:tcW w:w="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8"/>
              </w:rPr>
              <w:t>176,531</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160,390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5,376</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27,988</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650,741</w:t>
            </w:r>
          </w:p>
        </w:tc>
        <w:tc>
          <w:tcPr>
            <w:tcW w:w="0" w:type="dxa"/>
            <w:vAlign w:val="bottom"/>
          </w:tcPr>
          <w:p>
            <w:pPr>
              <w:spacing w:after="0"/>
              <w:rPr>
                <w:sz w:val="1"/>
                <w:szCs w:val="1"/>
                <w:color w:val="auto"/>
              </w:rPr>
            </w:pPr>
          </w:p>
        </w:tc>
      </w:tr>
      <w:tr>
        <w:trPr>
          <w:trHeight w:val="167"/>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260" w:hanging="324"/>
        <w:spacing w:after="0" w:line="248" w:lineRule="auto"/>
        <w:tabs>
          <w:tab w:leader="none" w:pos="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2017 and fiscal 2018 compensation is fully disclosed in Post’s filings with the SEC.</w:t>
      </w:r>
    </w:p>
    <w:p>
      <w:pPr>
        <w:ind w:left="440" w:right="220" w:hanging="324"/>
        <w:spacing w:after="0" w:line="238" w:lineRule="auto"/>
        <w:tabs>
          <w:tab w:leader="none" w:pos="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See Note 12 to Post’s Active Nutrition business fiscal 2018 financial statements included herein for a discussion of the determination of these amounts under FASB ASC Topic 718.</w:t>
      </w:r>
    </w:p>
    <w:p>
      <w:pPr>
        <w:jc w:val="both"/>
        <w:ind w:left="440" w:right="20" w:hanging="324"/>
        <w:spacing w:after="0" w:line="221"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See Note 12 to Post’s Active Nutrition business fiscal 2018 financial statements included herein for a discussion of the determination of these amounts under FASB ASC Topic 718.</w:t>
      </w:r>
    </w:p>
    <w:p>
      <w:pPr>
        <w:ind w:left="440" w:hanging="324"/>
        <w:spacing w:after="0" w:line="221"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the fiscal year under the Post Holdings, Inc. Annual Bonus Program, discussed below.</w:t>
      </w:r>
    </w:p>
    <w:p>
      <w:pPr>
        <w:ind w:left="440" w:right="300" w:hanging="324"/>
        <w:spacing w:after="0" w:line="237"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described above in “Management—Compensation Committee Interlocks and Insider Participation,” the fiscal 2018 compensation of our named executive officers was determined by Mr. Vitale or Ms. Davenport. We anticipate that Mr. Vitale and Ms. Davenport will continue to establish and manage the compensation of our named executive officers until the completion of this offering. After the completion of this offering, our executive compensation programs will be designed and implemented by our Board of Directors, through our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Vitale’s fiscal 2017 and fiscal 2018 compensation and the benefit plans in which he participates are fully disclosed in Post’s filings with the SEC.</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Base salaries are designed to recognize and reward the skill, competency, experience and performance a named executive officer brings to the position. The total base salaries earned by our named executive officers in fiscal 2018 are disclosed in the Summary Compensation Table above.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fiscal 2018, each of our named executive officers participated in the Post Holdings, Inc. Annual Bonus Program, which is an annual cash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Ms. Davenport’s target bonus amount was 100% of her base salary, and Mr. Rode’s target bonus amount was 50% of his base salary. Final bonus amounts were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Equity awards for our named executive officers were awarded under the Post Holdings, Inc. 2012 Long-Term Incentive Plan (the “2012 LTIP”) and the Post Holdings, Inc. 2016 Long-Term Incentive Plan (the “2016 LTIP” and, together with the 2012 LTIP, the “Post LTIPs”). Awards made to named executive officers consisted of restricted stock units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intend to adopt our own equity incentive compensation plan for the benefit of our eligible employees in connection with the offering, as described more fully below under “—BellRing Brands, Inc. 2019 Long-Term Incentive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2018.</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2018.</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salary to be paid at a future date. In addition, Post has the ability to provide a discretionary employer contribution at the times and in the amounts designated by Post, which, if made, vest at 25% for each year of service. Eligible employees may defer between 1% and 75% of their base salary.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 Savings Investment Plan (the “401(k) Plan”)</w:t>
      </w:r>
    </w:p>
    <w:p>
      <w:pPr>
        <w:spacing w:after="0" w:line="11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Post maintains the 401(k) Plan, which is a defined contribution savings plan for all eligible employees of the Company, including each of our named executive officers. The 401(k) Plan is subject to certain provisions of the Employee Retirement Income Security Act of 1974, as amended (“ERISA”), and the Internal Revenue Code of 1986, as amended (the “Code”). The 401(k) Plan is designed to meet ERISA’s reporting and disclosure and fiduciary requirements, as well as to meet the minimum standards for participation and vesting. The Plan also is intended to qualify as a cash or deferred profit sharing plan under Section 401(k) of the Code, is intended to be qualified under Section 401(a) of the Code and is the subject of a favorable determination letter from the IRS.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 the 401(k) Plan, our named executive officers may make pre-tax and Roth contributions of their eligible compensation, which are credited with a dollar-for-dollar employer matching contribution of up to 6%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eligible compensation deferred. Matching contributions made through December 31, 2017 vest at 20% for each year of service. Effective January 1, 2018, the 401(k) Plan was amended to provide that matching contributions made on or after January 1, 2018 are vested when made. Our named executive officers may select from a variety of investment funds, including the Post Common Stock Fund. The matching contributions made by Post under the 401(k) Plan for our named executive officers, as well as the discretionary contributions made by Post under the Executive Savings Investment Plan for our named executive officers, for fiscal 2018 were as follows: Ms. Davenport, $64,664; and Mr. Rode, $27,379. Such amounts are included in the “All Other Compensation” column in the Summary Compensation Table above.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adopt our own 401(k) plan in connection with the contemplated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September 30, 2018</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Equity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Number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 Shares</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Unearned</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or Units</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 Stock</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Units of</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or 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That Have</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Not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60" w:type="dxa"/>
            <w:vAlign w:val="bottom"/>
            <w:vMerge w:val="restart"/>
          </w:tcPr>
          <w:p>
            <w:pPr>
              <w:spacing w:after="0"/>
              <w:rPr>
                <w:sz w:val="12"/>
                <w:szCs w:val="12"/>
                <w:color w:val="auto"/>
              </w:rPr>
            </w:pPr>
          </w:p>
        </w:tc>
        <w:tc>
          <w:tcPr>
            <w:tcW w:w="10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Vested</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(10)</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480" w:type="dxa"/>
            <w:vAlign w:val="bottom"/>
            <w:gridSpan w:val="3"/>
          </w:tcPr>
          <w:p>
            <w:pPr>
              <w:jc w:val="right"/>
              <w:ind w:right="340"/>
              <w:spacing w:after="0" w:line="130" w:lineRule="exact"/>
              <w:rPr>
                <w:sz w:val="20"/>
                <w:szCs w:val="20"/>
                <w:color w:val="auto"/>
              </w:rPr>
            </w:pPr>
            <w:r>
              <w:rPr>
                <w:rFonts w:ascii="Arial" w:cs="Arial" w:eastAsia="Arial" w:hAnsi="Arial"/>
                <w:sz w:val="14"/>
                <w:szCs w:val="14"/>
                <w:color w:val="auto"/>
              </w:rPr>
              <w:t>3,333</w:t>
            </w:r>
            <w:r>
              <w:rPr>
                <w:rFonts w:ascii="Arial" w:cs="Arial" w:eastAsia="Arial" w:hAnsi="Arial"/>
                <w:sz w:val="12"/>
                <w:szCs w:val="12"/>
                <w:color w:val="auto"/>
              </w:rPr>
              <w:t>(2)</w:t>
            </w:r>
          </w:p>
        </w:tc>
        <w:tc>
          <w:tcPr>
            <w:tcW w:w="1340" w:type="dxa"/>
            <w:vAlign w:val="bottom"/>
            <w:gridSpan w:val="2"/>
          </w:tcPr>
          <w:p>
            <w:pPr>
              <w:jc w:val="right"/>
              <w:ind w:right="480"/>
              <w:spacing w:after="0" w:line="130" w:lineRule="exact"/>
              <w:rPr>
                <w:sz w:val="20"/>
                <w:szCs w:val="20"/>
                <w:color w:val="auto"/>
              </w:rPr>
            </w:pPr>
            <w:r>
              <w:rPr>
                <w:rFonts w:ascii="Arial" w:cs="Arial" w:eastAsia="Arial" w:hAnsi="Arial"/>
                <w:sz w:val="14"/>
                <w:szCs w:val="14"/>
                <w:color w:val="auto"/>
              </w:rPr>
              <w:t>6,667</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71.32</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6"/>
              </w:rPr>
              <w:t>11/14/2026</w:t>
            </w:r>
          </w:p>
        </w:tc>
        <w:tc>
          <w:tcPr>
            <w:tcW w:w="11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584</w:t>
            </w:r>
            <w:r>
              <w:rPr>
                <w:rFonts w:ascii="Arial" w:cs="Arial" w:eastAsia="Arial" w:hAnsi="Arial"/>
                <w:sz w:val="12"/>
                <w:szCs w:val="12"/>
                <w:color w:val="auto"/>
              </w:rPr>
              <w:t>(4)</w:t>
            </w:r>
          </w:p>
        </w:tc>
        <w:tc>
          <w:tcPr>
            <w:tcW w:w="9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57,255</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15,975</w:t>
            </w:r>
            <w:r>
              <w:rPr>
                <w:rFonts w:ascii="Arial" w:cs="Arial" w:eastAsia="Arial" w:hAnsi="Arial"/>
                <w:sz w:val="12"/>
                <w:szCs w:val="12"/>
                <w:color w:val="auto"/>
              </w:rPr>
              <w:t>(3)</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79.52</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12/01/2027</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4,000</w:t>
            </w:r>
            <w:r>
              <w:rPr>
                <w:rFonts w:ascii="Arial" w:cs="Arial" w:eastAsia="Arial" w:hAnsi="Arial"/>
                <w:sz w:val="12"/>
                <w:szCs w:val="12"/>
                <w:color w:val="auto"/>
              </w:rPr>
              <w:t>(5)</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392,160</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3,727</w:t>
            </w:r>
            <w:r>
              <w:rPr>
                <w:rFonts w:ascii="Arial" w:cs="Arial" w:eastAsia="Arial" w:hAnsi="Arial"/>
                <w:sz w:val="12"/>
                <w:szCs w:val="12"/>
                <w:color w:val="auto"/>
              </w:rPr>
              <w:t>(6)</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365,395</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(7)</w:t>
            </w: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490,200</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920</w:t>
            </w:r>
            <w:r>
              <w:rPr>
                <w:rFonts w:ascii="Arial" w:cs="Arial" w:eastAsia="Arial" w:hAnsi="Arial"/>
                <w:sz w:val="12"/>
                <w:szCs w:val="12"/>
                <w:color w:val="auto"/>
              </w:rPr>
              <w:t>(4)</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90,197</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1,484</w:t>
            </w:r>
            <w:r>
              <w:rPr>
                <w:rFonts w:ascii="Arial" w:cs="Arial" w:eastAsia="Arial" w:hAnsi="Arial"/>
                <w:sz w:val="12"/>
                <w:szCs w:val="12"/>
                <w:color w:val="auto"/>
              </w:rPr>
              <w:t>(8)</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145,491</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2,234</w:t>
            </w:r>
            <w:r>
              <w:rPr>
                <w:rFonts w:ascii="Arial" w:cs="Arial" w:eastAsia="Arial" w:hAnsi="Arial"/>
                <w:sz w:val="12"/>
                <w:szCs w:val="12"/>
                <w:color w:val="auto"/>
              </w:rPr>
              <w:t>(9)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219,021</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200" w:hanging="324"/>
        <w:spacing w:after="0" w:line="230"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44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44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44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17, 2016, 2017 and 2018. The RSUs will be paid in shares of Post’s common stock within sixty days from each of the applicable vesting dates.</w:t>
      </w:r>
    </w:p>
    <w:p>
      <w:pPr>
        <w:ind w:left="44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440" w:right="10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440" w:right="120" w:hanging="324"/>
        <w:spacing w:after="0" w:line="238" w:lineRule="auto"/>
        <w:tabs>
          <w:tab w:leader="none" w:pos="4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44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440" w:right="100" w:hanging="324"/>
        <w:spacing w:after="0" w:line="22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440" w:hanging="324"/>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Post’s closing stock price of $98.04 on September 28, 2018, the last trading day of fiscal 2018.</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fiscal 2018, in the event of an involuntary termination of employment (whether in connection with a change in control of the Company or not), Ms. Davenport was eligible for compensation and benefits under the Post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Holdings, Inc. Executive Severance Plan (the “Executive Severance Plan”), and Mr. Rode was eligible for compensation and benefits under the Post Holdings, Inc. Severance Plan for Salary Grade 16 and Above (the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2018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anticipate that our named executive officers will no longer be eligible for severance under the Executive Severance Plan or the Salary Grade 16 Plan, as applicable, and that the Company will implement its own severance plan, following the consummation of the contemplated transactions.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fiscal 2018,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980" w:right="420" w:hanging="432"/>
        <w:spacing w:after="0" w:line="308" w:lineRule="auto"/>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980" w:right="140" w:hanging="432"/>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120" w:hanging="4"/>
        <w:spacing w:after="0" w:line="323"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Salary Grade 16 Plan, Mr. Rode was eligible for severance benefits in the event of an involuntary termination without “cause.” The payment of benefits under the Salary Grade 16 Plan is conditioned upon Mr. Rode executing a general release of claims that includes confidentiality and cooperation provisions, among other provisions.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980" w:right="540" w:hanging="432"/>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980" w:right="100" w:hanging="432"/>
        <w:spacing w:after="0" w:line="263"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Salary Grade 16 Plan also provides that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Equity awards in respect of Post common stock granted to our named executive officers under the 2012 LTIP and the 2016 LTIP are subject to special provisions in the event of certain involuntary terminations and/or a change in control (as defined under the applicable award agreement) as described herein. The agreements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governing all of our named executive officers’ NQSOs and RSUs issued under the 2016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980" w:right="840" w:hanging="432"/>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both the 2012 Plan and the 2016 Plan vest in whole or in part upon a termination because of death or disability.</w:t>
      </w:r>
    </w:p>
    <w:p>
      <w:pPr>
        <w:spacing w:after="0" w:line="75" w:lineRule="exact"/>
        <w:rPr>
          <w:rFonts w:ascii="Arial" w:cs="Arial" w:eastAsia="Arial" w:hAnsi="Arial"/>
          <w:sz w:val="18"/>
          <w:szCs w:val="18"/>
          <w:color w:val="auto"/>
        </w:rPr>
      </w:pPr>
    </w:p>
    <w:p>
      <w:pPr>
        <w:ind w:left="980" w:right="20" w:hanging="432"/>
        <w:spacing w:after="0" w:line="279"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Under an RSU award made to Mr. Rode on June 17, 2014 under the 2012 Plan and which is scheduled to be fully vested on July 17, 2024, if Mr. Rode’s employment had been terminated by the Company or another Post affiliate without cause in fiscal 2018, any unvested RSUs would have become vested. This accelerated vesting provision also would apply if Mr. Rode’s employment with the Company or a subsidiary of the Company terminates as a result of the sale of the Company or a subsidiary of the Company.</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Vested stock options granted under the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at the time of completion of the offering or following completion of the offering.</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connection with the consummation of this offering, we anticipate adopting an equity incentive compensation plan for the benefit of our eligible employees. We currently are developing the terms of this equity incentive compensation plan, which we will describe in subsequent amendments to this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prior to and following the completion of this offering for:</w:t>
      </w:r>
    </w:p>
    <w:p>
      <w:pPr>
        <w:spacing w:after="0" w:line="76" w:lineRule="exact"/>
        <w:rPr>
          <w:sz w:val="20"/>
          <w:szCs w:val="20"/>
          <w:color w:val="auto"/>
        </w:rPr>
      </w:pPr>
    </w:p>
    <w:p>
      <w:pPr>
        <w:ind w:left="980" w:hanging="432"/>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right). The number of shares of our Class A common stock outstanding and the percentage of beneficial ownership before this offering are based on the number of shares of our Class B common stock and BellRing Brands, LLC Units to be issued and outstanding immediately prior to this offering and after giving effect to the formation transactions (based on the midpoint of the estimated initial public offering price range set forth on the cover page of this prospectus) and the exchange of all outstanding shares of our Class B common stock (together with the corresponding BellRing Brands, LLC Units) into shares of our Class A common stock. Subject to the terms of the exchange agreement and the amended and restated limited liability company agreement, BellRing Brands, LLC Units (and the corresponding number of shares of our Class B common stock) may be exchanged for, at the option of BellRing Brands, LLC (as determined by its Board of Managers), shares of our Class A common stock, or for cash.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Upon an exchange of BellRing Brands, LLC Units for shares of our Class A common stock or cash, as described above, a corresponding number of shares of our Class B common stock will be cancelled. See “Certain Relationships and Related Party Transactions—Post-Offering Relationship with Post—Exchange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Shares</w:t>
            </w:r>
          </w:p>
        </w:tc>
        <w:tc>
          <w:tcPr>
            <w:tcW w:w="4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22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4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4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B</w:t>
            </w:r>
          </w:p>
        </w:tc>
        <w:tc>
          <w:tcPr>
            <w:tcW w:w="220" w:type="dxa"/>
            <w:vAlign w:val="bottom"/>
          </w:tcPr>
          <w:p>
            <w:pPr>
              <w:spacing w:after="0"/>
              <w:rPr>
                <w:sz w:val="12"/>
                <w:szCs w:val="12"/>
                <w:color w:val="auto"/>
              </w:rPr>
            </w:pPr>
          </w:p>
        </w:tc>
        <w:tc>
          <w:tcPr>
            <w:tcW w:w="14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Class B</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4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4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22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Beneficial Owner Name</w:t>
            </w:r>
          </w:p>
        </w:tc>
        <w:tc>
          <w:tcPr>
            <w:tcW w:w="2700" w:type="dxa"/>
            <w:vAlign w:val="bottom"/>
            <w:vMerge w:val="restart"/>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2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40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40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22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w:t>
            </w:r>
          </w:p>
        </w:tc>
        <w:tc>
          <w:tcPr>
            <w:tcW w:w="220" w:type="dxa"/>
            <w:vAlign w:val="bottom"/>
          </w:tcPr>
          <w:p>
            <w:pPr>
              <w:spacing w:after="0"/>
              <w:rPr>
                <w:sz w:val="15"/>
                <w:szCs w:val="15"/>
                <w:color w:val="auto"/>
              </w:rPr>
            </w:pP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22"/>
        </w:trPr>
        <w:tc>
          <w:tcPr>
            <w:tcW w:w="41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Principal Stockholder:</w:t>
            </w: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ind w:right="199"/>
              <w:spacing w:after="0"/>
              <w:rPr>
                <w:sz w:val="20"/>
                <w:szCs w:val="20"/>
                <w:color w:val="auto"/>
              </w:rPr>
            </w:pPr>
            <w:r>
              <w:rPr>
                <w:rFonts w:ascii="Arial" w:cs="Arial" w:eastAsia="Arial" w:hAnsi="Arial"/>
                <w:sz w:val="12"/>
                <w:szCs w:val="12"/>
                <w:color w:val="auto"/>
                <w:w w:val="81"/>
              </w:rPr>
              <w:t>(3)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ind w:right="199"/>
              <w:spacing w:after="0"/>
              <w:rPr>
                <w:sz w:val="20"/>
                <w:szCs w:val="20"/>
                <w:color w:val="auto"/>
              </w:rPr>
            </w:pPr>
            <w:r>
              <w:rPr>
                <w:rFonts w:ascii="Arial" w:cs="Arial" w:eastAsia="Arial" w:hAnsi="Arial"/>
                <w:sz w:val="12"/>
                <w:szCs w:val="12"/>
                <w:color w:val="auto"/>
                <w:w w:val="81"/>
              </w:rPr>
              <w:t>(3)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0"/>
        <w:spacing w:after="0" w:line="231" w:lineRule="auto"/>
        <w:rPr>
          <w:sz w:val="20"/>
          <w:szCs w:val="20"/>
          <w:color w:val="auto"/>
        </w:rPr>
      </w:pPr>
      <w:r>
        <w:rPr>
          <w:rFonts w:ascii="Arial" w:cs="Arial" w:eastAsia="Arial" w:hAnsi="Arial"/>
          <w:sz w:val="14"/>
          <w:szCs w:val="14"/>
          <w:color w:val="auto"/>
        </w:rPr>
        <w:t>All directors, director nominees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ind w:left="780" w:hanging="520"/>
        <w:spacing w:after="0"/>
        <w:tabs>
          <w:tab w:leader="none" w:pos="7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persons)</w:t>
      </w:r>
    </w:p>
    <w:p>
      <w:pPr>
        <w:spacing w:after="0" w:line="218"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    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-243840</wp:posOffset>
            </wp:positionV>
            <wp:extent cx="432054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2054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-123825</wp:posOffset>
            </wp:positionV>
            <wp:extent cx="7029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440" w:hanging="324"/>
        <w:spacing w:after="0" w:line="221" w:lineRule="auto"/>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440" w:right="140" w:hanging="324"/>
        <w:spacing w:after="0" w:line="237" w:lineRule="auto"/>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ind w:right="80"/>
        <w:spacing w:after="0" w:line="221" w:lineRule="auto"/>
        <w:rPr>
          <w:sz w:val="20"/>
          <w:szCs w:val="20"/>
          <w:color w:val="auto"/>
        </w:rPr>
      </w:pPr>
      <w:r>
        <w:rPr>
          <w:rFonts w:ascii="Arial" w:cs="Arial" w:eastAsia="Arial" w:hAnsi="Arial"/>
          <w:sz w:val="14"/>
          <w:szCs w:val="14"/>
          <w:color w:val="auto"/>
        </w:rPr>
        <w:t>Includes shares of Class A common stock that may be acquired upon the exchange of BellRing Brands, LLC Units and a corresponding number of shares of Class B common stock.</w:t>
      </w:r>
    </w:p>
    <w:p>
      <w:pPr>
        <w:spacing w:after="0" w:line="120" w:lineRule="exact"/>
        <w:rPr>
          <w:sz w:val="20"/>
          <w:szCs w:val="20"/>
          <w:color w:val="auto"/>
        </w:rPr>
      </w:pPr>
    </w:p>
    <w:p>
      <w:pPr>
        <w:sectPr>
          <w:pgSz w:w="11900" w:h="16838" w:orient="portrait"/>
          <w:cols w:equalWidth="0" w:num="2">
            <w:col w:w="280" w:space="160"/>
            <w:col w:w="107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40"/>
          </w:cols>
          <w:pgMar w:left="320" w:top="459" w:right="4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Prior to the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 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4"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maturity, amortization, prepayment requirements and interest rates under the debt facilities will be determined by agreement with the lenders, or, in the case of senior notes, under the terms of the governing indenture. We expect the debt facilities to contain customary representations and warranties that are made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all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the formation transactions and this offering, we intend to amend and restate our certificate of incorporation so that our</w:t>
      </w:r>
    </w:p>
    <w:p>
      <w:pPr>
        <w:spacing w:after="0" w:line="35"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authorized capital stock will consist of shares of Class A common stock, par value $0.01 per share, shares of Class B common stock, par value $0.01 per share, and shares of preferred stock, par value $0.01 per share.</w:t>
      </w:r>
    </w:p>
    <w:p>
      <w:pPr>
        <w:spacing w:after="0" w:line="185" w:lineRule="exact"/>
        <w:rPr>
          <w:sz w:val="20"/>
          <w:szCs w:val="20"/>
          <w:color w:val="auto"/>
        </w:rPr>
      </w:pPr>
    </w:p>
    <w:p>
      <w:pPr>
        <w:ind w:left="560"/>
        <w:spacing w:after="0"/>
        <w:tabs>
          <w:tab w:leader="none" w:pos="5340" w:val="left"/>
        </w:tabs>
        <w:rPr>
          <w:sz w:val="20"/>
          <w:szCs w:val="20"/>
          <w:color w:val="auto"/>
        </w:rPr>
      </w:pPr>
      <w:r>
        <w:rPr>
          <w:rFonts w:ascii="Arial" w:cs="Arial" w:eastAsia="Arial" w:hAnsi="Arial"/>
          <w:sz w:val="18"/>
          <w:szCs w:val="18"/>
          <w:color w:val="auto"/>
        </w:rPr>
        <w:t>After consummation of this offering, we expect to have</w:t>
      </w:r>
      <w:r>
        <w:rPr>
          <w:sz w:val="20"/>
          <w:szCs w:val="20"/>
          <w:color w:val="auto"/>
        </w:rPr>
        <w:tab/>
      </w:r>
      <w:r>
        <w:rPr>
          <w:rFonts w:ascii="Arial" w:cs="Arial" w:eastAsia="Arial" w:hAnsi="Arial"/>
          <w:sz w:val="16"/>
          <w:szCs w:val="16"/>
          <w:color w:val="auto"/>
        </w:rPr>
        <w:t>shares of our Class A common stock outstanding (or</w:t>
      </w:r>
    </w:p>
    <w:p>
      <w:pPr>
        <w:spacing w:after="0" w:line="23" w:lineRule="exact"/>
        <w:rPr>
          <w:sz w:val="20"/>
          <w:szCs w:val="20"/>
          <w:color w:val="auto"/>
        </w:rPr>
      </w:pPr>
    </w:p>
    <w:p>
      <w:pPr>
        <w:ind w:left="120"/>
        <w:spacing w:after="0"/>
        <w:tabs>
          <w:tab w:leader="none" w:pos="1940" w:val="left"/>
          <w:tab w:leader="none" w:pos="778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if the underwriters exercise their over-allotment option in full),</w:t>
      </w:r>
      <w:r>
        <w:rPr>
          <w:sz w:val="20"/>
          <w:szCs w:val="20"/>
          <w:color w:val="auto"/>
        </w:rPr>
        <w:tab/>
      </w:r>
      <w:r>
        <w:rPr>
          <w:rFonts w:ascii="Arial" w:cs="Arial" w:eastAsia="Arial" w:hAnsi="Arial"/>
          <w:sz w:val="16"/>
          <w:szCs w:val="16"/>
          <w:color w:val="auto"/>
        </w:rPr>
        <w:t>shares of our Class B common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and no shares of preferred stock outstanding. We intend to apply to list our Class A common stock on the NYSE under the symbol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Holders of our Class A common stock and our Class B common stock will be entitled to one vote for each share held on all matters submitted to stockholders for their vote or approval. The holders of our Class A common stock and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 The voting power of our outstanding Class B common stock (expressed as a percentage of the total voting power of all common stock) will be equal to the percentage of BellRing Brands, LLC Units held directly or indirectly by Post.</w:t>
      </w:r>
    </w:p>
    <w:p>
      <w:pPr>
        <w:spacing w:after="0" w:line="192"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Following the formation transactions and this offering, Post will control shares of our Class B common stock and will therefore control approximately % of the combined voting power of our outstanding common stock (or % if the underwriters exercise their over-allotment option in</w:t>
      </w:r>
    </w:p>
    <w:p>
      <w:pPr>
        <w:ind w:left="120"/>
        <w:spacing w:after="0" w:line="252" w:lineRule="auto"/>
        <w:rPr>
          <w:sz w:val="20"/>
          <w:szCs w:val="20"/>
          <w:color w:val="auto"/>
        </w:rPr>
      </w:pPr>
      <w:r>
        <w:rPr>
          <w:rFonts w:ascii="Arial" w:cs="Arial" w:eastAsia="Arial" w:hAnsi="Arial"/>
          <w:sz w:val="18"/>
          <w:szCs w:val="18"/>
          <w:color w:val="auto"/>
        </w:rPr>
        <w:t>full). In any event, even if the underwriters chose to exercise their over-allotment option, Post will be able to control our business policies and affairs and any action requiring the general approval of our stockholders, including the adoption of amendments to our amended and restated certificate of incorporation and our amended and restated bylaws, the approval of mergers or sales of substantially all of our assets and the removal of members of our Board of Directors with or without cause.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holders of our Class A common stock will be entitled to receive dividends when, as and if declared by our Board of Directors out of legally available funds. The holders of our Class B common stock will not have any right to receive dividends other than dividends consisting of shares of our Class B common stock paid proportionally with respect to each outstanding share of our Class B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their par value, the holders of our Class B common stock will not have any right to receive a distribution upon a liquidation or dissolution of our Company.</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u w:val="single" w:color="auto"/>
          <w:color w:val="auto"/>
        </w:rPr>
        <w:t>Transferability and Exchange</w:t>
      </w:r>
      <w:r>
        <w:rPr>
          <w:rFonts w:ascii="Arial" w:cs="Arial" w:eastAsia="Arial" w:hAnsi="Arial"/>
          <w:sz w:val="17"/>
          <w:szCs w:val="17"/>
          <w:color w:val="auto"/>
        </w:rPr>
        <w:t>. Subject to the terms of the exchange agreement and the amended and restated limited liability company agreement, BellRing Brands, LLC Units (and the corresponding number of shares of our Class B common stock) will be exchangeable for, at BellRing Brands, LLC’s option (as determined by its Board of Managers), (i) shares of our Class A common stock or (ii) cash (based on the market price of the shares of our Class A common stock). Each such exchange will be on a one-for-one equivalent basis,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Shares of our Class B common stock will initially be owned only by Post and may not be transferred except to an affiliate of Post or in exchange for shares of Class A common stock as described above, for no consideration to us or to BellRing Brands, LLC. In the event that Post or any of its affiliates transfers any BellRing Brands, LLC Units to us or BellRing Brands, LLC or to a person other than an affiliate of Post, a corresponding number of shares of our Class B common stock must be delivered to us for cancellation.</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All outstanding shares of our Class A common stock and our Class B common stock prior to this offering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tabs>
          <w:tab w:leader="none" w:pos="7880" w:val="left"/>
        </w:tabs>
        <w:rPr>
          <w:sz w:val="20"/>
          <w:szCs w:val="20"/>
          <w:color w:val="auto"/>
        </w:rPr>
      </w:pPr>
      <w:r>
        <w:rPr>
          <w:rFonts w:ascii="Arial" w:cs="Arial" w:eastAsia="Arial" w:hAnsi="Arial"/>
          <w:sz w:val="18"/>
          <w:szCs w:val="18"/>
          <w:color w:val="auto"/>
        </w:rPr>
        <w:t>Following the formation transactions and this offering, we will be authorized to issue up to</w:t>
      </w:r>
      <w:r>
        <w:rPr>
          <w:sz w:val="20"/>
          <w:szCs w:val="20"/>
          <w:color w:val="auto"/>
        </w:rPr>
        <w:tab/>
      </w:r>
      <w:r>
        <w:rPr>
          <w:rFonts w:ascii="Arial" w:cs="Arial" w:eastAsia="Arial" w:hAnsi="Arial"/>
          <w:sz w:val="16"/>
          <w:szCs w:val="16"/>
          <w:color w:val="auto"/>
        </w:rPr>
        <w:t>shares of preferred stock. Our Board of</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9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Delaware General Corporation Law permits the adoption of a provision in a corporation’s certificate of incorporation renouncing any interests or expectancy of a corporation in, or in being offered an opportunity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participate in, specified business opportunities or specified classes or categories of business opportunities that are presented to the corporation or to one or more of its directors, officers or stockholders.</w:t>
      </w:r>
    </w:p>
    <w:p>
      <w:pPr>
        <w:spacing w:after="0" w:line="170"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other affiliates (except that we and our subsidiaries will not be deemed affiliates of Post or its affiliates for purposes of these provisions) and our rights, powers, duties and liabilities and those of our directors, officers, managers, employees and stockholders in connection with our relationship with Post. In general, and except as may be set forth in any agreement between us and Post, these provisions will provide that Post may carry on and conduct any business of any kind, nature or description, whether or not such business is competitive with or in the same or similar lines of business as us; Post may do business with any of our customers, vendors and lessors; and Post may make investments in any kind of property in which we may make investments. In addition, these provisions will provide that we renounce any interest or expectancy to participate in any business of Post.</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Moreover, our amended and restated certificate of incorporation will provide that we renounce any interests or expectancy in corporate opportunities which become known to (i) any of our directors, officers, managers or employees who also are directors, officers, employees, agents or other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or employees who also are directors, officers, employees, agents or other affiliates of Post or its affiliates will be liable to us or our stockholders for breach of any fiduciary duty by reason of the fact that any such person pursues or acquires any corporate opportunity for the account of Post or its affiliates, directs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or employees in writing, solely in his or her capacity as a director, officer, manager or employee of us.</w:t>
      </w:r>
    </w:p>
    <w:p>
      <w:pPr>
        <w:spacing w:after="0" w:line="19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other affiliates of Post serve as our directors, officers, managers or employees.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beneficially own more than 50% of the combined voting power of our common stock (the “triggering event”), stockholder action can be taken only at an annual or special meeting of stockholders and cannot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Post (but only so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long as Post and its subsidiaries beneficially own, in the aggregate, shares of capital stock of the Company representing at least 50% in voting power of the Company’s capital stock entitled to vote generally on the election of directors) or the President. Except as described above, stockholders will not be permitted to call a special meeting or to require our Board of Directors to call a special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to be brought by a stockholder before an annual meeting and providing for procedures to be followed by stockholders in nominating persons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election to our Board of Directors. Ordinarily, the stockholder must give notice in writing not less than ninety days nor more than 120 days prior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date of the first anniversary of the prior year’s annual meeting; provided, however, that in the event that the date of the meeting is more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thirty days before or more than sixty days after such anniversary date, notice by the stockholder must be received not earlier than the 120th day prior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date of such annual meeting and not later than the close of business on the later of the ninetieth day prior to the date of such annual meeting 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tenth day following the day on which public announcement of the date of the annual meeting is first made. For stockholder proposals, the notice must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 a description of the proposal, the reasons for the proposal and other specified matters. Our Board of Directors may reject any proposals that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followed these procedures or that are not a proper subject for stockholder action in accordance with the provisions of applicable law. Although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amended and restated bylaws will not give our Board of Directors the power to approve or disapprove stockholder nominations of candidates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proposals regarding other business to be conducted at a special or annual meeting, the amended and restated bylaws may have the effect of precluding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conduct of certain business at a meeting if the proper procedures are not followed or may discourage or deter a potential acquirer from conducting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solicitation of proxies to elect its own slate of directors or otherwise attempting to obtain control of us.</w:t>
      </w:r>
    </w:p>
    <w:p>
      <w:pPr>
        <w:spacing w:after="0" w:line="21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u w:val="single" w:color="auto"/>
          <w:color w:val="auto"/>
        </w:rPr>
        <w:t>Directors, and Not Stockholders, Fix the Size of the Board of Directors</w:t>
      </w:r>
      <w:r>
        <w:rPr>
          <w:rFonts w:ascii="Arial" w:cs="Arial" w:eastAsia="Arial" w:hAnsi="Arial"/>
          <w:sz w:val="16"/>
          <w:szCs w:val="16"/>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In accordance with our amended and</w:t>
      </w:r>
    </w:p>
    <w:p>
      <w:pPr>
        <w:spacing w:after="0" w:line="2"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restated bylaws, we expect that our Board of Directors will consist of</w:t>
      </w:r>
      <w:r>
        <w:rPr>
          <w:sz w:val="20"/>
          <w:szCs w:val="20"/>
          <w:color w:val="auto"/>
        </w:rPr>
        <w:tab/>
      </w:r>
      <w:r>
        <w:rPr>
          <w:rFonts w:ascii="Arial" w:cs="Arial" w:eastAsia="Arial" w:hAnsi="Arial"/>
          <w:sz w:val="15"/>
          <w:szCs w:val="15"/>
          <w:color w:val="auto"/>
        </w:rPr>
        <w:t>members.</w:t>
      </w:r>
    </w:p>
    <w:p>
      <w:pPr>
        <w:spacing w:after="0" w:line="21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any vacancy on our Board of Directors occurring for any reason prior to the expiration of the term of the director class in which the vacancy occurs (including vacancies which occur by reason of an increase in the number of directors) will be filled only by the affirmative vote of a majority of the remaining directors, even if less than a quorum. A director elected to fill a vacancy will be elected for the unexpired term of his or her predecessor. These provisions could make it more difficult for stockholders to affect the composition of our Board of Directors.</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u w:val="single" w:color="auto"/>
          <w:color w:val="auto"/>
        </w:rPr>
        <w:t>Classified Board of Directors</w:t>
      </w:r>
      <w:r>
        <w:rPr>
          <w:rFonts w:ascii="Arial" w:cs="Arial" w:eastAsia="Arial" w:hAnsi="Arial"/>
          <w:sz w:val="18"/>
          <w:szCs w:val="18"/>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Each class will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9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u w:val="single" w:color="auto"/>
          <w:color w:val="auto"/>
        </w:rPr>
        <w:t>Business Combinations with Interested Stockholders</w:t>
      </w:r>
      <w:r>
        <w:rPr>
          <w:rFonts w:ascii="Arial" w:cs="Arial" w:eastAsia="Arial" w:hAnsi="Arial"/>
          <w:sz w:val="16"/>
          <w:szCs w:val="16"/>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transferees will not be deemed to be “interested stockholders,” regardless of the percentage of our voting stock owned by them, and accordingly will not be subject to such restrictions.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 certificate of incorporation may be amended in accordance with and upon the vote prescribed by Delaware law, except that:</w:t>
      </w:r>
    </w:p>
    <w:p>
      <w:pPr>
        <w:spacing w:after="0" w:line="77" w:lineRule="exact"/>
        <w:rPr>
          <w:sz w:val="20"/>
          <w:szCs w:val="20"/>
          <w:color w:val="auto"/>
        </w:rPr>
      </w:pPr>
    </w:p>
    <w:p>
      <w:pPr>
        <w:jc w:val="both"/>
        <w:ind w:left="980" w:right="180" w:hanging="432"/>
        <w:spacing w:after="0" w:line="311"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4" w:lineRule="exact"/>
        <w:rPr>
          <w:rFonts w:ascii="Arial" w:cs="Arial" w:eastAsia="Arial" w:hAnsi="Arial"/>
          <w:sz w:val="16"/>
          <w:szCs w:val="16"/>
          <w:color w:val="auto"/>
        </w:rPr>
      </w:pPr>
    </w:p>
    <w:p>
      <w:pPr>
        <w:ind w:left="980" w:right="60" w:hanging="432"/>
        <w:spacing w:after="0" w:line="286"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Section 10 of our amended and restated certificate of incorporation (relating to corporate opportunities) may be amended (or a provision inconsistent with Section 10 adopted) only upon the affirmative vote of not less than two-thirds of the voting power of all of the outstanding shares of our common stock then entitled to vote in the election of directors, voting together as a single class.</w:t>
      </w:r>
    </w:p>
    <w:p>
      <w:pPr>
        <w:spacing w:after="0" w:line="70" w:lineRule="exact"/>
        <w:rPr>
          <w:rFonts w:ascii="Arial" w:cs="Arial" w:eastAsia="Arial" w:hAnsi="Arial"/>
          <w:sz w:val="17"/>
          <w:szCs w:val="17"/>
          <w:color w:val="auto"/>
        </w:rPr>
      </w:pPr>
    </w:p>
    <w:p>
      <w:pPr>
        <w:ind w:left="980" w:right="40" w:hanging="432"/>
        <w:spacing w:after="0" w:line="286"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Section 12 of our amended and restated certificate of incorporation (relating to indemnification) may be amended (or a provision inconsistent with Section 12 adopted) only upon the affirmative vote of not less than 85% of all of the voting power of all of the outstanding shares of our common stock then entitled to vote in the election of directors, voting together as a single class.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two-thirds of all of the members of the Board of Directors may amend, alter, change or repeal any provision of our amended and restated bylaws, except that the Board of Directors may not amend, alter, change or repeal Section 5 of Article V of the bylaws (governing amendments)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restated bylaws upon the affirmative vote of a majority of all of the voting power of the Company entitled to vote thereon, except that the stockholders will not have the power to amend, alter, change or repeal Section 5 of Article V of the bylaws (governing amendments) in any manner that alters our Board of Directors’ power to amend, alter, change or repeal the bylaws.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980" w:hanging="432"/>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8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Class A common stock is currently not listed on any securities exchange. We intend to apply to have our Class A common stock listed on the</w:t>
      </w:r>
    </w:p>
    <w:p>
      <w:pPr>
        <w:spacing w:after="0" w:line="46"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color w:val="auto"/>
        </w:rPr>
        <w:t>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completion of this offering, the transfer agent and registrar for our Class A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5" w:lineRule="exact"/>
        <w:rPr>
          <w:sz w:val="20"/>
          <w:szCs w:val="20"/>
          <w:color w:val="auto"/>
        </w:rPr>
      </w:pPr>
    </w:p>
    <w:p>
      <w:pPr>
        <w:sectPr>
          <w:pgSz w:w="11900" w:h="16838" w:orient="portrait"/>
          <w:cols w:equalWidth="0" w:num="2">
            <w:col w:w="8040" w:space="720"/>
            <w:col w:w="23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080"/>
          </w:cols>
          <w:pgMar w:left="320" w:top="459" w:right="49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61"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All of the shares of Class A common stock (or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w:t>
      </w:r>
    </w:p>
    <w:p>
      <w:pPr>
        <w:spacing w:after="0" w:line="35"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BellRing Brands, Inc. and Post, which will hold BellRing Brands, LLC Units and the same number of shares of our Class B common stock, which will represent % of the combined voting power of our outstanding common stock (or % if the underwriters exercise their over-allotment option in full). Pursuant to the terms of the exchange agreement and the amended and restated limited liability company agreement, the holders of BellRing Brands, LLC Units may from time to time exchange their BellRing Brands, LLC Units (and the corresponding shares of our Class B common stock) for, at the option of BellRing Brands, LLC (as determined by its Board of Managers), (i) shares of our Class A common stock on a one-for-one equivalent basis or (ii) cash (based on the market price of the shares of our Class A common stock), subject to customary exchange rate adjustments for stock splits, stock dividends and reclassifications. Shares of BellRing Brands, Inc. Class B common stock will be initially owned solely by Post and cannot be transferred except to affiliates of Post and except in connection with an exchange of a number of corresponding BellRing Brands, LLC Units for Class A common stock as described above (and any Class B common stock so exchanged for shares of Class A common stock will be cancelled). Shares of our Class A common stock issuable in exchange for BellRing Brands, LLC Units and the corresponding number of shares of our Class B common stock would be considered “restricted securities,” as that term is defined in Rule 144 at the time of this offering.</w:t>
      </w:r>
    </w:p>
    <w:p>
      <w:pPr>
        <w:spacing w:after="0" w:line="17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120"/>
        <w:spacing w:after="0" w:line="295" w:lineRule="auto"/>
        <w:rPr>
          <w:sz w:val="20"/>
          <w:szCs w:val="20"/>
          <w:color w:val="auto"/>
        </w:rPr>
      </w:pPr>
      <w:r>
        <w:rPr>
          <w:rFonts w:ascii="Arial" w:cs="Arial" w:eastAsia="Arial" w:hAnsi="Arial"/>
          <w:sz w:val="16"/>
          <w:szCs w:val="16"/>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150-day underwriter “lock-up” period summarized below under “—Lock-up Agreements” pursuant to the holding period, volume and other restrictions of Rule 144. The representative of the underwriters is entitled to waive these lock-up provisions at its discretion prior to the expiration dates of such lock-up agreements.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150 days after the date of this prospectus. These lock-up restrictions may be extended in specified circumstances and are subject to certain exceptions. As a result of these contractual restrictions, shares of our Class A common stock and the other securities subject to lock-up agreements will not be eligible for sale until these agreements expire or the restrictions are waived by the underwriters.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150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person who has beneficially owned the shares proposed to be sold for at least one year, including the holding period of any prior owner other than an affiliate of us, will be entitled to sell these shares without limitation.</w:t>
      </w:r>
    </w:p>
    <w:p>
      <w:pPr>
        <w:spacing w:after="0" w:line="17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150-day lock-up period described above, within any three-month period, a number of shares that does not exceed the greater of:</w:t>
      </w:r>
    </w:p>
    <w:p>
      <w:pPr>
        <w:spacing w:after="0" w:line="76" w:lineRule="exact"/>
        <w:rPr>
          <w:sz w:val="20"/>
          <w:szCs w:val="20"/>
          <w:color w:val="auto"/>
        </w:rPr>
      </w:pPr>
    </w:p>
    <w:p>
      <w:pPr>
        <w:ind w:left="980" w:hanging="439"/>
        <w:spacing w:after="0" w:line="263" w:lineRule="auto"/>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Class A common stock then outstanding, which will equal approximately shares immediately after this offering (assuming the underwriters do not elect to exercise their over-allotment option to purchase additional shares of our Class A common stock); or</w:t>
      </w:r>
    </w:p>
    <w:p>
      <w:pPr>
        <w:spacing w:after="0" w:line="89" w:lineRule="exact"/>
        <w:rPr>
          <w:sz w:val="20"/>
          <w:szCs w:val="20"/>
          <w:color w:val="auto"/>
        </w:rPr>
      </w:pPr>
    </w:p>
    <w:p>
      <w:pPr>
        <w:ind w:left="980" w:right="120" w:hanging="432"/>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We intend to file with the SEC a registration statement on Form S-8 covering the shares of our Class A common stock that will be reserved for issuance under the BellRing Brands, Inc. 2019 Long-Term Incentive Plan.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BellRing Brands, Inc. 2019 Long-Term Incentive Plan will be eligible for sale by the recipient in the public market, subject to the lock-up agreements and Rule 144 restrictions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Prior to the consummation of this offering,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three months ended December 31, 2018 and 2017 and Note 10 of “Notes to Combined Financial Statements” for the three fiscal years ended September 30, 2018 included in this prospectus.</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also expect to enter into certain agreements with Post in connection with this offering and relating to our relationship with Post after this offering, which are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enter into the following agreements with Post relating to this offering and our relationship with Post after this offering:</w:t>
      </w:r>
    </w:p>
    <w:p>
      <w:pPr>
        <w:spacing w:after="0" w:line="131" w:lineRule="exact"/>
        <w:rPr>
          <w:sz w:val="20"/>
          <w:szCs w:val="20"/>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exchange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transition services agreement.</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material terms that we expect to be included in each of these agreements, which remain subject to change, are summarized below. The summary of each such agreement is qualified by reference in its entirety to the full text of the applicable agreement, each of which will be filed as an exhibit to the registration statement of which this prospectus is a part.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expect to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between BellRing Brands, Inc. and its subsidiaries, on the one hand, and Post and its subsidiaries (other than us and our subsidiaries), on the other hand, regarding the principal transactions required to effect the formation transactions and this offering, and will govern the relationship between Post and us after this offering. For a description of the formation transaction, see “Prospectus Summary—Formation Transactions.”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w:t>
      </w:r>
    </w:p>
    <w:p>
      <w:pPr>
        <w:spacing w:after="0" w:line="76" w:lineRule="exact"/>
        <w:rPr>
          <w:sz w:val="20"/>
          <w:szCs w:val="20"/>
          <w:color w:val="auto"/>
        </w:rPr>
      </w:pPr>
    </w:p>
    <w:p>
      <w:pPr>
        <w:ind w:left="980" w:right="20" w:hanging="432"/>
        <w:spacing w:after="0" w:line="311"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59"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w:t>
      </w:r>
    </w:p>
    <w:p>
      <w:pPr>
        <w:spacing w:after="0" w:line="92" w:lineRule="exact"/>
        <w:rPr>
          <w:rFonts w:ascii="Arial" w:cs="Arial" w:eastAsia="Arial" w:hAnsi="Arial"/>
          <w:sz w:val="18"/>
          <w:szCs w:val="18"/>
          <w:color w:val="auto"/>
        </w:rPr>
      </w:pPr>
    </w:p>
    <w:p>
      <w:pPr>
        <w:ind w:left="980" w:right="80" w:hanging="432"/>
        <w:spacing w:after="0" w:line="279"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BellRing Brands, LLC Assets and the BellRing Brands, LLC Liabilities (such assets and liabilities, other than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 and</w:t>
      </w:r>
    </w:p>
    <w:p>
      <w:pPr>
        <w:spacing w:after="0" w:line="76" w:lineRule="exact"/>
        <w:rPr>
          <w:rFonts w:ascii="Arial" w:cs="Arial" w:eastAsia="Arial" w:hAnsi="Arial"/>
          <w:sz w:val="17"/>
          <w:szCs w:val="17"/>
          <w:color w:val="auto"/>
        </w:rPr>
      </w:pPr>
    </w:p>
    <w:p>
      <w:pPr>
        <w:ind w:left="980" w:right="480" w:hanging="432"/>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shared contracts will be assigned in part to BellRing Brands, LLC or its applicable subsidiaries or be appropriately amended or subject to a services agreement.</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separation from Post.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will agree that, for so long as Post is required to consolidate BellRing Brands, Inc.’s or any of its subsidiaries’ results of operations and financial position or account for its investment in BellRing Brands, Inc. or any of its subsidiaries under the equity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method of 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980" w:right="60" w:hanging="432"/>
        <w:spacing w:after="0" w:line="255"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7"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980" w:right="280" w:hanging="432"/>
        <w:spacing w:after="0" w:line="342"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980" w:right="160" w:hanging="432"/>
        <w:spacing w:after="0" w:line="311"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and other public filings, press releases and public and private offering documents;</w:t>
      </w:r>
    </w:p>
    <w:p>
      <w:pPr>
        <w:spacing w:after="0" w:line="54" w:lineRule="exact"/>
        <w:rPr>
          <w:rFonts w:ascii="Arial" w:cs="Arial" w:eastAsia="Arial" w:hAnsi="Arial"/>
          <w:sz w:val="16"/>
          <w:szCs w:val="16"/>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ind w:left="980" w:right="140" w:hanging="432"/>
        <w:spacing w:after="0" w:line="263"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financial statements;</w:t>
      </w:r>
    </w:p>
    <w:p>
      <w:pPr>
        <w:spacing w:after="0" w:line="89" w:lineRule="exact"/>
        <w:rPr>
          <w:rFonts w:ascii="Arial" w:cs="Arial" w:eastAsia="Arial" w:hAnsi="Arial"/>
          <w:sz w:val="18"/>
          <w:szCs w:val="18"/>
          <w:color w:val="auto"/>
        </w:rPr>
      </w:pPr>
    </w:p>
    <w:p>
      <w:pPr>
        <w:ind w:left="980" w:right="220" w:hanging="432"/>
        <w:spacing w:after="0" w:line="301"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62" w:lineRule="exact"/>
        <w:rPr>
          <w:rFonts w:ascii="Arial" w:cs="Arial" w:eastAsia="Arial" w:hAnsi="Arial"/>
          <w:sz w:val="16"/>
          <w:szCs w:val="16"/>
          <w:color w:val="auto"/>
        </w:rPr>
      </w:pPr>
    </w:p>
    <w:p>
      <w:pPr>
        <w:ind w:left="980" w:hanging="432"/>
        <w:spacing w:after="0" w:line="263"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9" w:lineRule="exact"/>
        <w:rPr>
          <w:rFonts w:ascii="Arial" w:cs="Arial" w:eastAsia="Arial" w:hAnsi="Arial"/>
          <w:sz w:val="18"/>
          <w:szCs w:val="18"/>
          <w:color w:val="auto"/>
        </w:rPr>
      </w:pPr>
    </w:p>
    <w:p>
      <w:pPr>
        <w:ind w:left="980" w:right="200" w:hanging="432"/>
        <w:spacing w:after="0" w:line="259"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980" w:right="40" w:hanging="432"/>
        <w:spacing w:after="0" w:line="301"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The master transaction agreement will provide for cross-indemnities principally designed to place financial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liabilities of our business with us and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89" w:lineRule="exact"/>
        <w:rPr>
          <w:sz w:val="20"/>
          <w:szCs w:val="20"/>
          <w:color w:val="auto"/>
        </w:rPr>
      </w:pPr>
    </w:p>
    <w:p>
      <w:pPr>
        <w:jc w:val="both"/>
        <w:ind w:left="980" w:right="40" w:hanging="432"/>
        <w:spacing w:after="0" w:line="263"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LLC Liabilities and, in the case of Post, would include the Post Liabilities) and the other ancillary agreements;</w:t>
      </w:r>
    </w:p>
    <w:p>
      <w:pPr>
        <w:spacing w:after="0" w:line="89"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failure of BellRing Brands, LLC or Post to pay, perform or otherwise promptly discharge any of the BellRing Brands, LLC Liabilities or the Post Liabilities, respectively, in accordance with their terms, whether prior to, at or after the separation;</w:t>
      </w:r>
    </w:p>
    <w:p>
      <w:pPr>
        <w:spacing w:after="0" w:line="75" w:lineRule="exact"/>
        <w:rPr>
          <w:rFonts w:ascii="Arial" w:cs="Arial" w:eastAsia="Arial" w:hAnsi="Arial"/>
          <w:sz w:val="18"/>
          <w:szCs w:val="18"/>
          <w:color w:val="auto"/>
        </w:rPr>
      </w:pPr>
    </w:p>
    <w:p>
      <w:pPr>
        <w:ind w:left="980" w:right="420" w:hanging="432"/>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spacing w:after="0" w:line="2" w:lineRule="exact"/>
        <w:rPr>
          <w:sz w:val="20"/>
          <w:szCs w:val="20"/>
          <w:color w:val="auto"/>
        </w:rPr>
      </w:pPr>
    </w:p>
    <w:p>
      <w:pPr>
        <w:ind w:left="120" w:right="20" w:hanging="4"/>
        <w:spacing w:after="0" w:line="251" w:lineRule="auto"/>
        <w:tabs>
          <w:tab w:leader="none" w:pos="3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following this offering to the extent (A) such information pertains to us or our business or (B) Post has provided prior written notice to us that such information will be included in one or more annual, quarterly or current reports, specifying how such information will be presented, and the information is included in such annual, quarterly or current reports (except, in the case of clause (B), for liabilities arising out of or resulting from, or in connection with, any action or inaction of Post or any of its subsidiaries (other than us and our subsidiaries), including as a result of any misstatement or omission of any information by Post to us).</w:t>
      </w:r>
    </w:p>
    <w:p>
      <w:pPr>
        <w:spacing w:after="0" w:line="19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or (2) provided by Post to us specifically for inclusion in BellRing Brands, Inc.’s annual, quarterly or current reports following this offering to the extent (A) such information pertains to (x) Post or</w:t>
      </w:r>
    </w:p>
    <w:p>
      <w:pPr>
        <w:spacing w:after="0" w:line="4" w:lineRule="exact"/>
        <w:rPr>
          <w:sz w:val="20"/>
          <w:szCs w:val="20"/>
          <w:color w:val="auto"/>
        </w:rPr>
      </w:pPr>
    </w:p>
    <w:p>
      <w:pPr>
        <w:jc w:val="both"/>
        <w:ind w:left="120" w:right="100" w:hanging="4"/>
        <w:spacing w:after="0" w:line="273" w:lineRule="auto"/>
        <w:tabs>
          <w:tab w:leader="none" w:pos="375" w:val="left"/>
        </w:tabs>
        <w:numPr>
          <w:ilvl w:val="0"/>
          <w:numId w:val="90"/>
        </w:numPr>
        <w:rPr>
          <w:rFonts w:ascii="Arial" w:cs="Arial" w:eastAsia="Arial" w:hAnsi="Arial"/>
          <w:sz w:val="17"/>
          <w:szCs w:val="17"/>
          <w:color w:val="auto"/>
        </w:rPr>
      </w:pPr>
      <w:r>
        <w:rPr>
          <w:rFonts w:ascii="Arial" w:cs="Arial" w:eastAsia="Arial" w:hAnsi="Arial"/>
          <w:sz w:val="17"/>
          <w:szCs w:val="17"/>
          <w:color w:val="auto"/>
        </w:rPr>
        <w:t>Post’s business (for the avoidance of doubt, other than our business) or (B) BellRing Brands, Inc. has provided written notice to Post that such information will be included in one or more of its annual, quarterly or current reports, specifying how such information will be presented, and the information is included in such annual, quarterly or current reports (except, in the case of clause (B), for liabilities arising out of or resulting from, or in connection with, any action or inaction of us, including as a result of any misstatement or omission of any information by us to Post).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Employee Matters Agreement. </w:t>
      </w:r>
      <w:r>
        <w:rPr>
          <w:rFonts w:ascii="Arial" w:cs="Arial" w:eastAsia="Arial" w:hAnsi="Arial"/>
          <w:sz w:val="18"/>
          <w:szCs w:val="18"/>
          <w:color w:val="auto"/>
        </w:rPr>
        <w:t>As part of the formation transactions and this offering, we will enter into the employee matters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The employee matters agreement will cover a wide range of compensation and benefit matters related to this offering. In general, under the employee matters agreement:</w:t>
      </w:r>
    </w:p>
    <w:p>
      <w:pPr>
        <w:spacing w:after="0" w:line="89" w:lineRule="exact"/>
        <w:rPr>
          <w:sz w:val="20"/>
          <w:szCs w:val="20"/>
          <w:color w:val="auto"/>
        </w:rPr>
      </w:pPr>
    </w:p>
    <w:p>
      <w:pPr>
        <w:ind w:left="980" w:right="220" w:hanging="432"/>
        <w:spacing w:after="0" w:line="311" w:lineRule="auto"/>
        <w:tabs>
          <w:tab w:leader="none" w:pos="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Post will assume or retain: (1) all liabilities with respect to Post employees, former Post employees and their dependents and beneficiaries under all Post employee benefit plans (other than our employees and our former employees) and (2) all liabilities with respect to the employment of all Post employees and former Post employees (other than our employees and our former employees); and</w:t>
      </w:r>
    </w:p>
    <w:p>
      <w:pPr>
        <w:spacing w:after="0" w:line="54" w:lineRule="exact"/>
        <w:rPr>
          <w:rFonts w:ascii="Arial" w:cs="Arial" w:eastAsia="Arial" w:hAnsi="Arial"/>
          <w:sz w:val="16"/>
          <w:szCs w:val="16"/>
          <w:color w:val="auto"/>
        </w:rPr>
      </w:pPr>
    </w:p>
    <w:p>
      <w:pPr>
        <w:ind w:left="980" w:right="40" w:hanging="432"/>
        <w:spacing w:after="0" w:line="279" w:lineRule="auto"/>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will assume or retain: (1) all liabilities related to benefits for our employees and their dependents and beneficiaries, (2) all liabilities with respect to the employment or termination of employment of our employees and our former employees and (3) all liabilities with respect to the expense of equity compensation that vests or becomes payable for our employees and our former employees, which equity was issued under the 2012 LTIP, the 2016 LTIP or the Post Holdings, Inc. 2019 Long-Term Incentive Plan.</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After this offering, it is anticipated that our U.S. employees will continue participating in some health and welfare benefits under plans sponsored by Post, and that with respect to some portion of these benefits, we will establish our own plans either at the time of the offering or in the months following the offering. We anticipate that we will establish our own 401(k) plan effective either at the time of this offering or at the start of the next calendar year following this offering. Additionally, we anticipate that our management employees will no longer be eligible for deferrals under Post’s non-qualified deferred compensation plans beginning January 1, 2020.</w:t>
      </w:r>
    </w:p>
    <w:p>
      <w:pPr>
        <w:spacing w:after="0" w:line="18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anticipate that the employee matters agreement also will provide that we will reimburse Post for the cost of Post equity awards, if any, that become payable or are exercised by our employees and former employees after this offering.</w:t>
      </w:r>
    </w:p>
    <w:p>
      <w:pPr>
        <w:spacing w:after="0" w:line="170"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Under the employee matters agreement,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the applicable Post Long-Term Incentive Plan and any award agreements applicable thereunder.</w:t>
      </w:r>
    </w:p>
    <w:p>
      <w:pPr>
        <w:spacing w:after="0" w:line="14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Exchange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part of the formation transactions and this offering, we and Post will enter into the exchange agreement under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time to time, Post will have the right to exchange its BellRing Brands, LLC Units (and the corresponding number of shares of our Class B common stock, which shares will be cancelled as part of the exchange) with BellRing Brands, LLC for, at BellRing Brands, LLC’s option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Shares of BellRing Brands, Inc. Class B common stock will be initially owned solely by Post and cannot be transferred except to affiliates of Post and except in connection with an exchange of a number of corresponding BellRing Brands, LLC Units for Class A common stock as described above (and any Class B common stock so exchanged for shares of Class A common stock will be cancelled). Any decision to require an exchange for cash rather than shares of our Class A common stock will ultimately be determined by the BellRing Brands, LLC Board of Managers.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As part of the formation transactions and this offering, we will enter into the investor rights agreement with Post.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rights agreement will provide Post with certain demand, shelf and piggyback registration rights with respect to its shares of BellRing Brands, Inc. Class A common stock and also will provide Post with certain governance rights, depending on the size of its holdings of BellRing Brands, Inc.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980" w:right="640" w:hanging="432"/>
        <w:spacing w:after="0" w:line="342"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29" w:lineRule="exact"/>
        <w:rPr>
          <w:rFonts w:ascii="Arial" w:cs="Arial" w:eastAsia="Arial" w:hAnsi="Arial"/>
          <w:sz w:val="16"/>
          <w:szCs w:val="16"/>
          <w:color w:val="auto"/>
        </w:rPr>
      </w:pPr>
    </w:p>
    <w:p>
      <w:pPr>
        <w:ind w:left="980" w:right="420" w:hanging="432"/>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once we are eligible to do so, Post and its affiliates will have the right to cause us to file and have declared effective a shelf registration statement on Form S-3 with respect to all of their shares of BellRing Brands, Inc. common stock;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jc w:val="both"/>
        <w:ind w:left="120" w:right="200" w:firstLine="440"/>
        <w:spacing w:after="0" w:line="296"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6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of the completion of this offering, our Board of Directors will have members. The investor rights agreement also will provide that Post, subject to applicable corporate governance rules of the SEC and the NYSE (which may require Post to designate independent directors), will have the right to designate: (i) a majority of the directors (and if the number of directors is even, one director more than 50% of the number of directors) if it beneficially owns more than 50% of the outstanding BellRing Brands, Inc. common stock, (ii) one less than a majority of the directors (and if the number of directors is even, 50% of the number of directors) if it beneficially owns more than 25% but 50% or less of the outstanding BellRing Brands, Inc. common stock and (iii) one-third of the directors (rounded down to the nearest whole number) if it beneficially owns more than 10% but 25% or less of the outstanding BellRing Brands, Inc. common stock. Post will lose the right to designate directors if it beneficially owns 10% or less of the outstanding BellRing Brands, Inc. common stock. If the number of directors is increased from members, Post’s rights to nominate directors will increase proportionally if it owns more than 10% but 25% or less of the outstanding BellRing Brands, Inc. common stock. So long as Post beneficially owns 25% or more of the outstanding BellRing Brands, Inc. common stock, it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at the applicable meeting of stockholders and will use reasonable best efforts to cause such person to be elected as a director at such meeting of stockholders.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investor rights agreement will terminate when Post and its permitted transferees hold less than 2.5% of our outstanding common stock.</w:t>
      </w:r>
    </w:p>
    <w:p>
      <w:pPr>
        <w:spacing w:after="0" w:line="233"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i w:val="1"/>
          <w:iCs w:val="1"/>
          <w:color w:val="auto"/>
        </w:rPr>
        <w:t>Amended and Restated Limited Liability Company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 formation transactions and this offering, we and Post will enter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Reorganization</w:t>
      </w:r>
      <w:r>
        <w:rPr>
          <w:rFonts w:ascii="Arial" w:cs="Arial" w:eastAsia="Arial" w:hAnsi="Arial"/>
          <w:sz w:val="18"/>
          <w:szCs w:val="18"/>
          <w:color w:val="auto"/>
        </w:rPr>
        <w:t>. As part of the formation transactions, BellRing Brands, LLC will establish two new classes of its common units,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 reclassified into one BellRing Brands, LLC Unit in connection with the formation transactions. In connection with the formation transactions and this offering, BellRing Brands, LLC Units will be issued to BellRing Brands, Inc. and Post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 common stock and the investor rights agreement, which will give Post the ability to designate a majority of our Board of Directors.</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all other BellRing Brands, LLC Units.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4"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as described below under “—Coordination of BellRing Brands, Inc. and BellRing Brands, LLC.” Net profits and net losses of BellRing Brands, LLC generally will be allocated to holders of BellRing Brands, LLC Units on a pro rata basis in accordance with their respective percentage ownership. The amended and restated limited liability company agreement provides, to the extent cash is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available, for distributions pro rata to the holders of BellRing Brands, LLC Units such that members receive an amount of cash sufficient to cover the taxes payable by them as a result of the allocation of BellRing Brands, LLC’s net profits and losses.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other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Further, the net proceeds BellRing Brands, Inc. receives with respect to the corresponding economic company security, if any, must be concurrently contributed to BellRing Brands, LLC, subject to certain exceptions.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or BellRing Brands, LLC to comply with the provisions of the amended and restated limited liability company agreement described above in connection with the issuance, redemption or repurchase of any shares of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so long as Post holds at least 10% of the BellRing Brands, LLC Units.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Transfer of BellRing Brands, LLC Units</w:t>
      </w:r>
      <w:r>
        <w:rPr>
          <w:rFonts w:ascii="Arial" w:cs="Arial" w:eastAsia="Arial" w:hAnsi="Arial"/>
          <w:sz w:val="18"/>
          <w:szCs w:val="18"/>
          <w:color w:val="auto"/>
        </w:rPr>
        <w:t>. No member of BellRing Brands, LLC may directly or indirectly transfer all or any part of its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transactions pursuant to the exchange agreement, transfers in accordance with the investor rights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agreement, transfers to any affiliates of the transferor, transfers by Post in connection with any tax-free distribution of its beneficial retained interest in BellRing Brands, LLC to its shareholders (including transfers to a subsidiary of Post in connection therewith (whether or not accompanied by a merger of such subsidiary with BellRing Brands, Inc. or any of its subsidiaries)) and any other transfer of shares of our Class A common stock, none of which are considered transfers subject to the amended and restated limited liability company agreement.</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Delivery and Cancellation of Class B Shares. </w:t>
      </w:r>
      <w:r>
        <w:rPr>
          <w:rFonts w:ascii="Arial" w:cs="Arial" w:eastAsia="Arial" w:hAnsi="Arial"/>
          <w:sz w:val="18"/>
          <w:szCs w:val="18"/>
          <w:color w:val="auto"/>
        </w:rPr>
        <w:t>In the event that Post or any of its affiliates transfers any BellRing Brands, LLC Units to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Inc. or to a person other than an affiliate of Post, a corresponding number of shares of our Class B common stock must be delivered to BellRing Brands, Inc. for cancellation. In the event that Post or any of its affiliates exchanges shares of our Class B common stock (and the corresponding BellRing Brands, LLC Units) for our Class A common stock, any Class B common stock so exchanged for shares of Class A common stock will be cancelled.</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our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 claims, damages or liabilities incurred by reason of any act or omission performed or omitted by such covered person in good faith on behalf of BellRing Brands, LLC.</w:t>
      </w:r>
    </w:p>
    <w:p>
      <w:pPr>
        <w:spacing w:after="0" w:line="17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6" w:lineRule="exact"/>
        <w:rPr>
          <w:sz w:val="20"/>
          <w:szCs w:val="20"/>
          <w:color w:val="auto"/>
        </w:rPr>
      </w:pPr>
    </w:p>
    <w:p>
      <w:pPr>
        <w:jc w:val="both"/>
        <w:ind w:left="120" w:right="120" w:firstLine="440"/>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6"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i w:val="1"/>
          <w:iCs w:val="1"/>
          <w:color w:val="auto"/>
        </w:rPr>
        <w:t>Amendments</w:t>
      </w:r>
      <w:r>
        <w:rPr>
          <w:rFonts w:ascii="Arial" w:cs="Arial" w:eastAsia="Arial" w:hAnsi="Arial"/>
          <w:sz w:val="17"/>
          <w:szCs w:val="17"/>
          <w:color w:val="auto"/>
        </w:rPr>
        <w:t>. The amended and restated limited liability company agreement may be amended at any time and from time to time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Managers, although no amendment to the amended and restated limited liability company agreement may adversely modify in any material respect the BellRing Brands, LLC Units or any other class of units (or the rights, preferences or privileges of the BellRing Brands, LLC Units or any other class of units) then held by any members of BellRing Brands, LLC in any materially disproportionate manner to those then held by any other members without the prior written consent of a majority in interest of such disproportionately affected member or members.</w:t>
      </w:r>
    </w:p>
    <w:p>
      <w:pPr>
        <w:spacing w:after="0" w:line="17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 Further, any merger, consolidation or other business combination that constitutes a disposition event as defined in the exchange agreement will not be deemed an amendment of the amended and restated limited liability company agreement.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Tax Receivable Agreement. </w:t>
      </w:r>
      <w:r>
        <w:rPr>
          <w:rFonts w:ascii="Arial" w:cs="Arial" w:eastAsia="Arial" w:hAnsi="Arial"/>
          <w:sz w:val="17"/>
          <w:szCs w:val="17"/>
          <w:color w:val="auto"/>
        </w:rPr>
        <w:t>As part of the formation transactions and this offering, we will enter into the tax receivable agreement with Post.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future, our Class B common stock, together with the corresponding number of BellRing Brands, LLC Units, may be exchanged for, at the option of BellRing Brands, LLC (as determined by its Board of Managers), shares of our Class A common stock, or for cash. See “—Exchange Agreement.” These exchanges, as well as certain other actual or deemed distributions from BellRing Brands, LLC to Post (or certain of its transferees or assignees),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The IRS may challenge all or part of these tax basis increases and no assurances can be made regarding the availability of these tax basis increases.</w:t>
      </w:r>
    </w:p>
    <w:p>
      <w:pPr>
        <w:spacing w:after="0" w:line="18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Upon closing of this offering, we will enter into the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the assets of BellRing Brands, LLC attributable to (i) an exchange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Post could be substantial. Post generally will not reimburse us for any payments that may previously have been made under the tax receivable agreement even if the IRS subsequently disallows the tax basis increase or any other relevant tax item. Instead, any excess cash payments made by us to Post will be netted against any future cash payments that we might otherwise be required to make under the terms of the tax receivable agreement. However, we might not determine that we have effectively made an excess cash payment to Post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 Our ability to achieve tax benefits from any tax basis increase and the payments to be made under the tax receivable agreement will depend upon a number of factors, including the timing and amount of our future income and the nature of our assets.</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 In addition, the tax receivable agreement provides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obligations with respect to exchanged or acquired Class B common stock, together with the corresponding number of BellRing Brands, LLC Units (whether exchanged or acquired before or after such change of control or early termination) would be required to be paid significantly in advance of the actual realization, if any, of any tax benefits and would be based on certain assumptions, including that we would have sufficient taxable income to fully utilize the deductions arising from the increased tax deductions and tax basis and other benefits related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entering into the tax receivable agreement, and, in the case of certain early termination elections, that any Class B common stock, together with the corresponding number of BellRing Brands, LLC Units, that have not been exchanged will be deemed exchanged for the market value of our Class A common stock at the time of termination. Consequently, it is possible that the actual cash tax savings realized by us may be significantly less than the corresponding tax receivable agreement payments that we will be required to make to Post under the tax receivable agreement.</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its ownership of BellRing Brands, LLC Units, and will have no independent means of generating revenue or cash flow. As owner of the voting membership unit in BellRing Brands, LLC, we intend to cause BellRing Brands, LLC to make distributions in an amount sufficient to allow us to pay our tax obligations in respect of taxable income allocated to us from BellRing Brands, LLC and our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potential debt agreements, or any applicable law, or that would have the effect of rendering BellRing Brands, LLC insolvent. If BellRing Brands, LLC does not distribute sufficient funds for us to pay our operating expenses, including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LLC will enter into the tax matters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Under the tax matters agreement, Post will be responsible for all taxes for Post’s Active Nutrition business which relate to pre-offering periods, and BellRing Brands, LLC generally will be responsible and will be required to indemnify Post and its affiliates (other than us or any of our subsidiaries)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and (ii) all taxes that relate to post-offering periods imposed with respect to consolidated, combined, unitary or separate tax returns of BellRing Brands, LLC or any of its subsidiaries as determined under the tax matters agreement.</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the tax matters agreement, Post generally will have the right to control audits or other tax proceedings with respect to any consolidated, combined or unitary tax return that includes Post or any of its subsidiaries and BellRing Brands, LLC or any of its subsidiaries, provided that BellRing Brands, LLC will have certain participation rights with respect to any such audit or tax proceeding that could result in additional taxes for which it is liable under the tax matters agreement. BellRing Brands, LLC generally will have the right to control any audits or other tax proceedings with respect to any of BellRing Brands, LLC’s or its subsidiaries’ consolidated, combined, unitary or separate tax returns, including the control of any audits or tax proceedings of BellRing Brands, LLC through the appointment of BellRing Brands, LLC as partnership representative for U.S. federal and applicable state and local income tax purposes.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Transition Services Agreement. </w:t>
      </w:r>
      <w:r>
        <w:rPr>
          <w:rFonts w:ascii="Arial" w:cs="Arial" w:eastAsia="Arial" w:hAnsi="Arial"/>
          <w:sz w:val="18"/>
          <w:szCs w:val="18"/>
          <w:color w:val="auto"/>
        </w:rPr>
        <w:t>As part of the formation transactions and this offering, we will enter into the transition services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we and Post currently expect that Post will provide some combination of the following services, among others, to us following completion of this offering:</w:t>
      </w:r>
    </w:p>
    <w:p>
      <w:pPr>
        <w:spacing w:after="0" w:line="89" w:lineRule="exact"/>
        <w:rPr>
          <w:sz w:val="20"/>
          <w:szCs w:val="20"/>
          <w:color w:val="auto"/>
        </w:rPr>
      </w:pPr>
    </w:p>
    <w:p>
      <w:pPr>
        <w:ind w:left="980" w:right="740" w:hanging="432"/>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leasing/subleasing of office and/or data center space;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charges for these services will be agreed upon prior to the completion of this offering. In general, the services to be provided by Post will begin on the date of the completion of this offering and will continue for the periods specified in the agreement, subject to Post’s continued ownership of a majority of the voting rights of our outstanding capital stock and any subsequent extension or truncation agreed to by us and Post. We may terminate the agreement with respect to one or more particular services being received upon such notice as will be provided for in the transition services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9" w:lineRule="exact"/>
        <w:rPr>
          <w:sz w:val="20"/>
          <w:szCs w:val="20"/>
          <w:color w:val="auto"/>
        </w:rPr>
      </w:pPr>
    </w:p>
    <w:p>
      <w:pPr>
        <w:ind w:left="980" w:right="360" w:hanging="432"/>
        <w:spacing w:after="0" w:line="27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480" w:hanging="432"/>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980" w:right="80" w:hanging="432"/>
        <w:spacing w:after="0" w:line="311"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 (2) it has a valid election in effect under applicable U.S. Treasury regulations to be treated as a U.S. person for U.S. federal income tax purposes.</w:t>
      </w:r>
    </w:p>
    <w:p>
      <w:pPr>
        <w:spacing w:after="0" w:line="149"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spacing w:after="0" w:line="2" w:lineRule="exact"/>
        <w:rPr>
          <w:sz w:val="20"/>
          <w:szCs w:val="20"/>
          <w:color w:val="auto"/>
        </w:rPr>
      </w:pPr>
    </w:p>
    <w:p>
      <w:pPr>
        <w:ind w:left="120" w:right="220" w:hanging="4"/>
        <w:spacing w:after="0" w:line="271" w:lineRule="auto"/>
        <w:tabs>
          <w:tab w:leader="none" w:pos="375"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9" w:lineRule="exact"/>
        <w:rPr>
          <w:sz w:val="20"/>
          <w:szCs w:val="20"/>
          <w:color w:val="auto"/>
        </w:rPr>
      </w:pPr>
    </w:p>
    <w:p>
      <w:pPr>
        <w:ind w:left="980" w:right="100" w:hanging="432"/>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980" w:right="280" w:hanging="432"/>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8" w:lineRule="exact"/>
        <w:rPr>
          <w:sz w:val="20"/>
          <w:szCs w:val="20"/>
          <w:color w:val="auto"/>
        </w:rPr>
      </w:pPr>
    </w:p>
    <w:p>
      <w:pPr>
        <w:ind w:left="980" w:hanging="43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980" w:right="120" w:hanging="432"/>
        <w:spacing w:after="0" w:line="342"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Goldman Sachs &amp; Co. LLC, Citigroup Global Markets Inc. and J.P. Morgan Securities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760" w:type="dxa"/>
            <w:vAlign w:val="bottom"/>
          </w:tcPr>
          <w:p>
            <w:pPr>
              <w:jc w:val="center"/>
              <w:ind w:left="1908"/>
              <w:spacing w:after="0"/>
              <w:rPr>
                <w:sz w:val="20"/>
                <w:szCs w:val="20"/>
                <w:color w:val="auto"/>
              </w:rPr>
            </w:pPr>
            <w:r>
              <w:rPr>
                <w:rFonts w:ascii="Arial" w:cs="Arial" w:eastAsia="Arial" w:hAnsi="Arial"/>
                <w:sz w:val="14"/>
                <w:szCs w:val="14"/>
                <w:b w:val="1"/>
                <w:bCs w:val="1"/>
                <w:color w:val="auto"/>
                <w:w w:val="92"/>
              </w:rPr>
              <w:t>Number of Shares of Class A</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3760" w:type="dxa"/>
            <w:vAlign w:val="bottom"/>
          </w:tcPr>
          <w:p>
            <w:pPr>
              <w:jc w:val="center"/>
              <w:ind w:left="190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wp:posOffset>
            </wp:positionV>
            <wp:extent cx="524637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46370" cy="14541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4"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120" w:right="140" w:hanging="4"/>
        <w:spacing w:after="0" w:line="255" w:lineRule="auto"/>
        <w:tabs>
          <w:tab w:leader="none" w:pos="5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Sales of Class A common stock made outside of the U.S. may be made by affiliates of the underwriters.</w:t>
      </w:r>
    </w:p>
    <w:p>
      <w:pPr>
        <w:spacing w:after="0" w:line="19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share and total public offering price, underwriting discounts and commissions, and proceeds before expenses to</w:t>
      </w:r>
    </w:p>
    <w:p>
      <w:pPr>
        <w:spacing w:after="0" w:line="46"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us. Such amounts are shown assuming both no exercise and full exercise of the underwriters’ option to purchase up to an additional shares of Class A common stock.</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No Exercise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7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7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2840" w:type="dxa"/>
            <w:vAlign w:val="bottom"/>
          </w:tcPr>
          <w:p>
            <w:pPr>
              <w:jc w:val="right"/>
              <w:ind w:right="1870"/>
              <w:spacing w:after="0"/>
              <w:rPr>
                <w:sz w:val="20"/>
                <w:szCs w:val="20"/>
                <w:color w:val="auto"/>
              </w:rPr>
            </w:pPr>
            <w:r>
              <w:rPr>
                <w:rFonts w:ascii="Arial" w:cs="Arial" w:eastAsia="Arial" w:hAnsi="Arial"/>
                <w:sz w:val="18"/>
                <w:szCs w:val="18"/>
                <w:color w:val="auto"/>
              </w:rPr>
              <w:t>148</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or FINRA, up to $ .</w:t>
      </w:r>
    </w:p>
    <w:p>
      <w:pPr>
        <w:sectPr>
          <w:pgSz w:w="11900" w:h="16838" w:orient="portrait"/>
          <w:cols w:equalWidth="0" w:num="1">
            <w:col w:w="11080"/>
          </w:cols>
          <w:pgMar w:left="320" w:top="459" w:right="499" w:bottom="1440" w:gutter="0" w:footer="0" w:header="0"/>
        </w:sectPr>
      </w:pP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common stock offered by them.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Class A</w:t>
      </w:r>
    </w:p>
    <w:p>
      <w:pPr>
        <w:spacing w:after="0" w:line="463" w:lineRule="exact"/>
        <w:rPr>
          <w:sz w:val="20"/>
          <w:szCs w:val="20"/>
          <w:color w:val="auto"/>
        </w:rPr>
      </w:pPr>
    </w:p>
    <w:p>
      <w:pPr>
        <w:sectPr>
          <w:pgSz w:w="11900" w:h="16838" w:orient="portrait"/>
          <w:cols w:equalWidth="0" w:num="2">
            <w:col w:w="7720" w:space="220"/>
            <w:col w:w="3140"/>
          </w:cols>
          <w:pgMar w:left="320" w:top="459" w:right="49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We intend to apply to have our Class A common stock approved for listing on the NYSE under the trading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920" w:space="720"/>
            <w:col w:w="1440"/>
          </w:cols>
          <w:pgMar w:left="320" w:top="459" w:right="499" w:bottom="1440" w:gutter="0" w:footer="0" w:header="0"/>
          <w:type w:val="continuous"/>
        </w:sectPr>
      </w:pPr>
    </w:p>
    <w:p>
      <w:pPr>
        <w:spacing w:after="0" w:line="25"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150 days after the date of this prospectus, provided, that such restricted period will end ten business days prior to the scheduled closure of our trading window for the first full fiscal quarter completed after the date of this prospectus if</w:t>
      </w:r>
    </w:p>
    <w:p>
      <w:pPr>
        <w:spacing w:after="0" w:line="2" w:lineRule="exact"/>
        <w:rPr>
          <w:sz w:val="20"/>
          <w:szCs w:val="20"/>
          <w:color w:val="auto"/>
        </w:rPr>
      </w:pPr>
    </w:p>
    <w:p>
      <w:pPr>
        <w:ind w:left="120" w:right="140" w:hanging="4"/>
        <w:spacing w:after="0" w:line="260" w:lineRule="auto"/>
        <w:tabs>
          <w:tab w:leader="none" w:pos="4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90" w:lineRule="exact"/>
        <w:rPr>
          <w:rFonts w:ascii="Arial" w:cs="Arial" w:eastAsia="Arial" w:hAnsi="Arial"/>
          <w:sz w:val="18"/>
          <w:szCs w:val="18"/>
          <w:color w:val="auto"/>
        </w:rPr>
      </w:pPr>
    </w:p>
    <w:p>
      <w:pPr>
        <w:ind w:left="980" w:hanging="432"/>
        <w:spacing w:after="0" w:line="263"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980" w:right="400" w:hanging="432"/>
        <w:spacing w:after="0" w:line="277"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980" w:right="200" w:hanging="432"/>
        <w:spacing w:after="0" w:line="277"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restrictions in the immediately preceding paragraph do not apply to our directors, officers or other holders of our outstanding Class A common stock or other securities who are parties to the lock-up agreements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lock-up restrictions described above do not apply solely to us with respect to certain transactions.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Morgan Stanley &amp; Co. LLC, Goldman Sachs &amp; Co. LLC, Citigroup Global Markets Inc. and J.P. Morgan Securities LLC, in their sole discretion, may release the common stock and other securities subject to the lock-up agreements described above in whole or in part at any time.</w:t>
      </w:r>
    </w:p>
    <w:p>
      <w:pPr>
        <w:spacing w:after="0" w:line="12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underwriters also may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nor the underwriters can assure investors that an active trading market for the shares will develop, or that after the offering the shares will trade in the public market at or above the initial public offering price.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4" w:lineRule="exact"/>
        <w:rPr>
          <w:sz w:val="20"/>
          <w:szCs w:val="20"/>
          <w:color w:val="auto"/>
        </w:rPr>
      </w:pPr>
    </w:p>
    <w:p>
      <w:pPr>
        <w:ind w:left="980" w:hanging="432"/>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the U.K., this prospectus is only addressed to and directed at qualified investors who are: (i) investment professionals falling within Article 19(5) of the Financial Services and Markets Act 2000 (Financial Promotion) Order 2005 (the “Order”); or (ii) high-net-worth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6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for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balance sheet of BellRing Brands, Inc. as of March 20, 2019 included in this prospectus has been so included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such firm as experts in auditing and accounting.</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9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Post’s Active Nutrition business audited combined financial statements and the notes thereto for the years ended September 30, 2018 and 2017 and for each of the three fiscal years in the period ended September 30, 2018 certified by an independent public accounting firm.</w:t>
      </w:r>
    </w:p>
    <w:p>
      <w:pPr>
        <w:spacing w:after="0" w:line="188" w:lineRule="exact"/>
        <w:rPr>
          <w:sz w:val="20"/>
          <w:szCs w:val="20"/>
          <w:color w:val="auto"/>
        </w:rPr>
      </w:pPr>
    </w:p>
    <w:p>
      <w:pPr>
        <w:ind w:left="560"/>
        <w:spacing w:after="0"/>
        <w:tabs>
          <w:tab w:leader="none" w:pos="3940" w:val="left"/>
        </w:tabs>
        <w:rPr>
          <w:sz w:val="20"/>
          <w:szCs w:val="20"/>
          <w:color w:val="auto"/>
        </w:rPr>
      </w:pPr>
      <w:r>
        <w:rPr>
          <w:rFonts w:ascii="Arial" w:cs="Arial" w:eastAsia="Arial" w:hAnsi="Arial"/>
          <w:sz w:val="18"/>
          <w:szCs w:val="18"/>
          <w:color w:val="auto"/>
        </w:rPr>
        <w:t>We also maintain an internet website at</w:t>
      </w:r>
      <w:r>
        <w:rPr>
          <w:sz w:val="20"/>
          <w:szCs w:val="20"/>
          <w:color w:val="auto"/>
        </w:rPr>
        <w:tab/>
      </w:r>
      <w:r>
        <w:rPr>
          <w:rFonts w:ascii="Arial" w:cs="Arial" w:eastAsia="Arial" w:hAnsi="Arial"/>
          <w:sz w:val="16"/>
          <w:szCs w:val="16"/>
          <w:color w:val="auto"/>
        </w:rPr>
        <w:t>. Information on or accessible through our website is not part of this prospectus.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Balance Sheet as of March 20, 2019</w:t>
              </w:r>
            </w:hyperlink>
          </w:p>
        </w:tc>
        <w:tc>
          <w:tcPr>
            <w:tcW w:w="79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Combined Statements of Operations and Comprehensive Income</w:t>
              </w:r>
            </w:hyperlink>
          </w:p>
        </w:tc>
        <w:tc>
          <w:tcPr>
            <w:tcW w:w="58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Combined Balance Sheets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Combined Statements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Notes to Combined Financial Statements</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6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Three Months Ended December 31, 2018 and 2017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87">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88">
              <w:r>
                <w:rPr>
                  <w:rFonts w:ascii="Arial" w:cs="Arial" w:eastAsia="Arial" w:hAnsi="Arial"/>
                  <w:sz w:val="18"/>
                  <w:szCs w:val="18"/>
                  <w:color w:val="0000EE"/>
                </w:rPr>
                <w:t>Condensed Combined Balance Sheets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Condensed Combined Statements of Cash Flows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0">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1">
              <w:r>
                <w:rPr>
                  <w:rFonts w:ascii="Arial" w:cs="Arial" w:eastAsia="Arial" w:hAnsi="Arial"/>
                  <w:sz w:val="18"/>
                  <w:szCs w:val="18"/>
                  <w:color w:val="0000EE"/>
                </w:rPr>
                <w:t>Notes to Condensed Combined Financial Statements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6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audited the accompanying balance sheet of BellRing Brands, Inc. (the “Company”) as of March 20, 2019, including the related notes (collectively referred to as the “financial statement”). In our opinion, the financial statement presents fairly, in all material respects, the financial position of the Company as of March 20, 2019 in conformity with accounting principles generally accepted in the United States of America.</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20,</w:t>
            </w:r>
          </w:p>
        </w:tc>
      </w:tr>
      <w:tr>
        <w:trPr>
          <w:trHeight w:val="171"/>
        </w:trPr>
        <w:tc>
          <w:tcPr>
            <w:tcW w:w="862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BellRing Brands, Inc. (the “Corporation”) was formed as a Delaware corporation in 2019 for the purpose of completing a public offering and related transactions in order to carry on the Active Nutrition business of Post Holdings, Inc.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20"/>
          </w:cols>
          <w:pgMar w:left="320" w:top="459" w:right="6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8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574.7</w:t>
            </w:r>
          </w:p>
        </w:tc>
        <w:tc>
          <w:tcPr>
            <w:tcW w:w="6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395.5</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179.2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135.1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119.8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9580" w:type="dxa"/>
            <w:vAlign w:val="bottom"/>
            <w:shd w:val="clear" w:color="auto" w:fill="CCEEFF"/>
          </w:tcPr>
          <w:p>
            <w:pPr>
              <w:ind w:left="51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165.8</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341.5</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453.1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485.4</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484.4</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Parent Company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Non-cash allocated expense from parent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Other 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prepaid expenses and other current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Increase in other assets</w:t>
            </w: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Increase (decrease) in non-current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(133.0)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874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(133.0)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36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Investment</w:t>
            </w:r>
          </w:p>
        </w:tc>
        <w:tc>
          <w:tcPr>
            <w:tcW w:w="42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5"/>
              </w:rPr>
              <w:t>Loss</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96.1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will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The total net effect of the settlement of these intercompany transactions is reflected in the Combined Statements of Cash Flows as a financing activity and on the Combined Balance Sheets as “Net parent investment.”</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Use of Estimates and Allocations</w:t>
      </w:r>
      <w:r>
        <w:rPr>
          <w:rFonts w:ascii="Arial" w:cs="Arial" w:eastAsia="Arial" w:hAnsi="Arial"/>
          <w:sz w:val="16"/>
          <w:szCs w:val="16"/>
          <w:color w:val="auto"/>
        </w:rPr>
        <w:t>—The combined financial statements of the Company are prepared in conformity with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6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5"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September 30,</w:t>
            </w:r>
          </w:p>
        </w:tc>
      </w:tr>
      <w:tr>
        <w:trPr>
          <w:trHeight w:val="142"/>
        </w:trPr>
        <w:tc>
          <w:tcPr>
            <w:tcW w:w="96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09"/>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r>
      <w:tr>
        <w:trPr>
          <w:trHeight w:val="223"/>
        </w:trPr>
        <w:tc>
          <w:tcPr>
            <w:tcW w:w="9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9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left="294"/>
              <w:spacing w:after="0"/>
              <w:rPr>
                <w:sz w:val="20"/>
                <w:szCs w:val="20"/>
                <w:color w:val="auto"/>
              </w:rPr>
            </w:pPr>
            <w:r>
              <w:rPr>
                <w:rFonts w:ascii="Arial" w:cs="Arial" w:eastAsia="Arial" w:hAnsi="Arial"/>
                <w:sz w:val="14"/>
                <w:szCs w:val="14"/>
                <w:b w:val="1"/>
                <w:bCs w:val="1"/>
                <w:color w:val="auto"/>
                <w:w w:val="91"/>
              </w:rPr>
              <w:t>September 30, 2018</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tcBorders>
              <w:top w:val="single" w:sz="8" w:color="auto"/>
            </w:tcBorders>
            <w:gridSpan w:val="3"/>
          </w:tcPr>
          <w:p>
            <w:pPr>
              <w:jc w:val="center"/>
              <w:ind w:right="241"/>
              <w:spacing w:after="0" w:line="119" w:lineRule="exact"/>
              <w:rPr>
                <w:sz w:val="20"/>
                <w:szCs w:val="20"/>
                <w:color w:val="auto"/>
              </w:rPr>
            </w:pPr>
            <w:r>
              <w:rPr>
                <w:rFonts w:ascii="Arial" w:cs="Arial" w:eastAsia="Arial" w:hAnsi="Arial"/>
                <w:sz w:val="13"/>
                <w:szCs w:val="13"/>
                <w:b w:val="1"/>
                <w:bCs w:val="1"/>
                <w:color w:val="auto"/>
                <w:w w:val="97"/>
              </w:rPr>
              <w:t>Accum.</w:t>
            </w:r>
          </w:p>
        </w:tc>
        <w:tc>
          <w:tcPr>
            <w:tcW w:w="50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7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21"/>
              <w:spacing w:after="0" w:line="119" w:lineRule="exact"/>
              <w:rPr>
                <w:sz w:val="20"/>
                <w:szCs w:val="20"/>
                <w:color w:val="auto"/>
              </w:rPr>
            </w:pPr>
            <w:r>
              <w:rPr>
                <w:rFonts w:ascii="Arial" w:cs="Arial" w:eastAsia="Arial" w:hAnsi="Arial"/>
                <w:sz w:val="13"/>
                <w:szCs w:val="13"/>
                <w:b w:val="1"/>
                <w:bCs w:val="1"/>
                <w:color w:val="auto"/>
                <w:w w:val="97"/>
              </w:rPr>
              <w:t>Accum.</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97"/>
              </w:rPr>
              <w:t>Amort.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7"/>
              </w:rPr>
              <w:t>Amort.</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Amount</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8"/>
                <w:szCs w:val="18"/>
                <w:color w:val="auto"/>
              </w:rPr>
              <w:t>(50.1)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213.4</w:t>
            </w: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(39.3)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174.1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23"/>
        </w:trPr>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6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120"/>
          </w:cols>
          <w:pgMar w:left="320" w:top="459" w:right="459" w:bottom="1440" w:gutter="0" w:footer="0" w:header="0"/>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Charge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Cash payments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expected restructuring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Cumulative incurred to date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8" w:hanging="168"/>
        <w:spacing w:after="0"/>
        <w:tabs>
          <w:tab w:leader="none" w:pos="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08"/>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08"/>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0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9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9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43" w:lineRule="exact"/>
        <w:rPr>
          <w:sz w:val="20"/>
          <w:szCs w:val="20"/>
          <w:color w:val="auto"/>
        </w:rPr>
      </w:pPr>
    </w:p>
    <w:p>
      <w:pPr>
        <w:ind w:left="168" w:hanging="168"/>
        <w:spacing w:after="0"/>
        <w:tabs>
          <w:tab w:leader="none" w:pos="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68"/>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9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9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12" w:space="720"/>
            <w:col w:w="488"/>
          </w:cols>
          <w:pgMar w:left="320" w:top="459" w:right="459" w:bottom="1440" w:gutter="0" w:footer="0" w:header="0"/>
          <w:type w:val="continuous"/>
        </w:sectPr>
      </w:pP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00" w:type="dxa"/>
            <w:vAlign w:val="bottom"/>
          </w:tcPr>
          <w:p>
            <w:pPr>
              <w:ind w:left="44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Goodwill (gross)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180.7</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180.7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r>
      <w:tr>
        <w:trPr>
          <w:trHeight w:val="27"/>
        </w:trPr>
        <w:tc>
          <w:tcPr>
            <w:tcW w:w="8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0"/>
        </w:trPr>
        <w:tc>
          <w:tcPr>
            <w:tcW w:w="8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100" w:type="dxa"/>
            <w:vAlign w:val="bottom"/>
            <w:tcBorders>
              <w:bottom w:val="single" w:sz="8" w:color="CCEEFF"/>
            </w:tcBorders>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right="240" w:hanging="424"/>
        <w:spacing w:after="0" w:line="263"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3.1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1"/>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0.4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(21.0)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 deferred taxes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9780" w:type="dxa"/>
            <w:vAlign w:val="bottom"/>
            <w:gridSpan w:val="2"/>
          </w:tcPr>
          <w:p>
            <w:pPr>
              <w:ind w:left="440"/>
              <w:spacing w:after="0"/>
              <w:rPr>
                <w:sz w:val="20"/>
                <w:szCs w:val="20"/>
                <w:color w:val="auto"/>
              </w:rPr>
            </w:pPr>
            <w:r>
              <w:rPr>
                <w:rFonts w:ascii="Arial" w:cs="Arial" w:eastAsia="Arial" w:hAnsi="Arial"/>
                <w:sz w:val="18"/>
                <w:szCs w:val="18"/>
                <w:color w:val="auto"/>
                <w:w w:val="97"/>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$ 0.6</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$ 0.5</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300" w:firstLine="440"/>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1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6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0.6</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Rent expense</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7"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46"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$84.9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$62.5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Raw materials and supplies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$24.9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products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$56.9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$46.2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cash overdrafts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48.4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legal settlements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8.8</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promotion</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Income and other taxes payable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0.3</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Balance, end of year</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administrative costs, including stock-based compensation expense, as well as costs related to the finance, information technology, legal, human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resources, quality and purchasing functions. Costs for these functions and services performed by Post have been allocated to the Company based 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 Allocated costs were $4.6, $4.4 and $3.6 for the years ended September 30, 2018, 2017 and 2016, respectively, and are included in “Selling,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general and administrative expenses” in the Combined Statements of Operations and Comprehensive Income. All allocated costs are included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net parent investment” within financing activities on the Combined Statements of Cash Flows. It is not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position, results of operations or cash flows of the Company.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employees currently participate in Post’s 2012 Long-Term Incentive Plan (the “2012 Plan”) and Post’s 2016 Long-Term Incentive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(the “2016 Plan”). The following disclosures reflect the details of Post’s stock-based compensation plans and are not reflective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stock-based compensation subsequent to the initial public offering of BellRing Brands, Inc. common stock. On February 3, 2012, Post established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2012 Plan, which permitted the issuance of various stock-based compensation awards of up to 6.5 million shares of Post’s common stock.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28, 2016, Post established the 2016 Plan, which permitted the issuance of stock-based compensation awards of up to 2.4 million shares of Post’s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which includes shares remaining to be issued under the 2012 Plan which were transfered to the 2016 Plan upon its establishment.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Awards issued under the 2012 Plan and 2016 Plan have a maximum term of 10 years, provided, however, that the corporate governance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committee of Post’s board of directors may, in its discretion, grant awards with a longer term to participants who are located outside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4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0"/>
              </w:rPr>
              <w:t>Stock Options</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Term in Years</w:t>
            </w:r>
          </w:p>
        </w:tc>
        <w:tc>
          <w:tcPr>
            <w:tcW w:w="2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248,206</w:t>
            </w:r>
          </w:p>
        </w:tc>
        <w:tc>
          <w:tcPr>
            <w:tcW w:w="5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80.04</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(128,999)</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45.12</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(6,667)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71.32</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47.32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  218.6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47.32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43.67</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5.24</w:t>
            </w: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dividends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$28.52</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$24.80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$20.22</w:t>
            </w:r>
          </w:p>
        </w:tc>
      </w:tr>
    </w:tbl>
    <w:p>
      <w:pPr>
        <w:spacing w:after="0" w:line="202"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Restricted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5820" w:type="dxa"/>
            <w:vAlign w:val="bottom"/>
            <w:gridSpan w:val="3"/>
          </w:tcPr>
          <w:p>
            <w:pPr>
              <w:jc w:val="right"/>
              <w:ind w:right="340"/>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5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(213,824)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47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(52,673)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7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5820" w:type="dxa"/>
            <w:vAlign w:val="bottom"/>
            <w:gridSpan w:val="3"/>
          </w:tcPr>
          <w:p>
            <w:pPr>
              <w:jc w:val="right"/>
              <w:ind w:right="4080"/>
              <w:spacing w:after="0"/>
              <w:rPr>
                <w:sz w:val="20"/>
                <w:szCs w:val="20"/>
                <w:color w:val="auto"/>
              </w:rPr>
            </w:pPr>
            <w:r>
              <w:rPr>
                <w:rFonts w:ascii="Arial" w:cs="Arial" w:eastAsia="Arial" w:hAnsi="Arial"/>
                <w:sz w:val="18"/>
                <w:szCs w:val="18"/>
                <w:color w:val="auto"/>
              </w:rPr>
              <w:t>F-22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Cash Settled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4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Stock Units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(1,330)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20" w:type="dxa"/>
            <w:vAlign w:val="bottom"/>
            <w:gridSpan w:val="7"/>
          </w:tcPr>
          <w:p>
            <w:pPr>
              <w:ind w:left="3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5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Powders</w:t>
            </w:r>
          </w:p>
        </w:tc>
        <w:tc>
          <w:tcPr>
            <w:tcW w:w="6060" w:type="dxa"/>
            <w:vAlign w:val="bottom"/>
            <w:gridSpan w:val="3"/>
          </w:tcPr>
          <w:p>
            <w:pPr>
              <w:jc w:val="right"/>
              <w:ind w:right="380"/>
              <w:spacing w:after="0"/>
              <w:rPr>
                <w:sz w:val="20"/>
                <w:szCs w:val="20"/>
                <w:color w:val="auto"/>
              </w:rPr>
            </w:pPr>
            <w:r>
              <w:rPr>
                <w:rFonts w:ascii="Arial" w:cs="Arial" w:eastAsia="Arial" w:hAnsi="Arial"/>
                <w:sz w:val="18"/>
                <w:szCs w:val="18"/>
                <w:color w:val="auto"/>
              </w:rPr>
              <w:t>114.9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116.9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126.3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6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5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14.9</w:t>
            </w:r>
          </w:p>
        </w:tc>
      </w:tr>
      <w:tr>
        <w:trPr>
          <w:trHeight w:val="27"/>
        </w:trPr>
        <w:tc>
          <w:tcPr>
            <w:tcW w:w="35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827.5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713.2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r>
      <w:tr>
        <w:trPr>
          <w:trHeight w:val="20"/>
        </w:trPr>
        <w:tc>
          <w:tcPr>
            <w:tcW w:w="35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6060" w:type="dxa"/>
            <w:vAlign w:val="bottom"/>
            <w:gridSpan w:val="3"/>
          </w:tcPr>
          <w:p>
            <w:pPr>
              <w:jc w:val="right"/>
              <w:ind w:right="3900"/>
              <w:spacing w:after="0"/>
              <w:rPr>
                <w:sz w:val="20"/>
                <w:szCs w:val="20"/>
                <w:color w:val="auto"/>
              </w:rPr>
            </w:pPr>
            <w:r>
              <w:rPr>
                <w:rFonts w:ascii="Arial" w:cs="Arial" w:eastAsia="Arial" w:hAnsi="Arial"/>
                <w:sz w:val="18"/>
                <w:szCs w:val="18"/>
                <w:color w:val="auto"/>
              </w:rPr>
              <w:t>F-24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186.0</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122.6</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7120" w:type="dxa"/>
            <w:vAlign w:val="bottom"/>
            <w:shd w:val="clear" w:color="auto" w:fill="CCEEFF"/>
          </w:tcPr>
          <w:p>
            <w:pPr>
              <w:ind w:left="3500"/>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77.2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7"/>
        </w:trPr>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Property,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318.7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12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LIABILITIES AND PARENT COMPANY EQUITY</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r>
      <w:tr>
        <w:trPr>
          <w:trHeight w:val="27"/>
        </w:trPr>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474.2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453.1</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Parent Company Equity</w:t>
            </w:r>
          </w:p>
        </w:tc>
        <w:tc>
          <w:tcPr>
            <w:tcW w:w="1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Parent Company Equity</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560.4</w:t>
            </w:r>
          </w:p>
        </w:tc>
      </w:tr>
      <w:tr>
        <w:trPr>
          <w:trHeight w:val="20"/>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Three Months Ended</w:t>
      </w:r>
    </w:p>
    <w:p>
      <w:pPr>
        <w:jc w:val="center"/>
        <w:ind w:left="9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0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Earnings</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allocated expense from parent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changes in operating assets and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receivables,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Increase in inventories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current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Decrease in other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Increase in non-current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36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Investment</w:t>
            </w:r>
          </w:p>
        </w:tc>
        <w:tc>
          <w:tcPr>
            <w:tcW w:w="42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net parent investment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2018</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474.2</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Active Nutrition business of Post (herein referred to as “Active Nutrition” or “the Company” )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The total net effect of the settlement of these intercompany transactions is reflected in the Condensed Combined Statements of Cash Flows as a financing activity and on the Condensed Combined Balance Sheets as “Net parent investment.”</w:t>
      </w:r>
    </w:p>
    <w:p>
      <w:pPr>
        <w:spacing w:after="0" w:line="171" w:lineRule="exact"/>
        <w:rPr>
          <w:sz w:val="20"/>
          <w:szCs w:val="20"/>
          <w:color w:val="auto"/>
        </w:rPr>
      </w:pPr>
    </w:p>
    <w:p>
      <w:pPr>
        <w:ind w:left="120" w:right="600" w:firstLine="440"/>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and cash flows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2—Recently Adopted Accounting Standards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results of operations, financial positions, cash flows or parent company equity based on current information.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ASU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to provide expanded disclosures to present additional information related to its leasing arrangements.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immaterial amounts within the statement of operations and comprehensive income. For additional information, refer to Note 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Many of the Company’s contracts with customers include some form of variable consideration. The most common forms of variable consideration are trade promotions, rebates and discounts. Variable consideration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 of variable consideration are resolved in a short time frame and do not require any additional constraint on variable consideration.</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used the modified retrospective transition method of adoption. For the three months ended December 31, 2018, the Company elected the following practical expedients in accordance with ASC Topic 606:</w:t>
      </w:r>
    </w:p>
    <w:p>
      <w:pPr>
        <w:spacing w:after="0" w:line="76" w:lineRule="exact"/>
        <w:rPr>
          <w:sz w:val="20"/>
          <w:szCs w:val="20"/>
          <w:color w:val="auto"/>
        </w:rPr>
      </w:pPr>
    </w:p>
    <w:p>
      <w:pPr>
        <w:ind w:left="980" w:right="180" w:hanging="432"/>
        <w:spacing w:after="0" w:line="263"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9"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a promised service.</w:t>
      </w:r>
    </w:p>
    <w:p>
      <w:pPr>
        <w:spacing w:after="0" w:line="75" w:lineRule="exact"/>
        <w:rPr>
          <w:rFonts w:ascii="Arial" w:cs="Arial" w:eastAsia="Arial" w:hAnsi="Arial"/>
          <w:sz w:val="18"/>
          <w:szCs w:val="18"/>
          <w:color w:val="auto"/>
        </w:rPr>
      </w:pPr>
    </w:p>
    <w:p>
      <w:pPr>
        <w:ind w:left="980" w:right="440" w:hanging="432"/>
        <w:spacing w:after="0" w:line="263"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$1.1 previously classified in “Selling, general, and administrative expenses” were classified as “Net Sales” in the Condensed Combined Statement of Operations and Comprehensive Income for the three months ended December 31, 2018.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6"/>
              </w:rPr>
              <w:t>Three Months Ended December 31, 2018</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Reported</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Reported</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Impact of</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 Topic</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 Prior</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rPr>
              <w:t>606</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Guidance</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340" w:type="dxa"/>
            <w:vAlign w:val="bottom"/>
            <w:gridSpan w:val="2"/>
          </w:tcPr>
          <w:p>
            <w:pPr>
              <w:ind w:left="108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following table presents net sales by product. The amounts for the three months ended December 31, 2018 and December 31, 2017 are presented under ASC Topic 606 “Revenue from Contracts with Customers” and ASC Topic 605 “Revenue Recognition,” respectively.</w:t>
      </w:r>
    </w:p>
    <w:p>
      <w:pPr>
        <w:spacing w:after="0" w:line="14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jc w:val="center"/>
        <w:ind w:left="9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130.8</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Powders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5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Sales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185.8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186.0</w:t>
            </w:r>
          </w:p>
        </w:tc>
      </w:tr>
      <w:tr>
        <w:trPr>
          <w:trHeight w:val="20"/>
        </w:trPr>
        <w:tc>
          <w:tcPr>
            <w:tcW w:w="5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effective income tax rate was 23.7% for the three months ended December 31, 2018. In accordance with ASC Topic 740, “Income Taxes,” the Company records income tax expense (benefit) for interim periods using the estimated annual effective income tax rate for the full fiscal year adjusted for the impact of discrete items occurring during the interim periods.</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the three months ended December 31, 2017, the Company recorded an income tax benefit of $4.3, resulting in an effective income tax rate of (22.9)%. This benefit was driven by the Tax Cuts and Jobs Act (the “Tax Act”), which was enacted on December 22, 2017. The Tax Act resulted in significant impacts to the Company’s accounting for income taxes with the most significant of these impacts resulting from the reduction of the United States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fiscal 2019 tax year and was prorated with the pre-December 22, 2017 U.S. federal corporate income tax rate of 35% for the Company’s fiscal 2018 tax year. This proration resulted in a blended U.S. federal corporate income tax rate of 24.5% for fiscal 2018. During the three months ended December 31, 2017, the Company (i) remeasured its existing deferred tax assets and liabilities considering both the fiscal 2018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366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22.8</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23"/>
        </w:trPr>
        <w:tc>
          <w:tcPr>
            <w:tcW w:w="36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79.6</w:t>
            </w: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4840" w:type="dxa"/>
            <w:vAlign w:val="bottom"/>
            <w:gridSpan w:val="2"/>
          </w:tcPr>
          <w:p>
            <w:pPr>
              <w:ind w:left="168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6—Property, Net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Note 7—Intangible Assets, Net</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ind w:left="440"/>
              <w:spacing w:after="0"/>
              <w:rPr>
                <w:sz w:val="20"/>
                <w:szCs w:val="20"/>
                <w:color w:val="auto"/>
              </w:rPr>
            </w:pPr>
            <w:r>
              <w:rPr>
                <w:rFonts w:ascii="Arial" w:cs="Arial" w:eastAsia="Arial" w:hAnsi="Arial"/>
                <w:sz w:val="18"/>
                <w:szCs w:val="18"/>
                <w:color w:val="auto"/>
                <w:w w:val="99"/>
              </w:rPr>
              <w:t>Total intangible assets subject to amortization are as follows: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 2018</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360" w:type="dxa"/>
            <w:vAlign w:val="bottom"/>
          </w:tcPr>
          <w:p>
            <w:pPr>
              <w:spacing w:after="0"/>
              <w:rPr>
                <w:sz w:val="10"/>
                <w:szCs w:val="10"/>
                <w:color w:val="auto"/>
              </w:rPr>
            </w:pP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4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209.4</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(56.8)</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$152.6</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w w:val="89"/>
              </w:rPr>
              <w:t>$ 209.4</w:t>
            </w:r>
          </w:p>
        </w:tc>
        <w:tc>
          <w:tcPr>
            <w:tcW w:w="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(54.0)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Trademarks/brands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3"/>
              </w:rPr>
              <w:t>213.4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(50.1)</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425.9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313.2</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89"/>
              </w:rPr>
              <w:t>$ 425.9</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(107.2)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 costs, including stock-based compensation expense, as well as costs related to the finance, information technology, legal, human resources, quality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$2.4 and $1.0 for the three months ended December 31, 2018 and 2017, respectively, and are included in “Selling, general and administrative expenses” in the Condensed Combined Statements of Operations and Comprehensive Income. Allocated costs include $1.2 of costs related to the separation of the Company from Post for the three months ended December 31, 2018. All allocated costs are included in “Change in net parent investment” within financing activities on the Condensed Combined Statements of Cash Flows. It is not practicable to determine the actual expenses that would have been incurred for these services had the Company operated as a separate entity. Actual costs that would have been incurred had the Company operated as a separate public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In March 2013, a complaint was filed on behalf of a putative, nationwide class of consumers against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At both December 31, 2018 and September 30, 2018, the Company had accrued $8.5 related to this matter that was included in “Other current liabilities” on the Condensed Combined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position, results of operations or cash flows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Goldman Sachs &amp; Co. LLC</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J.P. Morgan</w:t>
      </w:r>
    </w:p>
    <w:p>
      <w:pPr>
        <w:spacing w:after="0" w:line="200" w:lineRule="exact"/>
        <w:rPr>
          <w:sz w:val="20"/>
          <w:szCs w:val="20"/>
          <w:color w:val="auto"/>
        </w:rPr>
      </w:pPr>
    </w:p>
    <w:p>
      <w:pPr>
        <w:spacing w:after="0" w:line="35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120" w:right="4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9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10220" w:type="dxa"/>
            <w:vAlign w:val="bottom"/>
            <w:gridSpan w:val="2"/>
          </w:tcPr>
          <w:p>
            <w:pPr>
              <w:spacing w:after="0"/>
              <w:rPr>
                <w:sz w:val="20"/>
                <w:szCs w:val="20"/>
                <w:color w:val="auto"/>
              </w:rPr>
            </w:pPr>
            <w:r>
              <w:rPr>
                <w:rFonts w:ascii="Arial" w:cs="Arial" w:eastAsia="Arial" w:hAnsi="Arial"/>
                <w:sz w:val="18"/>
                <w:szCs w:val="18"/>
                <w:color w:val="auto"/>
              </w:rPr>
              <w:t>*  To be furnished by amendment.</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Upon our formation as a Delaware corporation, we issued 1,000 shares of common stock to Post Holdings, Inc.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shares of our Class B common stock to Post Holdings, Inc., also under an exemption from registration provided by Section 4(a)(2) of the Securities Act. No underwriters will be involved in these transactions.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540" w:right="100" w:hanging="424"/>
        <w:spacing w:after="0" w:line="342"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9" w:lineRule="exact"/>
        <w:rPr>
          <w:rFonts w:ascii="Arial" w:cs="Arial" w:eastAsia="Arial" w:hAnsi="Arial"/>
          <w:sz w:val="16"/>
          <w:szCs w:val="16"/>
          <w:color w:val="auto"/>
        </w:rPr>
      </w:pPr>
    </w:p>
    <w:p>
      <w:pPr>
        <w:ind w:left="540" w:hanging="424"/>
        <w:spacing w:after="0" w:line="271"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rFonts w:ascii="Arial" w:cs="Arial" w:eastAsia="Arial" w:hAnsi="Arial"/>
          <w:sz w:val="17"/>
          <w:szCs w:val="17"/>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980" w:right="80" w:hanging="318"/>
        <w:spacing w:after="0" w:line="259"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92" w:lineRule="exact"/>
        <w:rPr>
          <w:rFonts w:ascii="Arial" w:cs="Arial" w:eastAsia="Arial" w:hAnsi="Arial"/>
          <w:sz w:val="18"/>
          <w:szCs w:val="18"/>
          <w:color w:val="auto"/>
        </w:rPr>
      </w:pPr>
    </w:p>
    <w:p>
      <w:pPr>
        <w:ind w:left="980" w:right="40" w:hanging="318"/>
        <w:spacing w:after="0" w:line="263"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rFonts w:ascii="Arial" w:cs="Arial" w:eastAsia="Arial" w:hAnsi="Arial"/>
          <w:sz w:val="18"/>
          <w:szCs w:val="18"/>
          <w:color w:val="auto"/>
        </w:rPr>
      </w:pPr>
    </w:p>
    <w:p>
      <w:pPr>
        <w:ind w:left="5600" w:hanging="156"/>
        <w:spacing w:after="0"/>
        <w:tabs>
          <w:tab w:leader="none" w:pos="56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8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tcPr>
          <w:p>
            <w:pPr>
              <w:spacing w:after="0"/>
              <w:rPr>
                <w:sz w:val="24"/>
                <w:szCs w:val="24"/>
                <w:color w:val="auto"/>
              </w:rPr>
            </w:pPr>
          </w:p>
        </w:tc>
      </w:tr>
      <w:tr>
        <w:trPr>
          <w:trHeight w:val="318"/>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Certificate of Incorporation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Bylaws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Class A Common Stock Certificate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Class B Common Stock Certificate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Opinion of Lewis Rice LLC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Master Transaction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Employee Matters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10.3*</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Exchange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10.4*</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Investor Rights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10.5*</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w w:val="92"/>
              </w:rPr>
              <w:t>Form of Amended and Restated Limited Liability Company Agreement of BellRing Brands, LLC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10.6*</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Tax Matters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10.7*</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Tax Receivable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10.8*</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Transition Services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21.1*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Subsidiaries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 of Lewis Rice LLC (contained in Exhibit 5.1)</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24.1*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Powers of Attorney</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99.1*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Consents of Director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139"/>
          </w:cols>
          <w:pgMar w:left="320" w:top="459" w:right="144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w:t>
            </w:r>
          </w:p>
        </w:tc>
        <w:tc>
          <w:tcPr>
            <w:tcW w:w="1600" w:type="dxa"/>
            <w:vAlign w:val="bottom"/>
          </w:tcPr>
          <w:p>
            <w:pPr>
              <w:ind w:left="560"/>
              <w:spacing w:after="0"/>
              <w:rPr>
                <w:sz w:val="20"/>
                <w:szCs w:val="20"/>
                <w:color w:val="auto"/>
              </w:rPr>
            </w:pPr>
            <w:r>
              <w:rPr>
                <w:rFonts w:ascii="Arial" w:cs="Arial" w:eastAsia="Arial" w:hAnsi="Arial"/>
                <w:sz w:val="18"/>
                <w:szCs w:val="18"/>
                <w:color w:val="auto"/>
              </w:rPr>
              <w:t>, State of</w:t>
            </w:r>
          </w:p>
        </w:tc>
        <w:tc>
          <w:tcPr>
            <w:tcW w:w="680" w:type="dxa"/>
            <w:vAlign w:val="bottom"/>
          </w:tcPr>
          <w:p>
            <w:pPr>
              <w:ind w:left="380"/>
              <w:spacing w:after="0"/>
              <w:rPr>
                <w:sz w:val="20"/>
                <w:szCs w:val="20"/>
                <w:color w:val="auto"/>
              </w:rPr>
            </w:pPr>
            <w:r>
              <w:rPr>
                <w:rFonts w:ascii="Arial" w:cs="Arial" w:eastAsia="Arial" w:hAnsi="Arial"/>
                <w:sz w:val="18"/>
                <w:szCs w:val="18"/>
                <w:color w:val="auto"/>
                <w:w w:val="93"/>
              </w:rPr>
              <w:t>, on</w:t>
            </w: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 2019.</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BellRing Brands, Inc.</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4280" w:type="dxa"/>
            <w:vAlign w:val="bottom"/>
          </w:tcPr>
          <w:p>
            <w:pPr>
              <w:spacing w:after="0"/>
              <w:rPr>
                <w:sz w:val="24"/>
                <w:szCs w:val="24"/>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b w:val="1"/>
                <w:bCs w:val="1"/>
                <w:color w:val="auto"/>
              </w:rPr>
              <w:t>POWER OF ATTORNEY</w:t>
            </w:r>
          </w:p>
        </w:tc>
        <w:tc>
          <w:tcPr>
            <w:tcW w:w="4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432"/>
        </w:trPr>
        <w:tc>
          <w:tcPr>
            <w:tcW w:w="8960" w:type="dxa"/>
            <w:vAlign w:val="bottom"/>
            <w:gridSpan w:val="5"/>
          </w:tcPr>
          <w:p>
            <w:pPr>
              <w:jc w:val="right"/>
              <w:ind w:right="400"/>
              <w:spacing w:after="0"/>
              <w:rPr>
                <w:sz w:val="20"/>
                <w:szCs w:val="20"/>
                <w:color w:val="auto"/>
              </w:rPr>
            </w:pPr>
            <w:r>
              <w:rPr>
                <w:rFonts w:ascii="Arial" w:cs="Arial" w:eastAsia="Arial" w:hAnsi="Arial"/>
                <w:sz w:val="18"/>
                <w:szCs w:val="18"/>
                <w:color w:val="auto"/>
                <w:w w:val="95"/>
              </w:rPr>
              <w:t>Each of the undersigned officers and directors of BellRing Brands, Inc. hereby severally constitutes and appoints</w:t>
            </w:r>
          </w:p>
        </w:tc>
        <w:tc>
          <w:tcPr>
            <w:tcW w:w="1060" w:type="dxa"/>
            <w:vAlign w:val="bottom"/>
          </w:tcPr>
          <w:p>
            <w:pPr>
              <w:ind w:left="420"/>
              <w:spacing w:after="0"/>
              <w:rPr>
                <w:sz w:val="20"/>
                <w:szCs w:val="20"/>
                <w:color w:val="auto"/>
              </w:rPr>
            </w:pPr>
            <w:r>
              <w:rPr>
                <w:rFonts w:ascii="Arial" w:cs="Arial" w:eastAsia="Arial" w:hAnsi="Arial"/>
                <w:sz w:val="18"/>
                <w:szCs w:val="18"/>
                <w:color w:val="auto"/>
              </w:rPr>
              <w:t>and</w:t>
            </w:r>
          </w:p>
        </w:tc>
        <w:tc>
          <w:tcPr>
            <w:tcW w:w="1000" w:type="dxa"/>
            <w:vAlign w:val="bottom"/>
          </w:tcPr>
          <w:p>
            <w:pPr>
              <w:ind w:left="380"/>
              <w:spacing w:after="0"/>
              <w:rPr>
                <w:sz w:val="20"/>
                <w:szCs w:val="20"/>
                <w:color w:val="auto"/>
              </w:rPr>
            </w:pPr>
            <w:r>
              <w:rPr>
                <w:rFonts w:ascii="Arial" w:cs="Arial" w:eastAsia="Arial" w:hAnsi="Arial"/>
                <w:sz w:val="18"/>
                <w:szCs w:val="18"/>
                <w:color w:val="auto"/>
              </w:rPr>
              <w:t>, and</w:t>
            </w:r>
          </w:p>
        </w:tc>
      </w:tr>
    </w:tbl>
    <w:p>
      <w:pPr>
        <w:ind w:left="120" w:right="20"/>
        <w:spacing w:after="0" w:line="269" w:lineRule="auto"/>
        <w:rPr>
          <w:sz w:val="20"/>
          <w:szCs w:val="20"/>
          <w:color w:val="auto"/>
        </w:rPr>
      </w:pPr>
      <w:r>
        <w:rPr>
          <w:rFonts w:ascii="Arial" w:cs="Arial" w:eastAsia="Arial" w:hAnsi="Arial"/>
          <w:sz w:val="17"/>
          <w:szCs w:val="17"/>
          <w:color w:val="auto"/>
        </w:rPr>
        <w:t>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8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r>
      <w:tr>
        <w:trPr>
          <w:trHeight w:val="426"/>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372"/>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II - 4</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lowerRoman"/>
      <w:start w:val="5"/>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1)"/>
      <w:numFmt w:val="lowerLetter"/>
      <w:start w:val="3"/>
    </w:lvl>
  </w:abstractNum>
  <w:abstractNum w:abstractNumId="27">
    <w:nsid w:val="100F8FCA"/>
    <w:multiLevelType w:val="hybridMultilevel"/>
    <w:lvl w:ilvl="0">
      <w:lvlJc w:val="left"/>
      <w:lvlText w:val="(%1)"/>
      <w:numFmt w:val="lowerLetter"/>
      <w:start w:val="3"/>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lowerLetter"/>
      <w:start w:val="2"/>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1."/>
      <w:numFmt w:val="lowerLetter"/>
      <w:start w:val="1"/>
    </w:lvl>
  </w:abstractNum>
  <w:abstractNum w:abstractNumId="41">
    <w:nsid w:val="51D9C564"/>
    <w:multiLevelType w:val="hybridMultilevel"/>
    <w:lvl w:ilvl="0">
      <w:lvlJc w:val="left"/>
      <w:lvlText w:val="(%1)"/>
      <w:numFmt w:val="lowerRoman"/>
      <w:start w:val="2"/>
    </w:lvl>
  </w:abstractNum>
  <w:abstractNum w:abstractNumId="42">
    <w:nsid w:val="613EFDC5"/>
    <w:multiLevelType w:val="hybridMultilevel"/>
    <w:lvl w:ilvl="0">
      <w:lvlJc w:val="left"/>
      <w:lvlText w:val="%1."/>
      <w:numFmt w:val="lowerLetter"/>
      <w:start w:val="8"/>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lowerRoman"/>
      <w:start w:val="3"/>
    </w:lvl>
  </w:abstractNum>
  <w:abstractNum w:abstractNumId="45">
    <w:nsid w:val="42963E5A"/>
    <w:multiLevelType w:val="hybridMultilevel"/>
    <w:lvl w:ilvl="0">
      <w:lvlJc w:val="left"/>
      <w:lvlText w:val="(%1)"/>
      <w:numFmt w:val="lowerLetter"/>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lvl w:ilvl="1">
      <w:lvlJc w:val="left"/>
      <w:lvlText w:val="(%2)"/>
      <w:numFmt w:val="lowerLetter"/>
      <w:start w:val="2"/>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decimal"/>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lowerRoman"/>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lvl w:ilvl="1">
      <w:lvlJc w:val="left"/>
      <w:lvlText w:val="("/>
      <w:numFmt w:val="bullet"/>
      <w:start w:val="1"/>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ldblquote"/>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1)"/>
      <w:numFmt w:val="lowerLetter"/>
      <w:start w:val="25"/>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1)"/>
      <w:numFmt w:val="lowerLetter"/>
      <w:start w:val="2"/>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1)"/>
      <w:numFmt w:val="upperLetter"/>
      <w:start w:val="1"/>
    </w:lvl>
    <w:lvl w:ilvl="1">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Letter"/>
      <w:start w:val="1"/>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2020-03-14T19:49:29Z</dcterms:created>
  <dcterms:modified xsi:type="dcterms:W3CDTF">2020-03-14T19:49:29Z</dcterms:modified>
</cp:coreProperties>
</file>