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868680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894715</wp:posOffset>
            </wp:positionV>
            <wp:extent cx="60947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5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 March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117475</wp:posOffset>
            </wp:positionV>
            <wp:extent cx="133731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55"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83-4096323</w:t>
      </w:r>
    </w:p>
    <w:p>
      <w:pPr>
        <w:spacing w:after="0" w:line="107" w:lineRule="exact"/>
        <w:rPr>
          <w:sz w:val="24"/>
          <w:szCs w:val="24"/>
          <w:color w:val="auto"/>
        </w:rPr>
      </w:pPr>
    </w:p>
    <w:p>
      <w:pPr>
        <w:sectPr>
          <w:pgSz w:w="11900" w:h="16838" w:orient="portrait"/>
          <w:cols w:equalWidth="0" w:num="3">
            <w:col w:w="3820" w:space="720"/>
            <w:col w:w="2500" w:space="720"/>
            <w:col w:w="3320"/>
          </w:cols>
          <w:pgMar w:left="320" w:top="1440" w:right="49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260" w:space="700"/>
            <w:col w:w="2320" w:space="720"/>
            <w:col w:w="4080"/>
          </w:cols>
          <w:pgMar w:left="320" w:top="1440" w:right="499" w:bottom="1440" w:gutter="0" w:footer="0" w:header="0"/>
          <w:type w:val="continuous"/>
        </w:sectPr>
      </w:pPr>
    </w:p>
    <w:p>
      <w:pPr>
        <w:spacing w:after="0" w:line="231"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63144</w:t>
      </w:r>
    </w:p>
    <w:p>
      <w:pPr>
        <w:spacing w:after="0" w:line="108" w:lineRule="exact"/>
        <w:rPr>
          <w:sz w:val="24"/>
          <w:szCs w:val="24"/>
          <w:color w:val="auto"/>
        </w:rPr>
      </w:pPr>
    </w:p>
    <w:p>
      <w:pPr>
        <w:sectPr>
          <w:pgSz w:w="11900" w:h="16838" w:orient="portrait"/>
          <w:cols w:equalWidth="0" w:num="4">
            <w:col w:w="3120" w:space="720"/>
            <w:col w:w="920" w:space="720"/>
            <w:col w:w="1780" w:space="720"/>
            <w:col w:w="3100"/>
          </w:cols>
          <w:pgMar w:left="320" w:top="1440" w:right="49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72" w:lineRule="exact"/>
        <w:rPr>
          <w:sz w:val="24"/>
          <w:szCs w:val="24"/>
          <w:color w:val="auto"/>
        </w:rPr>
      </w:pPr>
    </w:p>
    <w:p>
      <w:pPr>
        <w:sectPr>
          <w:pgSz w:w="11900" w:h="16838" w:orient="portrait"/>
          <w:cols w:equalWidth="0" w:num="2">
            <w:col w:w="7120" w:space="720"/>
            <w:col w:w="3240"/>
          </w:cols>
          <w:pgMar w:left="320" w:top="1440"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700" w:type="dxa"/>
            <w:vAlign w:val="bottom"/>
            <w:gridSpan w:val="2"/>
          </w:tcPr>
          <w:p>
            <w:pPr>
              <w:jc w:val="center"/>
              <w:ind w:right="1400"/>
              <w:spacing w:after="0"/>
              <w:rPr>
                <w:sz w:val="20"/>
                <w:szCs w:val="20"/>
                <w:color w:val="auto"/>
              </w:rPr>
            </w:pPr>
            <w:r>
              <w:rPr>
                <w:rFonts w:ascii="Arial" w:cs="Arial" w:eastAsia="Arial" w:hAnsi="Arial"/>
                <w:sz w:val="18"/>
                <w:szCs w:val="18"/>
                <w:color w:val="auto"/>
                <w:w w:val="90"/>
              </w:rPr>
              <w:t>Title of each class</w:t>
            </w:r>
          </w:p>
        </w:tc>
        <w:tc>
          <w:tcPr>
            <w:tcW w:w="250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2"/>
        </w:trPr>
        <w:tc>
          <w:tcPr>
            <w:tcW w:w="37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340" w:type="dxa"/>
            <w:vAlign w:val="bottom"/>
          </w:tcPr>
          <w:p>
            <w:pPr>
              <w:spacing w:after="0"/>
              <w:rPr>
                <w:sz w:val="23"/>
                <w:szCs w:val="23"/>
                <w:color w:val="auto"/>
              </w:rPr>
            </w:pPr>
          </w:p>
        </w:tc>
        <w:tc>
          <w:tcPr>
            <w:tcW w:w="21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BRBR</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1040" w:type="dxa"/>
            <w:vAlign w:val="bottom"/>
          </w:tcPr>
          <w:p>
            <w:pPr>
              <w:spacing w:after="0"/>
              <w:rPr>
                <w:sz w:val="20"/>
                <w:szCs w:val="20"/>
                <w:color w:val="auto"/>
              </w:rPr>
            </w:pPr>
          </w:p>
        </w:tc>
        <w:tc>
          <w:tcPr>
            <w:tcW w:w="270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121"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236220</wp:posOffset>
            </wp:positionV>
            <wp:extent cx="6009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900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262255</wp:posOffset>
            </wp:positionV>
            <wp:extent cx="6009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light of the outbreak of coronavirus COVID-19, BellRing Brands, Inc. (the “Company”) is hereby supplementing the risk factors disclosed in Item 1A. of its Annual Report on Form 10-K for the year ended September 30, 2019, as filed with the Securities and Exchange Commission on November 22, 2019, with the following risk factor: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outbreak of the coronavirus (COVID-19) has negatively impacted and could continue to negatively impact the global economy. In addition, the COVID-19 outbreak could disrupt or otherwise negatively impact global credit markets and our operations, including the demand for our products and our ability and the ability of our third-party contract manufacturers to manufacture and deliver our products.</w:t>
      </w:r>
    </w:p>
    <w:p>
      <w:pPr>
        <w:spacing w:after="0" w:line="19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COVID-19 outbreak has negatively impacted and could continue to negatively impact the global economy. In addition, the regional or global impact of the outbreak, including official or unofficial quarantines and governmental restrictions on activities taken in response to such event, could limit our ability and the ability of our third party manufacturers to manufacture and deliver our products, which would have a material adverse impact on our business, financial condition, results of operations and cash flows. The impact of the COVID-19 outbreak could include voluntary or mandatory closures of our facilities, interruptions in our supply chain, which could impact the cost or availability of materials, restrictions on our ability to deliver our products, closures of our customers and labor shortages. The COVID-19 outbreak could result in reduced consumer demand for our products due to reduced consumer traffic in locations where our products are sold. Also, the voluntary or mandatory closure of clubs, FDM, eCommerce and other retailers where our products are sold could result in a decrease in the sale of our products. The COVID-19 outbreak could disrupt or otherwise negatively impact the global credit markets, which could adversely affect the availability and cost of capital. Such impacts could limit our ability to fund our operations and satisfy our debt obligations. The extent and potential short and long term impact of the COVID-19 outbreak on our operational and financial performance will depend on future developments, including the duration, severity and spread of the virus, actions that may be taken by governmental authorities and the impact on our supply chain, operations, workforce and the financial markets, all of which are highly uncertain and cannot be predicted.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1024255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3"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6"/>
          <w:szCs w:val="16"/>
          <w:b w:val="1"/>
          <w:bCs w:val="1"/>
          <w:color w:val="auto"/>
        </w:rPr>
        <w:t>BellRing Brands, Inc.</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Craig L. Rosenthal</w:t>
            </w:r>
          </w:p>
        </w:tc>
      </w:tr>
      <w:tr>
        <w:trPr>
          <w:trHeight w:val="27"/>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Craig L. Rosenthal</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200"/>
      </w:cols>
      <w:pgMar w:left="320" w:top="14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2020-03-30T07:13:37Z</dcterms:created>
  <dcterms:modified xsi:type="dcterms:W3CDTF">2020-03-30T07:13:37Z</dcterms:modified>
</cp:coreProperties>
</file>