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3349.xml.htm"/>
      <w:bookmarkStart w:id="1" w:name="kswkform4_17833733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VITALE ROBERT 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16"/>
        <w:gridCol w:w="464"/>
        <w:gridCol w:w="626"/>
        <w:gridCol w:w="1210"/>
        <w:gridCol w:w="1009"/>
        <w:gridCol w:w="97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644,848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248,021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2020 Family Trust (Spouse)</w:t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214,483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2020 Family Trust (Robert Vitale)</w:t>
            </w:r>
          </w:p>
        </w:tc>
      </w:tr>
    </w:tbl>
    <w:tbl>
      <w:tblPr>
        <w:tblW w:w="130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0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BellRing Brands, Inc. Common Stock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4,507.873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4,507.873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12.94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13,710.551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held by a trust for the benefit of spouse of the reporting person. The shares were previously held in the individual account of the spouse and were transferred to the trust in a transaction that effected only a change in the form of indirect beneficial ownership and did not change the pecuniary interest of the reporting person in the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Common Stock equivalents have no fixed exercisable or expiration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0021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753</Words>
  <Characters>4058</Characters>
  <CharactersWithSpaces>4737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