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CORNILLE DOUGLAS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4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BELLRING BRANDS,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BRBR</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BELLRING BRANDS, INC.</w:t>
            </w:r>
          </w:p>
        </w:tc>
      </w:tr>
      <w:tr>
        <w:trPr>
          <w:trHeight w:val="300"/>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2503 S. HANLEY ROAD</w:t>
            </w:r>
          </w:p>
        </w:tc>
        <w:tc>
          <w:tcPr>
            <w:tcW w:w="102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299"/>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980" w:type="dxa"/>
            <w:vAlign w:val="bottom"/>
          </w:tcPr>
          <w:p>
            <w:pPr>
              <w:ind w:left="40"/>
              <w:spacing w:after="0"/>
              <w:rPr>
                <w:sz w:val="20"/>
                <w:szCs w:val="20"/>
                <w:color w:val="auto"/>
              </w:rPr>
            </w:pPr>
            <w:r>
              <w:rPr>
                <w:rFonts w:ascii="Arial" w:cs="Arial" w:eastAsia="Arial" w:hAnsi="Arial"/>
                <w:sz w:val="20"/>
                <w:szCs w:val="20"/>
                <w:color w:val="0000FF"/>
                <w:w w:val="95"/>
              </w:rPr>
              <w:t>ST. LOUIS</w:t>
            </w:r>
          </w:p>
        </w:tc>
        <w:tc>
          <w:tcPr>
            <w:tcW w:w="1100" w:type="dxa"/>
            <w:vAlign w:val="bottom"/>
          </w:tcPr>
          <w:p>
            <w:pPr>
              <w:ind w:left="80"/>
              <w:spacing w:after="0"/>
              <w:rPr>
                <w:sz w:val="20"/>
                <w:szCs w:val="20"/>
                <w:color w:val="auto"/>
              </w:rPr>
            </w:pPr>
            <w:r>
              <w:rPr>
                <w:rFonts w:ascii="Arial" w:cs="Arial" w:eastAsia="Arial" w:hAnsi="Arial"/>
                <w:sz w:val="20"/>
                <w:szCs w:val="20"/>
                <w:color w:val="0000FF"/>
              </w:rPr>
              <w:t>MO</w:t>
            </w:r>
          </w:p>
        </w:tc>
        <w:tc>
          <w:tcPr>
            <w:tcW w:w="1020" w:type="dxa"/>
            <w:vAlign w:val="bottom"/>
          </w:tcPr>
          <w:p>
            <w:pPr>
              <w:ind w:left="20"/>
              <w:spacing w:after="0"/>
              <w:rPr>
                <w:sz w:val="20"/>
                <w:szCs w:val="20"/>
                <w:color w:val="auto"/>
              </w:rPr>
            </w:pPr>
            <w:r>
              <w:rPr>
                <w:rFonts w:ascii="Arial" w:cs="Arial" w:eastAsia="Arial" w:hAnsi="Arial"/>
                <w:sz w:val="20"/>
                <w:szCs w:val="20"/>
                <w:color w:val="0000FF"/>
              </w:rPr>
              <w:t>63144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23"/>
        <w:spacing w:after="0"/>
        <w:rPr>
          <w:sz w:val="20"/>
          <w:szCs w:val="20"/>
          <w:color w:val="auto"/>
        </w:rPr>
      </w:pPr>
      <w:r>
        <w:rPr>
          <w:rFonts w:ascii="Arial" w:cs="Arial" w:eastAsia="Arial" w:hAnsi="Arial"/>
          <w:sz w:val="20"/>
          <w:szCs w:val="20"/>
          <w:color w:val="0000FF"/>
        </w:rPr>
        <w:t>Chief Growth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420"/>
              <w:spacing w:after="0"/>
              <w:rPr>
                <w:sz w:val="20"/>
                <w:szCs w:val="20"/>
                <w:color w:val="auto"/>
              </w:rPr>
            </w:pPr>
            <w:r>
              <w:rPr>
                <w:rFonts w:ascii="Arial" w:cs="Arial" w:eastAsia="Arial" w:hAnsi="Arial"/>
                <w:sz w:val="20"/>
                <w:szCs w:val="20"/>
                <w:color w:val="0000FF"/>
              </w:rPr>
              <w:t>47,012</w:t>
            </w:r>
            <w:r>
              <w:rPr>
                <w:rFonts w:ascii="Arial" w:cs="Arial" w:eastAsia="Arial" w:hAnsi="Arial"/>
                <w:sz w:val="25"/>
                <w:szCs w:val="25"/>
                <w:color w:val="008000"/>
                <w:vertAlign w:val="superscript"/>
              </w:rPr>
              <w:t>(1)(2)</w:t>
            </w:r>
          </w:p>
        </w:tc>
        <w:tc>
          <w:tcPr>
            <w:tcW w:w="100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40" w:firstLine="5"/>
        <w:spacing w:after="0" w:line="254"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Reflects securities held upon completion of the transactions under the transaction agreement and plan of merger entered into on October 26, 2021, as amended on February 28, 2022, whereby Post Holdings, Inc.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BellRing Intermediate Holdings, Inc. (formerly known as BellRing Brands, Inc.) ("Old BellRing") merged with a subsidiary of New BellRing and each outstanding share of Old BellRing Class A common stock was converted into one share of New BellRing common stock and $2.97 in cash (collectively, the "Transactions").</w:t>
      </w:r>
    </w:p>
    <w:p>
      <w:pPr>
        <w:spacing w:after="0" w:line="28" w:lineRule="exact"/>
        <w:rPr>
          <w:rFonts w:ascii="Arial" w:cs="Arial" w:eastAsia="Arial" w:hAnsi="Arial"/>
          <w:sz w:val="14"/>
          <w:szCs w:val="14"/>
          <w:color w:val="008000"/>
        </w:rPr>
      </w:pPr>
    </w:p>
    <w:p>
      <w:pPr>
        <w:ind w:left="40" w:right="60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unvested restricted stock units of New BellRing received in the Transactions in respect of unvested restricted stock units of Old BellRing previously held by the Reporting Person, which awards continue to be subject to the same terms and conditions of the Old BellRing awards. Such awards may be adjusted to account for the cash consideration payable to stockholders of Old BellRing in the Transactions.</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See attached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Craig L. Rosenthal,</w:t>
            </w:r>
          </w:p>
        </w:tc>
        <w:tc>
          <w:tcPr>
            <w:tcW w:w="4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03/10/2022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spacing w:after="0" w:line="266"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Craig L. Rosenthal,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BellRing Brands, Inc. (i) pursuant to Section 16(a) of the Securities Exchange Act of 1934, as amended, including without limitation, statements on Form 3, Form 4 and Form 5 (including any amendments thereto) and (ii) in connection with any applications for EDGAR access codes, including without limitation the Form ID. The Power of Attorney shall remain in full force and effect until the undersigned is no longer required to file Forms 3, 4 and 5 with regard to his or her ownership of or transactions in securities of BellRing Brands, Inc. unless earlier revoked in writing. The undersigned acknowledges that Craig L. Rosenthal is not assuming any of the undersigned's responsibilities to comply with Section 16 of the Securities Exchange Act of 1934, as amended.</w:t>
      </w:r>
    </w:p>
    <w:p>
      <w:pPr>
        <w:spacing w:after="0" w:line="200" w:lineRule="exact"/>
        <w:rPr>
          <w:sz w:val="20"/>
          <w:szCs w:val="20"/>
          <w:color w:val="auto"/>
        </w:rPr>
      </w:pPr>
    </w:p>
    <w:p>
      <w:pPr>
        <w:spacing w:after="0" w:line="23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By: /s/ Douglas J. Cornille</w:t>
      </w:r>
    </w:p>
    <w:p>
      <w:pPr>
        <w:ind w:left="4560"/>
        <w:spacing w:after="0" w:line="238" w:lineRule="auto"/>
        <w:rPr>
          <w:sz w:val="20"/>
          <w:szCs w:val="20"/>
          <w:color w:val="auto"/>
        </w:rPr>
      </w:pPr>
      <w:r>
        <w:rPr>
          <w:rFonts w:ascii="Courier New" w:cs="Courier New" w:eastAsia="Courier New" w:hAnsi="Courier New"/>
          <w:sz w:val="20"/>
          <w:szCs w:val="20"/>
          <w:color w:val="auto"/>
        </w:rPr>
        <w:t>-----------------------</w:t>
      </w:r>
    </w:p>
    <w:p>
      <w:pPr>
        <w:ind w:left="4100"/>
        <w:spacing w:after="0" w:line="238" w:lineRule="auto"/>
        <w:rPr>
          <w:sz w:val="20"/>
          <w:szCs w:val="20"/>
          <w:color w:val="auto"/>
        </w:rPr>
      </w:pPr>
      <w:r>
        <w:rPr>
          <w:rFonts w:ascii="Courier New" w:cs="Courier New" w:eastAsia="Courier New" w:hAnsi="Courier New"/>
          <w:sz w:val="20"/>
          <w:szCs w:val="20"/>
          <w:color w:val="auto"/>
        </w:rPr>
        <w:t>Name: Douglas J. Cornille</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March 10, 2022</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0179" TargetMode="External"/><Relationship Id="rId11"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2022-03-10T16:35:49Z</dcterms:created>
  <dcterms:modified xsi:type="dcterms:W3CDTF">2022-03-10T16:35:49Z</dcterms:modified>
</cp:coreProperties>
</file>