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011" w:rsidRDefault="00D538EF">
      <w:pPr>
        <w:ind w:right="-99"/>
        <w:jc w:val="center"/>
        <w:rPr>
          <w:sz w:val="20"/>
          <w:szCs w:val="20"/>
        </w:rPr>
      </w:pPr>
      <w:bookmarkStart w:id="0" w:name="page1"/>
      <w:bookmarkStart w:id="1" w:name="_GoBack"/>
      <w:bookmarkEnd w:id="0"/>
      <w:bookmarkEnd w:id="1"/>
      <w:r>
        <w:rPr>
          <w:rFonts w:eastAsia="Times New Roman"/>
          <w:b/>
          <w:bCs/>
          <w:noProof/>
          <w:sz w:val="19"/>
          <w:szCs w:val="19"/>
        </w:rPr>
        <w:drawing>
          <wp:anchor distT="0" distB="0" distL="114300" distR="114300" simplePos="0" relativeHeight="251646464" behindDoc="1" locked="0" layoutInCell="0" allowOverlap="1">
            <wp:simplePos x="0" y="0"/>
            <wp:positionH relativeFrom="page">
              <wp:posOffset>339725</wp:posOffset>
            </wp:positionH>
            <wp:positionV relativeFrom="page">
              <wp:posOffset>597535</wp:posOffset>
            </wp:positionV>
            <wp:extent cx="6143625" cy="5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6143625" cy="5715"/>
                    </a:xfrm>
                    <a:prstGeom prst="rect">
                      <a:avLst/>
                    </a:prstGeom>
                    <a:noFill/>
                  </pic:spPr>
                </pic:pic>
              </a:graphicData>
            </a:graphic>
          </wp:anchor>
        </w:drawing>
      </w:r>
      <w:r>
        <w:rPr>
          <w:rFonts w:eastAsia="Times New Roman"/>
          <w:b/>
          <w:bCs/>
          <w:noProof/>
          <w:sz w:val="19"/>
          <w:szCs w:val="19"/>
        </w:rPr>
        <w:drawing>
          <wp:anchor distT="0" distB="0" distL="114300" distR="114300" simplePos="0" relativeHeight="251647488" behindDoc="1" locked="0" layoutInCell="0" allowOverlap="1">
            <wp:simplePos x="0" y="0"/>
            <wp:positionH relativeFrom="page">
              <wp:posOffset>339725</wp:posOffset>
            </wp:positionH>
            <wp:positionV relativeFrom="page">
              <wp:posOffset>614680</wp:posOffset>
            </wp:positionV>
            <wp:extent cx="6143625" cy="57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blip>
                    <a:srcRect/>
                    <a:stretch>
                      <a:fillRect/>
                    </a:stretch>
                  </pic:blipFill>
                  <pic:spPr bwMode="auto">
                    <a:xfrm>
                      <a:off x="0" y="0"/>
                      <a:ext cx="6143625" cy="5715"/>
                    </a:xfrm>
                    <a:prstGeom prst="rect">
                      <a:avLst/>
                    </a:prstGeom>
                    <a:noFill/>
                  </pic:spPr>
                </pic:pic>
              </a:graphicData>
            </a:graphic>
          </wp:anchor>
        </w:drawing>
      </w:r>
      <w:r>
        <w:rPr>
          <w:rFonts w:eastAsia="Times New Roman"/>
          <w:b/>
          <w:bCs/>
          <w:sz w:val="19"/>
          <w:szCs w:val="19"/>
        </w:rPr>
        <w:t>UNITED STATES</w:t>
      </w:r>
    </w:p>
    <w:p w:rsidR="004A0011" w:rsidRDefault="004A0011">
      <w:pPr>
        <w:spacing w:line="31" w:lineRule="exact"/>
        <w:rPr>
          <w:sz w:val="24"/>
          <w:szCs w:val="24"/>
        </w:rPr>
      </w:pPr>
    </w:p>
    <w:p w:rsidR="004A0011" w:rsidRDefault="00D538EF">
      <w:pPr>
        <w:ind w:right="-99"/>
        <w:jc w:val="center"/>
        <w:rPr>
          <w:sz w:val="20"/>
          <w:szCs w:val="20"/>
        </w:rPr>
      </w:pPr>
      <w:r>
        <w:rPr>
          <w:rFonts w:eastAsia="Times New Roman"/>
          <w:b/>
          <w:bCs/>
          <w:sz w:val="19"/>
          <w:szCs w:val="19"/>
        </w:rPr>
        <w:t>SECURITIES AND EXCHANGE COMMISSION</w:t>
      </w:r>
    </w:p>
    <w:p w:rsidR="004A0011" w:rsidRDefault="004A0011">
      <w:pPr>
        <w:spacing w:line="11" w:lineRule="exact"/>
        <w:rPr>
          <w:sz w:val="24"/>
          <w:szCs w:val="24"/>
        </w:rPr>
      </w:pPr>
    </w:p>
    <w:p w:rsidR="004A0011" w:rsidRDefault="00D538EF">
      <w:pPr>
        <w:ind w:right="-99"/>
        <w:jc w:val="center"/>
        <w:rPr>
          <w:sz w:val="20"/>
          <w:szCs w:val="20"/>
        </w:rPr>
      </w:pPr>
      <w:r>
        <w:rPr>
          <w:rFonts w:eastAsia="Times New Roman"/>
          <w:b/>
          <w:bCs/>
          <w:sz w:val="14"/>
          <w:szCs w:val="14"/>
        </w:rPr>
        <w:t>Washington, D.C. 20549</w:t>
      </w:r>
    </w:p>
    <w:p w:rsidR="004A0011" w:rsidRDefault="004A0011">
      <w:pPr>
        <w:spacing w:line="13" w:lineRule="exact"/>
        <w:rPr>
          <w:sz w:val="24"/>
          <w:szCs w:val="24"/>
        </w:rPr>
      </w:pPr>
    </w:p>
    <w:p w:rsidR="004A0011" w:rsidRDefault="00D538EF">
      <w:pPr>
        <w:ind w:left="4860"/>
        <w:rPr>
          <w:sz w:val="20"/>
          <w:szCs w:val="20"/>
        </w:rPr>
      </w:pPr>
      <w:r>
        <w:rPr>
          <w:rFonts w:eastAsia="Times New Roman"/>
          <w:sz w:val="14"/>
          <w:szCs w:val="14"/>
        </w:rPr>
        <w:t>______________________</w:t>
      </w:r>
    </w:p>
    <w:p w:rsidR="004A0011" w:rsidRDefault="004A0011">
      <w:pPr>
        <w:spacing w:line="53" w:lineRule="exact"/>
        <w:rPr>
          <w:sz w:val="24"/>
          <w:szCs w:val="24"/>
        </w:rPr>
      </w:pPr>
    </w:p>
    <w:p w:rsidR="004A0011" w:rsidRDefault="00D538EF">
      <w:pPr>
        <w:ind w:right="-99"/>
        <w:jc w:val="center"/>
        <w:rPr>
          <w:sz w:val="20"/>
          <w:szCs w:val="20"/>
        </w:rPr>
      </w:pPr>
      <w:r>
        <w:rPr>
          <w:rFonts w:eastAsia="Times New Roman"/>
          <w:b/>
          <w:bCs/>
        </w:rPr>
        <w:t>FORM 8-K</w:t>
      </w:r>
    </w:p>
    <w:p w:rsidR="004A0011" w:rsidRDefault="004A0011">
      <w:pPr>
        <w:spacing w:line="118" w:lineRule="exact"/>
        <w:rPr>
          <w:sz w:val="24"/>
          <w:szCs w:val="24"/>
        </w:rPr>
      </w:pPr>
    </w:p>
    <w:p w:rsidR="004A0011" w:rsidRDefault="00D538EF">
      <w:pPr>
        <w:ind w:left="4980"/>
        <w:rPr>
          <w:sz w:val="20"/>
          <w:szCs w:val="20"/>
        </w:rPr>
      </w:pPr>
      <w:r>
        <w:rPr>
          <w:rFonts w:eastAsia="Times New Roman"/>
          <w:b/>
          <w:bCs/>
          <w:sz w:val="14"/>
          <w:szCs w:val="14"/>
        </w:rPr>
        <w:t>CURRENT REPORT</w:t>
      </w:r>
    </w:p>
    <w:p w:rsidR="004A0011" w:rsidRDefault="004A0011">
      <w:pPr>
        <w:spacing w:line="28" w:lineRule="exact"/>
        <w:rPr>
          <w:sz w:val="24"/>
          <w:szCs w:val="24"/>
        </w:rPr>
      </w:pPr>
    </w:p>
    <w:p w:rsidR="004A0011" w:rsidRDefault="00D538EF">
      <w:pPr>
        <w:ind w:left="4640"/>
        <w:rPr>
          <w:sz w:val="20"/>
          <w:szCs w:val="20"/>
        </w:rPr>
      </w:pPr>
      <w:r>
        <w:rPr>
          <w:rFonts w:eastAsia="Times New Roman"/>
          <w:b/>
          <w:bCs/>
          <w:sz w:val="14"/>
          <w:szCs w:val="14"/>
        </w:rPr>
        <w:t>Pursuant to Section 13 OR 15(d) of The</w:t>
      </w:r>
    </w:p>
    <w:p w:rsidR="004A0011" w:rsidRDefault="004A0011">
      <w:pPr>
        <w:spacing w:line="10" w:lineRule="exact"/>
        <w:rPr>
          <w:sz w:val="24"/>
          <w:szCs w:val="24"/>
        </w:rPr>
      </w:pPr>
    </w:p>
    <w:p w:rsidR="004A0011" w:rsidRDefault="00D538EF">
      <w:pPr>
        <w:ind w:left="4660"/>
        <w:rPr>
          <w:sz w:val="20"/>
          <w:szCs w:val="20"/>
        </w:rPr>
      </w:pPr>
      <w:r>
        <w:rPr>
          <w:rFonts w:eastAsia="Times New Roman"/>
          <w:b/>
          <w:bCs/>
          <w:sz w:val="14"/>
          <w:szCs w:val="14"/>
        </w:rPr>
        <w:t>Securities Exchange Act of 1934</w:t>
      </w:r>
    </w:p>
    <w:p w:rsidR="004A0011" w:rsidRDefault="004A0011">
      <w:pPr>
        <w:spacing w:line="109" w:lineRule="exact"/>
        <w:rPr>
          <w:sz w:val="24"/>
          <w:szCs w:val="24"/>
        </w:rPr>
      </w:pPr>
    </w:p>
    <w:p w:rsidR="004A0011" w:rsidRDefault="00D538EF">
      <w:pPr>
        <w:ind w:right="-99"/>
        <w:jc w:val="center"/>
        <w:rPr>
          <w:sz w:val="20"/>
          <w:szCs w:val="20"/>
        </w:rPr>
      </w:pPr>
      <w:r>
        <w:rPr>
          <w:rFonts w:eastAsia="Times New Roman"/>
          <w:sz w:val="12"/>
          <w:szCs w:val="12"/>
        </w:rPr>
        <w:t xml:space="preserve">Date of Report (Date of earliest event </w:t>
      </w:r>
      <w:r>
        <w:rPr>
          <w:rFonts w:eastAsia="Times New Roman"/>
          <w:sz w:val="12"/>
          <w:szCs w:val="12"/>
        </w:rPr>
        <w:t>reported): November 19, 2020</w:t>
      </w:r>
    </w:p>
    <w:p w:rsidR="004A0011" w:rsidRDefault="00D538EF">
      <w:pPr>
        <w:spacing w:line="20" w:lineRule="exact"/>
        <w:rPr>
          <w:sz w:val="24"/>
          <w:szCs w:val="24"/>
        </w:rPr>
      </w:pPr>
      <w:r>
        <w:rPr>
          <w:noProof/>
          <w:sz w:val="24"/>
          <w:szCs w:val="24"/>
        </w:rPr>
        <w:drawing>
          <wp:anchor distT="0" distB="0" distL="114300" distR="114300" simplePos="0" relativeHeight="251648512" behindDoc="1" locked="0" layoutInCell="0" allowOverlap="1">
            <wp:simplePos x="0" y="0"/>
            <wp:positionH relativeFrom="column">
              <wp:posOffset>3086735</wp:posOffset>
            </wp:positionH>
            <wp:positionV relativeFrom="paragraph">
              <wp:posOffset>79375</wp:posOffset>
            </wp:positionV>
            <wp:extent cx="1000125" cy="5257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1000125" cy="525780"/>
                    </a:xfrm>
                    <a:prstGeom prst="rect">
                      <a:avLst/>
                    </a:prstGeom>
                    <a:noFill/>
                  </pic:spPr>
                </pic:pic>
              </a:graphicData>
            </a:graphic>
          </wp:anchor>
        </w:drawing>
      </w:r>
    </w:p>
    <w:p w:rsidR="004A0011" w:rsidRDefault="004A0011">
      <w:pPr>
        <w:spacing w:line="200" w:lineRule="exact"/>
        <w:rPr>
          <w:sz w:val="24"/>
          <w:szCs w:val="24"/>
        </w:rPr>
      </w:pPr>
    </w:p>
    <w:p w:rsidR="004A0011" w:rsidRDefault="004A0011">
      <w:pPr>
        <w:spacing w:line="200" w:lineRule="exact"/>
        <w:rPr>
          <w:sz w:val="24"/>
          <w:szCs w:val="24"/>
        </w:rPr>
      </w:pPr>
    </w:p>
    <w:p w:rsidR="004A0011" w:rsidRDefault="004A0011">
      <w:pPr>
        <w:spacing w:line="200" w:lineRule="exact"/>
        <w:rPr>
          <w:sz w:val="24"/>
          <w:szCs w:val="24"/>
        </w:rPr>
      </w:pPr>
    </w:p>
    <w:p w:rsidR="004A0011" w:rsidRDefault="004A0011">
      <w:pPr>
        <w:spacing w:line="200" w:lineRule="exact"/>
        <w:rPr>
          <w:sz w:val="24"/>
          <w:szCs w:val="24"/>
        </w:rPr>
      </w:pPr>
    </w:p>
    <w:p w:rsidR="004A0011" w:rsidRDefault="004A0011">
      <w:pPr>
        <w:spacing w:line="211" w:lineRule="exact"/>
        <w:rPr>
          <w:sz w:val="24"/>
          <w:szCs w:val="24"/>
        </w:rPr>
      </w:pPr>
    </w:p>
    <w:p w:rsidR="004A0011" w:rsidRDefault="00D538EF">
      <w:pPr>
        <w:ind w:right="-99"/>
        <w:jc w:val="center"/>
        <w:rPr>
          <w:sz w:val="20"/>
          <w:szCs w:val="20"/>
        </w:rPr>
      </w:pPr>
      <w:r>
        <w:rPr>
          <w:rFonts w:eastAsia="Times New Roman"/>
          <w:b/>
          <w:bCs/>
          <w:sz w:val="24"/>
          <w:szCs w:val="24"/>
        </w:rPr>
        <w:t>BellRing Brands, Inc.</w:t>
      </w:r>
    </w:p>
    <w:p w:rsidR="004A0011" w:rsidRDefault="004A0011">
      <w:pPr>
        <w:spacing w:line="103" w:lineRule="exact"/>
        <w:rPr>
          <w:sz w:val="24"/>
          <w:szCs w:val="24"/>
        </w:rPr>
      </w:pPr>
    </w:p>
    <w:p w:rsidR="004A0011" w:rsidRDefault="00D538EF">
      <w:pPr>
        <w:ind w:right="-99"/>
        <w:jc w:val="center"/>
        <w:rPr>
          <w:sz w:val="20"/>
          <w:szCs w:val="20"/>
        </w:rPr>
      </w:pPr>
      <w:r>
        <w:rPr>
          <w:rFonts w:eastAsia="Times New Roman"/>
          <w:sz w:val="12"/>
          <w:szCs w:val="12"/>
        </w:rPr>
        <w:t>(Exact name of registrant as specified in its charter)</w:t>
      </w:r>
    </w:p>
    <w:p w:rsidR="004A0011" w:rsidRDefault="004A0011">
      <w:pPr>
        <w:sectPr w:rsidR="004A0011">
          <w:pgSz w:w="11900" w:h="16838"/>
          <w:pgMar w:top="1024" w:right="399" w:bottom="1440" w:left="300" w:header="0" w:footer="0" w:gutter="0"/>
          <w:cols w:space="720" w:equalWidth="0">
            <w:col w:w="11200"/>
          </w:cols>
        </w:sectPr>
      </w:pPr>
    </w:p>
    <w:p w:rsidR="004A0011" w:rsidRDefault="004A0011">
      <w:pPr>
        <w:spacing w:line="27" w:lineRule="exact"/>
        <w:rPr>
          <w:sz w:val="24"/>
          <w:szCs w:val="24"/>
        </w:rPr>
      </w:pPr>
    </w:p>
    <w:p w:rsidR="004A0011" w:rsidRDefault="00D538EF">
      <w:pPr>
        <w:ind w:left="1380"/>
        <w:rPr>
          <w:sz w:val="20"/>
          <w:szCs w:val="20"/>
        </w:rPr>
      </w:pPr>
      <w:r>
        <w:rPr>
          <w:rFonts w:eastAsia="Times New Roman"/>
          <w:b/>
          <w:bCs/>
          <w:sz w:val="12"/>
          <w:szCs w:val="12"/>
        </w:rPr>
        <w:t>Delaware</w:t>
      </w:r>
    </w:p>
    <w:p w:rsidR="004A0011" w:rsidRDefault="00D538EF">
      <w:pPr>
        <w:spacing w:line="20" w:lineRule="exact"/>
        <w:rPr>
          <w:sz w:val="24"/>
          <w:szCs w:val="24"/>
        </w:rPr>
      </w:pPr>
      <w:r>
        <w:rPr>
          <w:sz w:val="24"/>
          <w:szCs w:val="24"/>
        </w:rPr>
        <w:br w:type="column"/>
      </w:r>
    </w:p>
    <w:p w:rsidR="004A0011" w:rsidRDefault="004A0011">
      <w:pPr>
        <w:spacing w:line="7" w:lineRule="exact"/>
        <w:rPr>
          <w:sz w:val="24"/>
          <w:szCs w:val="24"/>
        </w:rPr>
      </w:pPr>
    </w:p>
    <w:p w:rsidR="004A0011" w:rsidRDefault="00D538EF">
      <w:pPr>
        <w:ind w:right="2000"/>
        <w:jc w:val="center"/>
        <w:rPr>
          <w:sz w:val="20"/>
          <w:szCs w:val="20"/>
        </w:rPr>
      </w:pPr>
      <w:r>
        <w:rPr>
          <w:rFonts w:eastAsia="Times New Roman"/>
          <w:b/>
          <w:bCs/>
          <w:sz w:val="13"/>
          <w:szCs w:val="13"/>
        </w:rPr>
        <w:t>001-39093</w:t>
      </w:r>
    </w:p>
    <w:p w:rsidR="004A0011" w:rsidRDefault="00D538EF">
      <w:pPr>
        <w:spacing w:line="20" w:lineRule="exact"/>
        <w:rPr>
          <w:sz w:val="24"/>
          <w:szCs w:val="24"/>
        </w:rPr>
      </w:pPr>
      <w:r>
        <w:rPr>
          <w:sz w:val="24"/>
          <w:szCs w:val="24"/>
        </w:rPr>
        <w:br w:type="column"/>
      </w:r>
    </w:p>
    <w:p w:rsidR="004A0011" w:rsidRDefault="004A0011">
      <w:pPr>
        <w:spacing w:line="7" w:lineRule="exact"/>
        <w:rPr>
          <w:sz w:val="24"/>
          <w:szCs w:val="24"/>
        </w:rPr>
      </w:pPr>
    </w:p>
    <w:p w:rsidR="004A0011" w:rsidRDefault="00D538EF">
      <w:pPr>
        <w:ind w:right="2600"/>
        <w:jc w:val="center"/>
        <w:rPr>
          <w:sz w:val="20"/>
          <w:szCs w:val="20"/>
        </w:rPr>
      </w:pPr>
      <w:r>
        <w:rPr>
          <w:rFonts w:eastAsia="Times New Roman"/>
          <w:b/>
          <w:bCs/>
          <w:sz w:val="13"/>
          <w:szCs w:val="13"/>
        </w:rPr>
        <w:t>83-4096323</w:t>
      </w:r>
    </w:p>
    <w:p w:rsidR="004A0011" w:rsidRDefault="004A0011">
      <w:pPr>
        <w:spacing w:line="24" w:lineRule="exact"/>
        <w:rPr>
          <w:sz w:val="24"/>
          <w:szCs w:val="24"/>
        </w:rPr>
      </w:pPr>
    </w:p>
    <w:p w:rsidR="004A0011" w:rsidRDefault="004A0011">
      <w:pPr>
        <w:sectPr w:rsidR="004A0011">
          <w:type w:val="continuous"/>
          <w:pgSz w:w="11900" w:h="16838"/>
          <w:pgMar w:top="1024" w:right="399" w:bottom="1440" w:left="300" w:header="0" w:footer="0" w:gutter="0"/>
          <w:cols w:num="3" w:space="720" w:equalWidth="0">
            <w:col w:w="3940" w:space="720"/>
            <w:col w:w="2580" w:space="720"/>
            <w:col w:w="3240"/>
          </w:cols>
        </w:sectPr>
      </w:pPr>
    </w:p>
    <w:p w:rsidR="004A0011" w:rsidRDefault="00D538EF">
      <w:pPr>
        <w:ind w:left="580"/>
        <w:rPr>
          <w:sz w:val="20"/>
          <w:szCs w:val="20"/>
        </w:rPr>
      </w:pPr>
      <w:r>
        <w:rPr>
          <w:rFonts w:eastAsia="Times New Roman"/>
          <w:sz w:val="12"/>
          <w:szCs w:val="12"/>
        </w:rPr>
        <w:t xml:space="preserve">(State or other jurisdiction of </w:t>
      </w:r>
      <w:r>
        <w:rPr>
          <w:rFonts w:eastAsia="Times New Roman"/>
          <w:sz w:val="12"/>
          <w:szCs w:val="12"/>
        </w:rPr>
        <w:t>incorporation)</w:t>
      </w:r>
    </w:p>
    <w:p w:rsidR="004A0011" w:rsidRDefault="00D538EF">
      <w:pPr>
        <w:spacing w:line="20" w:lineRule="exact"/>
        <w:rPr>
          <w:sz w:val="24"/>
          <w:szCs w:val="24"/>
        </w:rPr>
      </w:pPr>
      <w:r>
        <w:rPr>
          <w:sz w:val="24"/>
          <w:szCs w:val="24"/>
        </w:rPr>
        <w:br w:type="column"/>
      </w:r>
    </w:p>
    <w:p w:rsidR="004A0011" w:rsidRDefault="00D538EF">
      <w:pPr>
        <w:rPr>
          <w:sz w:val="20"/>
          <w:szCs w:val="20"/>
        </w:rPr>
      </w:pPr>
      <w:r>
        <w:rPr>
          <w:rFonts w:eastAsia="Times New Roman"/>
          <w:sz w:val="11"/>
          <w:szCs w:val="11"/>
        </w:rPr>
        <w:t>(Commission File Number)</w:t>
      </w:r>
    </w:p>
    <w:p w:rsidR="004A0011" w:rsidRDefault="00D538EF">
      <w:pPr>
        <w:spacing w:line="20" w:lineRule="exact"/>
        <w:rPr>
          <w:sz w:val="24"/>
          <w:szCs w:val="24"/>
        </w:rPr>
      </w:pPr>
      <w:r>
        <w:rPr>
          <w:sz w:val="24"/>
          <w:szCs w:val="24"/>
        </w:rPr>
        <w:br w:type="column"/>
      </w:r>
    </w:p>
    <w:p w:rsidR="004A0011" w:rsidRDefault="00D538EF">
      <w:pPr>
        <w:rPr>
          <w:sz w:val="20"/>
          <w:szCs w:val="20"/>
        </w:rPr>
      </w:pPr>
      <w:r>
        <w:rPr>
          <w:rFonts w:eastAsia="Times New Roman"/>
          <w:sz w:val="12"/>
          <w:szCs w:val="12"/>
        </w:rPr>
        <w:t>(IRS Employer Identification No.)</w:t>
      </w:r>
    </w:p>
    <w:p w:rsidR="004A0011" w:rsidRDefault="004A0011">
      <w:pPr>
        <w:spacing w:line="200" w:lineRule="exact"/>
        <w:rPr>
          <w:sz w:val="24"/>
          <w:szCs w:val="24"/>
        </w:rPr>
      </w:pPr>
    </w:p>
    <w:p w:rsidR="004A0011" w:rsidRDefault="004A0011">
      <w:pPr>
        <w:sectPr w:rsidR="004A0011">
          <w:type w:val="continuous"/>
          <w:pgSz w:w="11900" w:h="16838"/>
          <w:pgMar w:top="1024" w:right="399" w:bottom="1440" w:left="300" w:header="0" w:footer="0" w:gutter="0"/>
          <w:cols w:num="3" w:space="720" w:equalWidth="0">
            <w:col w:w="3580" w:space="720"/>
            <w:col w:w="2420" w:space="720"/>
            <w:col w:w="3760"/>
          </w:cols>
        </w:sectPr>
      </w:pPr>
    </w:p>
    <w:p w:rsidR="004A0011" w:rsidRDefault="004A0011">
      <w:pPr>
        <w:spacing w:line="28" w:lineRule="exact"/>
        <w:rPr>
          <w:sz w:val="24"/>
          <w:szCs w:val="24"/>
        </w:rPr>
      </w:pPr>
    </w:p>
    <w:p w:rsidR="004A0011" w:rsidRDefault="00D538EF">
      <w:pPr>
        <w:ind w:left="1060"/>
        <w:rPr>
          <w:sz w:val="20"/>
          <w:szCs w:val="20"/>
        </w:rPr>
      </w:pPr>
      <w:r>
        <w:rPr>
          <w:rFonts w:eastAsia="Times New Roman"/>
          <w:b/>
          <w:bCs/>
          <w:sz w:val="13"/>
          <w:szCs w:val="13"/>
        </w:rPr>
        <w:t>2503 S. Hanley Road</w:t>
      </w:r>
    </w:p>
    <w:p w:rsidR="004A0011" w:rsidRDefault="00D538EF">
      <w:pPr>
        <w:spacing w:line="20" w:lineRule="exact"/>
        <w:rPr>
          <w:sz w:val="24"/>
          <w:szCs w:val="24"/>
        </w:rPr>
      </w:pPr>
      <w:r>
        <w:rPr>
          <w:sz w:val="24"/>
          <w:szCs w:val="24"/>
        </w:rPr>
        <w:br w:type="column"/>
      </w:r>
    </w:p>
    <w:p w:rsidR="004A0011" w:rsidRDefault="004A0011">
      <w:pPr>
        <w:spacing w:line="8" w:lineRule="exact"/>
        <w:rPr>
          <w:sz w:val="24"/>
          <w:szCs w:val="24"/>
        </w:rPr>
      </w:pPr>
    </w:p>
    <w:p w:rsidR="004A0011" w:rsidRDefault="00D538EF">
      <w:pPr>
        <w:rPr>
          <w:sz w:val="20"/>
          <w:szCs w:val="20"/>
        </w:rPr>
      </w:pPr>
      <w:r>
        <w:rPr>
          <w:rFonts w:eastAsia="Times New Roman"/>
          <w:b/>
          <w:bCs/>
          <w:sz w:val="12"/>
          <w:szCs w:val="12"/>
        </w:rPr>
        <w:t>St. Louis</w:t>
      </w:r>
    </w:p>
    <w:p w:rsidR="004A0011" w:rsidRDefault="00D538EF">
      <w:pPr>
        <w:spacing w:line="20" w:lineRule="exact"/>
        <w:rPr>
          <w:sz w:val="24"/>
          <w:szCs w:val="24"/>
        </w:rPr>
      </w:pPr>
      <w:r>
        <w:rPr>
          <w:sz w:val="24"/>
          <w:szCs w:val="24"/>
        </w:rPr>
        <w:br w:type="column"/>
      </w:r>
    </w:p>
    <w:p w:rsidR="004A0011" w:rsidRDefault="004A0011">
      <w:pPr>
        <w:spacing w:line="8" w:lineRule="exact"/>
        <w:rPr>
          <w:sz w:val="24"/>
          <w:szCs w:val="24"/>
        </w:rPr>
      </w:pPr>
    </w:p>
    <w:p w:rsidR="004A0011" w:rsidRDefault="00D538EF">
      <w:pPr>
        <w:rPr>
          <w:sz w:val="20"/>
          <w:szCs w:val="20"/>
        </w:rPr>
      </w:pPr>
      <w:r>
        <w:rPr>
          <w:rFonts w:eastAsia="Times New Roman"/>
          <w:b/>
          <w:bCs/>
          <w:sz w:val="12"/>
          <w:szCs w:val="12"/>
        </w:rPr>
        <w:t>Missouri</w:t>
      </w:r>
    </w:p>
    <w:p w:rsidR="004A0011" w:rsidRDefault="00D538EF">
      <w:pPr>
        <w:spacing w:line="20" w:lineRule="exact"/>
        <w:rPr>
          <w:sz w:val="24"/>
          <w:szCs w:val="24"/>
        </w:rPr>
      </w:pPr>
      <w:r>
        <w:rPr>
          <w:sz w:val="24"/>
          <w:szCs w:val="24"/>
        </w:rPr>
        <w:br w:type="column"/>
      </w:r>
    </w:p>
    <w:p w:rsidR="004A0011" w:rsidRDefault="004A0011">
      <w:pPr>
        <w:spacing w:line="8" w:lineRule="exact"/>
        <w:rPr>
          <w:sz w:val="24"/>
          <w:szCs w:val="24"/>
        </w:rPr>
      </w:pPr>
    </w:p>
    <w:p w:rsidR="004A0011" w:rsidRDefault="00D538EF">
      <w:pPr>
        <w:rPr>
          <w:sz w:val="20"/>
          <w:szCs w:val="20"/>
        </w:rPr>
      </w:pPr>
      <w:r>
        <w:rPr>
          <w:rFonts w:eastAsia="Times New Roman"/>
          <w:b/>
          <w:bCs/>
          <w:sz w:val="13"/>
          <w:szCs w:val="13"/>
        </w:rPr>
        <w:t>63144</w:t>
      </w:r>
    </w:p>
    <w:p w:rsidR="004A0011" w:rsidRDefault="004A0011">
      <w:pPr>
        <w:spacing w:line="24" w:lineRule="exact"/>
        <w:rPr>
          <w:sz w:val="24"/>
          <w:szCs w:val="24"/>
        </w:rPr>
      </w:pPr>
    </w:p>
    <w:p w:rsidR="004A0011" w:rsidRDefault="004A0011">
      <w:pPr>
        <w:sectPr w:rsidR="004A0011">
          <w:type w:val="continuous"/>
          <w:pgSz w:w="11900" w:h="16838"/>
          <w:pgMar w:top="1024" w:right="399" w:bottom="1440" w:left="300" w:header="0" w:footer="0" w:gutter="0"/>
          <w:cols w:num="4" w:space="720" w:equalWidth="0">
            <w:col w:w="3240" w:space="720"/>
            <w:col w:w="940" w:space="720"/>
            <w:col w:w="1760" w:space="720"/>
            <w:col w:w="3100"/>
          </w:cols>
        </w:sectPr>
      </w:pPr>
    </w:p>
    <w:p w:rsidR="004A0011" w:rsidRDefault="00D538EF">
      <w:pPr>
        <w:ind w:left="2320"/>
        <w:rPr>
          <w:sz w:val="20"/>
          <w:szCs w:val="20"/>
        </w:rPr>
      </w:pPr>
      <w:r>
        <w:rPr>
          <w:rFonts w:eastAsia="Times New Roman"/>
          <w:sz w:val="12"/>
          <w:szCs w:val="12"/>
        </w:rPr>
        <w:t>(Address of Principal Executive Offices)</w:t>
      </w:r>
    </w:p>
    <w:p w:rsidR="004A0011" w:rsidRDefault="00D538EF">
      <w:pPr>
        <w:spacing w:line="20" w:lineRule="exact"/>
        <w:rPr>
          <w:sz w:val="24"/>
          <w:szCs w:val="24"/>
        </w:rPr>
      </w:pPr>
      <w:r>
        <w:rPr>
          <w:sz w:val="24"/>
          <w:szCs w:val="24"/>
        </w:rPr>
        <w:br w:type="column"/>
      </w:r>
    </w:p>
    <w:p w:rsidR="004A0011" w:rsidRDefault="00D538EF">
      <w:pPr>
        <w:rPr>
          <w:sz w:val="20"/>
          <w:szCs w:val="20"/>
        </w:rPr>
      </w:pPr>
      <w:r>
        <w:rPr>
          <w:rFonts w:eastAsia="Times New Roman"/>
          <w:sz w:val="12"/>
          <w:szCs w:val="12"/>
        </w:rPr>
        <w:t>(Zip Code)</w:t>
      </w:r>
    </w:p>
    <w:p w:rsidR="004A0011" w:rsidRDefault="004A0011">
      <w:pPr>
        <w:spacing w:line="200" w:lineRule="exact"/>
        <w:rPr>
          <w:sz w:val="24"/>
          <w:szCs w:val="24"/>
        </w:rPr>
      </w:pPr>
    </w:p>
    <w:p w:rsidR="004A0011" w:rsidRDefault="004A0011">
      <w:pPr>
        <w:sectPr w:rsidR="004A0011">
          <w:type w:val="continuous"/>
          <w:pgSz w:w="11900" w:h="16838"/>
          <w:pgMar w:top="1024" w:right="399" w:bottom="1440" w:left="300" w:header="0" w:footer="0" w:gutter="0"/>
          <w:cols w:num="2" w:space="720" w:equalWidth="0">
            <w:col w:w="7280" w:space="720"/>
            <w:col w:w="3200"/>
          </w:cols>
        </w:sectPr>
      </w:pPr>
    </w:p>
    <w:p w:rsidR="004A0011" w:rsidRDefault="004A0011">
      <w:pPr>
        <w:spacing w:line="367" w:lineRule="exact"/>
        <w:rPr>
          <w:sz w:val="24"/>
          <w:szCs w:val="24"/>
        </w:rPr>
      </w:pPr>
    </w:p>
    <w:p w:rsidR="004A0011" w:rsidRDefault="00D538EF">
      <w:pPr>
        <w:numPr>
          <w:ilvl w:val="0"/>
          <w:numId w:val="1"/>
        </w:numPr>
        <w:tabs>
          <w:tab w:val="left" w:pos="440"/>
        </w:tabs>
        <w:ind w:left="440" w:hanging="232"/>
        <w:rPr>
          <w:rFonts w:ascii="MS PGothic" w:eastAsia="MS PGothic" w:hAnsi="MS PGothic" w:cs="MS PGothic"/>
          <w:sz w:val="12"/>
          <w:szCs w:val="12"/>
        </w:rPr>
      </w:pPr>
      <w:r>
        <w:rPr>
          <w:rFonts w:eastAsia="Times New Roman"/>
          <w:sz w:val="12"/>
          <w:szCs w:val="12"/>
        </w:rPr>
        <w:t>Written communications pursuant to Rule 425 under the Securities Act (17 CFR 230.425)</w:t>
      </w:r>
    </w:p>
    <w:p w:rsidR="004A0011" w:rsidRDefault="004A0011">
      <w:pPr>
        <w:spacing w:line="78" w:lineRule="exact"/>
        <w:rPr>
          <w:rFonts w:ascii="MS PGothic" w:eastAsia="MS PGothic" w:hAnsi="MS PGothic" w:cs="MS PGothic"/>
          <w:sz w:val="12"/>
          <w:szCs w:val="12"/>
        </w:rPr>
      </w:pPr>
    </w:p>
    <w:p w:rsidR="004A0011" w:rsidRDefault="00D538EF">
      <w:pPr>
        <w:numPr>
          <w:ilvl w:val="0"/>
          <w:numId w:val="1"/>
        </w:numPr>
        <w:tabs>
          <w:tab w:val="left" w:pos="440"/>
        </w:tabs>
        <w:ind w:left="440" w:hanging="232"/>
        <w:rPr>
          <w:rFonts w:ascii="MS PGothic" w:eastAsia="MS PGothic" w:hAnsi="MS PGothic" w:cs="MS PGothic"/>
          <w:sz w:val="12"/>
          <w:szCs w:val="12"/>
        </w:rPr>
      </w:pPr>
      <w:r>
        <w:rPr>
          <w:rFonts w:eastAsia="Times New Roman"/>
          <w:sz w:val="12"/>
          <w:szCs w:val="12"/>
        </w:rPr>
        <w:t>Soliciting material pursuant to Rule 14a-12 under the Exchange Act (17 CFR 240.14a-12)</w:t>
      </w:r>
    </w:p>
    <w:p w:rsidR="004A0011" w:rsidRDefault="004A0011">
      <w:pPr>
        <w:spacing w:line="78" w:lineRule="exact"/>
        <w:rPr>
          <w:rFonts w:ascii="MS PGothic" w:eastAsia="MS PGothic" w:hAnsi="MS PGothic" w:cs="MS PGothic"/>
          <w:sz w:val="12"/>
          <w:szCs w:val="12"/>
        </w:rPr>
      </w:pPr>
    </w:p>
    <w:p w:rsidR="004A0011" w:rsidRDefault="00D538EF">
      <w:pPr>
        <w:numPr>
          <w:ilvl w:val="0"/>
          <w:numId w:val="1"/>
        </w:numPr>
        <w:tabs>
          <w:tab w:val="left" w:pos="440"/>
        </w:tabs>
        <w:ind w:left="440" w:hanging="232"/>
        <w:rPr>
          <w:rFonts w:ascii="MS PGothic" w:eastAsia="MS PGothic" w:hAnsi="MS PGothic" w:cs="MS PGothic"/>
          <w:sz w:val="12"/>
          <w:szCs w:val="12"/>
        </w:rPr>
      </w:pPr>
      <w:r>
        <w:rPr>
          <w:rFonts w:eastAsia="Times New Roman"/>
          <w:sz w:val="12"/>
          <w:szCs w:val="12"/>
        </w:rPr>
        <w:t xml:space="preserve">Pre-commencement </w:t>
      </w:r>
      <w:r>
        <w:rPr>
          <w:rFonts w:eastAsia="Times New Roman"/>
          <w:sz w:val="12"/>
          <w:szCs w:val="12"/>
        </w:rPr>
        <w:t>communications pursuant to Rule 14d-2(b) under the Exchange Act (17 CFR 240.14d-2(b))</w:t>
      </w:r>
    </w:p>
    <w:p w:rsidR="004A0011" w:rsidRDefault="004A0011">
      <w:pPr>
        <w:spacing w:line="78" w:lineRule="exact"/>
        <w:rPr>
          <w:rFonts w:ascii="MS PGothic" w:eastAsia="MS PGothic" w:hAnsi="MS PGothic" w:cs="MS PGothic"/>
          <w:sz w:val="12"/>
          <w:szCs w:val="12"/>
        </w:rPr>
      </w:pPr>
    </w:p>
    <w:p w:rsidR="004A0011" w:rsidRDefault="00D538EF">
      <w:pPr>
        <w:numPr>
          <w:ilvl w:val="0"/>
          <w:numId w:val="1"/>
        </w:numPr>
        <w:tabs>
          <w:tab w:val="left" w:pos="440"/>
        </w:tabs>
        <w:ind w:left="440" w:hanging="232"/>
        <w:rPr>
          <w:rFonts w:ascii="MS PGothic" w:eastAsia="MS PGothic" w:hAnsi="MS PGothic" w:cs="MS PGothic"/>
          <w:sz w:val="12"/>
          <w:szCs w:val="12"/>
        </w:rPr>
      </w:pPr>
      <w:r>
        <w:rPr>
          <w:rFonts w:eastAsia="Times New Roman"/>
          <w:sz w:val="12"/>
          <w:szCs w:val="12"/>
        </w:rPr>
        <w:t>Pre-commencement communications pursuant to Rule 13e-4(c) under the Exchange Act (17 CFR 240.13e-4(c))</w:t>
      </w:r>
    </w:p>
    <w:p w:rsidR="004A0011" w:rsidRDefault="004A0011">
      <w:pPr>
        <w:spacing w:line="150"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1420"/>
        <w:gridCol w:w="860"/>
        <w:gridCol w:w="1520"/>
        <w:gridCol w:w="680"/>
        <w:gridCol w:w="900"/>
        <w:gridCol w:w="800"/>
        <w:gridCol w:w="800"/>
        <w:gridCol w:w="2120"/>
      </w:tblGrid>
      <w:tr w:rsidR="004A0011">
        <w:trPr>
          <w:trHeight w:val="155"/>
        </w:trPr>
        <w:tc>
          <w:tcPr>
            <w:tcW w:w="3800" w:type="dxa"/>
            <w:gridSpan w:val="3"/>
            <w:vAlign w:val="bottom"/>
          </w:tcPr>
          <w:p w:rsidR="004A0011" w:rsidRDefault="00D538EF">
            <w:pPr>
              <w:rPr>
                <w:sz w:val="20"/>
                <w:szCs w:val="20"/>
              </w:rPr>
            </w:pPr>
            <w:r>
              <w:rPr>
                <w:rFonts w:eastAsia="Times New Roman"/>
                <w:sz w:val="12"/>
                <w:szCs w:val="12"/>
              </w:rPr>
              <w:t>Securities registered pursuant to Section 12(b) of the Act:</w:t>
            </w:r>
          </w:p>
        </w:tc>
        <w:tc>
          <w:tcPr>
            <w:tcW w:w="680" w:type="dxa"/>
            <w:vAlign w:val="bottom"/>
          </w:tcPr>
          <w:p w:rsidR="004A0011" w:rsidRDefault="004A0011">
            <w:pPr>
              <w:rPr>
                <w:sz w:val="13"/>
                <w:szCs w:val="13"/>
              </w:rPr>
            </w:pPr>
          </w:p>
        </w:tc>
        <w:tc>
          <w:tcPr>
            <w:tcW w:w="900" w:type="dxa"/>
            <w:vAlign w:val="bottom"/>
          </w:tcPr>
          <w:p w:rsidR="004A0011" w:rsidRDefault="004A0011">
            <w:pPr>
              <w:rPr>
                <w:sz w:val="13"/>
                <w:szCs w:val="13"/>
              </w:rPr>
            </w:pPr>
          </w:p>
        </w:tc>
        <w:tc>
          <w:tcPr>
            <w:tcW w:w="800" w:type="dxa"/>
            <w:vAlign w:val="bottom"/>
          </w:tcPr>
          <w:p w:rsidR="004A0011" w:rsidRDefault="004A0011">
            <w:pPr>
              <w:rPr>
                <w:sz w:val="13"/>
                <w:szCs w:val="13"/>
              </w:rPr>
            </w:pPr>
          </w:p>
        </w:tc>
        <w:tc>
          <w:tcPr>
            <w:tcW w:w="800" w:type="dxa"/>
            <w:vAlign w:val="bottom"/>
          </w:tcPr>
          <w:p w:rsidR="004A0011" w:rsidRDefault="004A0011">
            <w:pPr>
              <w:rPr>
                <w:sz w:val="13"/>
                <w:szCs w:val="13"/>
              </w:rPr>
            </w:pPr>
          </w:p>
        </w:tc>
        <w:tc>
          <w:tcPr>
            <w:tcW w:w="2120" w:type="dxa"/>
            <w:vAlign w:val="bottom"/>
          </w:tcPr>
          <w:p w:rsidR="004A0011" w:rsidRDefault="004A0011">
            <w:pPr>
              <w:rPr>
                <w:sz w:val="13"/>
                <w:szCs w:val="13"/>
              </w:rPr>
            </w:pPr>
          </w:p>
        </w:tc>
      </w:tr>
      <w:tr w:rsidR="004A0011">
        <w:trPr>
          <w:trHeight w:val="144"/>
        </w:trPr>
        <w:tc>
          <w:tcPr>
            <w:tcW w:w="1420" w:type="dxa"/>
            <w:vAlign w:val="bottom"/>
          </w:tcPr>
          <w:p w:rsidR="004A0011" w:rsidRDefault="004A0011">
            <w:pPr>
              <w:rPr>
                <w:sz w:val="12"/>
                <w:szCs w:val="12"/>
              </w:rPr>
            </w:pPr>
          </w:p>
        </w:tc>
        <w:tc>
          <w:tcPr>
            <w:tcW w:w="2380" w:type="dxa"/>
            <w:gridSpan w:val="2"/>
            <w:vAlign w:val="bottom"/>
          </w:tcPr>
          <w:p w:rsidR="004A0011" w:rsidRDefault="00D538EF">
            <w:pPr>
              <w:ind w:right="1520"/>
              <w:jc w:val="center"/>
              <w:rPr>
                <w:sz w:val="20"/>
                <w:szCs w:val="20"/>
              </w:rPr>
            </w:pPr>
            <w:r>
              <w:rPr>
                <w:rFonts w:eastAsia="Times New Roman"/>
                <w:w w:val="98"/>
                <w:sz w:val="12"/>
                <w:szCs w:val="12"/>
              </w:rPr>
              <w:t>Title of each class</w:t>
            </w:r>
          </w:p>
        </w:tc>
        <w:tc>
          <w:tcPr>
            <w:tcW w:w="2380" w:type="dxa"/>
            <w:gridSpan w:val="3"/>
            <w:vAlign w:val="bottom"/>
          </w:tcPr>
          <w:p w:rsidR="004A0011" w:rsidRDefault="00D538EF">
            <w:pPr>
              <w:ind w:right="120"/>
              <w:jc w:val="center"/>
              <w:rPr>
                <w:sz w:val="20"/>
                <w:szCs w:val="20"/>
              </w:rPr>
            </w:pPr>
            <w:r>
              <w:rPr>
                <w:rFonts w:eastAsia="Times New Roman"/>
                <w:w w:val="98"/>
                <w:sz w:val="12"/>
                <w:szCs w:val="12"/>
              </w:rPr>
              <w:t>Trading Symbol(s)</w:t>
            </w:r>
          </w:p>
        </w:tc>
        <w:tc>
          <w:tcPr>
            <w:tcW w:w="2920" w:type="dxa"/>
            <w:gridSpan w:val="2"/>
            <w:vAlign w:val="bottom"/>
          </w:tcPr>
          <w:p w:rsidR="004A0011" w:rsidRDefault="00D538EF">
            <w:pPr>
              <w:ind w:left="740"/>
              <w:jc w:val="center"/>
              <w:rPr>
                <w:sz w:val="20"/>
                <w:szCs w:val="20"/>
              </w:rPr>
            </w:pPr>
            <w:r>
              <w:rPr>
                <w:rFonts w:eastAsia="Times New Roman"/>
                <w:w w:val="99"/>
                <w:sz w:val="12"/>
                <w:szCs w:val="12"/>
              </w:rPr>
              <w:t>Name of each exchange on which registered</w:t>
            </w:r>
          </w:p>
        </w:tc>
      </w:tr>
      <w:tr w:rsidR="004A0011">
        <w:trPr>
          <w:trHeight w:val="20"/>
        </w:trPr>
        <w:tc>
          <w:tcPr>
            <w:tcW w:w="1420" w:type="dxa"/>
            <w:vAlign w:val="bottom"/>
          </w:tcPr>
          <w:p w:rsidR="004A0011" w:rsidRDefault="004A0011">
            <w:pPr>
              <w:spacing w:line="20" w:lineRule="exact"/>
              <w:rPr>
                <w:sz w:val="1"/>
                <w:szCs w:val="1"/>
              </w:rPr>
            </w:pPr>
          </w:p>
        </w:tc>
        <w:tc>
          <w:tcPr>
            <w:tcW w:w="860" w:type="dxa"/>
            <w:shd w:val="clear" w:color="auto" w:fill="000000"/>
            <w:vAlign w:val="bottom"/>
          </w:tcPr>
          <w:p w:rsidR="004A0011" w:rsidRDefault="004A0011">
            <w:pPr>
              <w:spacing w:line="20" w:lineRule="exact"/>
              <w:rPr>
                <w:sz w:val="1"/>
                <w:szCs w:val="1"/>
              </w:rPr>
            </w:pPr>
          </w:p>
        </w:tc>
        <w:tc>
          <w:tcPr>
            <w:tcW w:w="1520" w:type="dxa"/>
            <w:vAlign w:val="bottom"/>
          </w:tcPr>
          <w:p w:rsidR="004A0011" w:rsidRDefault="004A0011">
            <w:pPr>
              <w:spacing w:line="20" w:lineRule="exact"/>
              <w:rPr>
                <w:sz w:val="1"/>
                <w:szCs w:val="1"/>
              </w:rPr>
            </w:pPr>
          </w:p>
        </w:tc>
        <w:tc>
          <w:tcPr>
            <w:tcW w:w="680" w:type="dxa"/>
            <w:vAlign w:val="bottom"/>
          </w:tcPr>
          <w:p w:rsidR="004A0011" w:rsidRDefault="004A0011">
            <w:pPr>
              <w:spacing w:line="20" w:lineRule="exact"/>
              <w:rPr>
                <w:sz w:val="1"/>
                <w:szCs w:val="1"/>
              </w:rPr>
            </w:pPr>
          </w:p>
        </w:tc>
        <w:tc>
          <w:tcPr>
            <w:tcW w:w="900" w:type="dxa"/>
            <w:shd w:val="clear" w:color="auto" w:fill="000000"/>
            <w:vAlign w:val="bottom"/>
          </w:tcPr>
          <w:p w:rsidR="004A0011" w:rsidRDefault="004A0011">
            <w:pPr>
              <w:spacing w:line="20" w:lineRule="exact"/>
              <w:rPr>
                <w:sz w:val="1"/>
                <w:szCs w:val="1"/>
              </w:rPr>
            </w:pPr>
          </w:p>
        </w:tc>
        <w:tc>
          <w:tcPr>
            <w:tcW w:w="800" w:type="dxa"/>
            <w:vAlign w:val="bottom"/>
          </w:tcPr>
          <w:p w:rsidR="004A0011" w:rsidRDefault="004A0011">
            <w:pPr>
              <w:spacing w:line="20" w:lineRule="exact"/>
              <w:rPr>
                <w:sz w:val="1"/>
                <w:szCs w:val="1"/>
              </w:rPr>
            </w:pPr>
          </w:p>
        </w:tc>
        <w:tc>
          <w:tcPr>
            <w:tcW w:w="800" w:type="dxa"/>
            <w:vAlign w:val="bottom"/>
          </w:tcPr>
          <w:p w:rsidR="004A0011" w:rsidRDefault="004A0011">
            <w:pPr>
              <w:spacing w:line="20" w:lineRule="exact"/>
              <w:rPr>
                <w:sz w:val="1"/>
                <w:szCs w:val="1"/>
              </w:rPr>
            </w:pPr>
          </w:p>
        </w:tc>
        <w:tc>
          <w:tcPr>
            <w:tcW w:w="2120" w:type="dxa"/>
            <w:shd w:val="clear" w:color="auto" w:fill="000000"/>
            <w:vAlign w:val="bottom"/>
          </w:tcPr>
          <w:p w:rsidR="004A0011" w:rsidRDefault="004A0011">
            <w:pPr>
              <w:spacing w:line="20" w:lineRule="exact"/>
              <w:rPr>
                <w:sz w:val="1"/>
                <w:szCs w:val="1"/>
              </w:rPr>
            </w:pPr>
          </w:p>
        </w:tc>
      </w:tr>
      <w:tr w:rsidR="004A0011">
        <w:trPr>
          <w:trHeight w:val="160"/>
        </w:trPr>
        <w:tc>
          <w:tcPr>
            <w:tcW w:w="3800" w:type="dxa"/>
            <w:gridSpan w:val="3"/>
            <w:vAlign w:val="bottom"/>
          </w:tcPr>
          <w:p w:rsidR="004A0011" w:rsidRDefault="00D538EF">
            <w:pPr>
              <w:ind w:right="80"/>
              <w:jc w:val="center"/>
              <w:rPr>
                <w:sz w:val="20"/>
                <w:szCs w:val="20"/>
              </w:rPr>
            </w:pPr>
            <w:r>
              <w:rPr>
                <w:rFonts w:eastAsia="Times New Roman"/>
                <w:b/>
                <w:bCs/>
                <w:w w:val="99"/>
                <w:sz w:val="12"/>
                <w:szCs w:val="12"/>
              </w:rPr>
              <w:t>Class A Common Stock, $0.01 par value per share</w:t>
            </w:r>
          </w:p>
        </w:tc>
        <w:tc>
          <w:tcPr>
            <w:tcW w:w="680" w:type="dxa"/>
            <w:vAlign w:val="bottom"/>
          </w:tcPr>
          <w:p w:rsidR="004A0011" w:rsidRDefault="004A0011">
            <w:pPr>
              <w:rPr>
                <w:sz w:val="13"/>
                <w:szCs w:val="13"/>
              </w:rPr>
            </w:pPr>
          </w:p>
        </w:tc>
        <w:tc>
          <w:tcPr>
            <w:tcW w:w="1700" w:type="dxa"/>
            <w:gridSpan w:val="2"/>
            <w:vAlign w:val="bottom"/>
          </w:tcPr>
          <w:p w:rsidR="004A0011" w:rsidRDefault="00D538EF">
            <w:pPr>
              <w:ind w:right="800"/>
              <w:jc w:val="center"/>
              <w:rPr>
                <w:sz w:val="20"/>
                <w:szCs w:val="20"/>
              </w:rPr>
            </w:pPr>
            <w:r>
              <w:rPr>
                <w:rFonts w:eastAsia="Times New Roman"/>
                <w:b/>
                <w:bCs/>
                <w:sz w:val="12"/>
                <w:szCs w:val="12"/>
              </w:rPr>
              <w:t>BRBR</w:t>
            </w:r>
          </w:p>
        </w:tc>
        <w:tc>
          <w:tcPr>
            <w:tcW w:w="800" w:type="dxa"/>
            <w:vAlign w:val="bottom"/>
          </w:tcPr>
          <w:p w:rsidR="004A0011" w:rsidRDefault="004A0011">
            <w:pPr>
              <w:rPr>
                <w:sz w:val="13"/>
                <w:szCs w:val="13"/>
              </w:rPr>
            </w:pPr>
          </w:p>
        </w:tc>
        <w:tc>
          <w:tcPr>
            <w:tcW w:w="2120" w:type="dxa"/>
            <w:vAlign w:val="bottom"/>
          </w:tcPr>
          <w:p w:rsidR="004A0011" w:rsidRDefault="00D538EF">
            <w:pPr>
              <w:jc w:val="center"/>
              <w:rPr>
                <w:sz w:val="20"/>
                <w:szCs w:val="20"/>
              </w:rPr>
            </w:pPr>
            <w:r>
              <w:rPr>
                <w:rFonts w:eastAsia="Times New Roman"/>
                <w:b/>
                <w:bCs/>
                <w:w w:val="99"/>
                <w:sz w:val="12"/>
                <w:szCs w:val="12"/>
              </w:rPr>
              <w:t>New York Stock Exchange</w:t>
            </w:r>
          </w:p>
        </w:tc>
      </w:tr>
    </w:tbl>
    <w:p w:rsidR="004A0011" w:rsidRDefault="004A0011">
      <w:pPr>
        <w:spacing w:line="61" w:lineRule="exact"/>
        <w:rPr>
          <w:sz w:val="24"/>
          <w:szCs w:val="24"/>
        </w:rPr>
      </w:pPr>
    </w:p>
    <w:p w:rsidR="004A0011" w:rsidRDefault="00D538EF">
      <w:pPr>
        <w:spacing w:line="279" w:lineRule="auto"/>
        <w:ind w:right="80"/>
        <w:rPr>
          <w:sz w:val="20"/>
          <w:szCs w:val="20"/>
        </w:rPr>
      </w:pPr>
      <w:r>
        <w:rPr>
          <w:rFonts w:eastAsia="Times New Roman"/>
          <w:sz w:val="12"/>
          <w:szCs w:val="12"/>
        </w:rPr>
        <w:t xml:space="preserve">Indicate by check mark whether the registrant is an emerging growth company as </w:t>
      </w:r>
      <w:r>
        <w:rPr>
          <w:rFonts w:eastAsia="Times New Roman"/>
          <w:sz w:val="12"/>
          <w:szCs w:val="12"/>
        </w:rPr>
        <w:t>defined in Rule 405 of the Securities Act of 1933 (§230.405 of this chapter) or Rule 12b-2 of the Securities Exchange Act of 1934 (§240.12b-2 of this chapter).</w:t>
      </w:r>
    </w:p>
    <w:p w:rsidR="004A0011" w:rsidRDefault="004A0011">
      <w:pPr>
        <w:spacing w:line="19" w:lineRule="exact"/>
        <w:rPr>
          <w:sz w:val="24"/>
          <w:szCs w:val="24"/>
        </w:rPr>
      </w:pPr>
    </w:p>
    <w:p w:rsidR="004A0011" w:rsidRDefault="00D538EF">
      <w:pPr>
        <w:spacing w:line="138" w:lineRule="exact"/>
        <w:rPr>
          <w:sz w:val="20"/>
          <w:szCs w:val="20"/>
        </w:rPr>
      </w:pPr>
      <w:r>
        <w:rPr>
          <w:rFonts w:eastAsia="Times New Roman"/>
          <w:sz w:val="12"/>
          <w:szCs w:val="12"/>
        </w:rPr>
        <w:t xml:space="preserve">Emerging growth company </w:t>
      </w:r>
      <w:r>
        <w:rPr>
          <w:rFonts w:ascii="MS PGothic" w:eastAsia="MS PGothic" w:hAnsi="MS PGothic" w:cs="MS PGothic"/>
          <w:sz w:val="12"/>
          <w:szCs w:val="12"/>
        </w:rPr>
        <w:t>☒</w:t>
      </w:r>
    </w:p>
    <w:p w:rsidR="004A0011" w:rsidRDefault="004A0011">
      <w:pPr>
        <w:spacing w:line="98" w:lineRule="exact"/>
        <w:rPr>
          <w:sz w:val="24"/>
          <w:szCs w:val="24"/>
        </w:rPr>
      </w:pPr>
    </w:p>
    <w:p w:rsidR="004A0011" w:rsidRDefault="00D538EF">
      <w:pPr>
        <w:spacing w:line="156" w:lineRule="exact"/>
        <w:rPr>
          <w:sz w:val="20"/>
          <w:szCs w:val="20"/>
        </w:rPr>
      </w:pPr>
      <w:r>
        <w:rPr>
          <w:rFonts w:eastAsia="Times New Roman"/>
          <w:sz w:val="12"/>
          <w:szCs w:val="12"/>
        </w:rPr>
        <w:t xml:space="preserve">If an emerging growth company, indicate by check mark if the registrant has elected not to use the extended transition period for complying with any new or revised financial accounting standards provided pursuant to Section 13(a) of the Exchange Act. </w:t>
      </w:r>
      <w:r>
        <w:rPr>
          <w:rFonts w:ascii="MS PGothic" w:eastAsia="MS PGothic" w:hAnsi="MS PGothic" w:cs="MS PGothic"/>
          <w:sz w:val="12"/>
          <w:szCs w:val="12"/>
        </w:rPr>
        <w:t>☒</w:t>
      </w:r>
    </w:p>
    <w:p w:rsidR="004A0011" w:rsidRDefault="00D538EF">
      <w:pPr>
        <w:spacing w:line="20" w:lineRule="exact"/>
        <w:rPr>
          <w:sz w:val="24"/>
          <w:szCs w:val="24"/>
        </w:rPr>
      </w:pPr>
      <w:r>
        <w:rPr>
          <w:noProof/>
          <w:sz w:val="24"/>
          <w:szCs w:val="24"/>
        </w:rPr>
        <w:drawing>
          <wp:anchor distT="0" distB="0" distL="114300" distR="114300" simplePos="0" relativeHeight="251649536" behindDoc="1" locked="0" layoutInCell="0" allowOverlap="1">
            <wp:simplePos x="0" y="0"/>
            <wp:positionH relativeFrom="column">
              <wp:posOffset>-4445</wp:posOffset>
            </wp:positionH>
            <wp:positionV relativeFrom="paragraph">
              <wp:posOffset>741045</wp:posOffset>
            </wp:positionV>
            <wp:extent cx="7178040" cy="114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7178040" cy="11430"/>
                    </a:xfrm>
                    <a:prstGeom prst="rect">
                      <a:avLst/>
                    </a:prstGeom>
                    <a:noFill/>
                  </pic:spPr>
                </pic:pic>
              </a:graphicData>
            </a:graphic>
          </wp:anchor>
        </w:drawing>
      </w:r>
      <w:r>
        <w:rPr>
          <w:noProof/>
          <w:sz w:val="24"/>
          <w:szCs w:val="24"/>
        </w:rPr>
        <w:drawing>
          <wp:anchor distT="0" distB="0" distL="114300" distR="114300" simplePos="0" relativeHeight="251650560" behindDoc="1" locked="0" layoutInCell="0" allowOverlap="1">
            <wp:simplePos x="0" y="0"/>
            <wp:positionH relativeFrom="column">
              <wp:posOffset>240665</wp:posOffset>
            </wp:positionH>
            <wp:positionV relativeFrom="paragraph">
              <wp:posOffset>146685</wp:posOffset>
            </wp:positionV>
            <wp:extent cx="6063615" cy="57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blip>
                    <a:srcRect/>
                    <a:stretch>
                      <a:fillRect/>
                    </a:stretch>
                  </pic:blipFill>
                  <pic:spPr bwMode="auto">
                    <a:xfrm>
                      <a:off x="0" y="0"/>
                      <a:ext cx="6063615" cy="5715"/>
                    </a:xfrm>
                    <a:prstGeom prst="rect">
                      <a:avLst/>
                    </a:prstGeom>
                    <a:noFill/>
                  </pic:spPr>
                </pic:pic>
              </a:graphicData>
            </a:graphic>
          </wp:anchor>
        </w:drawing>
      </w:r>
      <w:r>
        <w:rPr>
          <w:noProof/>
          <w:sz w:val="24"/>
          <w:szCs w:val="24"/>
        </w:rPr>
        <w:drawing>
          <wp:anchor distT="0" distB="0" distL="114300" distR="114300" simplePos="0" relativeHeight="251651584" behindDoc="1" locked="0" layoutInCell="0" allowOverlap="1">
            <wp:simplePos x="0" y="0"/>
            <wp:positionH relativeFrom="column">
              <wp:posOffset>240665</wp:posOffset>
            </wp:positionH>
            <wp:positionV relativeFrom="paragraph">
              <wp:posOffset>163830</wp:posOffset>
            </wp:positionV>
            <wp:extent cx="6063615" cy="57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blip>
                    <a:srcRect/>
                    <a:stretch>
                      <a:fillRect/>
                    </a:stretch>
                  </pic:blipFill>
                  <pic:spPr bwMode="auto">
                    <a:xfrm>
                      <a:off x="0" y="0"/>
                      <a:ext cx="6063615" cy="5715"/>
                    </a:xfrm>
                    <a:prstGeom prst="rect">
                      <a:avLst/>
                    </a:prstGeom>
                    <a:noFill/>
                  </pic:spPr>
                </pic:pic>
              </a:graphicData>
            </a:graphic>
          </wp:anchor>
        </w:drawing>
      </w:r>
    </w:p>
    <w:p w:rsidR="004A0011" w:rsidRDefault="004A0011">
      <w:pPr>
        <w:sectPr w:rsidR="004A0011">
          <w:type w:val="continuous"/>
          <w:pgSz w:w="11900" w:h="16838"/>
          <w:pgMar w:top="1024" w:right="399" w:bottom="1440" w:left="300" w:header="0" w:footer="0" w:gutter="0"/>
          <w:cols w:space="720" w:equalWidth="0">
            <w:col w:w="11200"/>
          </w:cols>
        </w:sectPr>
      </w:pPr>
    </w:p>
    <w:p w:rsidR="004A0011" w:rsidRDefault="00D538EF">
      <w:pPr>
        <w:tabs>
          <w:tab w:val="left" w:pos="600"/>
        </w:tabs>
        <w:rPr>
          <w:sz w:val="20"/>
          <w:szCs w:val="20"/>
        </w:rPr>
      </w:pPr>
      <w:bookmarkStart w:id="2" w:name="page2"/>
      <w:bookmarkEnd w:id="2"/>
      <w:r>
        <w:rPr>
          <w:rFonts w:eastAsia="Times New Roman"/>
          <w:b/>
          <w:bCs/>
          <w:sz w:val="12"/>
          <w:szCs w:val="12"/>
        </w:rPr>
        <w:lastRenderedPageBreak/>
        <w:t>Item 2.02.</w:t>
      </w:r>
      <w:r>
        <w:rPr>
          <w:sz w:val="20"/>
          <w:szCs w:val="20"/>
        </w:rPr>
        <w:tab/>
      </w:r>
      <w:r>
        <w:rPr>
          <w:rFonts w:eastAsia="Times New Roman"/>
          <w:b/>
          <w:bCs/>
          <w:sz w:val="11"/>
          <w:szCs w:val="11"/>
        </w:rPr>
        <w:t>Results of Operation and Financial Condition.</w:t>
      </w:r>
    </w:p>
    <w:p w:rsidR="004A0011" w:rsidRDefault="004A0011">
      <w:pPr>
        <w:spacing w:line="172" w:lineRule="exact"/>
        <w:rPr>
          <w:sz w:val="20"/>
          <w:szCs w:val="20"/>
        </w:rPr>
      </w:pPr>
    </w:p>
    <w:p w:rsidR="004A0011" w:rsidRDefault="00D538EF">
      <w:pPr>
        <w:spacing w:line="265" w:lineRule="auto"/>
        <w:ind w:right="160"/>
        <w:rPr>
          <w:sz w:val="20"/>
          <w:szCs w:val="20"/>
        </w:rPr>
      </w:pPr>
      <w:r>
        <w:rPr>
          <w:rFonts w:eastAsia="Times New Roman"/>
          <w:sz w:val="12"/>
          <w:szCs w:val="12"/>
        </w:rPr>
        <w:t>On November 19, 2020, BellRing Brands, Inc. issued a press release announcing results for its fourth fiscal quarter and fiscal year ended September 30, 2020 and providing a fi</w:t>
      </w:r>
      <w:r>
        <w:rPr>
          <w:rFonts w:eastAsia="Times New Roman"/>
          <w:sz w:val="12"/>
          <w:szCs w:val="12"/>
        </w:rPr>
        <w:t>nancial outlook for fiscal year 2021. A copy of the press release is attached hereto as Exhibit 99.1 and incorporated herein by reference. In addition, on November 19, 2020, BellRing Brands, Inc. published to the "Investor Relations" section of its website</w:t>
      </w:r>
      <w:r>
        <w:rPr>
          <w:rFonts w:eastAsia="Times New Roman"/>
          <w:sz w:val="12"/>
          <w:szCs w:val="12"/>
        </w:rPr>
        <w:t>, www.bellringbrands.com, a supplemental presentation related to results for its fourth fiscal quarter and year ended September 30, 2020. A copy of the presentation is attached hereto as Exhibit 99.2 and incorporated herein by reference.</w:t>
      </w:r>
    </w:p>
    <w:p w:rsidR="004A0011" w:rsidRDefault="004A0011">
      <w:pPr>
        <w:spacing w:line="137" w:lineRule="exact"/>
        <w:rPr>
          <w:sz w:val="20"/>
          <w:szCs w:val="20"/>
        </w:rPr>
      </w:pPr>
    </w:p>
    <w:p w:rsidR="004A0011" w:rsidRDefault="00D538EF">
      <w:pPr>
        <w:spacing w:line="265" w:lineRule="auto"/>
        <w:rPr>
          <w:sz w:val="20"/>
          <w:szCs w:val="20"/>
        </w:rPr>
      </w:pPr>
      <w:r>
        <w:rPr>
          <w:rFonts w:eastAsia="Times New Roman"/>
          <w:sz w:val="12"/>
          <w:szCs w:val="12"/>
        </w:rPr>
        <w:t>The information c</w:t>
      </w:r>
      <w:r>
        <w:rPr>
          <w:rFonts w:eastAsia="Times New Roman"/>
          <w:sz w:val="12"/>
          <w:szCs w:val="12"/>
        </w:rPr>
        <w:t>ontained in Item 2.02, including Exhibit 99.1 and Exhibit 99.2 attached hereto, shall not be deemed to be "filed" for purposes of Section 18 of the Securities Exchange Act of 1934, as amended (the "Exchange Act"), or otherwise subject to the liabilities of</w:t>
      </w:r>
      <w:r>
        <w:rPr>
          <w:rFonts w:eastAsia="Times New Roman"/>
          <w:sz w:val="12"/>
          <w:szCs w:val="12"/>
        </w:rPr>
        <w:t xml:space="preserve"> that Section, nor shall they be deemed incorporated by reference into any filings under the Securities Act of 1933, as amended, or the Exchange Act, except as expressly set forth by specific reference in such filing.</w:t>
      </w:r>
    </w:p>
    <w:p w:rsidR="004A0011" w:rsidRDefault="004A0011">
      <w:pPr>
        <w:spacing w:line="133" w:lineRule="exact"/>
        <w:rPr>
          <w:sz w:val="20"/>
          <w:szCs w:val="20"/>
        </w:rPr>
      </w:pPr>
    </w:p>
    <w:p w:rsidR="004A0011" w:rsidRDefault="00D538EF">
      <w:pPr>
        <w:tabs>
          <w:tab w:val="left" w:pos="600"/>
        </w:tabs>
        <w:rPr>
          <w:sz w:val="20"/>
          <w:szCs w:val="20"/>
        </w:rPr>
      </w:pPr>
      <w:r>
        <w:rPr>
          <w:rFonts w:eastAsia="Times New Roman"/>
          <w:b/>
          <w:bCs/>
          <w:sz w:val="12"/>
          <w:szCs w:val="12"/>
        </w:rPr>
        <w:t>Item 9.01.</w:t>
      </w:r>
      <w:r>
        <w:rPr>
          <w:sz w:val="20"/>
          <w:szCs w:val="20"/>
        </w:rPr>
        <w:tab/>
      </w:r>
      <w:r>
        <w:rPr>
          <w:rFonts w:eastAsia="Times New Roman"/>
          <w:b/>
          <w:bCs/>
          <w:sz w:val="11"/>
          <w:szCs w:val="11"/>
        </w:rPr>
        <w:t xml:space="preserve">Financial </w:t>
      </w:r>
      <w:r>
        <w:rPr>
          <w:rFonts w:eastAsia="Times New Roman"/>
          <w:b/>
          <w:bCs/>
          <w:sz w:val="11"/>
          <w:szCs w:val="11"/>
        </w:rPr>
        <w:t>Statements and Exhibits.</w:t>
      </w:r>
    </w:p>
    <w:p w:rsidR="004A0011" w:rsidRDefault="004A0011">
      <w:pPr>
        <w:spacing w:line="168" w:lineRule="exact"/>
        <w:rPr>
          <w:sz w:val="20"/>
          <w:szCs w:val="20"/>
        </w:rPr>
      </w:pPr>
    </w:p>
    <w:p w:rsidR="004A0011" w:rsidRDefault="00D538EF">
      <w:pPr>
        <w:rPr>
          <w:sz w:val="20"/>
          <w:szCs w:val="20"/>
        </w:rPr>
      </w:pPr>
      <w:r>
        <w:rPr>
          <w:rFonts w:eastAsia="Times New Roman"/>
          <w:b/>
          <w:bCs/>
          <w:sz w:val="12"/>
          <w:szCs w:val="12"/>
        </w:rPr>
        <w:t>(d) Exhibits</w:t>
      </w:r>
    </w:p>
    <w:p w:rsidR="004A0011" w:rsidRDefault="004A0011">
      <w:pPr>
        <w:spacing w:line="35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560"/>
        <w:gridCol w:w="1700"/>
        <w:gridCol w:w="560"/>
        <w:gridCol w:w="8480"/>
      </w:tblGrid>
      <w:tr w:rsidR="004A0011">
        <w:trPr>
          <w:trHeight w:val="138"/>
        </w:trPr>
        <w:tc>
          <w:tcPr>
            <w:tcW w:w="2260" w:type="dxa"/>
            <w:gridSpan w:val="2"/>
            <w:vAlign w:val="bottom"/>
          </w:tcPr>
          <w:p w:rsidR="004A0011" w:rsidRDefault="00D538EF">
            <w:pPr>
              <w:rPr>
                <w:sz w:val="20"/>
                <w:szCs w:val="20"/>
              </w:rPr>
            </w:pPr>
            <w:r>
              <w:rPr>
                <w:rFonts w:eastAsia="Times New Roman"/>
                <w:sz w:val="12"/>
                <w:szCs w:val="12"/>
              </w:rPr>
              <w:t>Exhibit No.</w:t>
            </w:r>
          </w:p>
        </w:tc>
        <w:tc>
          <w:tcPr>
            <w:tcW w:w="9040" w:type="dxa"/>
            <w:gridSpan w:val="2"/>
            <w:vAlign w:val="bottom"/>
          </w:tcPr>
          <w:p w:rsidR="004A0011" w:rsidRDefault="00D538EF">
            <w:pPr>
              <w:rPr>
                <w:sz w:val="20"/>
                <w:szCs w:val="20"/>
              </w:rPr>
            </w:pPr>
            <w:r>
              <w:rPr>
                <w:rFonts w:eastAsia="Times New Roman"/>
                <w:sz w:val="12"/>
                <w:szCs w:val="12"/>
              </w:rPr>
              <w:t>Description</w:t>
            </w:r>
          </w:p>
        </w:tc>
      </w:tr>
      <w:tr w:rsidR="004A0011">
        <w:trPr>
          <w:trHeight w:val="20"/>
        </w:trPr>
        <w:tc>
          <w:tcPr>
            <w:tcW w:w="560" w:type="dxa"/>
            <w:shd w:val="clear" w:color="auto" w:fill="000000"/>
            <w:vAlign w:val="bottom"/>
          </w:tcPr>
          <w:p w:rsidR="004A0011" w:rsidRDefault="004A0011">
            <w:pPr>
              <w:spacing w:line="20" w:lineRule="exact"/>
              <w:rPr>
                <w:sz w:val="1"/>
                <w:szCs w:val="1"/>
              </w:rPr>
            </w:pPr>
          </w:p>
        </w:tc>
        <w:tc>
          <w:tcPr>
            <w:tcW w:w="1700" w:type="dxa"/>
            <w:vAlign w:val="bottom"/>
          </w:tcPr>
          <w:p w:rsidR="004A0011" w:rsidRDefault="004A0011">
            <w:pPr>
              <w:spacing w:line="20" w:lineRule="exact"/>
              <w:rPr>
                <w:sz w:val="1"/>
                <w:szCs w:val="1"/>
              </w:rPr>
            </w:pPr>
          </w:p>
        </w:tc>
        <w:tc>
          <w:tcPr>
            <w:tcW w:w="560" w:type="dxa"/>
            <w:shd w:val="clear" w:color="auto" w:fill="000000"/>
            <w:vAlign w:val="bottom"/>
          </w:tcPr>
          <w:p w:rsidR="004A0011" w:rsidRDefault="004A0011">
            <w:pPr>
              <w:spacing w:line="20" w:lineRule="exact"/>
              <w:rPr>
                <w:sz w:val="1"/>
                <w:szCs w:val="1"/>
              </w:rPr>
            </w:pPr>
          </w:p>
        </w:tc>
        <w:tc>
          <w:tcPr>
            <w:tcW w:w="8480" w:type="dxa"/>
            <w:vAlign w:val="bottom"/>
          </w:tcPr>
          <w:p w:rsidR="004A0011" w:rsidRDefault="004A0011">
            <w:pPr>
              <w:spacing w:line="20" w:lineRule="exact"/>
              <w:rPr>
                <w:sz w:val="1"/>
                <w:szCs w:val="1"/>
              </w:rPr>
            </w:pPr>
          </w:p>
        </w:tc>
      </w:tr>
      <w:tr w:rsidR="004A0011">
        <w:trPr>
          <w:trHeight w:val="338"/>
        </w:trPr>
        <w:tc>
          <w:tcPr>
            <w:tcW w:w="560" w:type="dxa"/>
            <w:vAlign w:val="bottom"/>
          </w:tcPr>
          <w:p w:rsidR="004A0011" w:rsidRDefault="00D538EF">
            <w:pPr>
              <w:rPr>
                <w:sz w:val="20"/>
                <w:szCs w:val="20"/>
              </w:rPr>
            </w:pPr>
            <w:r>
              <w:rPr>
                <w:rFonts w:eastAsia="Times New Roman"/>
                <w:sz w:val="12"/>
                <w:szCs w:val="12"/>
              </w:rPr>
              <w:t>99.1</w:t>
            </w:r>
          </w:p>
        </w:tc>
        <w:tc>
          <w:tcPr>
            <w:tcW w:w="1700" w:type="dxa"/>
            <w:vAlign w:val="bottom"/>
          </w:tcPr>
          <w:p w:rsidR="004A0011" w:rsidRDefault="004A0011">
            <w:pPr>
              <w:rPr>
                <w:sz w:val="24"/>
                <w:szCs w:val="24"/>
              </w:rPr>
            </w:pPr>
          </w:p>
        </w:tc>
        <w:tc>
          <w:tcPr>
            <w:tcW w:w="9040" w:type="dxa"/>
            <w:gridSpan w:val="2"/>
            <w:vAlign w:val="bottom"/>
          </w:tcPr>
          <w:p w:rsidR="004A0011" w:rsidRDefault="00D538EF">
            <w:pPr>
              <w:rPr>
                <w:rFonts w:eastAsia="Times New Roman"/>
                <w:color w:val="0000FF"/>
                <w:sz w:val="12"/>
                <w:szCs w:val="12"/>
                <w:u w:val="single"/>
              </w:rPr>
            </w:pPr>
            <w:hyperlink w:anchor="page4">
              <w:r>
                <w:rPr>
                  <w:rFonts w:eastAsia="Times New Roman"/>
                  <w:color w:val="0000FF"/>
                  <w:sz w:val="12"/>
                  <w:szCs w:val="12"/>
                  <w:u w:val="single"/>
                </w:rPr>
                <w:t>Press Release dated November 19, 2020</w:t>
              </w:r>
            </w:hyperlink>
          </w:p>
        </w:tc>
      </w:tr>
      <w:tr w:rsidR="004A0011">
        <w:trPr>
          <w:trHeight w:val="153"/>
        </w:trPr>
        <w:tc>
          <w:tcPr>
            <w:tcW w:w="560" w:type="dxa"/>
            <w:vAlign w:val="bottom"/>
          </w:tcPr>
          <w:p w:rsidR="004A0011" w:rsidRDefault="00D538EF">
            <w:pPr>
              <w:rPr>
                <w:sz w:val="20"/>
                <w:szCs w:val="20"/>
              </w:rPr>
            </w:pPr>
            <w:r>
              <w:rPr>
                <w:rFonts w:eastAsia="Times New Roman"/>
                <w:sz w:val="12"/>
                <w:szCs w:val="12"/>
              </w:rPr>
              <w:t>99.2</w:t>
            </w:r>
          </w:p>
        </w:tc>
        <w:tc>
          <w:tcPr>
            <w:tcW w:w="1700" w:type="dxa"/>
            <w:vAlign w:val="bottom"/>
          </w:tcPr>
          <w:p w:rsidR="004A0011" w:rsidRDefault="004A0011">
            <w:pPr>
              <w:rPr>
                <w:sz w:val="13"/>
                <w:szCs w:val="13"/>
              </w:rPr>
            </w:pPr>
          </w:p>
        </w:tc>
        <w:tc>
          <w:tcPr>
            <w:tcW w:w="9040" w:type="dxa"/>
            <w:gridSpan w:val="2"/>
            <w:vAlign w:val="bottom"/>
          </w:tcPr>
          <w:p w:rsidR="004A0011" w:rsidRDefault="00D538EF">
            <w:pPr>
              <w:rPr>
                <w:rFonts w:eastAsia="Times New Roman"/>
                <w:color w:val="0000FF"/>
                <w:sz w:val="12"/>
                <w:szCs w:val="12"/>
                <w:u w:val="single"/>
              </w:rPr>
            </w:pPr>
            <w:hyperlink w:anchor="page14">
              <w:r>
                <w:rPr>
                  <w:rFonts w:eastAsia="Times New Roman"/>
                  <w:color w:val="0000FF"/>
                  <w:sz w:val="12"/>
                  <w:szCs w:val="12"/>
                  <w:u w:val="single"/>
                </w:rPr>
                <w:t>Fourth Quarter Fiscal Year 2020 Supplemental Presentation</w:t>
              </w:r>
            </w:hyperlink>
          </w:p>
        </w:tc>
      </w:tr>
      <w:tr w:rsidR="004A0011">
        <w:trPr>
          <w:trHeight w:val="155"/>
        </w:trPr>
        <w:tc>
          <w:tcPr>
            <w:tcW w:w="560" w:type="dxa"/>
            <w:vAlign w:val="bottom"/>
          </w:tcPr>
          <w:p w:rsidR="004A0011" w:rsidRDefault="00D538EF">
            <w:pPr>
              <w:rPr>
                <w:sz w:val="20"/>
                <w:szCs w:val="20"/>
              </w:rPr>
            </w:pPr>
            <w:r>
              <w:rPr>
                <w:rFonts w:eastAsia="Times New Roman"/>
                <w:sz w:val="12"/>
                <w:szCs w:val="12"/>
              </w:rPr>
              <w:t>104</w:t>
            </w:r>
          </w:p>
        </w:tc>
        <w:tc>
          <w:tcPr>
            <w:tcW w:w="1700" w:type="dxa"/>
            <w:vAlign w:val="bottom"/>
          </w:tcPr>
          <w:p w:rsidR="004A0011" w:rsidRDefault="004A0011">
            <w:pPr>
              <w:rPr>
                <w:sz w:val="13"/>
                <w:szCs w:val="13"/>
              </w:rPr>
            </w:pPr>
          </w:p>
        </w:tc>
        <w:tc>
          <w:tcPr>
            <w:tcW w:w="9040" w:type="dxa"/>
            <w:gridSpan w:val="2"/>
            <w:vAlign w:val="bottom"/>
          </w:tcPr>
          <w:p w:rsidR="004A0011" w:rsidRDefault="00D538EF">
            <w:pPr>
              <w:rPr>
                <w:sz w:val="20"/>
                <w:szCs w:val="20"/>
              </w:rPr>
            </w:pPr>
            <w:r>
              <w:rPr>
                <w:rFonts w:eastAsia="Times New Roman"/>
                <w:sz w:val="12"/>
                <w:szCs w:val="12"/>
              </w:rPr>
              <w:t xml:space="preserve">Cover Page </w:t>
            </w:r>
            <w:r>
              <w:rPr>
                <w:rFonts w:eastAsia="Times New Roman"/>
                <w:sz w:val="12"/>
                <w:szCs w:val="12"/>
              </w:rPr>
              <w:t>Interactive Data File (the cover page iXBRL tags are embedded within the Inline XBRL document)</w:t>
            </w:r>
          </w:p>
        </w:tc>
      </w:tr>
      <w:tr w:rsidR="004A0011">
        <w:trPr>
          <w:trHeight w:val="2178"/>
        </w:trPr>
        <w:tc>
          <w:tcPr>
            <w:tcW w:w="560" w:type="dxa"/>
            <w:tcBorders>
              <w:bottom w:val="single" w:sz="8" w:space="0" w:color="9A9A9A"/>
            </w:tcBorders>
            <w:vAlign w:val="bottom"/>
          </w:tcPr>
          <w:p w:rsidR="004A0011" w:rsidRDefault="004A0011">
            <w:pPr>
              <w:rPr>
                <w:sz w:val="24"/>
                <w:szCs w:val="24"/>
              </w:rPr>
            </w:pPr>
          </w:p>
        </w:tc>
        <w:tc>
          <w:tcPr>
            <w:tcW w:w="1700" w:type="dxa"/>
            <w:tcBorders>
              <w:bottom w:val="single" w:sz="8" w:space="0" w:color="9A9A9A"/>
            </w:tcBorders>
            <w:vAlign w:val="bottom"/>
          </w:tcPr>
          <w:p w:rsidR="004A0011" w:rsidRDefault="004A0011">
            <w:pPr>
              <w:rPr>
                <w:sz w:val="24"/>
                <w:szCs w:val="24"/>
              </w:rPr>
            </w:pPr>
          </w:p>
        </w:tc>
        <w:tc>
          <w:tcPr>
            <w:tcW w:w="560" w:type="dxa"/>
            <w:tcBorders>
              <w:bottom w:val="single" w:sz="8" w:space="0" w:color="9A9A9A"/>
            </w:tcBorders>
            <w:vAlign w:val="bottom"/>
          </w:tcPr>
          <w:p w:rsidR="004A0011" w:rsidRDefault="004A0011">
            <w:pPr>
              <w:rPr>
                <w:sz w:val="24"/>
                <w:szCs w:val="24"/>
              </w:rPr>
            </w:pPr>
          </w:p>
        </w:tc>
        <w:tc>
          <w:tcPr>
            <w:tcW w:w="8480" w:type="dxa"/>
            <w:tcBorders>
              <w:bottom w:val="single" w:sz="8" w:space="0" w:color="9A9A9A"/>
            </w:tcBorders>
            <w:vAlign w:val="bottom"/>
          </w:tcPr>
          <w:p w:rsidR="004A0011" w:rsidRDefault="004A0011">
            <w:pPr>
              <w:rPr>
                <w:sz w:val="24"/>
                <w:szCs w:val="24"/>
              </w:rPr>
            </w:pPr>
          </w:p>
        </w:tc>
      </w:tr>
    </w:tbl>
    <w:p w:rsidR="004A0011" w:rsidRDefault="00D538EF">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7167245</wp:posOffset>
            </wp:positionH>
            <wp:positionV relativeFrom="paragraph">
              <wp:posOffset>-5080</wp:posOffset>
            </wp:positionV>
            <wp:extent cx="5715" cy="571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blip>
                    <a:srcRect/>
                    <a:stretch>
                      <a:fillRect/>
                    </a:stretch>
                  </pic:blipFill>
                  <pic:spPr bwMode="auto">
                    <a:xfrm>
                      <a:off x="0" y="0"/>
                      <a:ext cx="5715" cy="5715"/>
                    </a:xfrm>
                    <a:prstGeom prst="rect">
                      <a:avLst/>
                    </a:prstGeom>
                    <a:noFill/>
                  </pic:spPr>
                </pic:pic>
              </a:graphicData>
            </a:graphic>
          </wp:anchor>
        </w:drawing>
      </w:r>
      <w:r>
        <w:rPr>
          <w:noProof/>
          <w:sz w:val="20"/>
          <w:szCs w:val="20"/>
        </w:rPr>
        <w:drawing>
          <wp:anchor distT="0" distB="0" distL="114300" distR="114300" simplePos="0" relativeHeight="251653632" behindDoc="1" locked="0" layoutInCell="0" allowOverlap="1">
            <wp:simplePos x="0" y="0"/>
            <wp:positionH relativeFrom="column">
              <wp:posOffset>-4445</wp:posOffset>
            </wp:positionH>
            <wp:positionV relativeFrom="paragraph">
              <wp:posOffset>-10795</wp:posOffset>
            </wp:positionV>
            <wp:extent cx="5715" cy="114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blip>
                    <a:srcRect/>
                    <a:stretch>
                      <a:fillRect/>
                    </a:stretch>
                  </pic:blipFill>
                  <pic:spPr bwMode="auto">
                    <a:xfrm>
                      <a:off x="0" y="0"/>
                      <a:ext cx="5715" cy="11430"/>
                    </a:xfrm>
                    <a:prstGeom prst="rect">
                      <a:avLst/>
                    </a:prstGeom>
                    <a:noFill/>
                  </pic:spPr>
                </pic:pic>
              </a:graphicData>
            </a:graphic>
          </wp:anchor>
        </w:drawing>
      </w:r>
    </w:p>
    <w:p w:rsidR="004A0011" w:rsidRDefault="004A0011">
      <w:pPr>
        <w:sectPr w:rsidR="004A0011">
          <w:pgSz w:w="11900" w:h="16838"/>
          <w:pgMar w:top="1160" w:right="299" w:bottom="1440" w:left="300" w:header="0" w:footer="0" w:gutter="0"/>
          <w:cols w:space="720" w:equalWidth="0">
            <w:col w:w="11300"/>
          </w:cols>
        </w:sectPr>
      </w:pPr>
    </w:p>
    <w:p w:rsidR="004A0011" w:rsidRDefault="00D538EF">
      <w:pPr>
        <w:rPr>
          <w:sz w:val="20"/>
          <w:szCs w:val="20"/>
        </w:rPr>
      </w:pPr>
      <w:bookmarkStart w:id="3" w:name="page3"/>
      <w:bookmarkEnd w:id="3"/>
      <w:r>
        <w:rPr>
          <w:rFonts w:eastAsia="Times New Roman"/>
          <w:sz w:val="12"/>
          <w:szCs w:val="12"/>
        </w:rPr>
        <w:lastRenderedPageBreak/>
        <w:t xml:space="preserve">Pursuant to the requirements of the Securities Exchange Act of 1934, the registrant has duly caused this report to be signed on its </w:t>
      </w:r>
      <w:r>
        <w:rPr>
          <w:rFonts w:eastAsia="Times New Roman"/>
          <w:sz w:val="12"/>
          <w:szCs w:val="12"/>
        </w:rPr>
        <w:t>behalf by the undersigned thereunto duly authorized.</w:t>
      </w:r>
    </w:p>
    <w:p w:rsidR="004A0011" w:rsidRDefault="004A0011">
      <w:pPr>
        <w:spacing w:line="19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400"/>
        <w:gridCol w:w="3060"/>
        <w:gridCol w:w="4620"/>
      </w:tblGrid>
      <w:tr w:rsidR="004A0011">
        <w:trPr>
          <w:trHeight w:val="159"/>
        </w:trPr>
        <w:tc>
          <w:tcPr>
            <w:tcW w:w="3400" w:type="dxa"/>
            <w:vAlign w:val="bottom"/>
          </w:tcPr>
          <w:p w:rsidR="004A0011" w:rsidRDefault="00D538EF">
            <w:pPr>
              <w:rPr>
                <w:sz w:val="20"/>
                <w:szCs w:val="20"/>
              </w:rPr>
            </w:pPr>
            <w:r>
              <w:rPr>
                <w:rFonts w:eastAsia="Times New Roman"/>
                <w:sz w:val="12"/>
                <w:szCs w:val="12"/>
              </w:rPr>
              <w:t>Date: November 19, 2020</w:t>
            </w:r>
          </w:p>
        </w:tc>
        <w:tc>
          <w:tcPr>
            <w:tcW w:w="7680" w:type="dxa"/>
            <w:gridSpan w:val="2"/>
            <w:vAlign w:val="bottom"/>
          </w:tcPr>
          <w:p w:rsidR="004A0011" w:rsidRDefault="00D538EF">
            <w:pPr>
              <w:ind w:left="2140"/>
              <w:rPr>
                <w:sz w:val="20"/>
                <w:szCs w:val="20"/>
              </w:rPr>
            </w:pPr>
            <w:r>
              <w:rPr>
                <w:rFonts w:eastAsia="Times New Roman"/>
                <w:b/>
                <w:bCs/>
                <w:sz w:val="12"/>
                <w:szCs w:val="12"/>
              </w:rPr>
              <w:t>BellRing Brands, Inc.</w:t>
            </w:r>
          </w:p>
        </w:tc>
      </w:tr>
      <w:tr w:rsidR="004A0011">
        <w:trPr>
          <w:trHeight w:val="225"/>
        </w:trPr>
        <w:tc>
          <w:tcPr>
            <w:tcW w:w="3400" w:type="dxa"/>
            <w:vAlign w:val="bottom"/>
          </w:tcPr>
          <w:p w:rsidR="004A0011" w:rsidRDefault="004A0011">
            <w:pPr>
              <w:rPr>
                <w:sz w:val="19"/>
                <w:szCs w:val="19"/>
              </w:rPr>
            </w:pPr>
          </w:p>
        </w:tc>
        <w:tc>
          <w:tcPr>
            <w:tcW w:w="3060" w:type="dxa"/>
            <w:vAlign w:val="bottom"/>
          </w:tcPr>
          <w:p w:rsidR="004A0011" w:rsidRDefault="00D538EF">
            <w:pPr>
              <w:ind w:left="2140"/>
              <w:rPr>
                <w:sz w:val="20"/>
                <w:szCs w:val="20"/>
              </w:rPr>
            </w:pPr>
            <w:r>
              <w:rPr>
                <w:rFonts w:eastAsia="Times New Roman"/>
                <w:sz w:val="12"/>
                <w:szCs w:val="12"/>
              </w:rPr>
              <w:t>(Registrant)</w:t>
            </w:r>
          </w:p>
        </w:tc>
        <w:tc>
          <w:tcPr>
            <w:tcW w:w="4620" w:type="dxa"/>
            <w:vAlign w:val="bottom"/>
          </w:tcPr>
          <w:p w:rsidR="004A0011" w:rsidRDefault="004A0011">
            <w:pPr>
              <w:rPr>
                <w:sz w:val="19"/>
                <w:szCs w:val="19"/>
              </w:rPr>
            </w:pPr>
          </w:p>
        </w:tc>
      </w:tr>
      <w:tr w:rsidR="004A0011">
        <w:trPr>
          <w:trHeight w:val="450"/>
        </w:trPr>
        <w:tc>
          <w:tcPr>
            <w:tcW w:w="3400" w:type="dxa"/>
            <w:vAlign w:val="bottom"/>
          </w:tcPr>
          <w:p w:rsidR="004A0011" w:rsidRDefault="004A0011">
            <w:pPr>
              <w:rPr>
                <w:sz w:val="24"/>
                <w:szCs w:val="24"/>
              </w:rPr>
            </w:pPr>
          </w:p>
        </w:tc>
        <w:tc>
          <w:tcPr>
            <w:tcW w:w="3060" w:type="dxa"/>
            <w:vAlign w:val="bottom"/>
          </w:tcPr>
          <w:p w:rsidR="004A0011" w:rsidRDefault="00D538EF">
            <w:pPr>
              <w:ind w:left="2140"/>
              <w:rPr>
                <w:sz w:val="20"/>
                <w:szCs w:val="20"/>
              </w:rPr>
            </w:pPr>
            <w:r>
              <w:rPr>
                <w:rFonts w:eastAsia="Times New Roman"/>
                <w:sz w:val="12"/>
                <w:szCs w:val="12"/>
              </w:rPr>
              <w:t>By:</w:t>
            </w:r>
          </w:p>
        </w:tc>
        <w:tc>
          <w:tcPr>
            <w:tcW w:w="4620" w:type="dxa"/>
            <w:tcBorders>
              <w:bottom w:val="single" w:sz="8" w:space="0" w:color="auto"/>
            </w:tcBorders>
            <w:vAlign w:val="bottom"/>
          </w:tcPr>
          <w:p w:rsidR="004A0011" w:rsidRDefault="00D538EF">
            <w:pPr>
              <w:rPr>
                <w:sz w:val="20"/>
                <w:szCs w:val="20"/>
              </w:rPr>
            </w:pPr>
            <w:r>
              <w:rPr>
                <w:rFonts w:eastAsia="Times New Roman"/>
                <w:sz w:val="12"/>
                <w:szCs w:val="12"/>
              </w:rPr>
              <w:t>/s/ Paul A. Rode</w:t>
            </w:r>
          </w:p>
        </w:tc>
      </w:tr>
      <w:tr w:rsidR="004A0011">
        <w:trPr>
          <w:trHeight w:val="203"/>
        </w:trPr>
        <w:tc>
          <w:tcPr>
            <w:tcW w:w="3400" w:type="dxa"/>
            <w:vAlign w:val="bottom"/>
          </w:tcPr>
          <w:p w:rsidR="004A0011" w:rsidRDefault="004A0011">
            <w:pPr>
              <w:rPr>
                <w:sz w:val="17"/>
                <w:szCs w:val="17"/>
              </w:rPr>
            </w:pPr>
          </w:p>
        </w:tc>
        <w:tc>
          <w:tcPr>
            <w:tcW w:w="3060" w:type="dxa"/>
            <w:vAlign w:val="bottom"/>
          </w:tcPr>
          <w:p w:rsidR="004A0011" w:rsidRDefault="00D538EF">
            <w:pPr>
              <w:ind w:left="2140"/>
              <w:rPr>
                <w:sz w:val="20"/>
                <w:szCs w:val="20"/>
              </w:rPr>
            </w:pPr>
            <w:r>
              <w:rPr>
                <w:rFonts w:eastAsia="Times New Roman"/>
                <w:sz w:val="12"/>
                <w:szCs w:val="12"/>
              </w:rPr>
              <w:t>Name:</w:t>
            </w:r>
          </w:p>
        </w:tc>
        <w:tc>
          <w:tcPr>
            <w:tcW w:w="4620" w:type="dxa"/>
            <w:vAlign w:val="bottom"/>
          </w:tcPr>
          <w:p w:rsidR="004A0011" w:rsidRDefault="00D538EF">
            <w:pPr>
              <w:rPr>
                <w:sz w:val="20"/>
                <w:szCs w:val="20"/>
              </w:rPr>
            </w:pPr>
            <w:r>
              <w:rPr>
                <w:rFonts w:eastAsia="Times New Roman"/>
                <w:sz w:val="12"/>
                <w:szCs w:val="12"/>
              </w:rPr>
              <w:t>Paul A. Rode</w:t>
            </w:r>
          </w:p>
        </w:tc>
      </w:tr>
      <w:tr w:rsidR="004A0011">
        <w:trPr>
          <w:trHeight w:val="155"/>
        </w:trPr>
        <w:tc>
          <w:tcPr>
            <w:tcW w:w="3400" w:type="dxa"/>
            <w:vAlign w:val="bottom"/>
          </w:tcPr>
          <w:p w:rsidR="004A0011" w:rsidRDefault="004A0011">
            <w:pPr>
              <w:rPr>
                <w:sz w:val="13"/>
                <w:szCs w:val="13"/>
              </w:rPr>
            </w:pPr>
          </w:p>
        </w:tc>
        <w:tc>
          <w:tcPr>
            <w:tcW w:w="3060" w:type="dxa"/>
            <w:vAlign w:val="bottom"/>
          </w:tcPr>
          <w:p w:rsidR="004A0011" w:rsidRDefault="00D538EF">
            <w:pPr>
              <w:ind w:left="2140"/>
              <w:rPr>
                <w:sz w:val="20"/>
                <w:szCs w:val="20"/>
              </w:rPr>
            </w:pPr>
            <w:r>
              <w:rPr>
                <w:rFonts w:eastAsia="Times New Roman"/>
                <w:sz w:val="12"/>
                <w:szCs w:val="12"/>
              </w:rPr>
              <w:t>Title:</w:t>
            </w:r>
          </w:p>
        </w:tc>
        <w:tc>
          <w:tcPr>
            <w:tcW w:w="4620" w:type="dxa"/>
            <w:vAlign w:val="bottom"/>
          </w:tcPr>
          <w:p w:rsidR="004A0011" w:rsidRDefault="00D538EF">
            <w:pPr>
              <w:rPr>
                <w:sz w:val="20"/>
                <w:szCs w:val="20"/>
              </w:rPr>
            </w:pPr>
            <w:r>
              <w:rPr>
                <w:rFonts w:eastAsia="Times New Roman"/>
                <w:sz w:val="12"/>
                <w:szCs w:val="12"/>
              </w:rPr>
              <w:t>Chief Financial Officer</w:t>
            </w:r>
          </w:p>
        </w:tc>
      </w:tr>
    </w:tbl>
    <w:p w:rsidR="004A0011" w:rsidRDefault="004A0011">
      <w:pPr>
        <w:sectPr w:rsidR="004A0011">
          <w:pgSz w:w="11900" w:h="16838"/>
          <w:pgMar w:top="1155" w:right="519" w:bottom="1440" w:left="300" w:header="0" w:footer="0" w:gutter="0"/>
          <w:cols w:space="720" w:equalWidth="0">
            <w:col w:w="11080"/>
          </w:cols>
        </w:sectPr>
      </w:pPr>
    </w:p>
    <w:p w:rsidR="004A0011" w:rsidRDefault="00D538EF">
      <w:pPr>
        <w:jc w:val="right"/>
        <w:rPr>
          <w:sz w:val="20"/>
          <w:szCs w:val="20"/>
        </w:rPr>
      </w:pPr>
      <w:bookmarkStart w:id="4" w:name="page4"/>
      <w:bookmarkEnd w:id="4"/>
      <w:r>
        <w:rPr>
          <w:rFonts w:eastAsia="Times New Roman"/>
          <w:sz w:val="12"/>
          <w:szCs w:val="12"/>
          <w:u w:val="single"/>
        </w:rPr>
        <w:lastRenderedPageBreak/>
        <w:t>Exhibit 99.1</w:t>
      </w:r>
    </w:p>
    <w:p w:rsidR="004A0011" w:rsidRDefault="00D538EF">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-4445</wp:posOffset>
            </wp:positionH>
            <wp:positionV relativeFrom="paragraph">
              <wp:posOffset>79375</wp:posOffset>
            </wp:positionV>
            <wp:extent cx="1000125" cy="4800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blip>
                    <a:srcRect/>
                    <a:stretch>
                      <a:fillRect/>
                    </a:stretch>
                  </pic:blipFill>
                  <pic:spPr bwMode="auto">
                    <a:xfrm>
                      <a:off x="0" y="0"/>
                      <a:ext cx="1000125" cy="480060"/>
                    </a:xfrm>
                    <a:prstGeom prst="rect">
                      <a:avLst/>
                    </a:prstGeom>
                    <a:noFill/>
                  </pic:spPr>
                </pic:pic>
              </a:graphicData>
            </a:graphic>
          </wp:anchor>
        </w:drawing>
      </w: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49" w:lineRule="exact"/>
        <w:rPr>
          <w:sz w:val="20"/>
          <w:szCs w:val="20"/>
        </w:rPr>
      </w:pPr>
    </w:p>
    <w:p w:rsidR="004A0011" w:rsidRDefault="00D538EF">
      <w:pPr>
        <w:jc w:val="center"/>
        <w:rPr>
          <w:sz w:val="20"/>
          <w:szCs w:val="20"/>
        </w:rPr>
      </w:pPr>
      <w:r>
        <w:rPr>
          <w:rFonts w:eastAsia="Times New Roman"/>
          <w:b/>
          <w:bCs/>
          <w:sz w:val="17"/>
          <w:szCs w:val="17"/>
        </w:rPr>
        <w:t xml:space="preserve">BellRing Brands </w:t>
      </w:r>
      <w:r>
        <w:rPr>
          <w:rFonts w:eastAsia="Times New Roman"/>
          <w:b/>
          <w:bCs/>
          <w:sz w:val="17"/>
          <w:szCs w:val="17"/>
        </w:rPr>
        <w:t>Reports Results for the Fourth Quarter and Fiscal Year 2020</w:t>
      </w:r>
    </w:p>
    <w:p w:rsidR="004A0011" w:rsidRDefault="004A0011">
      <w:pPr>
        <w:spacing w:line="150" w:lineRule="exact"/>
        <w:rPr>
          <w:sz w:val="20"/>
          <w:szCs w:val="20"/>
        </w:rPr>
      </w:pPr>
    </w:p>
    <w:p w:rsidR="004A0011" w:rsidRDefault="00D538EF">
      <w:pPr>
        <w:spacing w:line="286" w:lineRule="auto"/>
        <w:ind w:right="480"/>
        <w:rPr>
          <w:sz w:val="20"/>
          <w:szCs w:val="20"/>
        </w:rPr>
      </w:pPr>
      <w:r>
        <w:rPr>
          <w:rFonts w:eastAsia="Times New Roman"/>
          <w:b/>
          <w:bCs/>
          <w:sz w:val="12"/>
          <w:szCs w:val="12"/>
        </w:rPr>
        <w:t xml:space="preserve">St. Louis - November 19, 2020 </w:t>
      </w:r>
      <w:r>
        <w:rPr>
          <w:rFonts w:eastAsia="Times New Roman"/>
          <w:sz w:val="12"/>
          <w:szCs w:val="12"/>
        </w:rPr>
        <w:t>- BellRing Brands, Inc. (NYSE:BRBR) (“BellRing”), a holding company operating in the global convenient nutrition category, today reported results for the fourth quar</w:t>
      </w:r>
      <w:r>
        <w:rPr>
          <w:rFonts w:eastAsia="Times New Roman"/>
          <w:sz w:val="12"/>
          <w:szCs w:val="12"/>
        </w:rPr>
        <w:t>ter and fiscal year ended</w:t>
      </w:r>
      <w:r>
        <w:rPr>
          <w:rFonts w:eastAsia="Times New Roman"/>
          <w:b/>
          <w:bCs/>
          <w:sz w:val="12"/>
          <w:szCs w:val="12"/>
        </w:rPr>
        <w:t xml:space="preserve"> </w:t>
      </w:r>
      <w:r>
        <w:rPr>
          <w:rFonts w:eastAsia="Times New Roman"/>
          <w:sz w:val="12"/>
          <w:szCs w:val="12"/>
        </w:rPr>
        <w:t>September 30, 2020.</w:t>
      </w:r>
    </w:p>
    <w:p w:rsidR="004A0011" w:rsidRDefault="004A0011">
      <w:pPr>
        <w:spacing w:line="67" w:lineRule="exact"/>
        <w:rPr>
          <w:sz w:val="20"/>
          <w:szCs w:val="20"/>
        </w:rPr>
      </w:pPr>
    </w:p>
    <w:p w:rsidR="004A0011" w:rsidRDefault="00D538EF">
      <w:pPr>
        <w:rPr>
          <w:sz w:val="20"/>
          <w:szCs w:val="20"/>
        </w:rPr>
      </w:pPr>
      <w:r>
        <w:rPr>
          <w:rFonts w:eastAsia="Times New Roman"/>
          <w:b/>
          <w:bCs/>
          <w:sz w:val="12"/>
          <w:szCs w:val="12"/>
        </w:rPr>
        <w:t>Highlights:</w:t>
      </w:r>
    </w:p>
    <w:p w:rsidR="004A0011" w:rsidRDefault="004A0011">
      <w:pPr>
        <w:spacing w:line="78" w:lineRule="exact"/>
        <w:rPr>
          <w:sz w:val="20"/>
          <w:szCs w:val="20"/>
        </w:rPr>
      </w:pPr>
    </w:p>
    <w:p w:rsidR="004A0011" w:rsidRDefault="00D538EF">
      <w:pPr>
        <w:numPr>
          <w:ilvl w:val="0"/>
          <w:numId w:val="2"/>
        </w:numPr>
        <w:tabs>
          <w:tab w:val="left" w:pos="420"/>
        </w:tabs>
        <w:ind w:left="420" w:hanging="212"/>
        <w:rPr>
          <w:rFonts w:eastAsia="Times New Roman"/>
          <w:sz w:val="12"/>
          <w:szCs w:val="12"/>
        </w:rPr>
      </w:pPr>
      <w:r>
        <w:rPr>
          <w:rFonts w:eastAsia="Times New Roman"/>
          <w:b/>
          <w:bCs/>
          <w:sz w:val="12"/>
          <w:szCs w:val="12"/>
        </w:rPr>
        <w:t>Fourth quarter net sales of $282.6 million; operating profit of $49.0 million; net earnings available to Class A common stockholders of $10.0 million and Adjusted EBITDA of $56.7 million</w:t>
      </w:r>
    </w:p>
    <w:p w:rsidR="004A0011" w:rsidRDefault="004A0011">
      <w:pPr>
        <w:spacing w:line="20" w:lineRule="exact"/>
        <w:rPr>
          <w:rFonts w:eastAsia="Times New Roman"/>
          <w:sz w:val="12"/>
          <w:szCs w:val="12"/>
        </w:rPr>
      </w:pPr>
    </w:p>
    <w:p w:rsidR="004A0011" w:rsidRDefault="00D538EF">
      <w:pPr>
        <w:numPr>
          <w:ilvl w:val="0"/>
          <w:numId w:val="2"/>
        </w:numPr>
        <w:tabs>
          <w:tab w:val="left" w:pos="420"/>
        </w:tabs>
        <w:ind w:left="420" w:hanging="212"/>
        <w:rPr>
          <w:rFonts w:eastAsia="Times New Roman"/>
          <w:b/>
          <w:bCs/>
          <w:sz w:val="12"/>
          <w:szCs w:val="12"/>
        </w:rPr>
      </w:pPr>
      <w:r>
        <w:rPr>
          <w:rFonts w:eastAsia="Times New Roman"/>
          <w:b/>
          <w:bCs/>
          <w:sz w:val="12"/>
          <w:szCs w:val="12"/>
        </w:rPr>
        <w:t>Fiscal y</w:t>
      </w:r>
      <w:r>
        <w:rPr>
          <w:rFonts w:eastAsia="Times New Roman"/>
          <w:b/>
          <w:bCs/>
          <w:sz w:val="12"/>
          <w:szCs w:val="12"/>
        </w:rPr>
        <w:t>ear net sales of $988.3 million; operating profit of $164.0 million; net earnings available to Class A common stockholders of $23.5 million and Adjusted EBITDA of $197.2 million</w:t>
      </w:r>
    </w:p>
    <w:p w:rsidR="004A0011" w:rsidRDefault="004A0011">
      <w:pPr>
        <w:spacing w:line="6" w:lineRule="exact"/>
        <w:rPr>
          <w:rFonts w:eastAsia="Times New Roman"/>
          <w:b/>
          <w:bCs/>
          <w:sz w:val="12"/>
          <w:szCs w:val="12"/>
        </w:rPr>
      </w:pPr>
    </w:p>
    <w:p w:rsidR="004A0011" w:rsidRDefault="00D538EF">
      <w:pPr>
        <w:numPr>
          <w:ilvl w:val="0"/>
          <w:numId w:val="2"/>
        </w:numPr>
        <w:tabs>
          <w:tab w:val="left" w:pos="417"/>
        </w:tabs>
        <w:spacing w:line="260" w:lineRule="auto"/>
        <w:ind w:left="420" w:right="80" w:hanging="212"/>
        <w:rPr>
          <w:rFonts w:eastAsia="Times New Roman"/>
          <w:b/>
          <w:bCs/>
          <w:sz w:val="12"/>
          <w:szCs w:val="12"/>
        </w:rPr>
      </w:pPr>
      <w:r>
        <w:rPr>
          <w:rFonts w:eastAsia="Times New Roman"/>
          <w:b/>
          <w:bCs/>
          <w:sz w:val="12"/>
          <w:szCs w:val="12"/>
        </w:rPr>
        <w:t>Fiscal year 2021 net sales and Adjusted EBITDA expected to grow 8%-13% and 5%</w:t>
      </w:r>
      <w:r>
        <w:rPr>
          <w:rFonts w:eastAsia="Times New Roman"/>
          <w:b/>
          <w:bCs/>
          <w:sz w:val="12"/>
          <w:szCs w:val="12"/>
        </w:rPr>
        <w:t>-10%, respectively, over fiscal year 2020 (resulting in a net sales range of $1.07-$1.12 billion and an Adjusted EBITDA range of $207-$217 million)</w:t>
      </w:r>
    </w:p>
    <w:p w:rsidR="004A0011" w:rsidRDefault="004A0011">
      <w:pPr>
        <w:spacing w:line="82" w:lineRule="exact"/>
        <w:rPr>
          <w:sz w:val="20"/>
          <w:szCs w:val="20"/>
        </w:rPr>
      </w:pPr>
    </w:p>
    <w:p w:rsidR="004A0011" w:rsidRDefault="00D538EF">
      <w:pPr>
        <w:rPr>
          <w:sz w:val="20"/>
          <w:szCs w:val="20"/>
        </w:rPr>
      </w:pPr>
      <w:r>
        <w:rPr>
          <w:rFonts w:eastAsia="Times New Roman"/>
          <w:b/>
          <w:bCs/>
          <w:sz w:val="12"/>
          <w:szCs w:val="12"/>
        </w:rPr>
        <w:t>Fourth Quarter Operating Results</w:t>
      </w:r>
    </w:p>
    <w:p w:rsidR="004A0011" w:rsidRDefault="004A0011">
      <w:pPr>
        <w:spacing w:line="116" w:lineRule="exact"/>
        <w:rPr>
          <w:sz w:val="20"/>
          <w:szCs w:val="20"/>
        </w:rPr>
      </w:pPr>
    </w:p>
    <w:p w:rsidR="004A0011" w:rsidRDefault="00D538EF">
      <w:pPr>
        <w:spacing w:line="258" w:lineRule="auto"/>
        <w:ind w:right="20"/>
        <w:rPr>
          <w:sz w:val="20"/>
          <w:szCs w:val="20"/>
        </w:rPr>
      </w:pPr>
      <w:r>
        <w:rPr>
          <w:rFonts w:eastAsia="Times New Roman"/>
          <w:sz w:val="12"/>
          <w:szCs w:val="12"/>
        </w:rPr>
        <w:t>Net sales were $282.6 million, an increase of 31.7%, or $68.1 million, co</w:t>
      </w:r>
      <w:r>
        <w:rPr>
          <w:rFonts w:eastAsia="Times New Roman"/>
          <w:sz w:val="12"/>
          <w:szCs w:val="12"/>
        </w:rPr>
        <w:t xml:space="preserve">mpared to the prior year period. </w:t>
      </w:r>
      <w:r>
        <w:rPr>
          <w:rFonts w:eastAsia="Times New Roman"/>
          <w:i/>
          <w:iCs/>
          <w:sz w:val="12"/>
          <w:szCs w:val="12"/>
        </w:rPr>
        <w:t>Premier Protein</w:t>
      </w:r>
      <w:r>
        <w:rPr>
          <w:rFonts w:eastAsia="Times New Roman"/>
          <w:sz w:val="12"/>
          <w:szCs w:val="12"/>
        </w:rPr>
        <w:t xml:space="preserve"> net sales increased 37.2%, with volumes up 40.6%, and </w:t>
      </w:r>
      <w:r>
        <w:rPr>
          <w:rFonts w:eastAsia="Times New Roman"/>
          <w:i/>
          <w:iCs/>
          <w:sz w:val="12"/>
          <w:szCs w:val="12"/>
        </w:rPr>
        <w:t>Premier Protein</w:t>
      </w:r>
      <w:r>
        <w:rPr>
          <w:rFonts w:eastAsia="Times New Roman"/>
          <w:sz w:val="12"/>
          <w:szCs w:val="12"/>
        </w:rPr>
        <w:t xml:space="preserve"> ready-to-drink (“RTD”) shake net sales increased 39.8%, with volumes up 46.2%. </w:t>
      </w:r>
      <w:r>
        <w:rPr>
          <w:rFonts w:eastAsia="Times New Roman"/>
          <w:i/>
          <w:iCs/>
          <w:sz w:val="12"/>
          <w:szCs w:val="12"/>
        </w:rPr>
        <w:t>Premier Protein</w:t>
      </w:r>
      <w:r>
        <w:rPr>
          <w:rFonts w:eastAsia="Times New Roman"/>
          <w:sz w:val="12"/>
          <w:szCs w:val="12"/>
        </w:rPr>
        <w:t xml:space="preserve"> net sales benefited from RTD shake distrib</w:t>
      </w:r>
      <w:r>
        <w:rPr>
          <w:rFonts w:eastAsia="Times New Roman"/>
          <w:sz w:val="12"/>
          <w:szCs w:val="12"/>
        </w:rPr>
        <w:t xml:space="preserve">ution gains for both existing and new products, incremental promotional activity and lapping a reduction in customer trade inventory levels in the prior year period. Additionally, net sales benefited from an increase in customer trade inventory levels, as </w:t>
      </w:r>
      <w:r>
        <w:rPr>
          <w:rFonts w:eastAsia="Times New Roman"/>
          <w:sz w:val="12"/>
          <w:szCs w:val="12"/>
        </w:rPr>
        <w:t xml:space="preserve">RTD shake shipments exceeded consumption driven by certain promotional events and retailer shelf resets that occurred early in the first quarter of 2021. Dollar consumption of </w:t>
      </w:r>
      <w:r>
        <w:rPr>
          <w:rFonts w:eastAsia="Times New Roman"/>
          <w:i/>
          <w:iCs/>
          <w:sz w:val="12"/>
          <w:szCs w:val="12"/>
        </w:rPr>
        <w:t>Premier Protein</w:t>
      </w:r>
      <w:r>
        <w:rPr>
          <w:rFonts w:eastAsia="Times New Roman"/>
          <w:sz w:val="12"/>
          <w:szCs w:val="12"/>
        </w:rPr>
        <w:t xml:space="preserve"> RTD shakes increased 20% in the 13-week period ended September 2</w:t>
      </w:r>
      <w:r>
        <w:rPr>
          <w:rFonts w:eastAsia="Times New Roman"/>
          <w:sz w:val="12"/>
          <w:szCs w:val="12"/>
        </w:rPr>
        <w:t>6, 2020 as compared to the same period in 2019 (inclusive of Nielsen Total US xAOC including Convenience and management estimates of untracked channels).</w:t>
      </w:r>
    </w:p>
    <w:p w:rsidR="004A0011" w:rsidRDefault="004A0011">
      <w:pPr>
        <w:spacing w:line="86" w:lineRule="exact"/>
        <w:rPr>
          <w:sz w:val="20"/>
          <w:szCs w:val="20"/>
        </w:rPr>
      </w:pPr>
    </w:p>
    <w:p w:rsidR="004A0011" w:rsidRDefault="00D538EF">
      <w:pPr>
        <w:spacing w:line="266" w:lineRule="auto"/>
        <w:ind w:right="120"/>
        <w:rPr>
          <w:sz w:val="20"/>
          <w:szCs w:val="20"/>
        </w:rPr>
      </w:pPr>
      <w:r>
        <w:rPr>
          <w:rFonts w:eastAsia="Times New Roman"/>
          <w:i/>
          <w:iCs/>
          <w:sz w:val="12"/>
          <w:szCs w:val="12"/>
        </w:rPr>
        <w:t xml:space="preserve">Dymatize </w:t>
      </w:r>
      <w:r>
        <w:rPr>
          <w:rFonts w:eastAsia="Times New Roman"/>
          <w:sz w:val="12"/>
          <w:szCs w:val="12"/>
        </w:rPr>
        <w:t xml:space="preserve">net sales increased 14.5%, with volumes increasing 22.1%, as strong growth in </w:t>
      </w:r>
      <w:r>
        <w:rPr>
          <w:rFonts w:eastAsia="Times New Roman"/>
          <w:sz w:val="12"/>
          <w:szCs w:val="12"/>
        </w:rPr>
        <w:t>eCommerce and in the mass and club channels were partially offset by declines in international.</w:t>
      </w:r>
      <w:r>
        <w:rPr>
          <w:rFonts w:eastAsia="Times New Roman"/>
          <w:i/>
          <w:iCs/>
          <w:sz w:val="12"/>
          <w:szCs w:val="12"/>
        </w:rPr>
        <w:t xml:space="preserve"> PowerBar </w:t>
      </w:r>
      <w:r>
        <w:rPr>
          <w:rFonts w:eastAsia="Times New Roman"/>
          <w:sz w:val="12"/>
          <w:szCs w:val="12"/>
        </w:rPr>
        <w:t>net sales increased 1.0%, with</w:t>
      </w:r>
      <w:r>
        <w:rPr>
          <w:rFonts w:eastAsia="Times New Roman"/>
          <w:i/>
          <w:iCs/>
          <w:sz w:val="12"/>
          <w:szCs w:val="12"/>
        </w:rPr>
        <w:t xml:space="preserve"> </w:t>
      </w:r>
      <w:r>
        <w:rPr>
          <w:rFonts w:eastAsia="Times New Roman"/>
          <w:sz w:val="12"/>
          <w:szCs w:val="12"/>
        </w:rPr>
        <w:t xml:space="preserve">volumes declining 13.6%. </w:t>
      </w:r>
      <w:r>
        <w:rPr>
          <w:rFonts w:eastAsia="Times New Roman"/>
          <w:i/>
          <w:iCs/>
          <w:sz w:val="12"/>
          <w:szCs w:val="12"/>
        </w:rPr>
        <w:t>Dymatize</w:t>
      </w:r>
      <w:r>
        <w:rPr>
          <w:rFonts w:eastAsia="Times New Roman"/>
          <w:sz w:val="12"/>
          <w:szCs w:val="12"/>
        </w:rPr>
        <w:t xml:space="preserve"> and </w:t>
      </w:r>
      <w:r>
        <w:rPr>
          <w:rFonts w:eastAsia="Times New Roman"/>
          <w:i/>
          <w:iCs/>
          <w:sz w:val="12"/>
          <w:szCs w:val="12"/>
        </w:rPr>
        <w:t>PowerBar</w:t>
      </w:r>
      <w:r>
        <w:rPr>
          <w:rFonts w:eastAsia="Times New Roman"/>
          <w:sz w:val="12"/>
          <w:szCs w:val="12"/>
        </w:rPr>
        <w:t xml:space="preserve"> net sales improved when compared to the third quarter of 2020, but the in</w:t>
      </w:r>
      <w:r>
        <w:rPr>
          <w:rFonts w:eastAsia="Times New Roman"/>
          <w:sz w:val="12"/>
          <w:szCs w:val="12"/>
        </w:rPr>
        <w:t>ternational business continued to be negatively impacted by changes in consumer behavior (primarily lower on-the-go consumption) in response to the COVID-19 pandemic</w:t>
      </w:r>
      <w:r>
        <w:rPr>
          <w:rFonts w:eastAsia="Times New Roman"/>
          <w:i/>
          <w:iCs/>
          <w:sz w:val="12"/>
          <w:szCs w:val="12"/>
        </w:rPr>
        <w:t>.</w:t>
      </w:r>
    </w:p>
    <w:p w:rsidR="004A0011" w:rsidRDefault="004A0011">
      <w:pPr>
        <w:spacing w:line="83" w:lineRule="exact"/>
        <w:rPr>
          <w:sz w:val="20"/>
          <w:szCs w:val="20"/>
        </w:rPr>
      </w:pPr>
    </w:p>
    <w:p w:rsidR="004A0011" w:rsidRDefault="00D538EF">
      <w:pPr>
        <w:spacing w:line="279" w:lineRule="auto"/>
        <w:ind w:right="540"/>
        <w:rPr>
          <w:sz w:val="20"/>
          <w:szCs w:val="20"/>
        </w:rPr>
      </w:pPr>
      <w:r>
        <w:rPr>
          <w:rFonts w:eastAsia="Times New Roman"/>
          <w:sz w:val="12"/>
          <w:szCs w:val="12"/>
        </w:rPr>
        <w:t>Gross profit was $89.8 million, or 31.8% of net sales, an increase of 17.1%, or $13.1 mi</w:t>
      </w:r>
      <w:r>
        <w:rPr>
          <w:rFonts w:eastAsia="Times New Roman"/>
          <w:sz w:val="12"/>
          <w:szCs w:val="12"/>
        </w:rPr>
        <w:t>llion, compared to the prior year period gross profit of $76.7 million, or 35.8% of net sales. The lower gross profit margin was driven by anticipated higher input costs (predominantly milk-based proteins for RTD shakes) and lower average net selling price</w:t>
      </w:r>
      <w:r>
        <w:rPr>
          <w:rFonts w:eastAsia="Times New Roman"/>
          <w:sz w:val="12"/>
          <w:szCs w:val="12"/>
        </w:rPr>
        <w:t>s, resulting from incremental promotional activity.</w:t>
      </w:r>
    </w:p>
    <w:p w:rsidR="004A0011" w:rsidRDefault="004A0011">
      <w:pPr>
        <w:spacing w:line="75" w:lineRule="exact"/>
        <w:rPr>
          <w:sz w:val="20"/>
          <w:szCs w:val="20"/>
        </w:rPr>
      </w:pPr>
    </w:p>
    <w:p w:rsidR="004A0011" w:rsidRDefault="00D538EF">
      <w:pPr>
        <w:spacing w:line="265" w:lineRule="auto"/>
        <w:ind w:right="80"/>
        <w:rPr>
          <w:sz w:val="20"/>
          <w:szCs w:val="20"/>
        </w:rPr>
      </w:pPr>
      <w:r>
        <w:rPr>
          <w:rFonts w:eastAsia="Times New Roman"/>
          <w:sz w:val="12"/>
          <w:szCs w:val="12"/>
        </w:rPr>
        <w:t xml:space="preserve">Selling, general and administrative (“SG&amp;A”) expenses were $35.2 million, or 12.5% of net sales, an increase of $0.1 million compared to the prior year period SG&amp;A expenses of $35.1 million, or 16.4% of </w:t>
      </w:r>
      <w:r>
        <w:rPr>
          <w:rFonts w:eastAsia="Times New Roman"/>
          <w:sz w:val="12"/>
          <w:szCs w:val="12"/>
        </w:rPr>
        <w:t>net sales. SG&amp;A expenses included $3.1 million higher employee-related expenses and $1.8 million incremental public company costs (inclusive of stock-based compensation), which were partially offset by $2.7 million lower costs related to BellRing’s separat</w:t>
      </w:r>
      <w:r>
        <w:rPr>
          <w:rFonts w:eastAsia="Times New Roman"/>
          <w:sz w:val="12"/>
          <w:szCs w:val="12"/>
        </w:rPr>
        <w:t>ion from Post Holdings, Inc. (“Post”). Separation costs were treated as adjustments for non-GAAP measures.</w:t>
      </w:r>
    </w:p>
    <w:p w:rsidR="004A0011" w:rsidRDefault="004A0011">
      <w:pPr>
        <w:spacing w:line="83" w:lineRule="exact"/>
        <w:rPr>
          <w:sz w:val="20"/>
          <w:szCs w:val="20"/>
        </w:rPr>
      </w:pPr>
    </w:p>
    <w:p w:rsidR="004A0011" w:rsidRDefault="00D538EF">
      <w:pPr>
        <w:rPr>
          <w:sz w:val="20"/>
          <w:szCs w:val="20"/>
        </w:rPr>
      </w:pPr>
      <w:r>
        <w:rPr>
          <w:rFonts w:eastAsia="Times New Roman"/>
          <w:sz w:val="12"/>
          <w:szCs w:val="12"/>
        </w:rPr>
        <w:t>Operating profit was $49.0 million, an increase of 36.1%, or $13.0 million, compared to the prior year period operating profit of $36.0 million.</w:t>
      </w:r>
    </w:p>
    <w:p w:rsidR="004A0011" w:rsidRDefault="004A0011">
      <w:pPr>
        <w:spacing w:line="114" w:lineRule="exact"/>
        <w:rPr>
          <w:sz w:val="20"/>
          <w:szCs w:val="20"/>
        </w:rPr>
      </w:pPr>
    </w:p>
    <w:p w:rsidR="004A0011" w:rsidRDefault="00D538EF">
      <w:pPr>
        <w:rPr>
          <w:sz w:val="20"/>
          <w:szCs w:val="20"/>
        </w:rPr>
      </w:pPr>
      <w:r>
        <w:rPr>
          <w:rFonts w:eastAsia="Times New Roman"/>
          <w:sz w:val="12"/>
          <w:szCs w:val="12"/>
        </w:rPr>
        <w:t>In</w:t>
      </w:r>
      <w:r>
        <w:rPr>
          <w:rFonts w:eastAsia="Times New Roman"/>
          <w:sz w:val="12"/>
          <w:szCs w:val="12"/>
        </w:rPr>
        <w:t>terest expense, net was $13.5 million and primarily related to debt borrowed in connection with the creation of BellRing’s capital structure in the first quarter of 2020. No interest expense was recorded in the prior year period.</w:t>
      </w:r>
    </w:p>
    <w:p w:rsidR="004A0011" w:rsidRDefault="004A0011">
      <w:pPr>
        <w:spacing w:line="114" w:lineRule="exact"/>
        <w:rPr>
          <w:sz w:val="20"/>
          <w:szCs w:val="20"/>
        </w:rPr>
      </w:pPr>
    </w:p>
    <w:p w:rsidR="004A0011" w:rsidRDefault="00D538EF">
      <w:pPr>
        <w:spacing w:line="279" w:lineRule="auto"/>
        <w:ind w:right="180"/>
        <w:rPr>
          <w:sz w:val="20"/>
          <w:szCs w:val="20"/>
        </w:rPr>
      </w:pPr>
      <w:r>
        <w:rPr>
          <w:rFonts w:eastAsia="Times New Roman"/>
          <w:sz w:val="12"/>
          <w:szCs w:val="12"/>
        </w:rPr>
        <w:t>Income tax expense was $0</w:t>
      </w:r>
      <w:r>
        <w:rPr>
          <w:rFonts w:eastAsia="Times New Roman"/>
          <w:sz w:val="12"/>
          <w:szCs w:val="12"/>
        </w:rPr>
        <w:t>.0 million in the fourth quarter of 2020, an effective income tax rate of 0.0%, compared to $9.3 million in the fourth quarter of 2019, an effective income tax rate of 25.8%. In the fourth quarter of 2020, the effective income tax rate differed significant</w:t>
      </w:r>
      <w:r>
        <w:rPr>
          <w:rFonts w:eastAsia="Times New Roman"/>
          <w:sz w:val="12"/>
          <w:szCs w:val="12"/>
        </w:rPr>
        <w:t>ly from the statutory rate as a result of (i) taking into account for U.S. federal, state and local income</w:t>
      </w:r>
    </w:p>
    <w:p w:rsidR="004A0011" w:rsidRDefault="004A0011">
      <w:pPr>
        <w:spacing w:line="200" w:lineRule="exact"/>
        <w:rPr>
          <w:sz w:val="20"/>
          <w:szCs w:val="20"/>
        </w:rPr>
      </w:pPr>
    </w:p>
    <w:p w:rsidR="004A0011" w:rsidRDefault="004A0011">
      <w:pPr>
        <w:spacing w:line="244" w:lineRule="exact"/>
        <w:rPr>
          <w:sz w:val="20"/>
          <w:szCs w:val="20"/>
        </w:rPr>
      </w:pPr>
    </w:p>
    <w:p w:rsidR="004A0011" w:rsidRDefault="00D538EF">
      <w:pPr>
        <w:jc w:val="center"/>
        <w:rPr>
          <w:sz w:val="20"/>
          <w:szCs w:val="20"/>
        </w:rPr>
      </w:pPr>
      <w:r>
        <w:rPr>
          <w:rFonts w:eastAsia="Times New Roman"/>
          <w:sz w:val="12"/>
          <w:szCs w:val="12"/>
        </w:rPr>
        <w:t>1</w:t>
      </w:r>
    </w:p>
    <w:p w:rsidR="004A0011" w:rsidRDefault="004A0011">
      <w:pPr>
        <w:sectPr w:rsidR="004A0011">
          <w:pgSz w:w="11900" w:h="16838"/>
          <w:pgMar w:top="642" w:right="299" w:bottom="1440" w:left="300" w:header="0" w:footer="0" w:gutter="0"/>
          <w:cols w:space="720" w:equalWidth="0">
            <w:col w:w="11300"/>
          </w:cols>
        </w:sectPr>
      </w:pPr>
    </w:p>
    <w:p w:rsidR="004A0011" w:rsidRDefault="00D538EF">
      <w:pPr>
        <w:spacing w:line="279" w:lineRule="auto"/>
        <w:ind w:right="440"/>
        <w:rPr>
          <w:sz w:val="20"/>
          <w:szCs w:val="20"/>
        </w:rPr>
      </w:pPr>
      <w:bookmarkStart w:id="5" w:name="page5"/>
      <w:bookmarkEnd w:id="5"/>
      <w:r>
        <w:rPr>
          <w:rFonts w:eastAsia="Times New Roman"/>
          <w:sz w:val="12"/>
          <w:szCs w:val="12"/>
        </w:rPr>
        <w:lastRenderedPageBreak/>
        <w:t>tax purposes a 28.8% distributive share of the items of income, gain, loss and deduction of BellRing Brands, LLC (“BellRing L</w:t>
      </w:r>
      <w:r>
        <w:rPr>
          <w:rFonts w:eastAsia="Times New Roman"/>
          <w:sz w:val="12"/>
          <w:szCs w:val="12"/>
        </w:rPr>
        <w:t>LC”) and (ii) a favorable adjustment recorded in connection with finalizing the tax deductibility of transaction costs associated with BellRing’s initial public offering (the “IPO”).</w:t>
      </w:r>
    </w:p>
    <w:p w:rsidR="004A0011" w:rsidRDefault="004A0011">
      <w:pPr>
        <w:spacing w:line="75" w:lineRule="exact"/>
        <w:rPr>
          <w:sz w:val="20"/>
          <w:szCs w:val="20"/>
        </w:rPr>
      </w:pPr>
    </w:p>
    <w:p w:rsidR="004A0011" w:rsidRDefault="00D538EF">
      <w:pPr>
        <w:spacing w:line="265" w:lineRule="auto"/>
        <w:ind w:right="160"/>
        <w:rPr>
          <w:sz w:val="20"/>
          <w:szCs w:val="20"/>
        </w:rPr>
      </w:pPr>
      <w:r>
        <w:rPr>
          <w:rFonts w:eastAsia="Times New Roman"/>
          <w:sz w:val="12"/>
          <w:szCs w:val="12"/>
        </w:rPr>
        <w:t>Net earnings available to Class A common stockholders were $10.0 million</w:t>
      </w:r>
      <w:r>
        <w:rPr>
          <w:rFonts w:eastAsia="Times New Roman"/>
          <w:sz w:val="12"/>
          <w:szCs w:val="12"/>
        </w:rPr>
        <w:t xml:space="preserve"> compared to zero in the prior year period. Net earnings available to Class A common stockholders excluded $25.5 million of net earnings attributable to the Company’s redeemable noncontrolling interest (“NCI”) compared to $26.7 million excluded in the prio</w:t>
      </w:r>
      <w:r>
        <w:rPr>
          <w:rFonts w:eastAsia="Times New Roman"/>
          <w:sz w:val="12"/>
          <w:szCs w:val="12"/>
        </w:rPr>
        <w:t>r year period. Net earnings per diluted share of Class A common stock were $0.26. Adjusted net earnings available to Class A common stockholders were $9.8 million, or $0.25 per diluted share of Class A common stock.</w:t>
      </w:r>
    </w:p>
    <w:p w:rsidR="004A0011" w:rsidRDefault="004A0011">
      <w:pPr>
        <w:spacing w:line="83" w:lineRule="exact"/>
        <w:rPr>
          <w:sz w:val="20"/>
          <w:szCs w:val="20"/>
        </w:rPr>
      </w:pPr>
    </w:p>
    <w:p w:rsidR="004A0011" w:rsidRDefault="00D538EF">
      <w:pPr>
        <w:spacing w:line="279" w:lineRule="auto"/>
        <w:ind w:right="340"/>
        <w:rPr>
          <w:sz w:val="20"/>
          <w:szCs w:val="20"/>
        </w:rPr>
      </w:pPr>
      <w:r>
        <w:rPr>
          <w:rFonts w:eastAsia="Times New Roman"/>
          <w:sz w:val="12"/>
          <w:szCs w:val="12"/>
        </w:rPr>
        <w:t xml:space="preserve">Adjusted EBITDA was $56.7 </w:t>
      </w:r>
      <w:r>
        <w:rPr>
          <w:rFonts w:eastAsia="Times New Roman"/>
          <w:sz w:val="12"/>
          <w:szCs w:val="12"/>
        </w:rPr>
        <w:t xml:space="preserve">million, an increase of 22.5%, or $10.4 million, compared to the prior year period Adjusted EBITDA of $46.3 million. Adjusted EBITDA in the fourth quarter of 2020 included an adjustment for the portion of BellRing LLC’s consolidated net earnings which was </w:t>
      </w:r>
      <w:r>
        <w:rPr>
          <w:rFonts w:eastAsia="Times New Roman"/>
          <w:sz w:val="12"/>
          <w:szCs w:val="12"/>
        </w:rPr>
        <w:t>allocated to NCI, resulting in the calculation of Adjusted EBITDA including 100% of BellRing.</w:t>
      </w:r>
    </w:p>
    <w:p w:rsidR="004A0011" w:rsidRDefault="004A0011">
      <w:pPr>
        <w:spacing w:line="71" w:lineRule="exact"/>
        <w:rPr>
          <w:sz w:val="20"/>
          <w:szCs w:val="20"/>
        </w:rPr>
      </w:pPr>
    </w:p>
    <w:p w:rsidR="004A0011" w:rsidRDefault="00D538EF">
      <w:pPr>
        <w:rPr>
          <w:sz w:val="20"/>
          <w:szCs w:val="20"/>
        </w:rPr>
      </w:pPr>
      <w:r>
        <w:rPr>
          <w:rFonts w:eastAsia="Times New Roman"/>
          <w:b/>
          <w:bCs/>
          <w:sz w:val="12"/>
          <w:szCs w:val="12"/>
        </w:rPr>
        <w:t>Fiscal Year 2020 Operating Results</w:t>
      </w:r>
    </w:p>
    <w:p w:rsidR="004A0011" w:rsidRDefault="004A0011">
      <w:pPr>
        <w:spacing w:line="116" w:lineRule="exact"/>
        <w:rPr>
          <w:sz w:val="20"/>
          <w:szCs w:val="20"/>
        </w:rPr>
      </w:pPr>
    </w:p>
    <w:p w:rsidR="004A0011" w:rsidRDefault="00D538EF">
      <w:pPr>
        <w:spacing w:line="283" w:lineRule="auto"/>
        <w:ind w:right="40"/>
        <w:rPr>
          <w:sz w:val="20"/>
          <w:szCs w:val="20"/>
        </w:rPr>
      </w:pPr>
      <w:r>
        <w:rPr>
          <w:rFonts w:eastAsia="Times New Roman"/>
          <w:sz w:val="12"/>
          <w:szCs w:val="12"/>
        </w:rPr>
        <w:t xml:space="preserve">Net sales were $988.3 million, an increase of 15.7%, or $133.9 million, compared to the prior year. </w:t>
      </w:r>
      <w:r>
        <w:rPr>
          <w:rFonts w:eastAsia="Times New Roman"/>
          <w:i/>
          <w:iCs/>
          <w:sz w:val="12"/>
          <w:szCs w:val="12"/>
        </w:rPr>
        <w:t>Premier Protein</w:t>
      </w:r>
      <w:r>
        <w:rPr>
          <w:rFonts w:eastAsia="Times New Roman"/>
          <w:sz w:val="12"/>
          <w:szCs w:val="12"/>
        </w:rPr>
        <w:t xml:space="preserve"> net sales</w:t>
      </w:r>
      <w:r>
        <w:rPr>
          <w:rFonts w:eastAsia="Times New Roman"/>
          <w:sz w:val="12"/>
          <w:szCs w:val="12"/>
        </w:rPr>
        <w:t xml:space="preserve"> increased 21.8%, with volumes increasing 22.7%. </w:t>
      </w:r>
      <w:r>
        <w:rPr>
          <w:rFonts w:eastAsia="Times New Roman"/>
          <w:i/>
          <w:iCs/>
          <w:sz w:val="12"/>
          <w:szCs w:val="12"/>
        </w:rPr>
        <w:t>Dymatize</w:t>
      </w:r>
      <w:r>
        <w:rPr>
          <w:rFonts w:eastAsia="Times New Roman"/>
          <w:sz w:val="12"/>
          <w:szCs w:val="12"/>
        </w:rPr>
        <w:t xml:space="preserve"> net sales declined 3.5%, with volumes declining 0.8%. </w:t>
      </w:r>
      <w:r>
        <w:rPr>
          <w:rFonts w:eastAsia="Times New Roman"/>
          <w:i/>
          <w:iCs/>
          <w:sz w:val="12"/>
          <w:szCs w:val="12"/>
        </w:rPr>
        <w:t>PowerBar</w:t>
      </w:r>
      <w:r>
        <w:rPr>
          <w:rFonts w:eastAsia="Times New Roman"/>
          <w:sz w:val="12"/>
          <w:szCs w:val="12"/>
        </w:rPr>
        <w:t xml:space="preserve"> net sales declined 20.1%, with volumes declining 28.9%.</w:t>
      </w:r>
    </w:p>
    <w:p w:rsidR="004A0011" w:rsidRDefault="004A0011">
      <w:pPr>
        <w:spacing w:line="73" w:lineRule="exact"/>
        <w:rPr>
          <w:sz w:val="20"/>
          <w:szCs w:val="20"/>
        </w:rPr>
      </w:pPr>
    </w:p>
    <w:p w:rsidR="004A0011" w:rsidRDefault="00D538EF">
      <w:pPr>
        <w:spacing w:line="279" w:lineRule="auto"/>
        <w:ind w:right="240"/>
        <w:rPr>
          <w:sz w:val="20"/>
          <w:szCs w:val="20"/>
        </w:rPr>
      </w:pPr>
      <w:r>
        <w:rPr>
          <w:rFonts w:eastAsia="Times New Roman"/>
          <w:sz w:val="12"/>
          <w:szCs w:val="12"/>
        </w:rPr>
        <w:t>Gross profit was $338.0 million, or 34.2% of net sales, an increase of 8.4%, o</w:t>
      </w:r>
      <w:r>
        <w:rPr>
          <w:rFonts w:eastAsia="Times New Roman"/>
          <w:sz w:val="12"/>
          <w:szCs w:val="12"/>
        </w:rPr>
        <w:t>r $26.2 million, compared to the prior year gross profit of $311.8 million, or 36.5% of net sales. The lower gross profit margin was driven by anticipated higher input costs (predominantly milk-based proteins for RTD shakes) and incremental promotional act</w:t>
      </w:r>
      <w:r>
        <w:rPr>
          <w:rFonts w:eastAsia="Times New Roman"/>
          <w:sz w:val="12"/>
          <w:szCs w:val="12"/>
        </w:rPr>
        <w:t>ivity.</w:t>
      </w:r>
    </w:p>
    <w:p w:rsidR="004A0011" w:rsidRDefault="004A0011">
      <w:pPr>
        <w:spacing w:line="75" w:lineRule="exact"/>
        <w:rPr>
          <w:sz w:val="20"/>
          <w:szCs w:val="20"/>
        </w:rPr>
      </w:pPr>
    </w:p>
    <w:p w:rsidR="004A0011" w:rsidRDefault="00D538EF">
      <w:pPr>
        <w:spacing w:line="265" w:lineRule="auto"/>
        <w:ind w:right="100"/>
        <w:rPr>
          <w:sz w:val="20"/>
          <w:szCs w:val="20"/>
        </w:rPr>
      </w:pPr>
      <w:r>
        <w:rPr>
          <w:rFonts w:eastAsia="Times New Roman"/>
          <w:sz w:val="12"/>
          <w:szCs w:val="12"/>
        </w:rPr>
        <w:t>SG&amp;A expenses were $151.8 million, or 15.4% of net sales, an increase of $24.7 million compared to the prior year SG&amp;A expenses of $127.1 million, or 14.9% of net sales, with the increase primarily driven by $13.1 million higher marketing and consu</w:t>
      </w:r>
      <w:r>
        <w:rPr>
          <w:rFonts w:eastAsia="Times New Roman"/>
          <w:sz w:val="12"/>
          <w:szCs w:val="12"/>
        </w:rPr>
        <w:t>mer advertising expenses and $8.7 million incremental public company costs (inclusive of stock-based compensation). SG&amp;A expenses for fiscal years 2020 and 2019 included $1.9 million and $6.7 million, respectively, of costs related to BellRing’s separation</w:t>
      </w:r>
      <w:r>
        <w:rPr>
          <w:rFonts w:eastAsia="Times New Roman"/>
          <w:sz w:val="12"/>
          <w:szCs w:val="12"/>
        </w:rPr>
        <w:t xml:space="preserve"> from Post, which were treated as adjustments for non-GAAP measures.</w:t>
      </w:r>
    </w:p>
    <w:p w:rsidR="004A0011" w:rsidRDefault="004A0011">
      <w:pPr>
        <w:spacing w:line="83" w:lineRule="exact"/>
        <w:rPr>
          <w:sz w:val="20"/>
          <w:szCs w:val="20"/>
        </w:rPr>
      </w:pPr>
    </w:p>
    <w:p w:rsidR="004A0011" w:rsidRDefault="00D538EF">
      <w:pPr>
        <w:rPr>
          <w:sz w:val="20"/>
          <w:szCs w:val="20"/>
        </w:rPr>
      </w:pPr>
      <w:r>
        <w:rPr>
          <w:rFonts w:eastAsia="Times New Roman"/>
          <w:sz w:val="12"/>
          <w:szCs w:val="12"/>
        </w:rPr>
        <w:t>Operating profit was $164.0 million, an increase of 0.9%, or $1.5 million, compared to the prior year operating profit of $162.5 million.</w:t>
      </w:r>
    </w:p>
    <w:p w:rsidR="004A0011" w:rsidRDefault="004A0011">
      <w:pPr>
        <w:spacing w:line="114" w:lineRule="exact"/>
        <w:rPr>
          <w:sz w:val="20"/>
          <w:szCs w:val="20"/>
        </w:rPr>
      </w:pPr>
    </w:p>
    <w:p w:rsidR="004A0011" w:rsidRDefault="00D538EF">
      <w:pPr>
        <w:rPr>
          <w:sz w:val="20"/>
          <w:szCs w:val="20"/>
        </w:rPr>
      </w:pPr>
      <w:r>
        <w:rPr>
          <w:rFonts w:eastAsia="Times New Roman"/>
          <w:sz w:val="12"/>
          <w:szCs w:val="12"/>
        </w:rPr>
        <w:t>Interest expense, net was $54.7 million and pri</w:t>
      </w:r>
      <w:r>
        <w:rPr>
          <w:rFonts w:eastAsia="Times New Roman"/>
          <w:sz w:val="12"/>
          <w:szCs w:val="12"/>
        </w:rPr>
        <w:t>marily related to debt borrowed in connection with the creation of BellRing’s capital structure in the first quarter of 2020. No interest expense was recorded in the prior year.</w:t>
      </w:r>
    </w:p>
    <w:p w:rsidR="004A0011" w:rsidRDefault="004A0011">
      <w:pPr>
        <w:spacing w:line="114" w:lineRule="exact"/>
        <w:rPr>
          <w:sz w:val="20"/>
          <w:szCs w:val="20"/>
        </w:rPr>
      </w:pPr>
    </w:p>
    <w:p w:rsidR="004A0011" w:rsidRDefault="00D538EF">
      <w:pPr>
        <w:spacing w:line="265" w:lineRule="auto"/>
        <w:rPr>
          <w:sz w:val="20"/>
          <w:szCs w:val="20"/>
        </w:rPr>
      </w:pPr>
      <w:r>
        <w:rPr>
          <w:rFonts w:eastAsia="Times New Roman"/>
          <w:sz w:val="12"/>
          <w:szCs w:val="12"/>
        </w:rPr>
        <w:t xml:space="preserve">Income tax expense was $9.2 million in fiscal year 2020, an effective income </w:t>
      </w:r>
      <w:r>
        <w:rPr>
          <w:rFonts w:eastAsia="Times New Roman"/>
          <w:sz w:val="12"/>
          <w:szCs w:val="12"/>
        </w:rPr>
        <w:t>tax rate of 8.4%, compared to $39.4 million in fiscal year 2019, an effective income tax rate of 24.2%. For fiscal year 2020, the effective income tax rate differed significantly from the statutory rate primarily as a result of taking into account for U.S.</w:t>
      </w:r>
      <w:r>
        <w:rPr>
          <w:rFonts w:eastAsia="Times New Roman"/>
          <w:sz w:val="12"/>
          <w:szCs w:val="12"/>
        </w:rPr>
        <w:t xml:space="preserve"> federal, state and local income tax purposes a 28.8% distributive share of the items of income, gain, loss and deduction of BellRing LLC in the period subsequent to BellRing’s IPO.</w:t>
      </w:r>
    </w:p>
    <w:p w:rsidR="004A0011" w:rsidRDefault="004A0011">
      <w:pPr>
        <w:spacing w:line="83" w:lineRule="exact"/>
        <w:rPr>
          <w:sz w:val="20"/>
          <w:szCs w:val="20"/>
        </w:rPr>
      </w:pPr>
    </w:p>
    <w:p w:rsidR="004A0011" w:rsidRDefault="00D538EF">
      <w:pPr>
        <w:spacing w:line="265" w:lineRule="auto"/>
        <w:ind w:right="280"/>
        <w:rPr>
          <w:sz w:val="20"/>
          <w:szCs w:val="20"/>
        </w:rPr>
      </w:pPr>
      <w:r>
        <w:rPr>
          <w:rFonts w:eastAsia="Times New Roman"/>
          <w:sz w:val="12"/>
          <w:szCs w:val="12"/>
        </w:rPr>
        <w:t xml:space="preserve">Net earnings available to Class A common stockholders were $23.5 million </w:t>
      </w:r>
      <w:r>
        <w:rPr>
          <w:rFonts w:eastAsia="Times New Roman"/>
          <w:sz w:val="12"/>
          <w:szCs w:val="12"/>
        </w:rPr>
        <w:t>compared to zero in the prior year. Net earnings available to Class A common stockholders excluded $76.6 million of net earnings attributable to the Company’s NCI compared to $123.1 million excluded in the prior year. Net earnings per diluted share of Clas</w:t>
      </w:r>
      <w:r>
        <w:rPr>
          <w:rFonts w:eastAsia="Times New Roman"/>
          <w:sz w:val="12"/>
          <w:szCs w:val="12"/>
        </w:rPr>
        <w:t>s A common stock were $0.60. Adjusted net earnings available to Class A common stockholders were $23.9 million, or $0.61 per diluted share of Class A common stock.</w:t>
      </w:r>
    </w:p>
    <w:p w:rsidR="004A0011" w:rsidRDefault="004A0011">
      <w:pPr>
        <w:spacing w:line="83" w:lineRule="exact"/>
        <w:rPr>
          <w:sz w:val="20"/>
          <w:szCs w:val="20"/>
        </w:rPr>
      </w:pPr>
    </w:p>
    <w:p w:rsidR="004A0011" w:rsidRDefault="00D538EF">
      <w:pPr>
        <w:spacing w:line="279" w:lineRule="auto"/>
        <w:ind w:right="180"/>
        <w:rPr>
          <w:sz w:val="20"/>
          <w:szCs w:val="20"/>
        </w:rPr>
      </w:pPr>
      <w:r>
        <w:rPr>
          <w:rFonts w:eastAsia="Times New Roman"/>
          <w:sz w:val="12"/>
          <w:szCs w:val="12"/>
        </w:rPr>
        <w:t>Adjusted EBITDA was $197.2 million, a decrease of 0.5%, or $0.9 million, compared to the pr</w:t>
      </w:r>
      <w:r>
        <w:rPr>
          <w:rFonts w:eastAsia="Times New Roman"/>
          <w:sz w:val="12"/>
          <w:szCs w:val="12"/>
        </w:rPr>
        <w:t>ior year Adjusted EBITDA of $198.1 million. Adjusted EBITDA for fiscal year 2020 included an adjustment for the portion of BellRing LLC’s consolidated net earnings which was allocated to NCI, resulting in the calculation of Adjusted EBITDA including 100% o</w:t>
      </w:r>
      <w:r>
        <w:rPr>
          <w:rFonts w:eastAsia="Times New Roman"/>
          <w:sz w:val="12"/>
          <w:szCs w:val="12"/>
        </w:rPr>
        <w:t>f BellRing.</w:t>
      </w:r>
    </w:p>
    <w:p w:rsidR="004A0011" w:rsidRDefault="004A0011">
      <w:pPr>
        <w:spacing w:line="71" w:lineRule="exact"/>
        <w:rPr>
          <w:sz w:val="20"/>
          <w:szCs w:val="20"/>
        </w:rPr>
      </w:pPr>
    </w:p>
    <w:p w:rsidR="004A0011" w:rsidRDefault="00D538EF">
      <w:pPr>
        <w:rPr>
          <w:sz w:val="20"/>
          <w:szCs w:val="20"/>
        </w:rPr>
      </w:pPr>
      <w:r>
        <w:rPr>
          <w:rFonts w:eastAsia="Times New Roman"/>
          <w:b/>
          <w:bCs/>
          <w:sz w:val="12"/>
          <w:szCs w:val="12"/>
        </w:rPr>
        <w:t>Basis of Presentation</w:t>
      </w:r>
    </w:p>
    <w:p w:rsidR="004A0011" w:rsidRDefault="004A0011">
      <w:pPr>
        <w:spacing w:line="118" w:lineRule="exact"/>
        <w:rPr>
          <w:sz w:val="20"/>
          <w:szCs w:val="20"/>
        </w:rPr>
      </w:pPr>
    </w:p>
    <w:p w:rsidR="004A0011" w:rsidRDefault="00D538EF">
      <w:pPr>
        <w:spacing w:line="260" w:lineRule="auto"/>
        <w:ind w:right="160"/>
        <w:rPr>
          <w:sz w:val="20"/>
          <w:szCs w:val="20"/>
        </w:rPr>
      </w:pPr>
      <w:r>
        <w:rPr>
          <w:rFonts w:eastAsia="Times New Roman"/>
          <w:sz w:val="12"/>
          <w:szCs w:val="12"/>
        </w:rPr>
        <w:t xml:space="preserve">On October 21, 2019, BellRing closed its IPO of 39.4 million shares of Class A common stock. Upon completion of the IPO and certain transactions completed in connection with the IPO, BellRing became the holding </w:t>
      </w:r>
      <w:r>
        <w:rPr>
          <w:rFonts w:eastAsia="Times New Roman"/>
          <w:sz w:val="12"/>
          <w:szCs w:val="12"/>
        </w:rPr>
        <w:t>company for BellRing LLC (which became the holding company for Post’s historical active nutrition business). Effective October 21, 2019, BellRing allocates a portion of the consolidated net earnings of BellRing LLC to NCI reflecting the entitlement of Post</w:t>
      </w:r>
      <w:r>
        <w:rPr>
          <w:rFonts w:eastAsia="Times New Roman"/>
          <w:sz w:val="12"/>
          <w:szCs w:val="12"/>
        </w:rPr>
        <w:t xml:space="preserve"> to a portion of the consolidated net earnings. As of September 30, 2020, Post held 71.2% of the economic interest of BellRing LLC. Prior to October 21, 2019, Post held 100% of the economic interest of BellRing LLC, which was allocated to NCI.</w:t>
      </w:r>
    </w:p>
    <w:p w:rsidR="004A0011" w:rsidRDefault="004A0011">
      <w:pPr>
        <w:spacing w:line="86" w:lineRule="exact"/>
        <w:rPr>
          <w:sz w:val="20"/>
          <w:szCs w:val="20"/>
        </w:rPr>
      </w:pPr>
    </w:p>
    <w:p w:rsidR="004A0011" w:rsidRDefault="00D538EF">
      <w:pPr>
        <w:spacing w:line="279" w:lineRule="auto"/>
        <w:ind w:right="80"/>
        <w:rPr>
          <w:sz w:val="20"/>
          <w:szCs w:val="20"/>
        </w:rPr>
      </w:pPr>
      <w:r>
        <w:rPr>
          <w:rFonts w:eastAsia="Times New Roman"/>
          <w:sz w:val="12"/>
          <w:szCs w:val="12"/>
        </w:rPr>
        <w:t>For the per</w:t>
      </w:r>
      <w:r>
        <w:rPr>
          <w:rFonts w:eastAsia="Times New Roman"/>
          <w:sz w:val="12"/>
          <w:szCs w:val="12"/>
        </w:rPr>
        <w:t>iod prior to the IPO, BellRing’s financial statements present the combined results of Post’s historical active nutrition business which have been prepared on a stand-alone basis and are derived from the consolidated financial statements and</w:t>
      </w:r>
    </w:p>
    <w:p w:rsidR="004A0011" w:rsidRDefault="004A0011">
      <w:pPr>
        <w:spacing w:line="200" w:lineRule="exact"/>
        <w:rPr>
          <w:sz w:val="20"/>
          <w:szCs w:val="20"/>
        </w:rPr>
      </w:pPr>
    </w:p>
    <w:p w:rsidR="004A0011" w:rsidRDefault="004A0011">
      <w:pPr>
        <w:spacing w:line="244" w:lineRule="exact"/>
        <w:rPr>
          <w:sz w:val="20"/>
          <w:szCs w:val="20"/>
        </w:rPr>
      </w:pPr>
    </w:p>
    <w:p w:rsidR="004A0011" w:rsidRDefault="00D538EF">
      <w:pPr>
        <w:jc w:val="center"/>
        <w:rPr>
          <w:sz w:val="20"/>
          <w:szCs w:val="20"/>
        </w:rPr>
      </w:pPr>
      <w:r>
        <w:rPr>
          <w:rFonts w:eastAsia="Times New Roman"/>
          <w:sz w:val="12"/>
          <w:szCs w:val="12"/>
        </w:rPr>
        <w:t>2</w:t>
      </w:r>
    </w:p>
    <w:p w:rsidR="004A0011" w:rsidRDefault="004A0011">
      <w:pPr>
        <w:sectPr w:rsidR="004A0011">
          <w:pgSz w:w="11900" w:h="16838"/>
          <w:pgMar w:top="642" w:right="319" w:bottom="1440" w:left="300" w:header="0" w:footer="0" w:gutter="0"/>
          <w:cols w:space="720" w:equalWidth="0">
            <w:col w:w="11280"/>
          </w:cols>
        </w:sectPr>
      </w:pPr>
    </w:p>
    <w:p w:rsidR="004A0011" w:rsidRDefault="00D538EF">
      <w:pPr>
        <w:spacing w:line="300" w:lineRule="auto"/>
        <w:ind w:right="40"/>
        <w:jc w:val="both"/>
        <w:rPr>
          <w:sz w:val="20"/>
          <w:szCs w:val="20"/>
        </w:rPr>
      </w:pPr>
      <w:bookmarkStart w:id="6" w:name="page6"/>
      <w:bookmarkEnd w:id="6"/>
      <w:r>
        <w:rPr>
          <w:rFonts w:eastAsia="Times New Roman"/>
          <w:sz w:val="11"/>
          <w:szCs w:val="11"/>
        </w:rPr>
        <w:lastRenderedPageBreak/>
        <w:t>accounting records of Post. The combined financial statements reflect the historical results of operations, financial position and cash flows of the active nutrition business and the allocation of certain Post corporate expenses relati</w:t>
      </w:r>
      <w:r>
        <w:rPr>
          <w:rFonts w:eastAsia="Times New Roman"/>
          <w:sz w:val="11"/>
          <w:szCs w:val="11"/>
        </w:rPr>
        <w:t>ng to the active nutrition business based on the historical financial statements and accounting records of Post. In the opinion of management, the assumptions underlying the active nutrition business’s historical combined financial statements, including th</w:t>
      </w:r>
      <w:r>
        <w:rPr>
          <w:rFonts w:eastAsia="Times New Roman"/>
          <w:sz w:val="11"/>
          <w:szCs w:val="11"/>
        </w:rPr>
        <w:t>e basis on which the expenses have been allocated from Post, were reasonable. However, the allocations may not reflect the expenses that BellRing may have incurred as a separate company for the period presented.</w:t>
      </w:r>
    </w:p>
    <w:p w:rsidR="004A0011" w:rsidRDefault="004A0011">
      <w:pPr>
        <w:spacing w:line="66" w:lineRule="exact"/>
        <w:rPr>
          <w:sz w:val="20"/>
          <w:szCs w:val="20"/>
        </w:rPr>
      </w:pPr>
    </w:p>
    <w:p w:rsidR="004A0011" w:rsidRDefault="00D538EF">
      <w:pPr>
        <w:spacing w:line="265" w:lineRule="auto"/>
        <w:ind w:right="80"/>
        <w:rPr>
          <w:sz w:val="20"/>
          <w:szCs w:val="20"/>
        </w:rPr>
      </w:pPr>
      <w:r>
        <w:rPr>
          <w:rFonts w:eastAsia="Times New Roman"/>
          <w:sz w:val="12"/>
          <w:szCs w:val="12"/>
        </w:rPr>
        <w:t xml:space="preserve">The historical financial results in </w:t>
      </w:r>
      <w:r>
        <w:rPr>
          <w:rFonts w:eastAsia="Times New Roman"/>
          <w:sz w:val="12"/>
          <w:szCs w:val="12"/>
        </w:rPr>
        <w:t>this release for the three and twelve months ended September 30, 2019 differ from the results of the BellRing Brands segment for the same period reported by Post. Reconciliations between the operating profit and Adjusted EBITDA as reported by BellRing in t</w:t>
      </w:r>
      <w:r>
        <w:rPr>
          <w:rFonts w:eastAsia="Times New Roman"/>
          <w:sz w:val="12"/>
          <w:szCs w:val="12"/>
        </w:rPr>
        <w:t>his release to the BellRing Brands segment profit and segment Adjusted EBITDA as reported by Post in Post’s fourth quarter and fiscal year 2020 earnings release are included later in this release.</w:t>
      </w:r>
    </w:p>
    <w:p w:rsidR="004A0011" w:rsidRDefault="004A0011">
      <w:pPr>
        <w:spacing w:line="79" w:lineRule="exact"/>
        <w:rPr>
          <w:sz w:val="20"/>
          <w:szCs w:val="20"/>
        </w:rPr>
      </w:pPr>
    </w:p>
    <w:p w:rsidR="004A0011" w:rsidRDefault="00D538EF">
      <w:pPr>
        <w:rPr>
          <w:sz w:val="20"/>
          <w:szCs w:val="20"/>
        </w:rPr>
      </w:pPr>
      <w:r>
        <w:rPr>
          <w:rFonts w:eastAsia="Times New Roman"/>
          <w:b/>
          <w:bCs/>
          <w:sz w:val="12"/>
          <w:szCs w:val="12"/>
        </w:rPr>
        <w:t>COVID-19 Commentary</w:t>
      </w:r>
    </w:p>
    <w:p w:rsidR="004A0011" w:rsidRDefault="004A0011">
      <w:pPr>
        <w:spacing w:line="118" w:lineRule="exact"/>
        <w:rPr>
          <w:sz w:val="20"/>
          <w:szCs w:val="20"/>
        </w:rPr>
      </w:pPr>
    </w:p>
    <w:p w:rsidR="004A0011" w:rsidRDefault="00D538EF">
      <w:pPr>
        <w:spacing w:line="279" w:lineRule="auto"/>
        <w:ind w:right="20"/>
        <w:rPr>
          <w:sz w:val="20"/>
          <w:szCs w:val="20"/>
        </w:rPr>
      </w:pPr>
      <w:r>
        <w:rPr>
          <w:rFonts w:eastAsia="Times New Roman"/>
          <w:sz w:val="12"/>
          <w:szCs w:val="12"/>
        </w:rPr>
        <w:t>BellRing continues to monitor the imp</w:t>
      </w:r>
      <w:r>
        <w:rPr>
          <w:rFonts w:eastAsia="Times New Roman"/>
          <w:sz w:val="12"/>
          <w:szCs w:val="12"/>
        </w:rPr>
        <w:t>act of the COVID-19 pandemic on its business and remains focused on ensuring its ability to safeguard the health of its employees, including their economic health, maintaining the continuity of its supply chain to serve customers and consumers and preservi</w:t>
      </w:r>
      <w:r>
        <w:rPr>
          <w:rFonts w:eastAsia="Times New Roman"/>
          <w:sz w:val="12"/>
          <w:szCs w:val="12"/>
        </w:rPr>
        <w:t>ng financial liquidity to mitigate the uncertainty caused by the pandemic.</w:t>
      </w:r>
    </w:p>
    <w:p w:rsidR="004A0011" w:rsidRDefault="004A0011">
      <w:pPr>
        <w:spacing w:line="75" w:lineRule="exact"/>
        <w:rPr>
          <w:sz w:val="20"/>
          <w:szCs w:val="20"/>
        </w:rPr>
      </w:pPr>
    </w:p>
    <w:p w:rsidR="004A0011" w:rsidRDefault="00D538EF">
      <w:pPr>
        <w:spacing w:line="260" w:lineRule="auto"/>
        <w:rPr>
          <w:sz w:val="20"/>
          <w:szCs w:val="20"/>
        </w:rPr>
      </w:pPr>
      <w:r>
        <w:rPr>
          <w:rFonts w:eastAsia="Times New Roman"/>
          <w:sz w:val="12"/>
          <w:szCs w:val="12"/>
        </w:rPr>
        <w:t>The convenient nutrition category continues to be negatively impacted by changes in consumer behavior (primarily lower on-the-go consumption) in response to the COVID-19 pandemic. In the fourth quarter of 2020, the liquids and powders sub-categories return</w:t>
      </w:r>
      <w:r>
        <w:rPr>
          <w:rFonts w:eastAsia="Times New Roman"/>
          <w:sz w:val="12"/>
          <w:szCs w:val="12"/>
        </w:rPr>
        <w:t xml:space="preserve">ed to growth relatively in line with their pre-pandemic growth rates. However, the bar sub-category continues to experience year-over-year declines. International net sales for </w:t>
      </w:r>
      <w:r>
        <w:rPr>
          <w:rFonts w:eastAsia="Times New Roman"/>
          <w:i/>
          <w:iCs/>
          <w:sz w:val="12"/>
          <w:szCs w:val="12"/>
        </w:rPr>
        <w:t>Dymatize</w:t>
      </w:r>
      <w:r>
        <w:rPr>
          <w:rFonts w:eastAsia="Times New Roman"/>
          <w:sz w:val="12"/>
          <w:szCs w:val="12"/>
        </w:rPr>
        <w:t xml:space="preserve"> and </w:t>
      </w:r>
      <w:r>
        <w:rPr>
          <w:rFonts w:eastAsia="Times New Roman"/>
          <w:i/>
          <w:iCs/>
          <w:sz w:val="12"/>
          <w:szCs w:val="12"/>
        </w:rPr>
        <w:t>PowerBar</w:t>
      </w:r>
      <w:r>
        <w:rPr>
          <w:rFonts w:eastAsia="Times New Roman"/>
          <w:sz w:val="12"/>
          <w:szCs w:val="12"/>
        </w:rPr>
        <w:t xml:space="preserve"> products improved when compared to the third quarter of 2</w:t>
      </w:r>
      <w:r>
        <w:rPr>
          <w:rFonts w:eastAsia="Times New Roman"/>
          <w:sz w:val="12"/>
          <w:szCs w:val="12"/>
        </w:rPr>
        <w:t xml:space="preserve">020, but continue to be negatively impacted by changes in consumer behavior as discussed earlier. The trajectory of volume recovery for </w:t>
      </w:r>
      <w:r>
        <w:rPr>
          <w:rFonts w:eastAsia="Times New Roman"/>
          <w:i/>
          <w:iCs/>
          <w:sz w:val="12"/>
          <w:szCs w:val="12"/>
        </w:rPr>
        <w:t>Dymatize</w:t>
      </w:r>
      <w:r>
        <w:rPr>
          <w:rFonts w:eastAsia="Times New Roman"/>
          <w:sz w:val="12"/>
          <w:szCs w:val="12"/>
        </w:rPr>
        <w:t xml:space="preserve"> and </w:t>
      </w:r>
      <w:r>
        <w:rPr>
          <w:rFonts w:eastAsia="Times New Roman"/>
          <w:i/>
          <w:iCs/>
          <w:sz w:val="12"/>
          <w:szCs w:val="12"/>
        </w:rPr>
        <w:t>PowerBar</w:t>
      </w:r>
      <w:r>
        <w:rPr>
          <w:rFonts w:eastAsia="Times New Roman"/>
          <w:sz w:val="12"/>
          <w:szCs w:val="12"/>
        </w:rPr>
        <w:t xml:space="preserve"> is expected to be impacted by changes in the degree of restrictions on mobility and gathering, inc</w:t>
      </w:r>
      <w:r>
        <w:rPr>
          <w:rFonts w:eastAsia="Times New Roman"/>
          <w:sz w:val="12"/>
          <w:szCs w:val="12"/>
        </w:rPr>
        <w:t>luding closures of specialty retail stores and gyms.</w:t>
      </w:r>
    </w:p>
    <w:p w:rsidR="004A0011" w:rsidRDefault="004A0011">
      <w:pPr>
        <w:spacing w:line="86" w:lineRule="exact"/>
        <w:rPr>
          <w:sz w:val="20"/>
          <w:szCs w:val="20"/>
        </w:rPr>
      </w:pPr>
    </w:p>
    <w:p w:rsidR="004A0011" w:rsidRDefault="00D538EF">
      <w:pPr>
        <w:rPr>
          <w:sz w:val="20"/>
          <w:szCs w:val="20"/>
        </w:rPr>
      </w:pPr>
      <w:r>
        <w:rPr>
          <w:rFonts w:eastAsia="Times New Roman"/>
          <w:sz w:val="12"/>
          <w:szCs w:val="12"/>
        </w:rPr>
        <w:t>As of September 30, 2020, BellRing had $48.7 million in cash and cash equivalents and the available borrowing capacity under its revolving credit facility was $170.0 million.</w:t>
      </w:r>
    </w:p>
    <w:p w:rsidR="004A0011" w:rsidRDefault="004A0011">
      <w:pPr>
        <w:spacing w:line="110" w:lineRule="exact"/>
        <w:rPr>
          <w:sz w:val="20"/>
          <w:szCs w:val="20"/>
        </w:rPr>
      </w:pPr>
    </w:p>
    <w:p w:rsidR="004A0011" w:rsidRDefault="00D538EF">
      <w:pPr>
        <w:rPr>
          <w:sz w:val="20"/>
          <w:szCs w:val="20"/>
        </w:rPr>
      </w:pPr>
      <w:r>
        <w:rPr>
          <w:rFonts w:eastAsia="Times New Roman"/>
          <w:b/>
          <w:bCs/>
          <w:sz w:val="12"/>
          <w:szCs w:val="12"/>
        </w:rPr>
        <w:t>Outlook</w:t>
      </w:r>
    </w:p>
    <w:p w:rsidR="004A0011" w:rsidRDefault="004A0011">
      <w:pPr>
        <w:spacing w:line="118" w:lineRule="exact"/>
        <w:rPr>
          <w:sz w:val="20"/>
          <w:szCs w:val="20"/>
        </w:rPr>
      </w:pPr>
    </w:p>
    <w:p w:rsidR="004A0011" w:rsidRDefault="00D538EF">
      <w:pPr>
        <w:spacing w:line="279" w:lineRule="auto"/>
        <w:ind w:right="240"/>
        <w:rPr>
          <w:sz w:val="20"/>
          <w:szCs w:val="20"/>
        </w:rPr>
      </w:pPr>
      <w:r>
        <w:rPr>
          <w:rFonts w:eastAsia="Times New Roman"/>
          <w:sz w:val="12"/>
          <w:szCs w:val="12"/>
        </w:rPr>
        <w:t>For fiscal year 2</w:t>
      </w:r>
      <w:r>
        <w:rPr>
          <w:rFonts w:eastAsia="Times New Roman"/>
          <w:sz w:val="12"/>
          <w:szCs w:val="12"/>
        </w:rPr>
        <w:t>021, BellRing management expects net sales and Adjusted EBITDA to grow 8%-13% and 5%-10%, respectively, over fiscal year 2020 (resulting in a net sales range of $1.07-$1.12 billion and an Adjusted EBITDA range of $207-$217 million).</w:t>
      </w:r>
    </w:p>
    <w:p w:rsidR="004A0011" w:rsidRDefault="004A0011">
      <w:pPr>
        <w:spacing w:line="75" w:lineRule="exact"/>
        <w:rPr>
          <w:sz w:val="20"/>
          <w:szCs w:val="20"/>
        </w:rPr>
      </w:pPr>
    </w:p>
    <w:p w:rsidR="004A0011" w:rsidRDefault="00D538EF">
      <w:pPr>
        <w:rPr>
          <w:sz w:val="20"/>
          <w:szCs w:val="20"/>
        </w:rPr>
      </w:pPr>
      <w:r>
        <w:rPr>
          <w:rFonts w:eastAsia="Times New Roman"/>
          <w:sz w:val="12"/>
          <w:szCs w:val="12"/>
        </w:rPr>
        <w:t>BellRing management ex</w:t>
      </w:r>
      <w:r>
        <w:rPr>
          <w:rFonts w:eastAsia="Times New Roman"/>
          <w:sz w:val="12"/>
          <w:szCs w:val="12"/>
        </w:rPr>
        <w:t>pects the following:</w:t>
      </w:r>
    </w:p>
    <w:p w:rsidR="004A0011" w:rsidRDefault="004A0011">
      <w:pPr>
        <w:spacing w:line="114" w:lineRule="exact"/>
        <w:rPr>
          <w:sz w:val="20"/>
          <w:szCs w:val="20"/>
        </w:rPr>
      </w:pPr>
    </w:p>
    <w:p w:rsidR="004A0011" w:rsidRDefault="00D538EF">
      <w:pPr>
        <w:numPr>
          <w:ilvl w:val="0"/>
          <w:numId w:val="3"/>
        </w:numPr>
        <w:tabs>
          <w:tab w:val="left" w:pos="420"/>
        </w:tabs>
        <w:ind w:left="420" w:hanging="212"/>
        <w:rPr>
          <w:rFonts w:eastAsia="Times New Roman"/>
          <w:sz w:val="12"/>
          <w:szCs w:val="12"/>
        </w:rPr>
      </w:pPr>
      <w:r>
        <w:rPr>
          <w:rFonts w:eastAsia="Times New Roman"/>
          <w:sz w:val="12"/>
          <w:szCs w:val="12"/>
        </w:rPr>
        <w:t>Net sales growth to be high single digits in the first half of 2021 and mid teens in the second half of 2021;</w:t>
      </w:r>
    </w:p>
    <w:p w:rsidR="004A0011" w:rsidRDefault="004A0011">
      <w:pPr>
        <w:spacing w:line="16" w:lineRule="exact"/>
        <w:rPr>
          <w:rFonts w:eastAsia="Times New Roman"/>
          <w:sz w:val="12"/>
          <w:szCs w:val="12"/>
        </w:rPr>
      </w:pPr>
    </w:p>
    <w:p w:rsidR="004A0011" w:rsidRDefault="00D538EF">
      <w:pPr>
        <w:numPr>
          <w:ilvl w:val="0"/>
          <w:numId w:val="3"/>
        </w:numPr>
        <w:tabs>
          <w:tab w:val="left" w:pos="420"/>
        </w:tabs>
        <w:ind w:left="420" w:hanging="212"/>
        <w:rPr>
          <w:rFonts w:eastAsia="Times New Roman"/>
          <w:sz w:val="12"/>
          <w:szCs w:val="12"/>
        </w:rPr>
      </w:pPr>
      <w:r>
        <w:rPr>
          <w:rFonts w:eastAsia="Times New Roman"/>
          <w:sz w:val="12"/>
          <w:szCs w:val="12"/>
        </w:rPr>
        <w:t>Adjusted EBITDA growth to occur entirely in the second half of 2021, resulting from the timing of material and logistics co</w:t>
      </w:r>
      <w:r>
        <w:rPr>
          <w:rFonts w:eastAsia="Times New Roman"/>
          <w:sz w:val="12"/>
          <w:szCs w:val="12"/>
        </w:rPr>
        <w:t>st increases, as well as incremental investments in brand building; and</w:t>
      </w:r>
    </w:p>
    <w:p w:rsidR="004A0011" w:rsidRDefault="004A0011">
      <w:pPr>
        <w:spacing w:line="6" w:lineRule="exact"/>
        <w:rPr>
          <w:rFonts w:eastAsia="Times New Roman"/>
          <w:sz w:val="12"/>
          <w:szCs w:val="12"/>
        </w:rPr>
      </w:pPr>
    </w:p>
    <w:p w:rsidR="004A0011" w:rsidRDefault="00D538EF">
      <w:pPr>
        <w:numPr>
          <w:ilvl w:val="0"/>
          <w:numId w:val="3"/>
        </w:numPr>
        <w:tabs>
          <w:tab w:val="left" w:pos="420"/>
        </w:tabs>
        <w:ind w:left="420" w:hanging="212"/>
        <w:rPr>
          <w:rFonts w:eastAsia="Times New Roman"/>
          <w:sz w:val="12"/>
          <w:szCs w:val="12"/>
        </w:rPr>
      </w:pPr>
      <w:r>
        <w:rPr>
          <w:rFonts w:eastAsia="Times New Roman"/>
          <w:sz w:val="12"/>
          <w:szCs w:val="12"/>
        </w:rPr>
        <w:t>Quarterly Adjusted EBITDA pacing in the first half of 2021 to be similar to 2020.</w:t>
      </w:r>
    </w:p>
    <w:p w:rsidR="004A0011" w:rsidRDefault="004A0011">
      <w:pPr>
        <w:spacing w:line="103" w:lineRule="exact"/>
        <w:rPr>
          <w:sz w:val="20"/>
          <w:szCs w:val="20"/>
        </w:rPr>
      </w:pPr>
    </w:p>
    <w:p w:rsidR="004A0011" w:rsidRDefault="00D538EF">
      <w:pPr>
        <w:rPr>
          <w:sz w:val="20"/>
          <w:szCs w:val="20"/>
        </w:rPr>
      </w:pPr>
      <w:r>
        <w:rPr>
          <w:rFonts w:eastAsia="Times New Roman"/>
          <w:sz w:val="12"/>
          <w:szCs w:val="12"/>
        </w:rPr>
        <w:t>BellRing management expects fiscal year 2021 capital expenditures of approximately $4 million.</w:t>
      </w:r>
    </w:p>
    <w:p w:rsidR="004A0011" w:rsidRDefault="004A0011">
      <w:pPr>
        <w:spacing w:line="114" w:lineRule="exact"/>
        <w:rPr>
          <w:sz w:val="20"/>
          <w:szCs w:val="20"/>
        </w:rPr>
      </w:pPr>
    </w:p>
    <w:p w:rsidR="004A0011" w:rsidRDefault="00D538EF">
      <w:pPr>
        <w:spacing w:line="260" w:lineRule="auto"/>
        <w:ind w:right="80"/>
        <w:rPr>
          <w:sz w:val="20"/>
          <w:szCs w:val="20"/>
        </w:rPr>
      </w:pPr>
      <w:r>
        <w:rPr>
          <w:rFonts w:eastAsia="Times New Roman"/>
          <w:sz w:val="12"/>
          <w:szCs w:val="12"/>
        </w:rPr>
        <w:t>Bell</w:t>
      </w:r>
      <w:r>
        <w:rPr>
          <w:rFonts w:eastAsia="Times New Roman"/>
          <w:sz w:val="12"/>
          <w:szCs w:val="12"/>
        </w:rPr>
        <w:t>Ring provides Adjusted EBITDA guidance only on a non-GAAP basis and does not provide a reconciliation of its forward-looking Adjusted EBITDA non-GAAP guidance measure to the most directly comparable GAAP measure due to the inherent difficulty in forecastin</w:t>
      </w:r>
      <w:r>
        <w:rPr>
          <w:rFonts w:eastAsia="Times New Roman"/>
          <w:sz w:val="12"/>
          <w:szCs w:val="12"/>
        </w:rPr>
        <w:t xml:space="preserve">g and quantifying certain amounts that are necessary for such reconciliation, including adjustments that could be made for NCI, separation costs and other charges reflected in BellRing’s reconciliation of historical numbers, the amounts of which, based on </w:t>
      </w:r>
      <w:r>
        <w:rPr>
          <w:rFonts w:eastAsia="Times New Roman"/>
          <w:sz w:val="12"/>
          <w:szCs w:val="12"/>
        </w:rPr>
        <w:t>historical experience, could be significant. For additional information regarding BellRing’s non-GAAP measures, see the related explanations presented under “Use of Non-GAAP Measures.”</w:t>
      </w:r>
    </w:p>
    <w:p w:rsidR="004A0011" w:rsidRDefault="004A0011">
      <w:pPr>
        <w:spacing w:line="82" w:lineRule="exact"/>
        <w:rPr>
          <w:sz w:val="20"/>
          <w:szCs w:val="20"/>
        </w:rPr>
      </w:pPr>
    </w:p>
    <w:p w:rsidR="004A0011" w:rsidRDefault="00D538EF">
      <w:pPr>
        <w:rPr>
          <w:sz w:val="20"/>
          <w:szCs w:val="20"/>
        </w:rPr>
      </w:pPr>
      <w:r>
        <w:rPr>
          <w:rFonts w:eastAsia="Times New Roman"/>
          <w:b/>
          <w:bCs/>
          <w:sz w:val="12"/>
          <w:szCs w:val="12"/>
        </w:rPr>
        <w:t>Use of Non-GAAP Measures</w:t>
      </w:r>
    </w:p>
    <w:p w:rsidR="004A0011" w:rsidRDefault="004A0011">
      <w:pPr>
        <w:spacing w:line="118" w:lineRule="exact"/>
        <w:rPr>
          <w:sz w:val="20"/>
          <w:szCs w:val="20"/>
        </w:rPr>
      </w:pPr>
    </w:p>
    <w:p w:rsidR="004A0011" w:rsidRDefault="00D538EF">
      <w:pPr>
        <w:spacing w:line="265" w:lineRule="auto"/>
        <w:ind w:right="160"/>
        <w:rPr>
          <w:sz w:val="20"/>
          <w:szCs w:val="20"/>
        </w:rPr>
      </w:pPr>
      <w:r>
        <w:rPr>
          <w:rFonts w:eastAsia="Times New Roman"/>
          <w:sz w:val="12"/>
          <w:szCs w:val="12"/>
        </w:rPr>
        <w:t xml:space="preserve">BellRing uses certain non-GAAP </w:t>
      </w:r>
      <w:r>
        <w:rPr>
          <w:rFonts w:eastAsia="Times New Roman"/>
          <w:sz w:val="12"/>
          <w:szCs w:val="12"/>
        </w:rPr>
        <w:t>measures in this release to supplement the financial measures prepared in accordance with U.S. generally accepted accounting principles (“GAAP”). These non-GAAP measures include Adjusted net earnings available to Class A common stockholders, Adjusted dilut</w:t>
      </w:r>
      <w:r>
        <w:rPr>
          <w:rFonts w:eastAsia="Times New Roman"/>
          <w:sz w:val="12"/>
          <w:szCs w:val="12"/>
        </w:rPr>
        <w:t>ed earnings per share of Class A common stock and Adjusted EBITDA. The reconciliation of each of these non-GAAP measures to the most directly comparable GAAP measure is provided later in this release under “Explanation and Reconciliation of Non-GAAP Measur</w:t>
      </w:r>
      <w:r>
        <w:rPr>
          <w:rFonts w:eastAsia="Times New Roman"/>
          <w:sz w:val="12"/>
          <w:szCs w:val="12"/>
        </w:rPr>
        <w:t>es.”</w:t>
      </w:r>
    </w:p>
    <w:p w:rsidR="004A0011" w:rsidRDefault="004A0011">
      <w:pPr>
        <w:spacing w:line="83" w:lineRule="exact"/>
        <w:rPr>
          <w:sz w:val="20"/>
          <w:szCs w:val="20"/>
        </w:rPr>
      </w:pPr>
    </w:p>
    <w:p w:rsidR="004A0011" w:rsidRDefault="00D538EF">
      <w:pPr>
        <w:spacing w:line="279" w:lineRule="auto"/>
        <w:ind w:right="280"/>
        <w:rPr>
          <w:sz w:val="20"/>
          <w:szCs w:val="20"/>
        </w:rPr>
      </w:pPr>
      <w:r>
        <w:rPr>
          <w:rFonts w:eastAsia="Times New Roman"/>
          <w:sz w:val="12"/>
          <w:szCs w:val="12"/>
        </w:rPr>
        <w:t>Management uses certain of these non-GAAP measures, including Adjusted EBITDA, as key metrics in the evaluation of underlying company performance, in making financial, operating and planning decisions and, in part, in the determination of cash bonuse</w:t>
      </w:r>
      <w:r>
        <w:rPr>
          <w:rFonts w:eastAsia="Times New Roman"/>
          <w:sz w:val="12"/>
          <w:szCs w:val="12"/>
        </w:rPr>
        <w:t>s for its executive officers and employees. Additionally, BellRing LLC is required to comply with certain covenants</w:t>
      </w:r>
    </w:p>
    <w:p w:rsidR="004A0011" w:rsidRDefault="004A0011">
      <w:pPr>
        <w:spacing w:line="200" w:lineRule="exact"/>
        <w:rPr>
          <w:sz w:val="20"/>
          <w:szCs w:val="20"/>
        </w:rPr>
      </w:pPr>
    </w:p>
    <w:p w:rsidR="004A0011" w:rsidRDefault="004A0011">
      <w:pPr>
        <w:spacing w:line="244" w:lineRule="exact"/>
        <w:rPr>
          <w:sz w:val="20"/>
          <w:szCs w:val="20"/>
        </w:rPr>
      </w:pPr>
    </w:p>
    <w:p w:rsidR="004A0011" w:rsidRDefault="00D538EF">
      <w:pPr>
        <w:jc w:val="center"/>
        <w:rPr>
          <w:sz w:val="20"/>
          <w:szCs w:val="20"/>
        </w:rPr>
      </w:pPr>
      <w:r>
        <w:rPr>
          <w:rFonts w:eastAsia="Times New Roman"/>
          <w:sz w:val="12"/>
          <w:szCs w:val="12"/>
        </w:rPr>
        <w:t>3</w:t>
      </w:r>
    </w:p>
    <w:p w:rsidR="004A0011" w:rsidRDefault="004A0011">
      <w:pPr>
        <w:sectPr w:rsidR="004A0011">
          <w:pgSz w:w="11900" w:h="16838"/>
          <w:pgMar w:top="750" w:right="299" w:bottom="1440" w:left="300" w:header="0" w:footer="0" w:gutter="0"/>
          <w:cols w:space="720" w:equalWidth="0">
            <w:col w:w="11300"/>
          </w:cols>
        </w:sectPr>
      </w:pPr>
    </w:p>
    <w:p w:rsidR="004A0011" w:rsidRDefault="00D538EF">
      <w:pPr>
        <w:spacing w:line="260" w:lineRule="auto"/>
        <w:rPr>
          <w:sz w:val="20"/>
          <w:szCs w:val="20"/>
        </w:rPr>
      </w:pPr>
      <w:bookmarkStart w:id="7" w:name="page7"/>
      <w:bookmarkEnd w:id="7"/>
      <w:r>
        <w:rPr>
          <w:rFonts w:eastAsia="Times New Roman"/>
          <w:sz w:val="12"/>
          <w:szCs w:val="12"/>
        </w:rPr>
        <w:lastRenderedPageBreak/>
        <w:t>and limitations that are based on variations of EBITDA in BellRing LLC’s financing documents. Management believes th</w:t>
      </w:r>
      <w:r>
        <w:rPr>
          <w:rFonts w:eastAsia="Times New Roman"/>
          <w:sz w:val="12"/>
          <w:szCs w:val="12"/>
        </w:rPr>
        <w:t xml:space="preserve">e use of these non-GAAP measures provides increased transparency and assists investors in understanding the underlying operating performance of BellRing and in the analysis of ongoing operating trends. Non-GAAP measures are not prepared in accordance with </w:t>
      </w:r>
      <w:r>
        <w:rPr>
          <w:rFonts w:eastAsia="Times New Roman"/>
          <w:sz w:val="12"/>
          <w:szCs w:val="12"/>
        </w:rPr>
        <w:t>GAAP, as they exclude certain items as described later in this release. These non-GAAP measures may not be comparable to similarly titled measures of other companies. For additional information regarding BellRing’s non-GAAP measures, see the related explan</w:t>
      </w:r>
      <w:r>
        <w:rPr>
          <w:rFonts w:eastAsia="Times New Roman"/>
          <w:sz w:val="12"/>
          <w:szCs w:val="12"/>
        </w:rPr>
        <w:t>ations provided under “Explanation and Reconciliation of Non-GAAP Measures” later in this release.</w:t>
      </w:r>
    </w:p>
    <w:p w:rsidR="004A0011" w:rsidRDefault="004A0011">
      <w:pPr>
        <w:spacing w:line="82" w:lineRule="exact"/>
        <w:rPr>
          <w:sz w:val="20"/>
          <w:szCs w:val="20"/>
        </w:rPr>
      </w:pPr>
    </w:p>
    <w:p w:rsidR="004A0011" w:rsidRDefault="00D538EF">
      <w:pPr>
        <w:rPr>
          <w:sz w:val="20"/>
          <w:szCs w:val="20"/>
        </w:rPr>
      </w:pPr>
      <w:r>
        <w:rPr>
          <w:rFonts w:eastAsia="Times New Roman"/>
          <w:b/>
          <w:bCs/>
          <w:sz w:val="12"/>
          <w:szCs w:val="12"/>
        </w:rPr>
        <w:t>BellRing Conference Call to Discuss Earnings Results and Outlook</w:t>
      </w:r>
    </w:p>
    <w:p w:rsidR="004A0011" w:rsidRDefault="004A0011">
      <w:pPr>
        <w:spacing w:line="118" w:lineRule="exact"/>
        <w:rPr>
          <w:sz w:val="20"/>
          <w:szCs w:val="20"/>
        </w:rPr>
      </w:pPr>
    </w:p>
    <w:p w:rsidR="004A0011" w:rsidRDefault="00D538EF">
      <w:pPr>
        <w:spacing w:line="279" w:lineRule="auto"/>
        <w:ind w:right="40"/>
        <w:rPr>
          <w:sz w:val="20"/>
          <w:szCs w:val="20"/>
        </w:rPr>
      </w:pPr>
      <w:r>
        <w:rPr>
          <w:rFonts w:eastAsia="Times New Roman"/>
          <w:sz w:val="12"/>
          <w:szCs w:val="12"/>
        </w:rPr>
        <w:t>BellRing will host a conference call on Friday, November 20, 2020 at 10:30 a.m. EST to dis</w:t>
      </w:r>
      <w:r>
        <w:rPr>
          <w:rFonts w:eastAsia="Times New Roman"/>
          <w:sz w:val="12"/>
          <w:szCs w:val="12"/>
        </w:rPr>
        <w:t>cuss financial results for the fourth quarter and fiscal year 2020 and fiscal year 2021 outlook and to respond to questions. Darcy H. Davenport, President and Chief Executive Officer, and Paul A. Rode, Chief Financial Officer, will participate in the call.</w:t>
      </w:r>
    </w:p>
    <w:p w:rsidR="004A0011" w:rsidRDefault="004A0011">
      <w:pPr>
        <w:spacing w:line="75" w:lineRule="exact"/>
        <w:rPr>
          <w:sz w:val="20"/>
          <w:szCs w:val="20"/>
        </w:rPr>
      </w:pPr>
    </w:p>
    <w:p w:rsidR="004A0011" w:rsidRDefault="00D538EF">
      <w:pPr>
        <w:spacing w:line="265" w:lineRule="auto"/>
        <w:ind w:right="40"/>
        <w:rPr>
          <w:sz w:val="20"/>
          <w:szCs w:val="20"/>
        </w:rPr>
      </w:pPr>
      <w:r>
        <w:rPr>
          <w:rFonts w:eastAsia="Times New Roman"/>
          <w:sz w:val="12"/>
          <w:szCs w:val="12"/>
        </w:rPr>
        <w:t xml:space="preserve">Interested parties may join the conference call by dialing (833) 954-1568 in the United States and (409) 216-6583 from outside of the United States. The conference identification number is 4971167. Interested parties are invited to listen to the webcast </w:t>
      </w:r>
      <w:r>
        <w:rPr>
          <w:rFonts w:eastAsia="Times New Roman"/>
          <w:sz w:val="12"/>
          <w:szCs w:val="12"/>
        </w:rPr>
        <w:t>of the conference call, which can be accessed by visiting the Investor Relations section of BellRing’s website at www.bellring.com. A slide presentation containing supplemental material will also be available at the same location on BellRing’s website.</w:t>
      </w:r>
    </w:p>
    <w:p w:rsidR="004A0011" w:rsidRDefault="004A0011">
      <w:pPr>
        <w:spacing w:line="83" w:lineRule="exact"/>
        <w:rPr>
          <w:sz w:val="20"/>
          <w:szCs w:val="20"/>
        </w:rPr>
      </w:pPr>
    </w:p>
    <w:p w:rsidR="004A0011" w:rsidRDefault="00D538EF">
      <w:pPr>
        <w:spacing w:line="279" w:lineRule="auto"/>
        <w:ind w:right="160"/>
        <w:rPr>
          <w:sz w:val="20"/>
          <w:szCs w:val="20"/>
        </w:rPr>
      </w:pPr>
      <w:r>
        <w:rPr>
          <w:rFonts w:eastAsia="Times New Roman"/>
          <w:sz w:val="12"/>
          <w:szCs w:val="12"/>
        </w:rPr>
        <w:t xml:space="preserve">A </w:t>
      </w:r>
      <w:r>
        <w:rPr>
          <w:rFonts w:eastAsia="Times New Roman"/>
          <w:sz w:val="12"/>
          <w:szCs w:val="12"/>
        </w:rPr>
        <w:t>replay of the conference call will be available through Friday, December 4, 2020 by dialing (800) 585-8367 in the United States and (404) 537-3406 from outside of the United States and using the conference identification number 4971167. A webcast replay al</w:t>
      </w:r>
      <w:r>
        <w:rPr>
          <w:rFonts w:eastAsia="Times New Roman"/>
          <w:sz w:val="12"/>
          <w:szCs w:val="12"/>
        </w:rPr>
        <w:t>so will be available for a limited period on BellRing’s website in the Investor Relations section.</w:t>
      </w:r>
    </w:p>
    <w:p w:rsidR="004A0011" w:rsidRDefault="004A0011">
      <w:pPr>
        <w:spacing w:line="71" w:lineRule="exact"/>
        <w:rPr>
          <w:sz w:val="20"/>
          <w:szCs w:val="20"/>
        </w:rPr>
      </w:pPr>
    </w:p>
    <w:p w:rsidR="004A0011" w:rsidRDefault="00D538EF">
      <w:pPr>
        <w:rPr>
          <w:sz w:val="20"/>
          <w:szCs w:val="20"/>
        </w:rPr>
      </w:pPr>
      <w:r>
        <w:rPr>
          <w:rFonts w:eastAsia="Times New Roman"/>
          <w:b/>
          <w:bCs/>
          <w:sz w:val="12"/>
          <w:szCs w:val="12"/>
        </w:rPr>
        <w:t>Prospective Financial Information</w:t>
      </w:r>
    </w:p>
    <w:p w:rsidR="004A0011" w:rsidRDefault="004A0011">
      <w:pPr>
        <w:spacing w:line="118" w:lineRule="exact"/>
        <w:rPr>
          <w:sz w:val="20"/>
          <w:szCs w:val="20"/>
        </w:rPr>
      </w:pPr>
    </w:p>
    <w:p w:rsidR="004A0011" w:rsidRDefault="00D538EF">
      <w:pPr>
        <w:spacing w:line="260" w:lineRule="auto"/>
        <w:ind w:right="220"/>
        <w:rPr>
          <w:sz w:val="20"/>
          <w:szCs w:val="20"/>
        </w:rPr>
      </w:pPr>
      <w:r>
        <w:rPr>
          <w:rFonts w:eastAsia="Times New Roman"/>
          <w:sz w:val="12"/>
          <w:szCs w:val="12"/>
        </w:rPr>
        <w:t xml:space="preserve">Prospective financial information is necessarily speculative in nature, and it can be expected that some or all of the </w:t>
      </w:r>
      <w:r>
        <w:rPr>
          <w:rFonts w:eastAsia="Times New Roman"/>
          <w:sz w:val="12"/>
          <w:szCs w:val="12"/>
        </w:rPr>
        <w:t>assumptions underlying the prospective financial information described above will not materialize or will vary significantly from actual results. For further discussion of some of the factors that may cause actual results to vary materially from the inform</w:t>
      </w:r>
      <w:r>
        <w:rPr>
          <w:rFonts w:eastAsia="Times New Roman"/>
          <w:sz w:val="12"/>
          <w:szCs w:val="12"/>
        </w:rPr>
        <w:t>ation provided above, see “Forward-Looking Statements” below. Accordingly, the prospective financial information provided above is only an estimate of what BellRing’s management believes is realizable as of the date of this release. It also should be recog</w:t>
      </w:r>
      <w:r>
        <w:rPr>
          <w:rFonts w:eastAsia="Times New Roman"/>
          <w:sz w:val="12"/>
          <w:szCs w:val="12"/>
        </w:rPr>
        <w:t>nized that the reliability of any forecasted financial data diminishes the farther in the future that the data is forecasted. In light of the foregoing, the information should be viewed in context and undue reliance should not be placed upon it.</w:t>
      </w:r>
    </w:p>
    <w:p w:rsidR="004A0011" w:rsidRDefault="004A0011">
      <w:pPr>
        <w:spacing w:line="82" w:lineRule="exact"/>
        <w:rPr>
          <w:sz w:val="20"/>
          <w:szCs w:val="20"/>
        </w:rPr>
      </w:pPr>
    </w:p>
    <w:p w:rsidR="004A0011" w:rsidRDefault="00D538EF">
      <w:pPr>
        <w:rPr>
          <w:sz w:val="20"/>
          <w:szCs w:val="20"/>
        </w:rPr>
      </w:pPr>
      <w:r>
        <w:rPr>
          <w:rFonts w:eastAsia="Times New Roman"/>
          <w:b/>
          <w:bCs/>
          <w:sz w:val="12"/>
          <w:szCs w:val="12"/>
        </w:rPr>
        <w:t>Forward-L</w:t>
      </w:r>
      <w:r>
        <w:rPr>
          <w:rFonts w:eastAsia="Times New Roman"/>
          <w:b/>
          <w:bCs/>
          <w:sz w:val="12"/>
          <w:szCs w:val="12"/>
        </w:rPr>
        <w:t>ooking Statements</w:t>
      </w:r>
    </w:p>
    <w:p w:rsidR="004A0011" w:rsidRDefault="004A0011">
      <w:pPr>
        <w:spacing w:line="118" w:lineRule="exact"/>
        <w:rPr>
          <w:sz w:val="20"/>
          <w:szCs w:val="20"/>
        </w:rPr>
      </w:pPr>
    </w:p>
    <w:p w:rsidR="004A0011" w:rsidRDefault="00D538EF">
      <w:pPr>
        <w:spacing w:line="254" w:lineRule="auto"/>
        <w:ind w:right="100"/>
        <w:rPr>
          <w:sz w:val="20"/>
          <w:szCs w:val="20"/>
        </w:rPr>
      </w:pPr>
      <w:r>
        <w:rPr>
          <w:rFonts w:eastAsia="Times New Roman"/>
          <w:sz w:val="12"/>
          <w:szCs w:val="12"/>
        </w:rPr>
        <w:t>Certain matters discussed in this release and on BellRing’s conference call are forward-looking statements, including BellRing’s net sales, Adjusted EBITDA and capital expenditures outlook for fiscal year 2021 and statements regarding th</w:t>
      </w:r>
      <w:r>
        <w:rPr>
          <w:rFonts w:eastAsia="Times New Roman"/>
          <w:sz w:val="12"/>
          <w:szCs w:val="12"/>
        </w:rPr>
        <w:t>e effect of the COVID-19 pandemic on BellRing’s business and BellRing’s continuing response to the COVID-19 pandemic. These forward-looking statements are sometimes identified from the use of forward-looking words such as “believe,” “should,” “could,” “pot</w:t>
      </w:r>
      <w:r>
        <w:rPr>
          <w:rFonts w:eastAsia="Times New Roman"/>
          <w:sz w:val="12"/>
          <w:szCs w:val="12"/>
        </w:rPr>
        <w:t>ential,” “continue,” “expect,” “project,” “estimate,” “predict,” “anticipate,” “aim,” “intend,” “plan,” “forecast,” “target,” “is likely,” “will,” “can,” “may” or “would” or the negative of these terms or similar expressions, and include all statements reg</w:t>
      </w:r>
      <w:r>
        <w:rPr>
          <w:rFonts w:eastAsia="Times New Roman"/>
          <w:sz w:val="12"/>
          <w:szCs w:val="12"/>
        </w:rPr>
        <w:t>arding future performance, earnings projections, events or developments. There are a number of risks and uncertainties that could cause actual results to differ materially from the forward-looking statements made herein. These risks and uncertainties inclu</w:t>
      </w:r>
      <w:r>
        <w:rPr>
          <w:rFonts w:eastAsia="Times New Roman"/>
          <w:sz w:val="12"/>
          <w:szCs w:val="12"/>
        </w:rPr>
        <w:t>de, but are not limited to, the following:</w:t>
      </w:r>
    </w:p>
    <w:p w:rsidR="004A0011" w:rsidRDefault="004A0011">
      <w:pPr>
        <w:spacing w:line="1" w:lineRule="exact"/>
        <w:rPr>
          <w:sz w:val="20"/>
          <w:szCs w:val="20"/>
        </w:rPr>
      </w:pPr>
    </w:p>
    <w:p w:rsidR="004A0011" w:rsidRDefault="00D538EF">
      <w:pPr>
        <w:numPr>
          <w:ilvl w:val="0"/>
          <w:numId w:val="4"/>
        </w:numPr>
        <w:tabs>
          <w:tab w:val="left" w:pos="417"/>
        </w:tabs>
        <w:spacing w:line="250" w:lineRule="auto"/>
        <w:ind w:left="420" w:right="540" w:hanging="212"/>
        <w:rPr>
          <w:rFonts w:eastAsia="Times New Roman"/>
          <w:sz w:val="12"/>
          <w:szCs w:val="12"/>
        </w:rPr>
      </w:pPr>
      <w:r>
        <w:rPr>
          <w:rFonts w:eastAsia="Times New Roman"/>
          <w:sz w:val="12"/>
          <w:szCs w:val="12"/>
        </w:rPr>
        <w:t xml:space="preserve">the impact of the COVID-19 pandemic, including negative impacts on the global economy and capital markets, the health of BellRing’s employees, BellRing’s ability and the ability of its third party </w:t>
      </w:r>
      <w:r>
        <w:rPr>
          <w:rFonts w:eastAsia="Times New Roman"/>
          <w:sz w:val="12"/>
          <w:szCs w:val="12"/>
        </w:rPr>
        <w:t>manufacturers to manufacture and deliver its products, operating costs, demand for its on-the-go products and its operations generally;</w:t>
      </w: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BellRing’s dependence on sales from its RTD protein shakes;</w:t>
      </w:r>
    </w:p>
    <w:p w:rsidR="004A0011" w:rsidRDefault="004A0011">
      <w:pPr>
        <w:spacing w:line="6" w:lineRule="exact"/>
        <w:rPr>
          <w:rFonts w:eastAsia="Times New Roman"/>
          <w:sz w:val="12"/>
          <w:szCs w:val="12"/>
        </w:rPr>
      </w:pP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BellRing’s ability to continue to compete in its product ca</w:t>
      </w:r>
      <w:r>
        <w:rPr>
          <w:rFonts w:eastAsia="Times New Roman"/>
          <w:sz w:val="12"/>
          <w:szCs w:val="12"/>
        </w:rPr>
        <w:t>tegories and its ability to retain its market position and favorable perceptions of its brands;</w:t>
      </w:r>
    </w:p>
    <w:p w:rsidR="004A0011" w:rsidRDefault="004A0011">
      <w:pPr>
        <w:spacing w:line="6" w:lineRule="exact"/>
        <w:rPr>
          <w:rFonts w:eastAsia="Times New Roman"/>
          <w:sz w:val="12"/>
          <w:szCs w:val="12"/>
        </w:rPr>
      </w:pP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BellRing’s dependence on a limited number of third party contract manufacturers and suppliers for the manufacturing of most of its products, including one manu</w:t>
      </w:r>
      <w:r>
        <w:rPr>
          <w:rFonts w:eastAsia="Times New Roman"/>
          <w:sz w:val="12"/>
          <w:szCs w:val="12"/>
        </w:rPr>
        <w:t>facturer for the substantial majority of its RTD protein shakes;</w:t>
      </w:r>
    </w:p>
    <w:p w:rsidR="004A0011" w:rsidRDefault="004A0011">
      <w:pPr>
        <w:spacing w:line="6" w:lineRule="exact"/>
        <w:rPr>
          <w:rFonts w:eastAsia="Times New Roman"/>
          <w:sz w:val="12"/>
          <w:szCs w:val="12"/>
        </w:rPr>
      </w:pP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BellRing’s reliance on a limited number of third party suppliers to provide certain ingredients and packaging;</w:t>
      </w:r>
    </w:p>
    <w:p w:rsidR="004A0011" w:rsidRDefault="004A0011">
      <w:pPr>
        <w:spacing w:line="6" w:lineRule="exact"/>
        <w:rPr>
          <w:rFonts w:eastAsia="Times New Roman"/>
          <w:sz w:val="12"/>
          <w:szCs w:val="12"/>
        </w:rPr>
      </w:pP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significant volatility in the cost or availability of inputs to BellRing’s bus</w:t>
      </w:r>
      <w:r>
        <w:rPr>
          <w:rFonts w:eastAsia="Times New Roman"/>
          <w:sz w:val="12"/>
          <w:szCs w:val="12"/>
        </w:rPr>
        <w:t>iness (including freight, raw materials, packaging energy and other supplies);</w:t>
      </w:r>
    </w:p>
    <w:p w:rsidR="004A0011" w:rsidRDefault="004A0011">
      <w:pPr>
        <w:spacing w:line="6" w:lineRule="exact"/>
        <w:rPr>
          <w:rFonts w:eastAsia="Times New Roman"/>
          <w:sz w:val="12"/>
          <w:szCs w:val="12"/>
        </w:rPr>
      </w:pPr>
    </w:p>
    <w:p w:rsidR="004A0011" w:rsidRDefault="00D538EF">
      <w:pPr>
        <w:numPr>
          <w:ilvl w:val="0"/>
          <w:numId w:val="4"/>
        </w:numPr>
        <w:tabs>
          <w:tab w:val="left" w:pos="420"/>
        </w:tabs>
        <w:ind w:left="420" w:hanging="212"/>
        <w:rPr>
          <w:rFonts w:eastAsia="Times New Roman"/>
          <w:sz w:val="12"/>
          <w:szCs w:val="12"/>
        </w:rPr>
      </w:pPr>
      <w:r>
        <w:rPr>
          <w:rFonts w:eastAsia="Times New Roman"/>
          <w:sz w:val="12"/>
          <w:szCs w:val="12"/>
        </w:rPr>
        <w:t>BellRing’s ability to anticipate and respond to changes in consumer and customer preferences and behaviors and introduce new products;</w:t>
      </w:r>
    </w:p>
    <w:p w:rsidR="004A0011" w:rsidRDefault="004A0011">
      <w:pPr>
        <w:spacing w:line="6" w:lineRule="exact"/>
        <w:rPr>
          <w:rFonts w:eastAsia="Times New Roman"/>
          <w:sz w:val="12"/>
          <w:szCs w:val="12"/>
        </w:rPr>
      </w:pPr>
    </w:p>
    <w:p w:rsidR="004A0011" w:rsidRDefault="00D538EF">
      <w:pPr>
        <w:numPr>
          <w:ilvl w:val="0"/>
          <w:numId w:val="4"/>
        </w:numPr>
        <w:tabs>
          <w:tab w:val="left" w:pos="417"/>
        </w:tabs>
        <w:spacing w:line="260" w:lineRule="auto"/>
        <w:ind w:left="420" w:right="80" w:hanging="212"/>
        <w:rPr>
          <w:rFonts w:eastAsia="Times New Roman"/>
          <w:sz w:val="12"/>
          <w:szCs w:val="12"/>
        </w:rPr>
      </w:pPr>
      <w:r>
        <w:rPr>
          <w:rFonts w:eastAsia="Times New Roman"/>
          <w:sz w:val="12"/>
          <w:szCs w:val="12"/>
        </w:rPr>
        <w:t xml:space="preserve">disruptions or </w:t>
      </w:r>
      <w:r>
        <w:rPr>
          <w:rFonts w:eastAsia="Times New Roman"/>
          <w:sz w:val="12"/>
          <w:szCs w:val="12"/>
        </w:rPr>
        <w:t>inefficiencies in BellRing’s supply chain, including as a result of BellRing’s reliance on third party suppliers or manufacturers for the manufacturing of many of its products, pandemics (including the COVID-19 pandemic), changes in weather conditions, nat</w:t>
      </w:r>
      <w:r>
        <w:rPr>
          <w:rFonts w:eastAsia="Times New Roman"/>
          <w:sz w:val="12"/>
          <w:szCs w:val="12"/>
        </w:rPr>
        <w:t>ural disasters, agricultural diseases and pests and other events beyond BellRing’s control;</w:t>
      </w:r>
    </w:p>
    <w:p w:rsidR="004A0011" w:rsidRDefault="004A0011">
      <w:pPr>
        <w:spacing w:line="347" w:lineRule="exact"/>
        <w:rPr>
          <w:sz w:val="20"/>
          <w:szCs w:val="20"/>
        </w:rPr>
      </w:pPr>
    </w:p>
    <w:p w:rsidR="004A0011" w:rsidRDefault="00D538EF">
      <w:pPr>
        <w:jc w:val="center"/>
        <w:rPr>
          <w:sz w:val="20"/>
          <w:szCs w:val="20"/>
        </w:rPr>
      </w:pPr>
      <w:r>
        <w:rPr>
          <w:rFonts w:eastAsia="Times New Roman"/>
          <w:sz w:val="12"/>
          <w:szCs w:val="12"/>
        </w:rPr>
        <w:t>4</w:t>
      </w:r>
    </w:p>
    <w:p w:rsidR="004A0011" w:rsidRDefault="004A0011">
      <w:pPr>
        <w:sectPr w:rsidR="004A0011">
          <w:pgSz w:w="11900" w:h="16838"/>
          <w:pgMar w:top="642" w:right="299" w:bottom="1440" w:left="300" w:header="0" w:footer="0" w:gutter="0"/>
          <w:cols w:space="720" w:equalWidth="0">
            <w:col w:w="11300"/>
          </w:cols>
        </w:sectPr>
      </w:pPr>
    </w:p>
    <w:p w:rsidR="004A0011" w:rsidRDefault="00D538EF">
      <w:pPr>
        <w:numPr>
          <w:ilvl w:val="0"/>
          <w:numId w:val="5"/>
        </w:numPr>
        <w:tabs>
          <w:tab w:val="left" w:pos="420"/>
        </w:tabs>
        <w:ind w:left="420" w:hanging="212"/>
        <w:rPr>
          <w:rFonts w:eastAsia="Times New Roman"/>
          <w:sz w:val="12"/>
          <w:szCs w:val="12"/>
        </w:rPr>
      </w:pPr>
      <w:bookmarkStart w:id="8" w:name="page8"/>
      <w:bookmarkEnd w:id="8"/>
      <w:r>
        <w:rPr>
          <w:rFonts w:eastAsia="Times New Roman"/>
          <w:sz w:val="12"/>
          <w:szCs w:val="12"/>
        </w:rPr>
        <w:lastRenderedPageBreak/>
        <w:t>consolidation in BellRing’s distribution channels;</w:t>
      </w:r>
    </w:p>
    <w:p w:rsidR="004A0011" w:rsidRDefault="004A0011">
      <w:pPr>
        <w:spacing w:line="1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BellRing’s ability to expand existing market penetration and enter into new markets;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all</w:t>
      </w:r>
      <w:r>
        <w:rPr>
          <w:rFonts w:eastAsia="Times New Roman"/>
          <w:sz w:val="12"/>
          <w:szCs w:val="12"/>
        </w:rPr>
        <w:t>egations that BellRing’s products cause injury or illness, product recalls and withdrawals and product liability claims and other litigation;</w:t>
      </w:r>
    </w:p>
    <w:p w:rsidR="004A0011" w:rsidRDefault="004A0011">
      <w:pPr>
        <w:spacing w:line="6" w:lineRule="exact"/>
        <w:rPr>
          <w:rFonts w:eastAsia="Times New Roman"/>
          <w:sz w:val="12"/>
          <w:szCs w:val="12"/>
        </w:rPr>
      </w:pPr>
    </w:p>
    <w:p w:rsidR="004A0011" w:rsidRDefault="00D538EF">
      <w:pPr>
        <w:numPr>
          <w:ilvl w:val="0"/>
          <w:numId w:val="5"/>
        </w:numPr>
        <w:tabs>
          <w:tab w:val="left" w:pos="417"/>
        </w:tabs>
        <w:spacing w:line="250" w:lineRule="auto"/>
        <w:ind w:left="420" w:right="160" w:hanging="212"/>
        <w:rPr>
          <w:rFonts w:eastAsia="Times New Roman"/>
          <w:sz w:val="12"/>
          <w:szCs w:val="12"/>
        </w:rPr>
      </w:pPr>
      <w:r>
        <w:rPr>
          <w:rFonts w:eastAsia="Times New Roman"/>
          <w:sz w:val="12"/>
          <w:szCs w:val="12"/>
        </w:rPr>
        <w:t>legal and regulatory factors, such as compliance with existing laws and regulations, as well as new laws and regu</w:t>
      </w:r>
      <w:r>
        <w:rPr>
          <w:rFonts w:eastAsia="Times New Roman"/>
          <w:sz w:val="12"/>
          <w:szCs w:val="12"/>
        </w:rPr>
        <w:t>lations and changes to existing laws and regulations and interpretations thereof, affecting BellRing’s business, including current and future laws and regulations regarding food safety, advertising and labeling;</w:t>
      </w: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BellRing’s ability to identify, complete and</w:t>
      </w:r>
      <w:r>
        <w:rPr>
          <w:rFonts w:eastAsia="Times New Roman"/>
          <w:sz w:val="12"/>
          <w:szCs w:val="12"/>
        </w:rPr>
        <w:t xml:space="preserve"> integrate or otherwise effectively execute acquisitions or other strategic transactions and effectively manage its growth;</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fluctuations in BellRing’s business due to changes in its promotional activities and seasonality;</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 xml:space="preserve">risks associated with </w:t>
      </w:r>
      <w:r>
        <w:rPr>
          <w:rFonts w:eastAsia="Times New Roman"/>
          <w:sz w:val="12"/>
          <w:szCs w:val="12"/>
        </w:rPr>
        <w:t>BellRing’s international business;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the loss of, a significant reduction of purchases by or the bankruptcy of a major customer;</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the ultimate impact litigation or other regulatory matters may have on BellRing;</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the accuracy of BellRing’s market data and at</w:t>
      </w:r>
      <w:r>
        <w:rPr>
          <w:rFonts w:eastAsia="Times New Roman"/>
          <w:sz w:val="12"/>
          <w:szCs w:val="12"/>
        </w:rPr>
        <w:t>tributes and related information;</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changes in estimates in critical accounting judgments;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economic downturns that limit customer and consumer demand for BellRing’s products;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changes in economic conditions, disruptions in the United States and global capi</w:t>
      </w:r>
      <w:r>
        <w:rPr>
          <w:rFonts w:eastAsia="Times New Roman"/>
          <w:sz w:val="12"/>
          <w:szCs w:val="12"/>
        </w:rPr>
        <w:t>tal and credit markets, changes in interest rates, volatility in the market value of derivatives and fluctuations in foreign currency exchange rates;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BellRing’s ability to protect its intellectual property and other assets;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costs, business disruptions an</w:t>
      </w:r>
      <w:r>
        <w:rPr>
          <w:rFonts w:eastAsia="Times New Roman"/>
          <w:sz w:val="12"/>
          <w:szCs w:val="12"/>
        </w:rPr>
        <w:t>d reputational damage associated with information technology failures, cybersecurity incidents and/or information security breaches;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impairment in the carrying value of goodwill or other intangibles;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BellRing’s high leverage, its ability to obtain additi</w:t>
      </w:r>
      <w:r>
        <w:rPr>
          <w:rFonts w:eastAsia="Times New Roman"/>
          <w:sz w:val="12"/>
          <w:szCs w:val="12"/>
        </w:rPr>
        <w:t>onal financing (including both secured and unsecured debt) and its ability to service its outstanding debt (including covenants that restrict the operation of its business);</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risks related to BellRing’s ongoing relationship with Post, including Post’s cont</w:t>
      </w:r>
      <w:r>
        <w:rPr>
          <w:rFonts w:eastAsia="Times New Roman"/>
          <w:sz w:val="12"/>
          <w:szCs w:val="12"/>
        </w:rPr>
        <w:t>rol over BellRing;</w:t>
      </w:r>
    </w:p>
    <w:p w:rsidR="004A0011" w:rsidRDefault="004A0011">
      <w:pPr>
        <w:spacing w:line="6" w:lineRule="exact"/>
        <w:rPr>
          <w:rFonts w:eastAsia="Times New Roman"/>
          <w:sz w:val="12"/>
          <w:szCs w:val="12"/>
        </w:rPr>
      </w:pPr>
    </w:p>
    <w:p w:rsidR="004A0011" w:rsidRDefault="00D538EF">
      <w:pPr>
        <w:numPr>
          <w:ilvl w:val="0"/>
          <w:numId w:val="5"/>
        </w:numPr>
        <w:tabs>
          <w:tab w:val="left" w:pos="417"/>
        </w:tabs>
        <w:spacing w:line="250" w:lineRule="auto"/>
        <w:ind w:left="420" w:hanging="212"/>
        <w:rPr>
          <w:rFonts w:eastAsia="Times New Roman"/>
          <w:sz w:val="12"/>
          <w:szCs w:val="12"/>
        </w:rPr>
      </w:pPr>
      <w:r>
        <w:rPr>
          <w:rFonts w:eastAsia="Times New Roman"/>
          <w:sz w:val="12"/>
          <w:szCs w:val="12"/>
        </w:rPr>
        <w:t xml:space="preserve">ability to control the direction of BellRing’s business, conflicts of interest or disputes that may arise between Post and BellRing and BellRing’s obligations under various agreements with Post, including under the tax </w:t>
      </w:r>
      <w:r>
        <w:rPr>
          <w:rFonts w:eastAsia="Times New Roman"/>
          <w:sz w:val="12"/>
          <w:szCs w:val="12"/>
        </w:rPr>
        <w:t>receivable agreement;</w:t>
      </w: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risks associated with BellRing’s public company status, including the additional expenses BellRing will continue to incur to create and maintain the corporate infrastructure to operate as a public company;</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BellRing’s ability to satis</w:t>
      </w:r>
      <w:r>
        <w:rPr>
          <w:rFonts w:eastAsia="Times New Roman"/>
          <w:sz w:val="12"/>
          <w:szCs w:val="12"/>
        </w:rPr>
        <w:t>fy the requirements of Section 404 of the Sarbanes-Oxley Act of 2002;</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significant differences in BellRing’s actual operating results from any guidance BellRing may give regarding its performance;</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 xml:space="preserve">BellRing’s ability to hire and retain talented personnel, </w:t>
      </w:r>
      <w:r>
        <w:rPr>
          <w:rFonts w:eastAsia="Times New Roman"/>
          <w:sz w:val="12"/>
          <w:szCs w:val="12"/>
        </w:rPr>
        <w:t>employee absenteeism, labor strikes, work stoppages or unionization efforts; and</w:t>
      </w:r>
    </w:p>
    <w:p w:rsidR="004A0011" w:rsidRDefault="004A0011">
      <w:pPr>
        <w:spacing w:line="6" w:lineRule="exact"/>
        <w:rPr>
          <w:rFonts w:eastAsia="Times New Roman"/>
          <w:sz w:val="12"/>
          <w:szCs w:val="12"/>
        </w:rPr>
      </w:pPr>
    </w:p>
    <w:p w:rsidR="004A0011" w:rsidRDefault="00D538EF">
      <w:pPr>
        <w:numPr>
          <w:ilvl w:val="0"/>
          <w:numId w:val="5"/>
        </w:numPr>
        <w:tabs>
          <w:tab w:val="left" w:pos="420"/>
        </w:tabs>
        <w:ind w:left="420" w:hanging="212"/>
        <w:rPr>
          <w:rFonts w:eastAsia="Times New Roman"/>
          <w:sz w:val="12"/>
          <w:szCs w:val="12"/>
        </w:rPr>
      </w:pPr>
      <w:r>
        <w:rPr>
          <w:rFonts w:eastAsia="Times New Roman"/>
          <w:sz w:val="12"/>
          <w:szCs w:val="12"/>
        </w:rPr>
        <w:t>other risks and uncertainties described in BellRing’s filings with the Securities and Exchange Commission.</w:t>
      </w:r>
    </w:p>
    <w:p w:rsidR="004A0011" w:rsidRDefault="004A0011">
      <w:pPr>
        <w:spacing w:line="103" w:lineRule="exact"/>
        <w:rPr>
          <w:sz w:val="20"/>
          <w:szCs w:val="20"/>
        </w:rPr>
      </w:pPr>
    </w:p>
    <w:p w:rsidR="004A0011" w:rsidRDefault="00D538EF">
      <w:pPr>
        <w:rPr>
          <w:sz w:val="20"/>
          <w:szCs w:val="20"/>
        </w:rPr>
      </w:pPr>
      <w:r>
        <w:rPr>
          <w:rFonts w:eastAsia="Times New Roman"/>
          <w:sz w:val="12"/>
          <w:szCs w:val="12"/>
        </w:rPr>
        <w:t xml:space="preserve">These forward-looking statements represent BellRing’s judgment as </w:t>
      </w:r>
      <w:r>
        <w:rPr>
          <w:rFonts w:eastAsia="Times New Roman"/>
          <w:sz w:val="12"/>
          <w:szCs w:val="12"/>
        </w:rPr>
        <w:t>of the date of this release. BellRing disclaims, however, any intent or obligation to update these forward-looking statements.</w:t>
      </w:r>
    </w:p>
    <w:p w:rsidR="004A0011" w:rsidRDefault="004A0011">
      <w:pPr>
        <w:spacing w:line="110" w:lineRule="exact"/>
        <w:rPr>
          <w:sz w:val="20"/>
          <w:szCs w:val="20"/>
        </w:rPr>
      </w:pPr>
    </w:p>
    <w:p w:rsidR="004A0011" w:rsidRDefault="00D538EF">
      <w:pPr>
        <w:rPr>
          <w:sz w:val="20"/>
          <w:szCs w:val="20"/>
        </w:rPr>
      </w:pPr>
      <w:r>
        <w:rPr>
          <w:rFonts w:eastAsia="Times New Roman"/>
          <w:b/>
          <w:bCs/>
          <w:sz w:val="12"/>
          <w:szCs w:val="12"/>
        </w:rPr>
        <w:t>About BellRing Brands, Inc.</w:t>
      </w:r>
    </w:p>
    <w:p w:rsidR="004A0011" w:rsidRDefault="004A0011">
      <w:pPr>
        <w:spacing w:line="116" w:lineRule="exact"/>
        <w:rPr>
          <w:sz w:val="20"/>
          <w:szCs w:val="20"/>
        </w:rPr>
      </w:pPr>
    </w:p>
    <w:p w:rsidR="004A0011" w:rsidRDefault="00D538EF">
      <w:pPr>
        <w:spacing w:line="266" w:lineRule="auto"/>
        <w:ind w:right="200"/>
        <w:rPr>
          <w:sz w:val="20"/>
          <w:szCs w:val="20"/>
        </w:rPr>
      </w:pPr>
      <w:r>
        <w:rPr>
          <w:rFonts w:eastAsia="Times New Roman"/>
          <w:sz w:val="12"/>
          <w:szCs w:val="12"/>
        </w:rPr>
        <w:t xml:space="preserve">BellRing Brands, Inc. is a rapidly growing leader in the global convenient nutrition category. Its </w:t>
      </w:r>
      <w:r>
        <w:rPr>
          <w:rFonts w:eastAsia="Times New Roman"/>
          <w:sz w:val="12"/>
          <w:szCs w:val="12"/>
        </w:rPr>
        <w:t xml:space="preserve">primary brands, </w:t>
      </w:r>
      <w:r>
        <w:rPr>
          <w:rFonts w:eastAsia="Times New Roman"/>
          <w:i/>
          <w:iCs/>
          <w:sz w:val="12"/>
          <w:szCs w:val="12"/>
        </w:rPr>
        <w:t>Premier Protein</w:t>
      </w:r>
      <w:r>
        <w:rPr>
          <w:rFonts w:eastAsia="Times New Roman"/>
          <w:sz w:val="12"/>
          <w:szCs w:val="12"/>
        </w:rPr>
        <w:t xml:space="preserve">®, </w:t>
      </w:r>
      <w:r>
        <w:rPr>
          <w:rFonts w:eastAsia="Times New Roman"/>
          <w:i/>
          <w:iCs/>
          <w:sz w:val="12"/>
          <w:szCs w:val="12"/>
        </w:rPr>
        <w:t>Dymatize</w:t>
      </w:r>
      <w:r>
        <w:rPr>
          <w:rFonts w:eastAsia="Times New Roman"/>
          <w:sz w:val="12"/>
          <w:szCs w:val="12"/>
        </w:rPr>
        <w:t xml:space="preserve">® and </w:t>
      </w:r>
      <w:r>
        <w:rPr>
          <w:rFonts w:eastAsia="Times New Roman"/>
          <w:i/>
          <w:iCs/>
          <w:sz w:val="12"/>
          <w:szCs w:val="12"/>
        </w:rPr>
        <w:t>PowerBar</w:t>
      </w:r>
      <w:r>
        <w:rPr>
          <w:rFonts w:eastAsia="Times New Roman"/>
          <w:sz w:val="12"/>
          <w:szCs w:val="12"/>
        </w:rPr>
        <w:t xml:space="preserve">®, appeal to a broad range of consumers across all major product forms, including ready-to-drink protein shakes, powders and nutrition bars, and are distributed across a diverse network of </w:t>
      </w:r>
      <w:r>
        <w:rPr>
          <w:rFonts w:eastAsia="Times New Roman"/>
          <w:sz w:val="12"/>
          <w:szCs w:val="12"/>
        </w:rPr>
        <w:t>channels including club, food, drug, mass, eCommerce, specialty and convenience. BellRing’s commitment to consumers is to strive to make highly effective products that deliver best-in-class nutritionals and superior taste. For more information, visit www.b</w:t>
      </w:r>
      <w:r>
        <w:rPr>
          <w:rFonts w:eastAsia="Times New Roman"/>
          <w:sz w:val="12"/>
          <w:szCs w:val="12"/>
        </w:rPr>
        <w:t>ellring.com.</w:t>
      </w:r>
    </w:p>
    <w:p w:rsidR="004A0011" w:rsidRDefault="004A0011">
      <w:pPr>
        <w:spacing w:line="133" w:lineRule="exact"/>
        <w:rPr>
          <w:sz w:val="20"/>
          <w:szCs w:val="20"/>
        </w:rPr>
      </w:pPr>
    </w:p>
    <w:p w:rsidR="004A0011" w:rsidRDefault="00D538EF">
      <w:pPr>
        <w:rPr>
          <w:sz w:val="20"/>
          <w:szCs w:val="20"/>
        </w:rPr>
      </w:pPr>
      <w:r>
        <w:rPr>
          <w:rFonts w:eastAsia="Times New Roman"/>
          <w:b/>
          <w:bCs/>
          <w:sz w:val="12"/>
          <w:szCs w:val="12"/>
        </w:rPr>
        <w:t>Contact:</w:t>
      </w:r>
    </w:p>
    <w:p w:rsidR="004A0011" w:rsidRDefault="004A0011">
      <w:pPr>
        <w:spacing w:line="21" w:lineRule="exact"/>
        <w:rPr>
          <w:sz w:val="20"/>
          <w:szCs w:val="20"/>
        </w:rPr>
      </w:pPr>
    </w:p>
    <w:p w:rsidR="004A0011" w:rsidRDefault="00D538EF">
      <w:pPr>
        <w:rPr>
          <w:sz w:val="20"/>
          <w:szCs w:val="20"/>
        </w:rPr>
      </w:pPr>
      <w:r>
        <w:rPr>
          <w:rFonts w:eastAsia="Times New Roman"/>
          <w:sz w:val="12"/>
          <w:szCs w:val="12"/>
        </w:rPr>
        <w:t>Investor Relations</w:t>
      </w:r>
    </w:p>
    <w:p w:rsidR="004A0011" w:rsidRDefault="004A0011">
      <w:pPr>
        <w:spacing w:line="6" w:lineRule="exact"/>
        <w:rPr>
          <w:sz w:val="20"/>
          <w:szCs w:val="20"/>
        </w:rPr>
      </w:pPr>
    </w:p>
    <w:p w:rsidR="004A0011" w:rsidRDefault="00D538EF">
      <w:pPr>
        <w:rPr>
          <w:sz w:val="20"/>
          <w:szCs w:val="20"/>
        </w:rPr>
      </w:pPr>
      <w:r>
        <w:rPr>
          <w:rFonts w:eastAsia="Times New Roman"/>
          <w:sz w:val="12"/>
          <w:szCs w:val="12"/>
        </w:rPr>
        <w:t>Jennifer Meyer</w:t>
      </w:r>
    </w:p>
    <w:p w:rsidR="004A0011" w:rsidRDefault="004A0011">
      <w:pPr>
        <w:spacing w:line="6" w:lineRule="exact"/>
        <w:rPr>
          <w:sz w:val="20"/>
          <w:szCs w:val="20"/>
        </w:rPr>
      </w:pPr>
    </w:p>
    <w:p w:rsidR="004A0011" w:rsidRDefault="00D538EF">
      <w:pPr>
        <w:rPr>
          <w:sz w:val="20"/>
          <w:szCs w:val="20"/>
        </w:rPr>
      </w:pPr>
      <w:r>
        <w:rPr>
          <w:rFonts w:eastAsia="Times New Roman"/>
          <w:sz w:val="12"/>
          <w:szCs w:val="12"/>
        </w:rPr>
        <w:t>jennifer.meyer@bellringbrands.com</w:t>
      </w:r>
    </w:p>
    <w:p w:rsidR="004A0011" w:rsidRDefault="004A0011">
      <w:pPr>
        <w:spacing w:line="6" w:lineRule="exact"/>
        <w:rPr>
          <w:sz w:val="20"/>
          <w:szCs w:val="20"/>
        </w:rPr>
      </w:pPr>
    </w:p>
    <w:p w:rsidR="004A0011" w:rsidRDefault="00D538EF">
      <w:pPr>
        <w:rPr>
          <w:sz w:val="20"/>
          <w:szCs w:val="20"/>
        </w:rPr>
      </w:pPr>
      <w:r>
        <w:rPr>
          <w:rFonts w:eastAsia="Times New Roman"/>
          <w:sz w:val="12"/>
          <w:szCs w:val="12"/>
        </w:rPr>
        <w:t>(314) 644-7665</w:t>
      </w:r>
    </w:p>
    <w:p w:rsidR="004A0011" w:rsidRDefault="004A0011">
      <w:pPr>
        <w:spacing w:line="139" w:lineRule="exact"/>
        <w:rPr>
          <w:sz w:val="20"/>
          <w:szCs w:val="20"/>
        </w:rPr>
      </w:pPr>
    </w:p>
    <w:p w:rsidR="004A0011" w:rsidRDefault="00D538EF">
      <w:pPr>
        <w:rPr>
          <w:sz w:val="20"/>
          <w:szCs w:val="20"/>
        </w:rPr>
      </w:pPr>
      <w:r>
        <w:rPr>
          <w:rFonts w:eastAsia="Times New Roman"/>
          <w:sz w:val="12"/>
          <w:szCs w:val="12"/>
        </w:rPr>
        <w:t>Media Relations</w:t>
      </w:r>
    </w:p>
    <w:p w:rsidR="004A0011" w:rsidRDefault="004A0011">
      <w:pPr>
        <w:spacing w:line="17" w:lineRule="exact"/>
        <w:rPr>
          <w:sz w:val="20"/>
          <w:szCs w:val="20"/>
        </w:rPr>
      </w:pPr>
    </w:p>
    <w:p w:rsidR="004A0011" w:rsidRDefault="00D538EF">
      <w:pPr>
        <w:rPr>
          <w:sz w:val="20"/>
          <w:szCs w:val="20"/>
        </w:rPr>
      </w:pPr>
      <w:r>
        <w:rPr>
          <w:rFonts w:eastAsia="Times New Roman"/>
          <w:sz w:val="12"/>
          <w:szCs w:val="12"/>
        </w:rPr>
        <w:t>Lisa Hanly</w:t>
      </w:r>
    </w:p>
    <w:p w:rsidR="004A0011" w:rsidRDefault="004A0011">
      <w:pPr>
        <w:spacing w:line="6" w:lineRule="exact"/>
        <w:rPr>
          <w:sz w:val="20"/>
          <w:szCs w:val="20"/>
        </w:rPr>
      </w:pPr>
    </w:p>
    <w:p w:rsidR="004A0011" w:rsidRDefault="00D538EF">
      <w:pPr>
        <w:rPr>
          <w:sz w:val="20"/>
          <w:szCs w:val="20"/>
        </w:rPr>
      </w:pPr>
      <w:r>
        <w:rPr>
          <w:rFonts w:eastAsia="Times New Roman"/>
          <w:sz w:val="12"/>
          <w:szCs w:val="12"/>
        </w:rPr>
        <w:t>lisa.hanly@bellringbrands.com</w:t>
      </w:r>
    </w:p>
    <w:p w:rsidR="004A0011" w:rsidRDefault="004A0011">
      <w:pPr>
        <w:spacing w:line="6" w:lineRule="exact"/>
        <w:rPr>
          <w:sz w:val="20"/>
          <w:szCs w:val="20"/>
        </w:rPr>
      </w:pPr>
    </w:p>
    <w:p w:rsidR="004A0011" w:rsidRDefault="00D538EF">
      <w:pPr>
        <w:rPr>
          <w:sz w:val="20"/>
          <w:szCs w:val="20"/>
        </w:rPr>
      </w:pPr>
      <w:r>
        <w:rPr>
          <w:rFonts w:eastAsia="Times New Roman"/>
          <w:sz w:val="12"/>
          <w:szCs w:val="12"/>
        </w:rPr>
        <w:t>(314) 665-3180</w:t>
      </w:r>
    </w:p>
    <w:p w:rsidR="004A0011" w:rsidRDefault="004A0011">
      <w:pPr>
        <w:spacing w:line="364" w:lineRule="exact"/>
        <w:rPr>
          <w:sz w:val="20"/>
          <w:szCs w:val="20"/>
        </w:rPr>
      </w:pPr>
    </w:p>
    <w:p w:rsidR="004A0011" w:rsidRDefault="00D538EF">
      <w:pPr>
        <w:jc w:val="center"/>
        <w:rPr>
          <w:sz w:val="20"/>
          <w:szCs w:val="20"/>
        </w:rPr>
      </w:pPr>
      <w:r>
        <w:rPr>
          <w:rFonts w:eastAsia="Times New Roman"/>
          <w:sz w:val="12"/>
          <w:szCs w:val="12"/>
        </w:rPr>
        <w:t>5</w:t>
      </w:r>
    </w:p>
    <w:p w:rsidR="004A0011" w:rsidRDefault="004A0011">
      <w:pPr>
        <w:sectPr w:rsidR="004A0011">
          <w:pgSz w:w="11900" w:h="16838"/>
          <w:pgMar w:top="642" w:right="319" w:bottom="1440" w:left="300" w:header="0" w:footer="0" w:gutter="0"/>
          <w:cols w:space="720" w:equalWidth="0">
            <w:col w:w="11280"/>
          </w:cols>
        </w:sectPr>
      </w:pPr>
    </w:p>
    <w:p w:rsidR="004A0011" w:rsidRDefault="00D538EF">
      <w:pPr>
        <w:ind w:right="20"/>
        <w:jc w:val="center"/>
        <w:rPr>
          <w:sz w:val="20"/>
          <w:szCs w:val="20"/>
        </w:rPr>
      </w:pPr>
      <w:bookmarkStart w:id="9" w:name="page9"/>
      <w:bookmarkEnd w:id="9"/>
      <w:r>
        <w:rPr>
          <w:rFonts w:eastAsia="Times New Roman"/>
          <w:b/>
          <w:bCs/>
          <w:sz w:val="12"/>
          <w:szCs w:val="12"/>
        </w:rPr>
        <w:lastRenderedPageBreak/>
        <w:t xml:space="preserve">CONSOLIDATED STATEMENTS OF OPERATIONS </w:t>
      </w:r>
      <w:r>
        <w:rPr>
          <w:rFonts w:eastAsia="Times New Roman"/>
          <w:b/>
          <w:bCs/>
          <w:sz w:val="10"/>
          <w:szCs w:val="10"/>
        </w:rPr>
        <w:t>(Unaudited)</w:t>
      </w:r>
    </w:p>
    <w:p w:rsidR="004A0011" w:rsidRDefault="004A0011">
      <w:pPr>
        <w:spacing w:line="21" w:lineRule="exact"/>
        <w:rPr>
          <w:sz w:val="20"/>
          <w:szCs w:val="20"/>
        </w:rPr>
      </w:pPr>
    </w:p>
    <w:p w:rsidR="004A0011" w:rsidRDefault="00D538EF">
      <w:pPr>
        <w:ind w:right="20"/>
        <w:jc w:val="center"/>
        <w:rPr>
          <w:sz w:val="20"/>
          <w:szCs w:val="20"/>
        </w:rPr>
      </w:pPr>
      <w:r>
        <w:rPr>
          <w:rFonts w:eastAsia="Times New Roman"/>
          <w:b/>
          <w:bCs/>
          <w:sz w:val="11"/>
          <w:szCs w:val="11"/>
        </w:rPr>
        <w:t>(in millions, except for per share data)</w:t>
      </w:r>
    </w:p>
    <w:tbl>
      <w:tblPr>
        <w:tblW w:w="0" w:type="auto"/>
        <w:tblLayout w:type="fixed"/>
        <w:tblCellMar>
          <w:left w:w="0" w:type="dxa"/>
          <w:right w:w="0" w:type="dxa"/>
        </w:tblCellMar>
        <w:tblLook w:val="04A0" w:firstRow="1" w:lastRow="0" w:firstColumn="1" w:lastColumn="0" w:noHBand="0" w:noVBand="1"/>
      </w:tblPr>
      <w:tblGrid>
        <w:gridCol w:w="3480"/>
        <w:gridCol w:w="2980"/>
        <w:gridCol w:w="20"/>
        <w:gridCol w:w="580"/>
        <w:gridCol w:w="380"/>
        <w:gridCol w:w="240"/>
        <w:gridCol w:w="640"/>
        <w:gridCol w:w="340"/>
        <w:gridCol w:w="20"/>
        <w:gridCol w:w="320"/>
        <w:gridCol w:w="20"/>
        <w:gridCol w:w="620"/>
        <w:gridCol w:w="360"/>
        <w:gridCol w:w="220"/>
        <w:gridCol w:w="360"/>
        <w:gridCol w:w="640"/>
      </w:tblGrid>
      <w:tr w:rsidR="004A0011">
        <w:trPr>
          <w:trHeight w:val="126"/>
        </w:trPr>
        <w:tc>
          <w:tcPr>
            <w:tcW w:w="3480" w:type="dxa"/>
            <w:vAlign w:val="bottom"/>
          </w:tcPr>
          <w:p w:rsidR="004A0011" w:rsidRDefault="004A0011">
            <w:pPr>
              <w:rPr>
                <w:sz w:val="10"/>
                <w:szCs w:val="10"/>
              </w:rPr>
            </w:pPr>
          </w:p>
        </w:tc>
        <w:tc>
          <w:tcPr>
            <w:tcW w:w="298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580" w:type="dxa"/>
            <w:vAlign w:val="bottom"/>
          </w:tcPr>
          <w:p w:rsidR="004A0011" w:rsidRDefault="004A0011">
            <w:pPr>
              <w:rPr>
                <w:sz w:val="10"/>
                <w:szCs w:val="10"/>
              </w:rPr>
            </w:pPr>
          </w:p>
        </w:tc>
        <w:tc>
          <w:tcPr>
            <w:tcW w:w="1260" w:type="dxa"/>
            <w:gridSpan w:val="3"/>
            <w:vAlign w:val="bottom"/>
          </w:tcPr>
          <w:p w:rsidR="004A0011" w:rsidRDefault="00D538EF">
            <w:pPr>
              <w:ind w:right="186"/>
              <w:jc w:val="center"/>
              <w:rPr>
                <w:sz w:val="20"/>
                <w:szCs w:val="20"/>
              </w:rPr>
            </w:pPr>
            <w:r>
              <w:rPr>
                <w:rFonts w:eastAsia="Times New Roman"/>
                <w:b/>
                <w:bCs/>
                <w:w w:val="97"/>
                <w:sz w:val="11"/>
                <w:szCs w:val="11"/>
              </w:rPr>
              <w:t>Three Months Ended</w:t>
            </w:r>
          </w:p>
        </w:tc>
        <w:tc>
          <w:tcPr>
            <w:tcW w:w="34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32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620" w:type="dxa"/>
            <w:vAlign w:val="bottom"/>
          </w:tcPr>
          <w:p w:rsidR="004A0011" w:rsidRDefault="004A0011">
            <w:pPr>
              <w:rPr>
                <w:sz w:val="10"/>
                <w:szCs w:val="10"/>
              </w:rPr>
            </w:pPr>
          </w:p>
        </w:tc>
        <w:tc>
          <w:tcPr>
            <w:tcW w:w="940" w:type="dxa"/>
            <w:gridSpan w:val="3"/>
            <w:vAlign w:val="bottom"/>
          </w:tcPr>
          <w:p w:rsidR="004A0011" w:rsidRDefault="00D538EF">
            <w:pPr>
              <w:ind w:right="160"/>
              <w:jc w:val="right"/>
              <w:rPr>
                <w:sz w:val="20"/>
                <w:szCs w:val="20"/>
              </w:rPr>
            </w:pPr>
            <w:r>
              <w:rPr>
                <w:rFonts w:eastAsia="Times New Roman"/>
                <w:b/>
                <w:bCs/>
                <w:sz w:val="11"/>
                <w:szCs w:val="11"/>
              </w:rPr>
              <w:t>Year Ended</w:t>
            </w:r>
          </w:p>
        </w:tc>
        <w:tc>
          <w:tcPr>
            <w:tcW w:w="640" w:type="dxa"/>
            <w:vAlign w:val="bottom"/>
          </w:tcPr>
          <w:p w:rsidR="004A0011" w:rsidRDefault="004A0011">
            <w:pPr>
              <w:rPr>
                <w:sz w:val="10"/>
                <w:szCs w:val="10"/>
              </w:rPr>
            </w:pPr>
          </w:p>
        </w:tc>
      </w:tr>
      <w:tr w:rsidR="004A0011">
        <w:trPr>
          <w:trHeight w:val="143"/>
        </w:trPr>
        <w:tc>
          <w:tcPr>
            <w:tcW w:w="3480" w:type="dxa"/>
            <w:vAlign w:val="bottom"/>
          </w:tcPr>
          <w:p w:rsidR="004A0011" w:rsidRDefault="004A0011">
            <w:pPr>
              <w:rPr>
                <w:sz w:val="12"/>
                <w:szCs w:val="12"/>
              </w:rPr>
            </w:pPr>
          </w:p>
        </w:tc>
        <w:tc>
          <w:tcPr>
            <w:tcW w:w="2980" w:type="dxa"/>
            <w:vAlign w:val="bottom"/>
          </w:tcPr>
          <w:p w:rsidR="004A0011" w:rsidRDefault="004A0011">
            <w:pPr>
              <w:rPr>
                <w:sz w:val="12"/>
                <w:szCs w:val="12"/>
              </w:rPr>
            </w:pPr>
          </w:p>
        </w:tc>
        <w:tc>
          <w:tcPr>
            <w:tcW w:w="20" w:type="dxa"/>
            <w:tcBorders>
              <w:bottom w:val="single" w:sz="8" w:space="0" w:color="auto"/>
            </w:tcBorders>
            <w:vAlign w:val="bottom"/>
          </w:tcPr>
          <w:p w:rsidR="004A0011" w:rsidRDefault="004A0011">
            <w:pPr>
              <w:rPr>
                <w:sz w:val="12"/>
                <w:szCs w:val="12"/>
              </w:rPr>
            </w:pPr>
          </w:p>
        </w:tc>
        <w:tc>
          <w:tcPr>
            <w:tcW w:w="580" w:type="dxa"/>
            <w:tcBorders>
              <w:bottom w:val="single" w:sz="8" w:space="0" w:color="auto"/>
            </w:tcBorders>
            <w:vAlign w:val="bottom"/>
          </w:tcPr>
          <w:p w:rsidR="004A0011" w:rsidRDefault="004A0011">
            <w:pPr>
              <w:rPr>
                <w:sz w:val="12"/>
                <w:szCs w:val="12"/>
              </w:rPr>
            </w:pPr>
          </w:p>
        </w:tc>
        <w:tc>
          <w:tcPr>
            <w:tcW w:w="1260" w:type="dxa"/>
            <w:gridSpan w:val="3"/>
            <w:tcBorders>
              <w:bottom w:val="single" w:sz="8" w:space="0" w:color="auto"/>
            </w:tcBorders>
            <w:vAlign w:val="bottom"/>
          </w:tcPr>
          <w:p w:rsidR="004A0011" w:rsidRDefault="00D538EF">
            <w:pPr>
              <w:ind w:right="186"/>
              <w:jc w:val="center"/>
              <w:rPr>
                <w:sz w:val="20"/>
                <w:szCs w:val="20"/>
              </w:rPr>
            </w:pPr>
            <w:r>
              <w:rPr>
                <w:rFonts w:eastAsia="Times New Roman"/>
                <w:b/>
                <w:bCs/>
                <w:w w:val="98"/>
                <w:sz w:val="11"/>
                <w:szCs w:val="11"/>
              </w:rPr>
              <w:t>September 30,</w:t>
            </w:r>
          </w:p>
        </w:tc>
        <w:tc>
          <w:tcPr>
            <w:tcW w:w="340" w:type="dxa"/>
            <w:tcBorders>
              <w:bottom w:val="single" w:sz="8" w:space="0" w:color="auto"/>
            </w:tcBorders>
            <w:vAlign w:val="bottom"/>
          </w:tcPr>
          <w:p w:rsidR="004A0011" w:rsidRDefault="004A0011">
            <w:pPr>
              <w:rPr>
                <w:sz w:val="12"/>
                <w:szCs w:val="12"/>
              </w:rPr>
            </w:pPr>
          </w:p>
        </w:tc>
        <w:tc>
          <w:tcPr>
            <w:tcW w:w="2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20" w:type="dxa"/>
            <w:tcBorders>
              <w:bottom w:val="single" w:sz="8" w:space="0" w:color="auto"/>
            </w:tcBorders>
            <w:vAlign w:val="bottom"/>
          </w:tcPr>
          <w:p w:rsidR="004A0011" w:rsidRDefault="004A0011">
            <w:pPr>
              <w:rPr>
                <w:sz w:val="12"/>
                <w:szCs w:val="12"/>
              </w:rPr>
            </w:pPr>
          </w:p>
        </w:tc>
        <w:tc>
          <w:tcPr>
            <w:tcW w:w="620" w:type="dxa"/>
            <w:tcBorders>
              <w:bottom w:val="single" w:sz="8" w:space="0" w:color="auto"/>
            </w:tcBorders>
            <w:vAlign w:val="bottom"/>
          </w:tcPr>
          <w:p w:rsidR="004A0011" w:rsidRDefault="004A0011">
            <w:pPr>
              <w:rPr>
                <w:sz w:val="12"/>
                <w:szCs w:val="12"/>
              </w:rPr>
            </w:pPr>
          </w:p>
        </w:tc>
        <w:tc>
          <w:tcPr>
            <w:tcW w:w="940" w:type="dxa"/>
            <w:gridSpan w:val="3"/>
            <w:tcBorders>
              <w:bottom w:val="single" w:sz="8" w:space="0" w:color="auto"/>
            </w:tcBorders>
            <w:vAlign w:val="bottom"/>
          </w:tcPr>
          <w:p w:rsidR="004A0011" w:rsidRDefault="00D538EF">
            <w:pPr>
              <w:jc w:val="center"/>
              <w:rPr>
                <w:sz w:val="20"/>
                <w:szCs w:val="20"/>
              </w:rPr>
            </w:pPr>
            <w:r>
              <w:rPr>
                <w:rFonts w:eastAsia="Times New Roman"/>
                <w:b/>
                <w:bCs/>
                <w:w w:val="98"/>
                <w:sz w:val="11"/>
                <w:szCs w:val="11"/>
              </w:rPr>
              <w:t>September 30,</w:t>
            </w:r>
          </w:p>
        </w:tc>
        <w:tc>
          <w:tcPr>
            <w:tcW w:w="640" w:type="dxa"/>
            <w:tcBorders>
              <w:bottom w:val="single" w:sz="8" w:space="0" w:color="auto"/>
            </w:tcBorders>
            <w:vAlign w:val="bottom"/>
          </w:tcPr>
          <w:p w:rsidR="004A0011" w:rsidRDefault="004A0011">
            <w:pPr>
              <w:rPr>
                <w:sz w:val="12"/>
                <w:szCs w:val="12"/>
              </w:rPr>
            </w:pPr>
          </w:p>
        </w:tc>
      </w:tr>
      <w:tr w:rsidR="004A0011">
        <w:trPr>
          <w:trHeight w:val="133"/>
        </w:trPr>
        <w:tc>
          <w:tcPr>
            <w:tcW w:w="3480" w:type="dxa"/>
            <w:tcBorders>
              <w:bottom w:val="single" w:sz="8" w:space="0" w:color="CCEEFF"/>
            </w:tcBorders>
            <w:vAlign w:val="bottom"/>
          </w:tcPr>
          <w:p w:rsidR="004A0011" w:rsidRDefault="004A0011">
            <w:pPr>
              <w:rPr>
                <w:sz w:val="11"/>
                <w:szCs w:val="11"/>
              </w:rPr>
            </w:pPr>
          </w:p>
        </w:tc>
        <w:tc>
          <w:tcPr>
            <w:tcW w:w="2980" w:type="dxa"/>
            <w:tcBorders>
              <w:bottom w:val="single" w:sz="8" w:space="0" w:color="CCEEFF"/>
            </w:tcBorders>
            <w:vAlign w:val="bottom"/>
          </w:tcPr>
          <w:p w:rsidR="004A0011" w:rsidRDefault="004A0011">
            <w:pPr>
              <w:rPr>
                <w:sz w:val="11"/>
                <w:szCs w:val="11"/>
              </w:rPr>
            </w:pPr>
          </w:p>
        </w:tc>
        <w:tc>
          <w:tcPr>
            <w:tcW w:w="600" w:type="dxa"/>
            <w:gridSpan w:val="2"/>
            <w:tcBorders>
              <w:bottom w:val="single" w:sz="8" w:space="0" w:color="auto"/>
            </w:tcBorders>
            <w:vAlign w:val="bottom"/>
          </w:tcPr>
          <w:p w:rsidR="004A0011" w:rsidRDefault="00D538EF">
            <w:pPr>
              <w:jc w:val="right"/>
              <w:rPr>
                <w:sz w:val="20"/>
                <w:szCs w:val="20"/>
              </w:rPr>
            </w:pPr>
            <w:r>
              <w:rPr>
                <w:rFonts w:eastAsia="Times New Roman"/>
                <w:b/>
                <w:bCs/>
                <w:sz w:val="11"/>
                <w:szCs w:val="11"/>
              </w:rPr>
              <w:t>2020</w:t>
            </w:r>
          </w:p>
        </w:tc>
        <w:tc>
          <w:tcPr>
            <w:tcW w:w="380" w:type="dxa"/>
            <w:tcBorders>
              <w:bottom w:val="single" w:sz="8" w:space="0" w:color="auto"/>
            </w:tcBorders>
            <w:vAlign w:val="bottom"/>
          </w:tcPr>
          <w:p w:rsidR="004A0011" w:rsidRDefault="004A0011">
            <w:pPr>
              <w:rPr>
                <w:sz w:val="11"/>
                <w:szCs w:val="11"/>
              </w:rPr>
            </w:pPr>
          </w:p>
        </w:tc>
        <w:tc>
          <w:tcPr>
            <w:tcW w:w="240" w:type="dxa"/>
            <w:tcBorders>
              <w:bottom w:val="single" w:sz="8" w:space="0" w:color="CCEEFF"/>
            </w:tcBorders>
            <w:vAlign w:val="bottom"/>
          </w:tcPr>
          <w:p w:rsidR="004A0011" w:rsidRDefault="004A0011">
            <w:pPr>
              <w:rPr>
                <w:sz w:val="11"/>
                <w:szCs w:val="11"/>
              </w:rPr>
            </w:pPr>
          </w:p>
        </w:tc>
        <w:tc>
          <w:tcPr>
            <w:tcW w:w="640" w:type="dxa"/>
            <w:tcBorders>
              <w:bottom w:val="single" w:sz="8" w:space="0" w:color="auto"/>
            </w:tcBorders>
            <w:vAlign w:val="bottom"/>
          </w:tcPr>
          <w:p w:rsidR="004A0011" w:rsidRDefault="00D538EF">
            <w:pPr>
              <w:jc w:val="right"/>
              <w:rPr>
                <w:sz w:val="20"/>
                <w:szCs w:val="20"/>
              </w:rPr>
            </w:pPr>
            <w:r>
              <w:rPr>
                <w:rFonts w:eastAsia="Times New Roman"/>
                <w:b/>
                <w:bCs/>
                <w:sz w:val="11"/>
                <w:szCs w:val="11"/>
              </w:rPr>
              <w:t>2019</w:t>
            </w:r>
          </w:p>
        </w:tc>
        <w:tc>
          <w:tcPr>
            <w:tcW w:w="340" w:type="dxa"/>
            <w:tcBorders>
              <w:bottom w:val="single" w:sz="8" w:space="0" w:color="auto"/>
            </w:tcBorders>
            <w:vAlign w:val="bottom"/>
          </w:tcPr>
          <w:p w:rsidR="004A0011" w:rsidRDefault="004A0011">
            <w:pPr>
              <w:rPr>
                <w:sz w:val="11"/>
                <w:szCs w:val="11"/>
              </w:rPr>
            </w:pPr>
          </w:p>
        </w:tc>
        <w:tc>
          <w:tcPr>
            <w:tcW w:w="20" w:type="dxa"/>
            <w:tcBorders>
              <w:bottom w:val="single" w:sz="8" w:space="0" w:color="CCEEFF"/>
            </w:tcBorders>
            <w:vAlign w:val="bottom"/>
          </w:tcPr>
          <w:p w:rsidR="004A0011" w:rsidRDefault="004A0011">
            <w:pPr>
              <w:rPr>
                <w:sz w:val="11"/>
                <w:szCs w:val="11"/>
              </w:rPr>
            </w:pPr>
          </w:p>
        </w:tc>
        <w:tc>
          <w:tcPr>
            <w:tcW w:w="320" w:type="dxa"/>
            <w:tcBorders>
              <w:bottom w:val="single" w:sz="8" w:space="0" w:color="CCEEFF"/>
            </w:tcBorders>
            <w:vAlign w:val="bottom"/>
          </w:tcPr>
          <w:p w:rsidR="004A0011" w:rsidRDefault="004A0011">
            <w:pPr>
              <w:rPr>
                <w:sz w:val="11"/>
                <w:szCs w:val="11"/>
              </w:rPr>
            </w:pPr>
          </w:p>
        </w:tc>
        <w:tc>
          <w:tcPr>
            <w:tcW w:w="640" w:type="dxa"/>
            <w:gridSpan w:val="2"/>
            <w:tcBorders>
              <w:bottom w:val="single" w:sz="8" w:space="0" w:color="auto"/>
            </w:tcBorders>
            <w:vAlign w:val="bottom"/>
          </w:tcPr>
          <w:p w:rsidR="004A0011" w:rsidRDefault="00D538EF">
            <w:pPr>
              <w:jc w:val="right"/>
              <w:rPr>
                <w:sz w:val="20"/>
                <w:szCs w:val="20"/>
              </w:rPr>
            </w:pPr>
            <w:r>
              <w:rPr>
                <w:rFonts w:eastAsia="Times New Roman"/>
                <w:b/>
                <w:bCs/>
                <w:sz w:val="11"/>
                <w:szCs w:val="11"/>
              </w:rPr>
              <w:t>2020</w:t>
            </w:r>
          </w:p>
        </w:tc>
        <w:tc>
          <w:tcPr>
            <w:tcW w:w="360" w:type="dxa"/>
            <w:tcBorders>
              <w:bottom w:val="single" w:sz="8" w:space="0" w:color="auto"/>
            </w:tcBorders>
            <w:vAlign w:val="bottom"/>
          </w:tcPr>
          <w:p w:rsidR="004A0011" w:rsidRDefault="004A0011">
            <w:pPr>
              <w:rPr>
                <w:sz w:val="11"/>
                <w:szCs w:val="11"/>
              </w:rPr>
            </w:pPr>
          </w:p>
        </w:tc>
        <w:tc>
          <w:tcPr>
            <w:tcW w:w="220" w:type="dxa"/>
            <w:tcBorders>
              <w:bottom w:val="single" w:sz="8" w:space="0" w:color="CCEEFF"/>
            </w:tcBorders>
            <w:vAlign w:val="bottom"/>
          </w:tcPr>
          <w:p w:rsidR="004A0011" w:rsidRDefault="004A0011">
            <w:pPr>
              <w:rPr>
                <w:sz w:val="11"/>
                <w:szCs w:val="11"/>
              </w:rPr>
            </w:pPr>
          </w:p>
        </w:tc>
        <w:tc>
          <w:tcPr>
            <w:tcW w:w="360" w:type="dxa"/>
            <w:tcBorders>
              <w:bottom w:val="single" w:sz="8" w:space="0" w:color="auto"/>
            </w:tcBorders>
            <w:vAlign w:val="bottom"/>
          </w:tcPr>
          <w:p w:rsidR="004A0011" w:rsidRDefault="004A0011">
            <w:pPr>
              <w:rPr>
                <w:sz w:val="11"/>
                <w:szCs w:val="11"/>
              </w:rPr>
            </w:pPr>
          </w:p>
        </w:tc>
        <w:tc>
          <w:tcPr>
            <w:tcW w:w="640" w:type="dxa"/>
            <w:tcBorders>
              <w:bottom w:val="single" w:sz="8" w:space="0" w:color="auto"/>
            </w:tcBorders>
            <w:vAlign w:val="bottom"/>
          </w:tcPr>
          <w:p w:rsidR="004A0011" w:rsidRDefault="00D538EF">
            <w:pPr>
              <w:ind w:right="340"/>
              <w:jc w:val="right"/>
              <w:rPr>
                <w:sz w:val="20"/>
                <w:szCs w:val="20"/>
              </w:rPr>
            </w:pPr>
            <w:r>
              <w:rPr>
                <w:rFonts w:eastAsia="Times New Roman"/>
                <w:b/>
                <w:bCs/>
                <w:w w:val="99"/>
                <w:sz w:val="11"/>
                <w:szCs w:val="11"/>
              </w:rPr>
              <w:t>2019</w:t>
            </w:r>
          </w:p>
        </w:tc>
      </w:tr>
      <w:tr w:rsidR="004A0011">
        <w:trPr>
          <w:trHeight w:val="143"/>
        </w:trPr>
        <w:tc>
          <w:tcPr>
            <w:tcW w:w="3480" w:type="dxa"/>
            <w:shd w:val="clear" w:color="auto" w:fill="CCEEFF"/>
            <w:vAlign w:val="bottom"/>
          </w:tcPr>
          <w:p w:rsidR="004A0011" w:rsidRDefault="00D538EF">
            <w:pPr>
              <w:rPr>
                <w:sz w:val="20"/>
                <w:szCs w:val="20"/>
              </w:rPr>
            </w:pPr>
            <w:r>
              <w:rPr>
                <w:rFonts w:eastAsia="Times New Roman"/>
                <w:b/>
                <w:bCs/>
                <w:sz w:val="12"/>
                <w:szCs w:val="12"/>
              </w:rPr>
              <w:t>Net Sales</w:t>
            </w:r>
          </w:p>
        </w:tc>
        <w:tc>
          <w:tcPr>
            <w:tcW w:w="2980" w:type="dxa"/>
            <w:shd w:val="clear" w:color="auto" w:fill="CCEEFF"/>
            <w:vAlign w:val="bottom"/>
          </w:tcPr>
          <w:p w:rsidR="004A0011" w:rsidRDefault="004A0011">
            <w:pPr>
              <w:rPr>
                <w:sz w:val="12"/>
                <w:szCs w:val="12"/>
              </w:rPr>
            </w:pPr>
          </w:p>
        </w:tc>
        <w:tc>
          <w:tcPr>
            <w:tcW w:w="600" w:type="dxa"/>
            <w:gridSpan w:val="2"/>
            <w:shd w:val="clear" w:color="auto" w:fill="CCEEFF"/>
            <w:vAlign w:val="bottom"/>
          </w:tcPr>
          <w:p w:rsidR="004A0011" w:rsidRDefault="00D538EF">
            <w:pPr>
              <w:ind w:right="466"/>
              <w:jc w:val="right"/>
              <w:rPr>
                <w:sz w:val="20"/>
                <w:szCs w:val="20"/>
              </w:rPr>
            </w:pPr>
            <w:r>
              <w:rPr>
                <w:rFonts w:eastAsia="Times New Roman"/>
                <w:w w:val="99"/>
                <w:sz w:val="12"/>
                <w:szCs w:val="12"/>
              </w:rPr>
              <w:t>$</w:t>
            </w:r>
          </w:p>
        </w:tc>
        <w:tc>
          <w:tcPr>
            <w:tcW w:w="380" w:type="dxa"/>
            <w:shd w:val="clear" w:color="auto" w:fill="CCEEFF"/>
            <w:vAlign w:val="bottom"/>
          </w:tcPr>
          <w:p w:rsidR="004A0011" w:rsidRDefault="00D538EF">
            <w:pPr>
              <w:jc w:val="right"/>
              <w:rPr>
                <w:sz w:val="20"/>
                <w:szCs w:val="20"/>
              </w:rPr>
            </w:pPr>
            <w:r>
              <w:rPr>
                <w:rFonts w:eastAsia="Times New Roman"/>
                <w:sz w:val="12"/>
                <w:szCs w:val="12"/>
              </w:rPr>
              <w:t>282.6</w:t>
            </w:r>
          </w:p>
        </w:tc>
        <w:tc>
          <w:tcPr>
            <w:tcW w:w="240" w:type="dxa"/>
            <w:shd w:val="clear" w:color="auto" w:fill="CCEEFF"/>
            <w:vAlign w:val="bottom"/>
          </w:tcPr>
          <w:p w:rsidR="004A0011" w:rsidRDefault="004A0011">
            <w:pPr>
              <w:rPr>
                <w:sz w:val="12"/>
                <w:szCs w:val="12"/>
              </w:rPr>
            </w:pPr>
          </w:p>
        </w:tc>
        <w:tc>
          <w:tcPr>
            <w:tcW w:w="640" w:type="dxa"/>
            <w:shd w:val="clear" w:color="auto" w:fill="CCEEFF"/>
            <w:vAlign w:val="bottom"/>
          </w:tcPr>
          <w:p w:rsidR="004A0011" w:rsidRDefault="00D538EF">
            <w:pPr>
              <w:ind w:right="526"/>
              <w:jc w:val="right"/>
              <w:rPr>
                <w:sz w:val="20"/>
                <w:szCs w:val="20"/>
              </w:rPr>
            </w:pPr>
            <w:r>
              <w:rPr>
                <w:rFonts w:eastAsia="Times New Roman"/>
                <w:w w:val="71"/>
                <w:sz w:val="11"/>
                <w:szCs w:val="11"/>
              </w:rPr>
              <w:t>$</w:t>
            </w:r>
          </w:p>
        </w:tc>
        <w:tc>
          <w:tcPr>
            <w:tcW w:w="340" w:type="dxa"/>
            <w:shd w:val="clear" w:color="auto" w:fill="CCEEFF"/>
            <w:vAlign w:val="bottom"/>
          </w:tcPr>
          <w:p w:rsidR="004A0011" w:rsidRDefault="00D538EF">
            <w:pPr>
              <w:jc w:val="right"/>
              <w:rPr>
                <w:sz w:val="20"/>
                <w:szCs w:val="20"/>
              </w:rPr>
            </w:pPr>
            <w:r>
              <w:rPr>
                <w:rFonts w:eastAsia="Times New Roman"/>
                <w:sz w:val="12"/>
                <w:szCs w:val="12"/>
              </w:rPr>
              <w:t>214.5</w:t>
            </w:r>
          </w:p>
        </w:tc>
        <w:tc>
          <w:tcPr>
            <w:tcW w:w="2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640" w:type="dxa"/>
            <w:gridSpan w:val="2"/>
            <w:shd w:val="clear" w:color="auto" w:fill="CCEEFF"/>
            <w:vAlign w:val="bottom"/>
          </w:tcPr>
          <w:p w:rsidR="004A0011" w:rsidRDefault="00D538EF">
            <w:pPr>
              <w:ind w:right="506"/>
              <w:jc w:val="right"/>
              <w:rPr>
                <w:sz w:val="20"/>
                <w:szCs w:val="20"/>
              </w:rPr>
            </w:pPr>
            <w:r>
              <w:rPr>
                <w:rFonts w:eastAsia="Times New Roman"/>
                <w:w w:val="99"/>
                <w:sz w:val="12"/>
                <w:szCs w:val="12"/>
              </w:rPr>
              <w:t>$</w:t>
            </w: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988.3</w:t>
            </w:r>
          </w:p>
        </w:tc>
        <w:tc>
          <w:tcPr>
            <w:tcW w:w="220" w:type="dxa"/>
            <w:shd w:val="clear" w:color="auto" w:fill="CCEEFF"/>
            <w:vAlign w:val="bottom"/>
          </w:tcPr>
          <w:p w:rsidR="004A0011" w:rsidRDefault="004A0011">
            <w:pPr>
              <w:rPr>
                <w:sz w:val="12"/>
                <w:szCs w:val="12"/>
              </w:rPr>
            </w:pPr>
          </w:p>
        </w:tc>
        <w:tc>
          <w:tcPr>
            <w:tcW w:w="360" w:type="dxa"/>
            <w:shd w:val="clear" w:color="auto" w:fill="CCEEFF"/>
            <w:vAlign w:val="bottom"/>
          </w:tcPr>
          <w:p w:rsidR="004A0011" w:rsidRDefault="00D538EF">
            <w:pPr>
              <w:ind w:right="220"/>
              <w:jc w:val="right"/>
              <w:rPr>
                <w:sz w:val="20"/>
                <w:szCs w:val="20"/>
              </w:rPr>
            </w:pPr>
            <w:r>
              <w:rPr>
                <w:rFonts w:eastAsia="Times New Roman"/>
                <w:w w:val="99"/>
                <w:sz w:val="12"/>
                <w:szCs w:val="12"/>
              </w:rPr>
              <w:t>$</w:t>
            </w:r>
          </w:p>
        </w:tc>
        <w:tc>
          <w:tcPr>
            <w:tcW w:w="640" w:type="dxa"/>
            <w:shd w:val="clear" w:color="auto" w:fill="CCEEFF"/>
            <w:vAlign w:val="bottom"/>
          </w:tcPr>
          <w:p w:rsidR="004A0011" w:rsidRDefault="00D538EF">
            <w:pPr>
              <w:jc w:val="right"/>
              <w:rPr>
                <w:sz w:val="20"/>
                <w:szCs w:val="20"/>
              </w:rPr>
            </w:pPr>
            <w:r>
              <w:rPr>
                <w:rFonts w:eastAsia="Times New Roman"/>
                <w:sz w:val="12"/>
                <w:szCs w:val="12"/>
              </w:rPr>
              <w:t>854.4</w:t>
            </w:r>
          </w:p>
        </w:tc>
      </w:tr>
      <w:tr w:rsidR="004A0011">
        <w:trPr>
          <w:trHeight w:val="153"/>
        </w:trPr>
        <w:tc>
          <w:tcPr>
            <w:tcW w:w="3480" w:type="dxa"/>
            <w:tcBorders>
              <w:bottom w:val="single" w:sz="8" w:space="0" w:color="CCEEFF"/>
            </w:tcBorders>
            <w:vAlign w:val="bottom"/>
          </w:tcPr>
          <w:p w:rsidR="004A0011" w:rsidRDefault="00D538EF">
            <w:pPr>
              <w:rPr>
                <w:sz w:val="20"/>
                <w:szCs w:val="20"/>
              </w:rPr>
            </w:pPr>
            <w:r>
              <w:rPr>
                <w:rFonts w:eastAsia="Times New Roman"/>
                <w:sz w:val="12"/>
                <w:szCs w:val="12"/>
              </w:rPr>
              <w:t>Cost of goods sold</w:t>
            </w:r>
          </w:p>
        </w:tc>
        <w:tc>
          <w:tcPr>
            <w:tcW w:w="2980" w:type="dxa"/>
            <w:tcBorders>
              <w:bottom w:val="single" w:sz="8" w:space="0" w:color="CCEEFF"/>
            </w:tcBorders>
            <w:vAlign w:val="bottom"/>
          </w:tcPr>
          <w:p w:rsidR="004A0011" w:rsidRDefault="004A0011">
            <w:pPr>
              <w:rPr>
                <w:sz w:val="13"/>
                <w:szCs w:val="13"/>
              </w:rPr>
            </w:pPr>
          </w:p>
        </w:tc>
        <w:tc>
          <w:tcPr>
            <w:tcW w:w="20" w:type="dxa"/>
            <w:tcBorders>
              <w:bottom w:val="single" w:sz="8" w:space="0" w:color="auto"/>
            </w:tcBorders>
            <w:vAlign w:val="bottom"/>
          </w:tcPr>
          <w:p w:rsidR="004A0011" w:rsidRDefault="004A0011">
            <w:pPr>
              <w:rPr>
                <w:sz w:val="13"/>
                <w:szCs w:val="13"/>
              </w:rPr>
            </w:pPr>
          </w:p>
        </w:tc>
        <w:tc>
          <w:tcPr>
            <w:tcW w:w="580" w:type="dxa"/>
            <w:tcBorders>
              <w:bottom w:val="single" w:sz="8" w:space="0" w:color="auto"/>
            </w:tcBorders>
            <w:vAlign w:val="bottom"/>
          </w:tcPr>
          <w:p w:rsidR="004A0011" w:rsidRDefault="004A0011">
            <w:pPr>
              <w:rPr>
                <w:sz w:val="13"/>
                <w:szCs w:val="13"/>
              </w:rPr>
            </w:pPr>
          </w:p>
        </w:tc>
        <w:tc>
          <w:tcPr>
            <w:tcW w:w="380" w:type="dxa"/>
            <w:tcBorders>
              <w:bottom w:val="single" w:sz="8" w:space="0" w:color="auto"/>
            </w:tcBorders>
            <w:vAlign w:val="bottom"/>
          </w:tcPr>
          <w:p w:rsidR="004A0011" w:rsidRDefault="00D538EF">
            <w:pPr>
              <w:jc w:val="right"/>
              <w:rPr>
                <w:sz w:val="20"/>
                <w:szCs w:val="20"/>
              </w:rPr>
            </w:pPr>
            <w:r>
              <w:rPr>
                <w:rFonts w:eastAsia="Times New Roman"/>
                <w:sz w:val="12"/>
                <w:szCs w:val="12"/>
              </w:rPr>
              <w:t>192.8</w:t>
            </w:r>
          </w:p>
        </w:tc>
        <w:tc>
          <w:tcPr>
            <w:tcW w:w="240" w:type="dxa"/>
            <w:tcBorders>
              <w:bottom w:val="single" w:sz="8" w:space="0" w:color="CCEEFF"/>
            </w:tcBorders>
            <w:vAlign w:val="bottom"/>
          </w:tcPr>
          <w:p w:rsidR="004A0011" w:rsidRDefault="004A0011">
            <w:pPr>
              <w:rPr>
                <w:sz w:val="13"/>
                <w:szCs w:val="13"/>
              </w:rPr>
            </w:pPr>
          </w:p>
        </w:tc>
        <w:tc>
          <w:tcPr>
            <w:tcW w:w="640" w:type="dxa"/>
            <w:tcBorders>
              <w:bottom w:val="single" w:sz="8" w:space="0" w:color="auto"/>
            </w:tcBorders>
            <w:vAlign w:val="bottom"/>
          </w:tcPr>
          <w:p w:rsidR="004A0011" w:rsidRDefault="004A0011">
            <w:pPr>
              <w:rPr>
                <w:sz w:val="13"/>
                <w:szCs w:val="13"/>
              </w:rPr>
            </w:pPr>
          </w:p>
        </w:tc>
        <w:tc>
          <w:tcPr>
            <w:tcW w:w="340" w:type="dxa"/>
            <w:tcBorders>
              <w:bottom w:val="single" w:sz="8" w:space="0" w:color="auto"/>
            </w:tcBorders>
            <w:vAlign w:val="bottom"/>
          </w:tcPr>
          <w:p w:rsidR="004A0011" w:rsidRDefault="00D538EF">
            <w:pPr>
              <w:jc w:val="right"/>
              <w:rPr>
                <w:sz w:val="20"/>
                <w:szCs w:val="20"/>
              </w:rPr>
            </w:pPr>
            <w:r>
              <w:rPr>
                <w:rFonts w:eastAsia="Times New Roman"/>
                <w:sz w:val="12"/>
                <w:szCs w:val="12"/>
              </w:rPr>
              <w:t>137.8</w:t>
            </w:r>
          </w:p>
        </w:tc>
        <w:tc>
          <w:tcPr>
            <w:tcW w:w="20" w:type="dxa"/>
            <w:tcBorders>
              <w:bottom w:val="single" w:sz="8" w:space="0" w:color="CCEEFF"/>
            </w:tcBorders>
            <w:vAlign w:val="bottom"/>
          </w:tcPr>
          <w:p w:rsidR="004A0011" w:rsidRDefault="004A0011">
            <w:pPr>
              <w:rPr>
                <w:sz w:val="13"/>
                <w:szCs w:val="13"/>
              </w:rPr>
            </w:pPr>
          </w:p>
        </w:tc>
        <w:tc>
          <w:tcPr>
            <w:tcW w:w="320" w:type="dxa"/>
            <w:tcBorders>
              <w:bottom w:val="single" w:sz="8" w:space="0" w:color="CCEEFF"/>
            </w:tcBorders>
            <w:vAlign w:val="bottom"/>
          </w:tcPr>
          <w:p w:rsidR="004A0011" w:rsidRDefault="004A0011">
            <w:pPr>
              <w:rPr>
                <w:sz w:val="13"/>
                <w:szCs w:val="13"/>
              </w:rPr>
            </w:pPr>
          </w:p>
        </w:tc>
        <w:tc>
          <w:tcPr>
            <w:tcW w:w="20" w:type="dxa"/>
            <w:tcBorders>
              <w:bottom w:val="single" w:sz="8" w:space="0" w:color="auto"/>
            </w:tcBorders>
            <w:vAlign w:val="bottom"/>
          </w:tcPr>
          <w:p w:rsidR="004A0011" w:rsidRDefault="004A0011">
            <w:pPr>
              <w:rPr>
                <w:sz w:val="13"/>
                <w:szCs w:val="13"/>
              </w:rPr>
            </w:pPr>
          </w:p>
        </w:tc>
        <w:tc>
          <w:tcPr>
            <w:tcW w:w="620" w:type="dxa"/>
            <w:tcBorders>
              <w:bottom w:val="single" w:sz="8" w:space="0" w:color="auto"/>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D538EF">
            <w:pPr>
              <w:ind w:right="1"/>
              <w:jc w:val="right"/>
              <w:rPr>
                <w:sz w:val="20"/>
                <w:szCs w:val="20"/>
              </w:rPr>
            </w:pPr>
            <w:r>
              <w:rPr>
                <w:rFonts w:eastAsia="Times New Roman"/>
                <w:sz w:val="12"/>
                <w:szCs w:val="12"/>
              </w:rPr>
              <w:t>650.3</w:t>
            </w:r>
          </w:p>
        </w:tc>
        <w:tc>
          <w:tcPr>
            <w:tcW w:w="220" w:type="dxa"/>
            <w:tcBorders>
              <w:bottom w:val="single" w:sz="8" w:space="0" w:color="CCEEFF"/>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4A0011">
            <w:pPr>
              <w:rPr>
                <w:sz w:val="13"/>
                <w:szCs w:val="13"/>
              </w:rPr>
            </w:pPr>
          </w:p>
        </w:tc>
        <w:tc>
          <w:tcPr>
            <w:tcW w:w="640" w:type="dxa"/>
            <w:tcBorders>
              <w:bottom w:val="single" w:sz="8" w:space="0" w:color="auto"/>
            </w:tcBorders>
            <w:vAlign w:val="bottom"/>
          </w:tcPr>
          <w:p w:rsidR="004A0011" w:rsidRDefault="00D538EF">
            <w:pPr>
              <w:jc w:val="right"/>
              <w:rPr>
                <w:sz w:val="20"/>
                <w:szCs w:val="20"/>
              </w:rPr>
            </w:pPr>
            <w:r>
              <w:rPr>
                <w:rFonts w:eastAsia="Times New Roman"/>
                <w:sz w:val="12"/>
                <w:szCs w:val="12"/>
              </w:rPr>
              <w:t>542.6</w:t>
            </w:r>
          </w:p>
        </w:tc>
      </w:tr>
      <w:tr w:rsidR="004A0011">
        <w:trPr>
          <w:trHeight w:val="142"/>
        </w:trPr>
        <w:tc>
          <w:tcPr>
            <w:tcW w:w="3480" w:type="dxa"/>
            <w:shd w:val="clear" w:color="auto" w:fill="CCEEFF"/>
            <w:vAlign w:val="bottom"/>
          </w:tcPr>
          <w:p w:rsidR="004A0011" w:rsidRDefault="00D538EF">
            <w:pPr>
              <w:rPr>
                <w:sz w:val="20"/>
                <w:szCs w:val="20"/>
              </w:rPr>
            </w:pPr>
            <w:r>
              <w:rPr>
                <w:rFonts w:eastAsia="Times New Roman"/>
                <w:b/>
                <w:bCs/>
                <w:sz w:val="12"/>
                <w:szCs w:val="12"/>
              </w:rPr>
              <w:t>Gross Profit</w:t>
            </w:r>
          </w:p>
        </w:tc>
        <w:tc>
          <w:tcPr>
            <w:tcW w:w="2980" w:type="dxa"/>
            <w:shd w:val="clear" w:color="auto" w:fill="CCEEFF"/>
            <w:vAlign w:val="bottom"/>
          </w:tcPr>
          <w:p w:rsidR="004A0011" w:rsidRDefault="004A0011">
            <w:pPr>
              <w:rPr>
                <w:sz w:val="12"/>
                <w:szCs w:val="12"/>
              </w:rPr>
            </w:pPr>
          </w:p>
        </w:tc>
        <w:tc>
          <w:tcPr>
            <w:tcW w:w="20" w:type="dxa"/>
            <w:shd w:val="clear" w:color="auto" w:fill="CCEEFF"/>
            <w:vAlign w:val="bottom"/>
          </w:tcPr>
          <w:p w:rsidR="004A0011" w:rsidRDefault="004A0011">
            <w:pPr>
              <w:rPr>
                <w:sz w:val="12"/>
                <w:szCs w:val="12"/>
              </w:rPr>
            </w:pPr>
          </w:p>
        </w:tc>
        <w:tc>
          <w:tcPr>
            <w:tcW w:w="580" w:type="dxa"/>
            <w:shd w:val="clear" w:color="auto" w:fill="CCEEFF"/>
            <w:vAlign w:val="bottom"/>
          </w:tcPr>
          <w:p w:rsidR="004A0011" w:rsidRDefault="004A0011">
            <w:pPr>
              <w:rPr>
                <w:sz w:val="12"/>
                <w:szCs w:val="12"/>
              </w:rPr>
            </w:pPr>
          </w:p>
        </w:tc>
        <w:tc>
          <w:tcPr>
            <w:tcW w:w="380" w:type="dxa"/>
            <w:shd w:val="clear" w:color="auto" w:fill="CCEEFF"/>
            <w:vAlign w:val="bottom"/>
          </w:tcPr>
          <w:p w:rsidR="004A0011" w:rsidRDefault="00D538EF">
            <w:pPr>
              <w:jc w:val="right"/>
              <w:rPr>
                <w:sz w:val="20"/>
                <w:szCs w:val="20"/>
              </w:rPr>
            </w:pPr>
            <w:r>
              <w:rPr>
                <w:rFonts w:eastAsia="Times New Roman"/>
                <w:sz w:val="12"/>
                <w:szCs w:val="12"/>
              </w:rPr>
              <w:t>89.8</w:t>
            </w:r>
          </w:p>
        </w:tc>
        <w:tc>
          <w:tcPr>
            <w:tcW w:w="240" w:type="dxa"/>
            <w:shd w:val="clear" w:color="auto" w:fill="CCEEFF"/>
            <w:vAlign w:val="bottom"/>
          </w:tcPr>
          <w:p w:rsidR="004A0011" w:rsidRDefault="004A0011">
            <w:pPr>
              <w:rPr>
                <w:sz w:val="12"/>
                <w:szCs w:val="12"/>
              </w:rPr>
            </w:pPr>
          </w:p>
        </w:tc>
        <w:tc>
          <w:tcPr>
            <w:tcW w:w="640" w:type="dxa"/>
            <w:shd w:val="clear" w:color="auto" w:fill="CCEEFF"/>
            <w:vAlign w:val="bottom"/>
          </w:tcPr>
          <w:p w:rsidR="004A0011" w:rsidRDefault="004A0011">
            <w:pPr>
              <w:rPr>
                <w:sz w:val="12"/>
                <w:szCs w:val="12"/>
              </w:rPr>
            </w:pPr>
          </w:p>
        </w:tc>
        <w:tc>
          <w:tcPr>
            <w:tcW w:w="340" w:type="dxa"/>
            <w:shd w:val="clear" w:color="auto" w:fill="CCEEFF"/>
            <w:vAlign w:val="bottom"/>
          </w:tcPr>
          <w:p w:rsidR="004A0011" w:rsidRDefault="00D538EF">
            <w:pPr>
              <w:jc w:val="right"/>
              <w:rPr>
                <w:sz w:val="20"/>
                <w:szCs w:val="20"/>
              </w:rPr>
            </w:pPr>
            <w:r>
              <w:rPr>
                <w:rFonts w:eastAsia="Times New Roman"/>
                <w:sz w:val="12"/>
                <w:szCs w:val="12"/>
              </w:rPr>
              <w:t>76.7</w:t>
            </w:r>
          </w:p>
        </w:tc>
        <w:tc>
          <w:tcPr>
            <w:tcW w:w="2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20" w:type="dxa"/>
            <w:shd w:val="clear" w:color="auto" w:fill="CCEEFF"/>
            <w:vAlign w:val="bottom"/>
          </w:tcPr>
          <w:p w:rsidR="004A0011" w:rsidRDefault="004A0011">
            <w:pPr>
              <w:rPr>
                <w:sz w:val="12"/>
                <w:szCs w:val="12"/>
              </w:rPr>
            </w:pPr>
          </w:p>
        </w:tc>
        <w:tc>
          <w:tcPr>
            <w:tcW w:w="620" w:type="dxa"/>
            <w:shd w:val="clear" w:color="auto" w:fill="CCEEFF"/>
            <w:vAlign w:val="bottom"/>
          </w:tcPr>
          <w:p w:rsidR="004A0011" w:rsidRDefault="004A0011">
            <w:pPr>
              <w:rPr>
                <w:sz w:val="12"/>
                <w:szCs w:val="12"/>
              </w:rPr>
            </w:pP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338.0</w:t>
            </w:r>
          </w:p>
        </w:tc>
        <w:tc>
          <w:tcPr>
            <w:tcW w:w="220" w:type="dxa"/>
            <w:shd w:val="clear" w:color="auto" w:fill="CCEEFF"/>
            <w:vAlign w:val="bottom"/>
          </w:tcPr>
          <w:p w:rsidR="004A0011" w:rsidRDefault="004A0011">
            <w:pPr>
              <w:rPr>
                <w:sz w:val="12"/>
                <w:szCs w:val="12"/>
              </w:rPr>
            </w:pPr>
          </w:p>
        </w:tc>
        <w:tc>
          <w:tcPr>
            <w:tcW w:w="360" w:type="dxa"/>
            <w:shd w:val="clear" w:color="auto" w:fill="CCEEFF"/>
            <w:vAlign w:val="bottom"/>
          </w:tcPr>
          <w:p w:rsidR="004A0011" w:rsidRDefault="004A0011">
            <w:pPr>
              <w:rPr>
                <w:sz w:val="12"/>
                <w:szCs w:val="12"/>
              </w:rPr>
            </w:pPr>
          </w:p>
        </w:tc>
        <w:tc>
          <w:tcPr>
            <w:tcW w:w="640" w:type="dxa"/>
            <w:shd w:val="clear" w:color="auto" w:fill="CCEEFF"/>
            <w:vAlign w:val="bottom"/>
          </w:tcPr>
          <w:p w:rsidR="004A0011" w:rsidRDefault="00D538EF">
            <w:pPr>
              <w:jc w:val="right"/>
              <w:rPr>
                <w:sz w:val="20"/>
                <w:szCs w:val="20"/>
              </w:rPr>
            </w:pPr>
            <w:r>
              <w:rPr>
                <w:rFonts w:eastAsia="Times New Roman"/>
                <w:sz w:val="12"/>
                <w:szCs w:val="12"/>
              </w:rPr>
              <w:t>311.8</w:t>
            </w:r>
          </w:p>
        </w:tc>
      </w:tr>
      <w:tr w:rsidR="004A0011">
        <w:trPr>
          <w:trHeight w:val="153"/>
        </w:trPr>
        <w:tc>
          <w:tcPr>
            <w:tcW w:w="3480" w:type="dxa"/>
            <w:vAlign w:val="bottom"/>
          </w:tcPr>
          <w:p w:rsidR="004A0011" w:rsidRDefault="00D538EF">
            <w:pPr>
              <w:rPr>
                <w:sz w:val="20"/>
                <w:szCs w:val="20"/>
              </w:rPr>
            </w:pPr>
            <w:r>
              <w:rPr>
                <w:rFonts w:eastAsia="Times New Roman"/>
                <w:sz w:val="12"/>
                <w:szCs w:val="12"/>
              </w:rPr>
              <w:t>Selling, general and administrative expenses</w:t>
            </w:r>
          </w:p>
        </w:tc>
        <w:tc>
          <w:tcPr>
            <w:tcW w:w="298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580" w:type="dxa"/>
            <w:vAlign w:val="bottom"/>
          </w:tcPr>
          <w:p w:rsidR="004A0011" w:rsidRDefault="004A0011">
            <w:pPr>
              <w:rPr>
                <w:sz w:val="13"/>
                <w:szCs w:val="13"/>
              </w:rPr>
            </w:pPr>
          </w:p>
        </w:tc>
        <w:tc>
          <w:tcPr>
            <w:tcW w:w="380" w:type="dxa"/>
            <w:vAlign w:val="bottom"/>
          </w:tcPr>
          <w:p w:rsidR="004A0011" w:rsidRDefault="00D538EF">
            <w:pPr>
              <w:jc w:val="right"/>
              <w:rPr>
                <w:sz w:val="20"/>
                <w:szCs w:val="20"/>
              </w:rPr>
            </w:pPr>
            <w:r>
              <w:rPr>
                <w:rFonts w:eastAsia="Times New Roman"/>
                <w:sz w:val="12"/>
                <w:szCs w:val="12"/>
              </w:rPr>
              <w:t>35.2</w:t>
            </w:r>
          </w:p>
        </w:tc>
        <w:tc>
          <w:tcPr>
            <w:tcW w:w="240" w:type="dxa"/>
            <w:vAlign w:val="bottom"/>
          </w:tcPr>
          <w:p w:rsidR="004A0011" w:rsidRDefault="004A0011">
            <w:pPr>
              <w:rPr>
                <w:sz w:val="13"/>
                <w:szCs w:val="13"/>
              </w:rPr>
            </w:pPr>
          </w:p>
        </w:tc>
        <w:tc>
          <w:tcPr>
            <w:tcW w:w="640" w:type="dxa"/>
            <w:vAlign w:val="bottom"/>
          </w:tcPr>
          <w:p w:rsidR="004A0011" w:rsidRDefault="004A0011">
            <w:pPr>
              <w:rPr>
                <w:sz w:val="13"/>
                <w:szCs w:val="13"/>
              </w:rPr>
            </w:pPr>
          </w:p>
        </w:tc>
        <w:tc>
          <w:tcPr>
            <w:tcW w:w="340" w:type="dxa"/>
            <w:vAlign w:val="bottom"/>
          </w:tcPr>
          <w:p w:rsidR="004A0011" w:rsidRDefault="00D538EF">
            <w:pPr>
              <w:jc w:val="right"/>
              <w:rPr>
                <w:sz w:val="20"/>
                <w:szCs w:val="20"/>
              </w:rPr>
            </w:pPr>
            <w:r>
              <w:rPr>
                <w:rFonts w:eastAsia="Times New Roman"/>
                <w:sz w:val="12"/>
                <w:szCs w:val="12"/>
              </w:rPr>
              <w:t>35.1</w:t>
            </w:r>
          </w:p>
        </w:tc>
        <w:tc>
          <w:tcPr>
            <w:tcW w:w="2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620" w:type="dxa"/>
            <w:vAlign w:val="bottom"/>
          </w:tcPr>
          <w:p w:rsidR="004A0011" w:rsidRDefault="004A0011">
            <w:pPr>
              <w:rPr>
                <w:sz w:val="13"/>
                <w:szCs w:val="13"/>
              </w:rPr>
            </w:pPr>
          </w:p>
        </w:tc>
        <w:tc>
          <w:tcPr>
            <w:tcW w:w="360" w:type="dxa"/>
            <w:vAlign w:val="bottom"/>
          </w:tcPr>
          <w:p w:rsidR="004A0011" w:rsidRDefault="00D538EF">
            <w:pPr>
              <w:ind w:right="1"/>
              <w:jc w:val="right"/>
              <w:rPr>
                <w:sz w:val="20"/>
                <w:szCs w:val="20"/>
              </w:rPr>
            </w:pPr>
            <w:r>
              <w:rPr>
                <w:rFonts w:eastAsia="Times New Roman"/>
                <w:sz w:val="12"/>
                <w:szCs w:val="12"/>
              </w:rPr>
              <w:t>151.8</w:t>
            </w:r>
          </w:p>
        </w:tc>
        <w:tc>
          <w:tcPr>
            <w:tcW w:w="2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640" w:type="dxa"/>
            <w:vAlign w:val="bottom"/>
          </w:tcPr>
          <w:p w:rsidR="004A0011" w:rsidRDefault="00D538EF">
            <w:pPr>
              <w:jc w:val="right"/>
              <w:rPr>
                <w:sz w:val="20"/>
                <w:szCs w:val="20"/>
              </w:rPr>
            </w:pPr>
            <w:r>
              <w:rPr>
                <w:rFonts w:eastAsia="Times New Roman"/>
                <w:sz w:val="12"/>
                <w:szCs w:val="12"/>
              </w:rPr>
              <w:t>127.1</w:t>
            </w: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Amortization of intangible assets</w:t>
            </w:r>
          </w:p>
        </w:tc>
        <w:tc>
          <w:tcPr>
            <w:tcW w:w="2980" w:type="dxa"/>
            <w:shd w:val="clear" w:color="auto" w:fill="CCEEFF"/>
            <w:vAlign w:val="bottom"/>
          </w:tcPr>
          <w:p w:rsidR="004A0011" w:rsidRDefault="004A0011">
            <w:pPr>
              <w:rPr>
                <w:sz w:val="13"/>
                <w:szCs w:val="13"/>
              </w:rPr>
            </w:pPr>
          </w:p>
        </w:tc>
        <w:tc>
          <w:tcPr>
            <w:tcW w:w="20" w:type="dxa"/>
            <w:tcBorders>
              <w:bottom w:val="single" w:sz="8" w:space="0" w:color="auto"/>
            </w:tcBorders>
            <w:shd w:val="clear" w:color="auto" w:fill="CCEEFF"/>
            <w:vAlign w:val="bottom"/>
          </w:tcPr>
          <w:p w:rsidR="004A0011" w:rsidRDefault="004A0011">
            <w:pPr>
              <w:rPr>
                <w:sz w:val="13"/>
                <w:szCs w:val="13"/>
              </w:rPr>
            </w:pPr>
          </w:p>
        </w:tc>
        <w:tc>
          <w:tcPr>
            <w:tcW w:w="580" w:type="dxa"/>
            <w:tcBorders>
              <w:bottom w:val="single" w:sz="8" w:space="0" w:color="auto"/>
            </w:tcBorders>
            <w:shd w:val="clear" w:color="auto" w:fill="CCEEFF"/>
            <w:vAlign w:val="bottom"/>
          </w:tcPr>
          <w:p w:rsidR="004A0011" w:rsidRDefault="004A0011">
            <w:pPr>
              <w:rPr>
                <w:sz w:val="13"/>
                <w:szCs w:val="13"/>
              </w:rPr>
            </w:pPr>
          </w:p>
        </w:tc>
        <w:tc>
          <w:tcPr>
            <w:tcW w:w="38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5.6</w:t>
            </w:r>
          </w:p>
        </w:tc>
        <w:tc>
          <w:tcPr>
            <w:tcW w:w="240" w:type="dxa"/>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4A0011">
            <w:pPr>
              <w:rPr>
                <w:sz w:val="13"/>
                <w:szCs w:val="13"/>
              </w:rPr>
            </w:pPr>
          </w:p>
        </w:tc>
        <w:tc>
          <w:tcPr>
            <w:tcW w:w="3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5.6</w:t>
            </w:r>
          </w:p>
        </w:tc>
        <w:tc>
          <w:tcPr>
            <w:tcW w:w="2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20" w:type="dxa"/>
            <w:tcBorders>
              <w:bottom w:val="single" w:sz="8" w:space="0" w:color="auto"/>
            </w:tcBorders>
            <w:shd w:val="clear" w:color="auto" w:fill="CCEEFF"/>
            <w:vAlign w:val="bottom"/>
          </w:tcPr>
          <w:p w:rsidR="004A0011" w:rsidRDefault="004A0011">
            <w:pPr>
              <w:rPr>
                <w:sz w:val="13"/>
                <w:szCs w:val="13"/>
              </w:rPr>
            </w:pPr>
          </w:p>
        </w:tc>
        <w:tc>
          <w:tcPr>
            <w:tcW w:w="620" w:type="dxa"/>
            <w:tcBorders>
              <w:bottom w:val="single" w:sz="8" w:space="0" w:color="auto"/>
            </w:tcBorders>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D538EF">
            <w:pPr>
              <w:ind w:right="1"/>
              <w:jc w:val="right"/>
              <w:rPr>
                <w:sz w:val="20"/>
                <w:szCs w:val="20"/>
              </w:rPr>
            </w:pPr>
            <w:r>
              <w:rPr>
                <w:rFonts w:eastAsia="Times New Roman"/>
                <w:sz w:val="12"/>
                <w:szCs w:val="12"/>
              </w:rPr>
              <w:t>22.2</w:t>
            </w:r>
          </w:p>
        </w:tc>
        <w:tc>
          <w:tcPr>
            <w:tcW w:w="220" w:type="dxa"/>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22.2</w:t>
            </w:r>
          </w:p>
        </w:tc>
      </w:tr>
      <w:tr w:rsidR="004A0011">
        <w:trPr>
          <w:trHeight w:val="142"/>
        </w:trPr>
        <w:tc>
          <w:tcPr>
            <w:tcW w:w="3480" w:type="dxa"/>
            <w:vAlign w:val="bottom"/>
          </w:tcPr>
          <w:p w:rsidR="004A0011" w:rsidRDefault="00D538EF">
            <w:pPr>
              <w:rPr>
                <w:sz w:val="20"/>
                <w:szCs w:val="20"/>
              </w:rPr>
            </w:pPr>
            <w:r>
              <w:rPr>
                <w:rFonts w:eastAsia="Times New Roman"/>
                <w:b/>
                <w:bCs/>
                <w:sz w:val="12"/>
                <w:szCs w:val="12"/>
              </w:rPr>
              <w:t>Operating Profit</w:t>
            </w:r>
          </w:p>
        </w:tc>
        <w:tc>
          <w:tcPr>
            <w:tcW w:w="2980" w:type="dxa"/>
            <w:vAlign w:val="bottom"/>
          </w:tcPr>
          <w:p w:rsidR="004A0011" w:rsidRDefault="004A0011">
            <w:pPr>
              <w:rPr>
                <w:sz w:val="12"/>
                <w:szCs w:val="12"/>
              </w:rPr>
            </w:pPr>
          </w:p>
        </w:tc>
        <w:tc>
          <w:tcPr>
            <w:tcW w:w="20" w:type="dxa"/>
            <w:vAlign w:val="bottom"/>
          </w:tcPr>
          <w:p w:rsidR="004A0011" w:rsidRDefault="004A0011">
            <w:pPr>
              <w:rPr>
                <w:sz w:val="12"/>
                <w:szCs w:val="12"/>
              </w:rPr>
            </w:pPr>
          </w:p>
        </w:tc>
        <w:tc>
          <w:tcPr>
            <w:tcW w:w="580" w:type="dxa"/>
            <w:vAlign w:val="bottom"/>
          </w:tcPr>
          <w:p w:rsidR="004A0011" w:rsidRDefault="004A0011">
            <w:pPr>
              <w:rPr>
                <w:sz w:val="12"/>
                <w:szCs w:val="12"/>
              </w:rPr>
            </w:pPr>
          </w:p>
        </w:tc>
        <w:tc>
          <w:tcPr>
            <w:tcW w:w="380" w:type="dxa"/>
            <w:vAlign w:val="bottom"/>
          </w:tcPr>
          <w:p w:rsidR="004A0011" w:rsidRDefault="00D538EF">
            <w:pPr>
              <w:jc w:val="right"/>
              <w:rPr>
                <w:sz w:val="20"/>
                <w:szCs w:val="20"/>
              </w:rPr>
            </w:pPr>
            <w:r>
              <w:rPr>
                <w:rFonts w:eastAsia="Times New Roman"/>
                <w:sz w:val="12"/>
                <w:szCs w:val="12"/>
              </w:rPr>
              <w:t>49.0</w:t>
            </w:r>
          </w:p>
        </w:tc>
        <w:tc>
          <w:tcPr>
            <w:tcW w:w="240" w:type="dxa"/>
            <w:vAlign w:val="bottom"/>
          </w:tcPr>
          <w:p w:rsidR="004A0011" w:rsidRDefault="004A0011">
            <w:pPr>
              <w:rPr>
                <w:sz w:val="12"/>
                <w:szCs w:val="12"/>
              </w:rPr>
            </w:pPr>
          </w:p>
        </w:tc>
        <w:tc>
          <w:tcPr>
            <w:tcW w:w="640" w:type="dxa"/>
            <w:vAlign w:val="bottom"/>
          </w:tcPr>
          <w:p w:rsidR="004A0011" w:rsidRDefault="004A0011">
            <w:pPr>
              <w:rPr>
                <w:sz w:val="12"/>
                <w:szCs w:val="12"/>
              </w:rPr>
            </w:pPr>
          </w:p>
        </w:tc>
        <w:tc>
          <w:tcPr>
            <w:tcW w:w="340" w:type="dxa"/>
            <w:vAlign w:val="bottom"/>
          </w:tcPr>
          <w:p w:rsidR="004A0011" w:rsidRDefault="00D538EF">
            <w:pPr>
              <w:jc w:val="right"/>
              <w:rPr>
                <w:sz w:val="20"/>
                <w:szCs w:val="20"/>
              </w:rPr>
            </w:pPr>
            <w:r>
              <w:rPr>
                <w:rFonts w:eastAsia="Times New Roman"/>
                <w:sz w:val="12"/>
                <w:szCs w:val="12"/>
              </w:rPr>
              <w:t>36.0</w:t>
            </w:r>
          </w:p>
        </w:tc>
        <w:tc>
          <w:tcPr>
            <w:tcW w:w="2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20" w:type="dxa"/>
            <w:vAlign w:val="bottom"/>
          </w:tcPr>
          <w:p w:rsidR="004A0011" w:rsidRDefault="004A0011">
            <w:pPr>
              <w:rPr>
                <w:sz w:val="12"/>
                <w:szCs w:val="12"/>
              </w:rPr>
            </w:pPr>
          </w:p>
        </w:tc>
        <w:tc>
          <w:tcPr>
            <w:tcW w:w="620" w:type="dxa"/>
            <w:vAlign w:val="bottom"/>
          </w:tcPr>
          <w:p w:rsidR="004A0011" w:rsidRDefault="004A0011">
            <w:pPr>
              <w:rPr>
                <w:sz w:val="12"/>
                <w:szCs w:val="12"/>
              </w:rPr>
            </w:pPr>
          </w:p>
        </w:tc>
        <w:tc>
          <w:tcPr>
            <w:tcW w:w="360" w:type="dxa"/>
            <w:vAlign w:val="bottom"/>
          </w:tcPr>
          <w:p w:rsidR="004A0011" w:rsidRDefault="00D538EF">
            <w:pPr>
              <w:ind w:right="1"/>
              <w:jc w:val="right"/>
              <w:rPr>
                <w:sz w:val="20"/>
                <w:szCs w:val="20"/>
              </w:rPr>
            </w:pPr>
            <w:r>
              <w:rPr>
                <w:rFonts w:eastAsia="Times New Roman"/>
                <w:sz w:val="12"/>
                <w:szCs w:val="12"/>
              </w:rPr>
              <w:t>164.0</w:t>
            </w:r>
          </w:p>
        </w:tc>
        <w:tc>
          <w:tcPr>
            <w:tcW w:w="220" w:type="dxa"/>
            <w:vAlign w:val="bottom"/>
          </w:tcPr>
          <w:p w:rsidR="004A0011" w:rsidRDefault="004A0011">
            <w:pPr>
              <w:rPr>
                <w:sz w:val="12"/>
                <w:szCs w:val="12"/>
              </w:rPr>
            </w:pPr>
          </w:p>
        </w:tc>
        <w:tc>
          <w:tcPr>
            <w:tcW w:w="360" w:type="dxa"/>
            <w:vAlign w:val="bottom"/>
          </w:tcPr>
          <w:p w:rsidR="004A0011" w:rsidRDefault="004A0011">
            <w:pPr>
              <w:rPr>
                <w:sz w:val="12"/>
                <w:szCs w:val="12"/>
              </w:rPr>
            </w:pPr>
          </w:p>
        </w:tc>
        <w:tc>
          <w:tcPr>
            <w:tcW w:w="640" w:type="dxa"/>
            <w:vAlign w:val="bottom"/>
          </w:tcPr>
          <w:p w:rsidR="004A0011" w:rsidRDefault="00D538EF">
            <w:pPr>
              <w:jc w:val="right"/>
              <w:rPr>
                <w:sz w:val="20"/>
                <w:szCs w:val="20"/>
              </w:rPr>
            </w:pPr>
            <w:r>
              <w:rPr>
                <w:rFonts w:eastAsia="Times New Roman"/>
                <w:sz w:val="12"/>
                <w:szCs w:val="12"/>
              </w:rPr>
              <w:t>162.5</w:t>
            </w: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Interest expense, net</w:t>
            </w:r>
          </w:p>
        </w:tc>
        <w:tc>
          <w:tcPr>
            <w:tcW w:w="298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580" w:type="dxa"/>
            <w:shd w:val="clear" w:color="auto" w:fill="CCEEFF"/>
            <w:vAlign w:val="bottom"/>
          </w:tcPr>
          <w:p w:rsidR="004A0011" w:rsidRDefault="004A0011">
            <w:pPr>
              <w:rPr>
                <w:sz w:val="13"/>
                <w:szCs w:val="13"/>
              </w:rPr>
            </w:pPr>
          </w:p>
        </w:tc>
        <w:tc>
          <w:tcPr>
            <w:tcW w:w="380" w:type="dxa"/>
            <w:shd w:val="clear" w:color="auto" w:fill="CCEEFF"/>
            <w:vAlign w:val="bottom"/>
          </w:tcPr>
          <w:p w:rsidR="004A0011" w:rsidRDefault="00D538EF">
            <w:pPr>
              <w:jc w:val="right"/>
              <w:rPr>
                <w:sz w:val="20"/>
                <w:szCs w:val="20"/>
              </w:rPr>
            </w:pPr>
            <w:r>
              <w:rPr>
                <w:rFonts w:eastAsia="Times New Roman"/>
                <w:sz w:val="12"/>
                <w:szCs w:val="12"/>
              </w:rPr>
              <w:t>13.5</w:t>
            </w:r>
          </w:p>
        </w:tc>
        <w:tc>
          <w:tcPr>
            <w:tcW w:w="24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4A0011">
            <w:pPr>
              <w:rPr>
                <w:sz w:val="13"/>
                <w:szCs w:val="13"/>
              </w:rPr>
            </w:pPr>
          </w:p>
        </w:tc>
        <w:tc>
          <w:tcPr>
            <w:tcW w:w="680" w:type="dxa"/>
            <w:gridSpan w:val="3"/>
            <w:shd w:val="clear" w:color="auto" w:fill="CCEEFF"/>
            <w:vAlign w:val="bottom"/>
          </w:tcPr>
          <w:p w:rsidR="004A0011" w:rsidRDefault="00D538EF">
            <w:pPr>
              <w:ind w:right="380"/>
              <w:jc w:val="right"/>
              <w:rPr>
                <w:sz w:val="20"/>
                <w:szCs w:val="20"/>
              </w:rPr>
            </w:pPr>
            <w:r>
              <w:rPr>
                <w:rFonts w:eastAsia="Times New Roman"/>
                <w:sz w:val="12"/>
                <w:szCs w:val="12"/>
              </w:rPr>
              <w:t>—</w:t>
            </w:r>
          </w:p>
        </w:tc>
        <w:tc>
          <w:tcPr>
            <w:tcW w:w="20" w:type="dxa"/>
            <w:shd w:val="clear" w:color="auto" w:fill="CCEEFF"/>
            <w:vAlign w:val="bottom"/>
          </w:tcPr>
          <w:p w:rsidR="004A0011" w:rsidRDefault="004A0011">
            <w:pPr>
              <w:rPr>
                <w:sz w:val="13"/>
                <w:szCs w:val="13"/>
              </w:rPr>
            </w:pPr>
          </w:p>
        </w:tc>
        <w:tc>
          <w:tcPr>
            <w:tcW w:w="6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54.7</w:t>
            </w:r>
          </w:p>
        </w:tc>
        <w:tc>
          <w:tcPr>
            <w:tcW w:w="2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D538EF">
            <w:pPr>
              <w:jc w:val="right"/>
              <w:rPr>
                <w:sz w:val="20"/>
                <w:szCs w:val="20"/>
              </w:rPr>
            </w:pPr>
            <w:r>
              <w:rPr>
                <w:rFonts w:eastAsia="Times New Roman"/>
                <w:sz w:val="12"/>
                <w:szCs w:val="12"/>
              </w:rPr>
              <w:t>—</w:t>
            </w:r>
          </w:p>
        </w:tc>
      </w:tr>
      <w:tr w:rsidR="004A0011">
        <w:trPr>
          <w:trHeight w:val="142"/>
        </w:trPr>
        <w:tc>
          <w:tcPr>
            <w:tcW w:w="3480" w:type="dxa"/>
            <w:vAlign w:val="bottom"/>
          </w:tcPr>
          <w:p w:rsidR="004A0011" w:rsidRDefault="00D538EF">
            <w:pPr>
              <w:rPr>
                <w:sz w:val="20"/>
                <w:szCs w:val="20"/>
              </w:rPr>
            </w:pPr>
            <w:r>
              <w:rPr>
                <w:rFonts w:eastAsia="Times New Roman"/>
                <w:b/>
                <w:bCs/>
                <w:sz w:val="12"/>
                <w:szCs w:val="12"/>
              </w:rPr>
              <w:t>Earnings before Income Taxes</w:t>
            </w:r>
          </w:p>
        </w:tc>
        <w:tc>
          <w:tcPr>
            <w:tcW w:w="2980" w:type="dxa"/>
            <w:vAlign w:val="bottom"/>
          </w:tcPr>
          <w:p w:rsidR="004A0011" w:rsidRDefault="004A0011">
            <w:pPr>
              <w:rPr>
                <w:sz w:val="12"/>
                <w:szCs w:val="12"/>
              </w:rPr>
            </w:pPr>
          </w:p>
        </w:tc>
        <w:tc>
          <w:tcPr>
            <w:tcW w:w="20" w:type="dxa"/>
            <w:tcBorders>
              <w:top w:val="single" w:sz="8" w:space="0" w:color="auto"/>
            </w:tcBorders>
            <w:vAlign w:val="bottom"/>
          </w:tcPr>
          <w:p w:rsidR="004A0011" w:rsidRDefault="004A0011">
            <w:pPr>
              <w:rPr>
                <w:sz w:val="12"/>
                <w:szCs w:val="12"/>
              </w:rPr>
            </w:pPr>
          </w:p>
        </w:tc>
        <w:tc>
          <w:tcPr>
            <w:tcW w:w="580" w:type="dxa"/>
            <w:tcBorders>
              <w:top w:val="single" w:sz="8" w:space="0" w:color="auto"/>
            </w:tcBorders>
            <w:vAlign w:val="bottom"/>
          </w:tcPr>
          <w:p w:rsidR="004A0011" w:rsidRDefault="004A0011">
            <w:pPr>
              <w:rPr>
                <w:sz w:val="12"/>
                <w:szCs w:val="12"/>
              </w:rPr>
            </w:pPr>
          </w:p>
        </w:tc>
        <w:tc>
          <w:tcPr>
            <w:tcW w:w="380" w:type="dxa"/>
            <w:tcBorders>
              <w:top w:val="single" w:sz="8" w:space="0" w:color="auto"/>
            </w:tcBorders>
            <w:vAlign w:val="bottom"/>
          </w:tcPr>
          <w:p w:rsidR="004A0011" w:rsidRDefault="00D538EF">
            <w:pPr>
              <w:jc w:val="right"/>
              <w:rPr>
                <w:sz w:val="20"/>
                <w:szCs w:val="20"/>
              </w:rPr>
            </w:pPr>
            <w:r>
              <w:rPr>
                <w:rFonts w:eastAsia="Times New Roman"/>
                <w:sz w:val="12"/>
                <w:szCs w:val="12"/>
              </w:rPr>
              <w:t>35.5</w:t>
            </w:r>
          </w:p>
        </w:tc>
        <w:tc>
          <w:tcPr>
            <w:tcW w:w="240" w:type="dxa"/>
            <w:vAlign w:val="bottom"/>
          </w:tcPr>
          <w:p w:rsidR="004A0011" w:rsidRDefault="004A0011">
            <w:pPr>
              <w:rPr>
                <w:sz w:val="12"/>
                <w:szCs w:val="12"/>
              </w:rPr>
            </w:pPr>
          </w:p>
        </w:tc>
        <w:tc>
          <w:tcPr>
            <w:tcW w:w="640" w:type="dxa"/>
            <w:tcBorders>
              <w:top w:val="single" w:sz="8" w:space="0" w:color="auto"/>
            </w:tcBorders>
            <w:vAlign w:val="bottom"/>
          </w:tcPr>
          <w:p w:rsidR="004A0011" w:rsidRDefault="004A0011">
            <w:pPr>
              <w:rPr>
                <w:sz w:val="12"/>
                <w:szCs w:val="12"/>
              </w:rPr>
            </w:pPr>
          </w:p>
        </w:tc>
        <w:tc>
          <w:tcPr>
            <w:tcW w:w="340" w:type="dxa"/>
            <w:tcBorders>
              <w:top w:val="single" w:sz="8" w:space="0" w:color="auto"/>
            </w:tcBorders>
            <w:vAlign w:val="bottom"/>
          </w:tcPr>
          <w:p w:rsidR="004A0011" w:rsidRDefault="00D538EF">
            <w:pPr>
              <w:jc w:val="right"/>
              <w:rPr>
                <w:sz w:val="20"/>
                <w:szCs w:val="20"/>
              </w:rPr>
            </w:pPr>
            <w:r>
              <w:rPr>
                <w:rFonts w:eastAsia="Times New Roman"/>
                <w:sz w:val="12"/>
                <w:szCs w:val="12"/>
              </w:rPr>
              <w:t>36.0</w:t>
            </w:r>
          </w:p>
        </w:tc>
        <w:tc>
          <w:tcPr>
            <w:tcW w:w="2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20" w:type="dxa"/>
            <w:tcBorders>
              <w:top w:val="single" w:sz="8" w:space="0" w:color="auto"/>
            </w:tcBorders>
            <w:vAlign w:val="bottom"/>
          </w:tcPr>
          <w:p w:rsidR="004A0011" w:rsidRDefault="004A0011">
            <w:pPr>
              <w:rPr>
                <w:sz w:val="12"/>
                <w:szCs w:val="12"/>
              </w:rPr>
            </w:pPr>
          </w:p>
        </w:tc>
        <w:tc>
          <w:tcPr>
            <w:tcW w:w="620" w:type="dxa"/>
            <w:tcBorders>
              <w:top w:val="single" w:sz="8" w:space="0" w:color="auto"/>
            </w:tcBorders>
            <w:vAlign w:val="bottom"/>
          </w:tcPr>
          <w:p w:rsidR="004A0011" w:rsidRDefault="004A0011">
            <w:pPr>
              <w:rPr>
                <w:sz w:val="12"/>
                <w:szCs w:val="12"/>
              </w:rPr>
            </w:pPr>
          </w:p>
        </w:tc>
        <w:tc>
          <w:tcPr>
            <w:tcW w:w="360" w:type="dxa"/>
            <w:tcBorders>
              <w:top w:val="single" w:sz="8" w:space="0" w:color="auto"/>
            </w:tcBorders>
            <w:vAlign w:val="bottom"/>
          </w:tcPr>
          <w:p w:rsidR="004A0011" w:rsidRDefault="00D538EF">
            <w:pPr>
              <w:ind w:right="1"/>
              <w:jc w:val="right"/>
              <w:rPr>
                <w:sz w:val="20"/>
                <w:szCs w:val="20"/>
              </w:rPr>
            </w:pPr>
            <w:r>
              <w:rPr>
                <w:rFonts w:eastAsia="Times New Roman"/>
                <w:sz w:val="12"/>
                <w:szCs w:val="12"/>
              </w:rPr>
              <w:t>109.3</w:t>
            </w:r>
          </w:p>
        </w:tc>
        <w:tc>
          <w:tcPr>
            <w:tcW w:w="220" w:type="dxa"/>
            <w:vAlign w:val="bottom"/>
          </w:tcPr>
          <w:p w:rsidR="004A0011" w:rsidRDefault="004A0011">
            <w:pPr>
              <w:rPr>
                <w:sz w:val="12"/>
                <w:szCs w:val="12"/>
              </w:rPr>
            </w:pPr>
          </w:p>
        </w:tc>
        <w:tc>
          <w:tcPr>
            <w:tcW w:w="360" w:type="dxa"/>
            <w:tcBorders>
              <w:top w:val="single" w:sz="8" w:space="0" w:color="auto"/>
            </w:tcBorders>
            <w:vAlign w:val="bottom"/>
          </w:tcPr>
          <w:p w:rsidR="004A0011" w:rsidRDefault="004A0011">
            <w:pPr>
              <w:rPr>
                <w:sz w:val="12"/>
                <w:szCs w:val="12"/>
              </w:rPr>
            </w:pPr>
          </w:p>
        </w:tc>
        <w:tc>
          <w:tcPr>
            <w:tcW w:w="640" w:type="dxa"/>
            <w:tcBorders>
              <w:top w:val="single" w:sz="8" w:space="0" w:color="auto"/>
            </w:tcBorders>
            <w:vAlign w:val="bottom"/>
          </w:tcPr>
          <w:p w:rsidR="004A0011" w:rsidRDefault="00D538EF">
            <w:pPr>
              <w:jc w:val="right"/>
              <w:rPr>
                <w:sz w:val="20"/>
                <w:szCs w:val="20"/>
              </w:rPr>
            </w:pPr>
            <w:r>
              <w:rPr>
                <w:rFonts w:eastAsia="Times New Roman"/>
                <w:sz w:val="12"/>
                <w:szCs w:val="12"/>
              </w:rPr>
              <w:t>162.5</w:t>
            </w: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Income tax expense</w:t>
            </w:r>
          </w:p>
        </w:tc>
        <w:tc>
          <w:tcPr>
            <w:tcW w:w="298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580" w:type="dxa"/>
            <w:shd w:val="clear" w:color="auto" w:fill="CCEEFF"/>
            <w:vAlign w:val="bottom"/>
          </w:tcPr>
          <w:p w:rsidR="004A0011" w:rsidRDefault="004A0011">
            <w:pPr>
              <w:rPr>
                <w:sz w:val="13"/>
                <w:szCs w:val="13"/>
              </w:rPr>
            </w:pPr>
          </w:p>
        </w:tc>
        <w:tc>
          <w:tcPr>
            <w:tcW w:w="620" w:type="dxa"/>
            <w:gridSpan w:val="2"/>
            <w:shd w:val="clear" w:color="auto" w:fill="CCEEFF"/>
            <w:vAlign w:val="bottom"/>
          </w:tcPr>
          <w:p w:rsidR="004A0011" w:rsidRDefault="00D538EF">
            <w:pPr>
              <w:ind w:right="280"/>
              <w:jc w:val="right"/>
              <w:rPr>
                <w:sz w:val="20"/>
                <w:szCs w:val="20"/>
              </w:rPr>
            </w:pPr>
            <w:r>
              <w:rPr>
                <w:rFonts w:eastAsia="Times New Roman"/>
                <w:sz w:val="12"/>
                <w:szCs w:val="12"/>
              </w:rPr>
              <w:t>—</w:t>
            </w:r>
          </w:p>
        </w:tc>
        <w:tc>
          <w:tcPr>
            <w:tcW w:w="640" w:type="dxa"/>
            <w:shd w:val="clear" w:color="auto" w:fill="CCEEFF"/>
            <w:vAlign w:val="bottom"/>
          </w:tcPr>
          <w:p w:rsidR="004A0011" w:rsidRDefault="004A0011">
            <w:pPr>
              <w:rPr>
                <w:sz w:val="13"/>
                <w:szCs w:val="13"/>
              </w:rPr>
            </w:pPr>
          </w:p>
        </w:tc>
        <w:tc>
          <w:tcPr>
            <w:tcW w:w="340" w:type="dxa"/>
            <w:shd w:val="clear" w:color="auto" w:fill="CCEEFF"/>
            <w:vAlign w:val="bottom"/>
          </w:tcPr>
          <w:p w:rsidR="004A0011" w:rsidRDefault="00D538EF">
            <w:pPr>
              <w:jc w:val="right"/>
              <w:rPr>
                <w:sz w:val="20"/>
                <w:szCs w:val="20"/>
              </w:rPr>
            </w:pPr>
            <w:r>
              <w:rPr>
                <w:rFonts w:eastAsia="Times New Roman"/>
                <w:sz w:val="12"/>
                <w:szCs w:val="12"/>
              </w:rPr>
              <w:t>9.3</w:t>
            </w:r>
          </w:p>
        </w:tc>
        <w:tc>
          <w:tcPr>
            <w:tcW w:w="2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6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9.2</w:t>
            </w:r>
          </w:p>
        </w:tc>
        <w:tc>
          <w:tcPr>
            <w:tcW w:w="2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D538EF">
            <w:pPr>
              <w:jc w:val="right"/>
              <w:rPr>
                <w:sz w:val="20"/>
                <w:szCs w:val="20"/>
              </w:rPr>
            </w:pPr>
            <w:r>
              <w:rPr>
                <w:rFonts w:eastAsia="Times New Roman"/>
                <w:sz w:val="12"/>
                <w:szCs w:val="12"/>
              </w:rPr>
              <w:t>39.4</w:t>
            </w:r>
          </w:p>
        </w:tc>
      </w:tr>
      <w:tr w:rsidR="004A0011">
        <w:trPr>
          <w:trHeight w:val="142"/>
        </w:trPr>
        <w:tc>
          <w:tcPr>
            <w:tcW w:w="3480" w:type="dxa"/>
            <w:vAlign w:val="bottom"/>
          </w:tcPr>
          <w:p w:rsidR="004A0011" w:rsidRDefault="00D538EF">
            <w:pPr>
              <w:rPr>
                <w:sz w:val="20"/>
                <w:szCs w:val="20"/>
              </w:rPr>
            </w:pPr>
            <w:r>
              <w:rPr>
                <w:rFonts w:eastAsia="Times New Roman"/>
                <w:b/>
                <w:bCs/>
                <w:sz w:val="12"/>
                <w:szCs w:val="12"/>
              </w:rPr>
              <w:t xml:space="preserve">Net Earnings Including Redeemable </w:t>
            </w:r>
            <w:r>
              <w:rPr>
                <w:rFonts w:eastAsia="Times New Roman"/>
                <w:b/>
                <w:bCs/>
                <w:sz w:val="12"/>
                <w:szCs w:val="12"/>
              </w:rPr>
              <w:t>Noncontrolling Interest</w:t>
            </w:r>
          </w:p>
        </w:tc>
        <w:tc>
          <w:tcPr>
            <w:tcW w:w="2980" w:type="dxa"/>
            <w:vAlign w:val="bottom"/>
          </w:tcPr>
          <w:p w:rsidR="004A0011" w:rsidRDefault="004A0011">
            <w:pPr>
              <w:rPr>
                <w:sz w:val="12"/>
                <w:szCs w:val="12"/>
              </w:rPr>
            </w:pPr>
          </w:p>
        </w:tc>
        <w:tc>
          <w:tcPr>
            <w:tcW w:w="20" w:type="dxa"/>
            <w:tcBorders>
              <w:top w:val="single" w:sz="8" w:space="0" w:color="auto"/>
            </w:tcBorders>
            <w:vAlign w:val="bottom"/>
          </w:tcPr>
          <w:p w:rsidR="004A0011" w:rsidRDefault="004A0011">
            <w:pPr>
              <w:rPr>
                <w:sz w:val="12"/>
                <w:szCs w:val="12"/>
              </w:rPr>
            </w:pPr>
          </w:p>
        </w:tc>
        <w:tc>
          <w:tcPr>
            <w:tcW w:w="580" w:type="dxa"/>
            <w:tcBorders>
              <w:top w:val="single" w:sz="8" w:space="0" w:color="auto"/>
            </w:tcBorders>
            <w:vAlign w:val="bottom"/>
          </w:tcPr>
          <w:p w:rsidR="004A0011" w:rsidRDefault="004A0011">
            <w:pPr>
              <w:rPr>
                <w:sz w:val="12"/>
                <w:szCs w:val="12"/>
              </w:rPr>
            </w:pPr>
          </w:p>
        </w:tc>
        <w:tc>
          <w:tcPr>
            <w:tcW w:w="380" w:type="dxa"/>
            <w:tcBorders>
              <w:top w:val="single" w:sz="8" w:space="0" w:color="auto"/>
            </w:tcBorders>
            <w:vAlign w:val="bottom"/>
          </w:tcPr>
          <w:p w:rsidR="004A0011" w:rsidRDefault="00D538EF">
            <w:pPr>
              <w:jc w:val="right"/>
              <w:rPr>
                <w:sz w:val="20"/>
                <w:szCs w:val="20"/>
              </w:rPr>
            </w:pPr>
            <w:r>
              <w:rPr>
                <w:rFonts w:eastAsia="Times New Roman"/>
                <w:sz w:val="12"/>
                <w:szCs w:val="12"/>
              </w:rPr>
              <w:t>35.5</w:t>
            </w:r>
          </w:p>
        </w:tc>
        <w:tc>
          <w:tcPr>
            <w:tcW w:w="240" w:type="dxa"/>
            <w:vAlign w:val="bottom"/>
          </w:tcPr>
          <w:p w:rsidR="004A0011" w:rsidRDefault="004A0011">
            <w:pPr>
              <w:rPr>
                <w:sz w:val="12"/>
                <w:szCs w:val="12"/>
              </w:rPr>
            </w:pPr>
          </w:p>
        </w:tc>
        <w:tc>
          <w:tcPr>
            <w:tcW w:w="640" w:type="dxa"/>
            <w:tcBorders>
              <w:top w:val="single" w:sz="8" w:space="0" w:color="auto"/>
            </w:tcBorders>
            <w:vAlign w:val="bottom"/>
          </w:tcPr>
          <w:p w:rsidR="004A0011" w:rsidRDefault="004A0011">
            <w:pPr>
              <w:rPr>
                <w:sz w:val="12"/>
                <w:szCs w:val="12"/>
              </w:rPr>
            </w:pPr>
          </w:p>
        </w:tc>
        <w:tc>
          <w:tcPr>
            <w:tcW w:w="340" w:type="dxa"/>
            <w:tcBorders>
              <w:top w:val="single" w:sz="8" w:space="0" w:color="auto"/>
            </w:tcBorders>
            <w:vAlign w:val="bottom"/>
          </w:tcPr>
          <w:p w:rsidR="004A0011" w:rsidRDefault="00D538EF">
            <w:pPr>
              <w:jc w:val="right"/>
              <w:rPr>
                <w:sz w:val="20"/>
                <w:szCs w:val="20"/>
              </w:rPr>
            </w:pPr>
            <w:r>
              <w:rPr>
                <w:rFonts w:eastAsia="Times New Roman"/>
                <w:sz w:val="12"/>
                <w:szCs w:val="12"/>
              </w:rPr>
              <w:t>26.7</w:t>
            </w:r>
          </w:p>
        </w:tc>
        <w:tc>
          <w:tcPr>
            <w:tcW w:w="2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20" w:type="dxa"/>
            <w:tcBorders>
              <w:top w:val="single" w:sz="8" w:space="0" w:color="auto"/>
            </w:tcBorders>
            <w:vAlign w:val="bottom"/>
          </w:tcPr>
          <w:p w:rsidR="004A0011" w:rsidRDefault="004A0011">
            <w:pPr>
              <w:rPr>
                <w:sz w:val="12"/>
                <w:szCs w:val="12"/>
              </w:rPr>
            </w:pPr>
          </w:p>
        </w:tc>
        <w:tc>
          <w:tcPr>
            <w:tcW w:w="620" w:type="dxa"/>
            <w:tcBorders>
              <w:top w:val="single" w:sz="8" w:space="0" w:color="auto"/>
            </w:tcBorders>
            <w:vAlign w:val="bottom"/>
          </w:tcPr>
          <w:p w:rsidR="004A0011" w:rsidRDefault="004A0011">
            <w:pPr>
              <w:rPr>
                <w:sz w:val="12"/>
                <w:szCs w:val="12"/>
              </w:rPr>
            </w:pPr>
          </w:p>
        </w:tc>
        <w:tc>
          <w:tcPr>
            <w:tcW w:w="360" w:type="dxa"/>
            <w:tcBorders>
              <w:top w:val="single" w:sz="8" w:space="0" w:color="auto"/>
            </w:tcBorders>
            <w:vAlign w:val="bottom"/>
          </w:tcPr>
          <w:p w:rsidR="004A0011" w:rsidRDefault="00D538EF">
            <w:pPr>
              <w:ind w:right="1"/>
              <w:jc w:val="right"/>
              <w:rPr>
                <w:sz w:val="20"/>
                <w:szCs w:val="20"/>
              </w:rPr>
            </w:pPr>
            <w:r>
              <w:rPr>
                <w:rFonts w:eastAsia="Times New Roman"/>
                <w:sz w:val="12"/>
                <w:szCs w:val="12"/>
              </w:rPr>
              <w:t>100.1</w:t>
            </w:r>
          </w:p>
        </w:tc>
        <w:tc>
          <w:tcPr>
            <w:tcW w:w="220" w:type="dxa"/>
            <w:vAlign w:val="bottom"/>
          </w:tcPr>
          <w:p w:rsidR="004A0011" w:rsidRDefault="004A0011">
            <w:pPr>
              <w:rPr>
                <w:sz w:val="12"/>
                <w:szCs w:val="12"/>
              </w:rPr>
            </w:pPr>
          </w:p>
        </w:tc>
        <w:tc>
          <w:tcPr>
            <w:tcW w:w="360" w:type="dxa"/>
            <w:tcBorders>
              <w:top w:val="single" w:sz="8" w:space="0" w:color="auto"/>
            </w:tcBorders>
            <w:vAlign w:val="bottom"/>
          </w:tcPr>
          <w:p w:rsidR="004A0011" w:rsidRDefault="004A0011">
            <w:pPr>
              <w:rPr>
                <w:sz w:val="12"/>
                <w:szCs w:val="12"/>
              </w:rPr>
            </w:pPr>
          </w:p>
        </w:tc>
        <w:tc>
          <w:tcPr>
            <w:tcW w:w="640" w:type="dxa"/>
            <w:tcBorders>
              <w:top w:val="single" w:sz="8" w:space="0" w:color="auto"/>
            </w:tcBorders>
            <w:vAlign w:val="bottom"/>
          </w:tcPr>
          <w:p w:rsidR="004A0011" w:rsidRDefault="00D538EF">
            <w:pPr>
              <w:jc w:val="right"/>
              <w:rPr>
                <w:sz w:val="20"/>
                <w:szCs w:val="20"/>
              </w:rPr>
            </w:pPr>
            <w:r>
              <w:rPr>
                <w:rFonts w:eastAsia="Times New Roman"/>
                <w:sz w:val="12"/>
                <w:szCs w:val="12"/>
              </w:rPr>
              <w:t>123.1</w:t>
            </w: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Less: Net earnings attributable to redeemable noncontrolling interest</w:t>
            </w:r>
          </w:p>
        </w:tc>
        <w:tc>
          <w:tcPr>
            <w:tcW w:w="2980" w:type="dxa"/>
            <w:shd w:val="clear" w:color="auto" w:fill="CCEEFF"/>
            <w:vAlign w:val="bottom"/>
          </w:tcPr>
          <w:p w:rsidR="004A0011" w:rsidRDefault="004A0011">
            <w:pPr>
              <w:rPr>
                <w:sz w:val="13"/>
                <w:szCs w:val="13"/>
              </w:rPr>
            </w:pPr>
          </w:p>
        </w:tc>
        <w:tc>
          <w:tcPr>
            <w:tcW w:w="20" w:type="dxa"/>
            <w:tcBorders>
              <w:bottom w:val="single" w:sz="8" w:space="0" w:color="auto"/>
            </w:tcBorders>
            <w:shd w:val="clear" w:color="auto" w:fill="CCEEFF"/>
            <w:vAlign w:val="bottom"/>
          </w:tcPr>
          <w:p w:rsidR="004A0011" w:rsidRDefault="004A0011">
            <w:pPr>
              <w:rPr>
                <w:sz w:val="13"/>
                <w:szCs w:val="13"/>
              </w:rPr>
            </w:pPr>
          </w:p>
        </w:tc>
        <w:tc>
          <w:tcPr>
            <w:tcW w:w="580" w:type="dxa"/>
            <w:tcBorders>
              <w:bottom w:val="single" w:sz="8" w:space="0" w:color="auto"/>
            </w:tcBorders>
            <w:shd w:val="clear" w:color="auto" w:fill="CCEEFF"/>
            <w:vAlign w:val="bottom"/>
          </w:tcPr>
          <w:p w:rsidR="004A0011" w:rsidRDefault="004A0011">
            <w:pPr>
              <w:rPr>
                <w:sz w:val="13"/>
                <w:szCs w:val="13"/>
              </w:rPr>
            </w:pPr>
          </w:p>
        </w:tc>
        <w:tc>
          <w:tcPr>
            <w:tcW w:w="38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25.5</w:t>
            </w:r>
          </w:p>
        </w:tc>
        <w:tc>
          <w:tcPr>
            <w:tcW w:w="240" w:type="dxa"/>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4A0011">
            <w:pPr>
              <w:rPr>
                <w:sz w:val="13"/>
                <w:szCs w:val="13"/>
              </w:rPr>
            </w:pPr>
          </w:p>
        </w:tc>
        <w:tc>
          <w:tcPr>
            <w:tcW w:w="3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26.7</w:t>
            </w:r>
          </w:p>
        </w:tc>
        <w:tc>
          <w:tcPr>
            <w:tcW w:w="2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20" w:type="dxa"/>
            <w:tcBorders>
              <w:bottom w:val="single" w:sz="8" w:space="0" w:color="auto"/>
            </w:tcBorders>
            <w:shd w:val="clear" w:color="auto" w:fill="CCEEFF"/>
            <w:vAlign w:val="bottom"/>
          </w:tcPr>
          <w:p w:rsidR="004A0011" w:rsidRDefault="004A0011">
            <w:pPr>
              <w:rPr>
                <w:sz w:val="13"/>
                <w:szCs w:val="13"/>
              </w:rPr>
            </w:pPr>
          </w:p>
        </w:tc>
        <w:tc>
          <w:tcPr>
            <w:tcW w:w="620" w:type="dxa"/>
            <w:tcBorders>
              <w:bottom w:val="single" w:sz="8" w:space="0" w:color="auto"/>
            </w:tcBorders>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D538EF">
            <w:pPr>
              <w:ind w:right="1"/>
              <w:jc w:val="right"/>
              <w:rPr>
                <w:sz w:val="20"/>
                <w:szCs w:val="20"/>
              </w:rPr>
            </w:pPr>
            <w:r>
              <w:rPr>
                <w:rFonts w:eastAsia="Times New Roman"/>
                <w:sz w:val="12"/>
                <w:szCs w:val="12"/>
              </w:rPr>
              <w:t>76.6</w:t>
            </w:r>
          </w:p>
        </w:tc>
        <w:tc>
          <w:tcPr>
            <w:tcW w:w="220" w:type="dxa"/>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123.1</w:t>
            </w:r>
          </w:p>
        </w:tc>
      </w:tr>
      <w:tr w:rsidR="004A0011">
        <w:trPr>
          <w:trHeight w:val="158"/>
        </w:trPr>
        <w:tc>
          <w:tcPr>
            <w:tcW w:w="3480" w:type="dxa"/>
            <w:tcBorders>
              <w:bottom w:val="single" w:sz="8" w:space="0" w:color="CCEEFF"/>
            </w:tcBorders>
            <w:vAlign w:val="bottom"/>
          </w:tcPr>
          <w:p w:rsidR="004A0011" w:rsidRDefault="00D538EF">
            <w:pPr>
              <w:rPr>
                <w:sz w:val="20"/>
                <w:szCs w:val="20"/>
              </w:rPr>
            </w:pPr>
            <w:r>
              <w:rPr>
                <w:rFonts w:eastAsia="Times New Roman"/>
                <w:b/>
                <w:bCs/>
                <w:sz w:val="12"/>
                <w:szCs w:val="12"/>
              </w:rPr>
              <w:t>Net Earnings Available to Class A Common Stockholders</w:t>
            </w:r>
          </w:p>
        </w:tc>
        <w:tc>
          <w:tcPr>
            <w:tcW w:w="2980" w:type="dxa"/>
            <w:tcBorders>
              <w:bottom w:val="single" w:sz="8" w:space="0" w:color="CCEEFF"/>
            </w:tcBorders>
            <w:vAlign w:val="bottom"/>
          </w:tcPr>
          <w:p w:rsidR="004A0011" w:rsidRDefault="004A0011">
            <w:pPr>
              <w:rPr>
                <w:sz w:val="13"/>
                <w:szCs w:val="13"/>
              </w:rPr>
            </w:pPr>
          </w:p>
        </w:tc>
        <w:tc>
          <w:tcPr>
            <w:tcW w:w="600" w:type="dxa"/>
            <w:gridSpan w:val="2"/>
            <w:tcBorders>
              <w:bottom w:val="single" w:sz="8" w:space="0" w:color="auto"/>
            </w:tcBorders>
            <w:vAlign w:val="bottom"/>
          </w:tcPr>
          <w:p w:rsidR="004A0011" w:rsidRDefault="00D538EF">
            <w:pPr>
              <w:ind w:right="466"/>
              <w:jc w:val="right"/>
              <w:rPr>
                <w:sz w:val="20"/>
                <w:szCs w:val="20"/>
              </w:rPr>
            </w:pPr>
            <w:r>
              <w:rPr>
                <w:rFonts w:eastAsia="Times New Roman"/>
                <w:w w:val="99"/>
                <w:sz w:val="12"/>
                <w:szCs w:val="12"/>
              </w:rPr>
              <w:t>$</w:t>
            </w:r>
          </w:p>
        </w:tc>
        <w:tc>
          <w:tcPr>
            <w:tcW w:w="380" w:type="dxa"/>
            <w:tcBorders>
              <w:bottom w:val="single" w:sz="8" w:space="0" w:color="auto"/>
            </w:tcBorders>
            <w:vAlign w:val="bottom"/>
          </w:tcPr>
          <w:p w:rsidR="004A0011" w:rsidRDefault="00D538EF">
            <w:pPr>
              <w:jc w:val="right"/>
              <w:rPr>
                <w:sz w:val="20"/>
                <w:szCs w:val="20"/>
              </w:rPr>
            </w:pPr>
            <w:r>
              <w:rPr>
                <w:rFonts w:eastAsia="Times New Roman"/>
                <w:sz w:val="12"/>
                <w:szCs w:val="12"/>
              </w:rPr>
              <w:t>10.0</w:t>
            </w:r>
          </w:p>
        </w:tc>
        <w:tc>
          <w:tcPr>
            <w:tcW w:w="240" w:type="dxa"/>
            <w:tcBorders>
              <w:bottom w:val="single" w:sz="8" w:space="0" w:color="CCEEFF"/>
            </w:tcBorders>
            <w:vAlign w:val="bottom"/>
          </w:tcPr>
          <w:p w:rsidR="004A0011" w:rsidRDefault="004A0011">
            <w:pPr>
              <w:rPr>
                <w:sz w:val="13"/>
                <w:szCs w:val="13"/>
              </w:rPr>
            </w:pPr>
          </w:p>
        </w:tc>
        <w:tc>
          <w:tcPr>
            <w:tcW w:w="640" w:type="dxa"/>
            <w:tcBorders>
              <w:bottom w:val="single" w:sz="8" w:space="0" w:color="auto"/>
            </w:tcBorders>
            <w:vAlign w:val="bottom"/>
          </w:tcPr>
          <w:p w:rsidR="004A0011" w:rsidRDefault="00D538EF">
            <w:pPr>
              <w:ind w:right="526"/>
              <w:jc w:val="right"/>
              <w:rPr>
                <w:sz w:val="20"/>
                <w:szCs w:val="20"/>
              </w:rPr>
            </w:pPr>
            <w:r>
              <w:rPr>
                <w:rFonts w:eastAsia="Times New Roman"/>
                <w:w w:val="71"/>
                <w:sz w:val="11"/>
                <w:szCs w:val="11"/>
              </w:rPr>
              <w:t>$</w:t>
            </w:r>
          </w:p>
        </w:tc>
        <w:tc>
          <w:tcPr>
            <w:tcW w:w="340" w:type="dxa"/>
            <w:tcBorders>
              <w:bottom w:val="single" w:sz="8" w:space="0" w:color="auto"/>
            </w:tcBorders>
            <w:vAlign w:val="bottom"/>
          </w:tcPr>
          <w:p w:rsidR="004A0011" w:rsidRDefault="00D538EF">
            <w:pPr>
              <w:jc w:val="right"/>
              <w:rPr>
                <w:sz w:val="20"/>
                <w:szCs w:val="20"/>
              </w:rPr>
            </w:pPr>
            <w:r>
              <w:rPr>
                <w:rFonts w:eastAsia="Times New Roman"/>
                <w:sz w:val="12"/>
                <w:szCs w:val="12"/>
              </w:rPr>
              <w:t>—</w:t>
            </w:r>
          </w:p>
        </w:tc>
        <w:tc>
          <w:tcPr>
            <w:tcW w:w="20" w:type="dxa"/>
            <w:tcBorders>
              <w:bottom w:val="single" w:sz="8" w:space="0" w:color="CCEEFF"/>
            </w:tcBorders>
            <w:vAlign w:val="bottom"/>
          </w:tcPr>
          <w:p w:rsidR="004A0011" w:rsidRDefault="004A0011">
            <w:pPr>
              <w:rPr>
                <w:sz w:val="13"/>
                <w:szCs w:val="13"/>
              </w:rPr>
            </w:pPr>
          </w:p>
        </w:tc>
        <w:tc>
          <w:tcPr>
            <w:tcW w:w="320" w:type="dxa"/>
            <w:tcBorders>
              <w:bottom w:val="single" w:sz="8" w:space="0" w:color="CCEEFF"/>
            </w:tcBorders>
            <w:vAlign w:val="bottom"/>
          </w:tcPr>
          <w:p w:rsidR="004A0011" w:rsidRDefault="004A0011">
            <w:pPr>
              <w:rPr>
                <w:sz w:val="13"/>
                <w:szCs w:val="13"/>
              </w:rPr>
            </w:pPr>
          </w:p>
        </w:tc>
        <w:tc>
          <w:tcPr>
            <w:tcW w:w="640" w:type="dxa"/>
            <w:gridSpan w:val="2"/>
            <w:tcBorders>
              <w:bottom w:val="single" w:sz="8" w:space="0" w:color="auto"/>
            </w:tcBorders>
            <w:vAlign w:val="bottom"/>
          </w:tcPr>
          <w:p w:rsidR="004A0011" w:rsidRDefault="00D538EF">
            <w:pPr>
              <w:ind w:right="506"/>
              <w:jc w:val="right"/>
              <w:rPr>
                <w:sz w:val="20"/>
                <w:szCs w:val="20"/>
              </w:rPr>
            </w:pPr>
            <w:r>
              <w:rPr>
                <w:rFonts w:eastAsia="Times New Roman"/>
                <w:w w:val="99"/>
                <w:sz w:val="12"/>
                <w:szCs w:val="12"/>
              </w:rPr>
              <w:t>$</w:t>
            </w:r>
          </w:p>
        </w:tc>
        <w:tc>
          <w:tcPr>
            <w:tcW w:w="360" w:type="dxa"/>
            <w:tcBorders>
              <w:bottom w:val="single" w:sz="8" w:space="0" w:color="auto"/>
            </w:tcBorders>
            <w:vAlign w:val="bottom"/>
          </w:tcPr>
          <w:p w:rsidR="004A0011" w:rsidRDefault="00D538EF">
            <w:pPr>
              <w:ind w:right="1"/>
              <w:jc w:val="right"/>
              <w:rPr>
                <w:sz w:val="20"/>
                <w:szCs w:val="20"/>
              </w:rPr>
            </w:pPr>
            <w:r>
              <w:rPr>
                <w:rFonts w:eastAsia="Times New Roman"/>
                <w:sz w:val="12"/>
                <w:szCs w:val="12"/>
              </w:rPr>
              <w:t>23.5</w:t>
            </w:r>
          </w:p>
        </w:tc>
        <w:tc>
          <w:tcPr>
            <w:tcW w:w="220" w:type="dxa"/>
            <w:tcBorders>
              <w:bottom w:val="single" w:sz="8" w:space="0" w:color="CCEEFF"/>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D538EF">
            <w:pPr>
              <w:ind w:right="220"/>
              <w:jc w:val="right"/>
              <w:rPr>
                <w:sz w:val="20"/>
                <w:szCs w:val="20"/>
              </w:rPr>
            </w:pPr>
            <w:r>
              <w:rPr>
                <w:rFonts w:eastAsia="Times New Roman"/>
                <w:w w:val="99"/>
                <w:sz w:val="12"/>
                <w:szCs w:val="12"/>
              </w:rPr>
              <w:t>$</w:t>
            </w:r>
          </w:p>
        </w:tc>
        <w:tc>
          <w:tcPr>
            <w:tcW w:w="640" w:type="dxa"/>
            <w:tcBorders>
              <w:bottom w:val="single" w:sz="8" w:space="0" w:color="auto"/>
            </w:tcBorders>
            <w:vAlign w:val="bottom"/>
          </w:tcPr>
          <w:p w:rsidR="004A0011" w:rsidRDefault="00D538EF">
            <w:pPr>
              <w:jc w:val="right"/>
              <w:rPr>
                <w:sz w:val="20"/>
                <w:szCs w:val="20"/>
              </w:rPr>
            </w:pPr>
            <w:r>
              <w:rPr>
                <w:rFonts w:eastAsia="Times New Roman"/>
                <w:sz w:val="12"/>
                <w:szCs w:val="12"/>
              </w:rPr>
              <w:t>—</w:t>
            </w:r>
          </w:p>
        </w:tc>
      </w:tr>
      <w:tr w:rsidR="004A0011">
        <w:trPr>
          <w:trHeight w:val="153"/>
        </w:trPr>
        <w:tc>
          <w:tcPr>
            <w:tcW w:w="3480" w:type="dxa"/>
            <w:shd w:val="clear" w:color="auto" w:fill="CCEEFF"/>
            <w:vAlign w:val="bottom"/>
          </w:tcPr>
          <w:p w:rsidR="004A0011" w:rsidRDefault="004A0011">
            <w:pPr>
              <w:rPr>
                <w:sz w:val="13"/>
                <w:szCs w:val="13"/>
              </w:rPr>
            </w:pPr>
          </w:p>
        </w:tc>
        <w:tc>
          <w:tcPr>
            <w:tcW w:w="298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580" w:type="dxa"/>
            <w:shd w:val="clear" w:color="auto" w:fill="CCEEFF"/>
            <w:vAlign w:val="bottom"/>
          </w:tcPr>
          <w:p w:rsidR="004A0011" w:rsidRDefault="004A0011">
            <w:pPr>
              <w:rPr>
                <w:sz w:val="13"/>
                <w:szCs w:val="13"/>
              </w:rPr>
            </w:pPr>
          </w:p>
        </w:tc>
        <w:tc>
          <w:tcPr>
            <w:tcW w:w="380" w:type="dxa"/>
            <w:shd w:val="clear" w:color="auto" w:fill="CCEEFF"/>
            <w:vAlign w:val="bottom"/>
          </w:tcPr>
          <w:p w:rsidR="004A0011" w:rsidRDefault="004A0011">
            <w:pPr>
              <w:rPr>
                <w:sz w:val="13"/>
                <w:szCs w:val="13"/>
              </w:rPr>
            </w:pPr>
          </w:p>
        </w:tc>
        <w:tc>
          <w:tcPr>
            <w:tcW w:w="24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4A0011">
            <w:pPr>
              <w:rPr>
                <w:sz w:val="13"/>
                <w:szCs w:val="13"/>
              </w:rPr>
            </w:pPr>
          </w:p>
        </w:tc>
        <w:tc>
          <w:tcPr>
            <w:tcW w:w="34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6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4A0011">
            <w:pPr>
              <w:rPr>
                <w:sz w:val="13"/>
                <w:szCs w:val="13"/>
              </w:rPr>
            </w:pPr>
          </w:p>
        </w:tc>
      </w:tr>
      <w:tr w:rsidR="004A0011">
        <w:trPr>
          <w:trHeight w:val="153"/>
        </w:trPr>
        <w:tc>
          <w:tcPr>
            <w:tcW w:w="3480" w:type="dxa"/>
            <w:vAlign w:val="bottom"/>
          </w:tcPr>
          <w:p w:rsidR="004A0011" w:rsidRDefault="00D538EF">
            <w:pPr>
              <w:rPr>
                <w:sz w:val="20"/>
                <w:szCs w:val="20"/>
              </w:rPr>
            </w:pPr>
            <w:r>
              <w:rPr>
                <w:rFonts w:eastAsia="Times New Roman"/>
                <w:b/>
                <w:bCs/>
                <w:sz w:val="12"/>
                <w:szCs w:val="12"/>
              </w:rPr>
              <w:t>Earnings per share of Class A Common Stock:</w:t>
            </w:r>
          </w:p>
        </w:tc>
        <w:tc>
          <w:tcPr>
            <w:tcW w:w="298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580" w:type="dxa"/>
            <w:vAlign w:val="bottom"/>
          </w:tcPr>
          <w:p w:rsidR="004A0011" w:rsidRDefault="004A0011">
            <w:pPr>
              <w:rPr>
                <w:sz w:val="13"/>
                <w:szCs w:val="13"/>
              </w:rPr>
            </w:pPr>
          </w:p>
        </w:tc>
        <w:tc>
          <w:tcPr>
            <w:tcW w:w="380" w:type="dxa"/>
            <w:vAlign w:val="bottom"/>
          </w:tcPr>
          <w:p w:rsidR="004A0011" w:rsidRDefault="004A0011">
            <w:pPr>
              <w:rPr>
                <w:sz w:val="13"/>
                <w:szCs w:val="13"/>
              </w:rPr>
            </w:pPr>
          </w:p>
        </w:tc>
        <w:tc>
          <w:tcPr>
            <w:tcW w:w="240" w:type="dxa"/>
            <w:vAlign w:val="bottom"/>
          </w:tcPr>
          <w:p w:rsidR="004A0011" w:rsidRDefault="004A0011">
            <w:pPr>
              <w:rPr>
                <w:sz w:val="13"/>
                <w:szCs w:val="13"/>
              </w:rPr>
            </w:pPr>
          </w:p>
        </w:tc>
        <w:tc>
          <w:tcPr>
            <w:tcW w:w="640" w:type="dxa"/>
            <w:vAlign w:val="bottom"/>
          </w:tcPr>
          <w:p w:rsidR="004A0011" w:rsidRDefault="004A0011">
            <w:pPr>
              <w:rPr>
                <w:sz w:val="13"/>
                <w:szCs w:val="13"/>
              </w:rPr>
            </w:pPr>
          </w:p>
        </w:tc>
        <w:tc>
          <w:tcPr>
            <w:tcW w:w="34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6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640" w:type="dxa"/>
            <w:vAlign w:val="bottom"/>
          </w:tcPr>
          <w:p w:rsidR="004A0011" w:rsidRDefault="004A0011">
            <w:pPr>
              <w:rPr>
                <w:sz w:val="13"/>
                <w:szCs w:val="13"/>
              </w:rPr>
            </w:pP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Basic</w:t>
            </w:r>
          </w:p>
        </w:tc>
        <w:tc>
          <w:tcPr>
            <w:tcW w:w="3580" w:type="dxa"/>
            <w:gridSpan w:val="3"/>
            <w:shd w:val="clear" w:color="auto" w:fill="CCEEFF"/>
            <w:vAlign w:val="bottom"/>
          </w:tcPr>
          <w:p w:rsidR="004A0011" w:rsidRDefault="00D538EF">
            <w:pPr>
              <w:ind w:right="466"/>
              <w:jc w:val="right"/>
              <w:rPr>
                <w:sz w:val="20"/>
                <w:szCs w:val="20"/>
              </w:rPr>
            </w:pPr>
            <w:r>
              <w:rPr>
                <w:rFonts w:eastAsia="Times New Roman"/>
                <w:sz w:val="12"/>
                <w:szCs w:val="12"/>
              </w:rPr>
              <w:t>$</w:t>
            </w:r>
          </w:p>
        </w:tc>
        <w:tc>
          <w:tcPr>
            <w:tcW w:w="380" w:type="dxa"/>
            <w:shd w:val="clear" w:color="auto" w:fill="CCEEFF"/>
            <w:vAlign w:val="bottom"/>
          </w:tcPr>
          <w:p w:rsidR="004A0011" w:rsidRDefault="00D538EF">
            <w:pPr>
              <w:jc w:val="right"/>
              <w:rPr>
                <w:sz w:val="20"/>
                <w:szCs w:val="20"/>
              </w:rPr>
            </w:pPr>
            <w:r>
              <w:rPr>
                <w:rFonts w:eastAsia="Times New Roman"/>
                <w:sz w:val="12"/>
                <w:szCs w:val="12"/>
              </w:rPr>
              <w:t>0.25</w:t>
            </w:r>
          </w:p>
        </w:tc>
        <w:tc>
          <w:tcPr>
            <w:tcW w:w="24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D538EF">
            <w:pPr>
              <w:ind w:right="526"/>
              <w:jc w:val="right"/>
              <w:rPr>
                <w:sz w:val="20"/>
                <w:szCs w:val="20"/>
              </w:rPr>
            </w:pPr>
            <w:r>
              <w:rPr>
                <w:rFonts w:eastAsia="Times New Roman"/>
                <w:w w:val="71"/>
                <w:sz w:val="11"/>
                <w:szCs w:val="11"/>
              </w:rPr>
              <w:t>$</w:t>
            </w:r>
          </w:p>
        </w:tc>
        <w:tc>
          <w:tcPr>
            <w:tcW w:w="680" w:type="dxa"/>
            <w:gridSpan w:val="3"/>
            <w:shd w:val="clear" w:color="auto" w:fill="CCEEFF"/>
            <w:vAlign w:val="bottom"/>
          </w:tcPr>
          <w:p w:rsidR="004A0011" w:rsidRDefault="00D538EF">
            <w:pPr>
              <w:ind w:right="380"/>
              <w:jc w:val="right"/>
              <w:rPr>
                <w:sz w:val="20"/>
                <w:szCs w:val="20"/>
              </w:rPr>
            </w:pPr>
            <w:r>
              <w:rPr>
                <w:rFonts w:eastAsia="Times New Roman"/>
                <w:sz w:val="12"/>
                <w:szCs w:val="12"/>
              </w:rPr>
              <w:t>—</w:t>
            </w:r>
          </w:p>
        </w:tc>
        <w:tc>
          <w:tcPr>
            <w:tcW w:w="640" w:type="dxa"/>
            <w:gridSpan w:val="2"/>
            <w:shd w:val="clear" w:color="auto" w:fill="CCEEFF"/>
            <w:vAlign w:val="bottom"/>
          </w:tcPr>
          <w:p w:rsidR="004A0011" w:rsidRDefault="00D538EF">
            <w:pPr>
              <w:ind w:right="506"/>
              <w:jc w:val="right"/>
              <w:rPr>
                <w:sz w:val="20"/>
                <w:szCs w:val="20"/>
              </w:rPr>
            </w:pPr>
            <w:r>
              <w:rPr>
                <w:rFonts w:eastAsia="Times New Roman"/>
                <w:w w:val="99"/>
                <w:sz w:val="12"/>
                <w:szCs w:val="12"/>
              </w:rPr>
              <w:t>$</w:t>
            </w: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0.60</w:t>
            </w:r>
          </w:p>
        </w:tc>
        <w:tc>
          <w:tcPr>
            <w:tcW w:w="2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D538EF">
            <w:pPr>
              <w:ind w:right="220"/>
              <w:jc w:val="right"/>
              <w:rPr>
                <w:sz w:val="20"/>
                <w:szCs w:val="20"/>
              </w:rPr>
            </w:pPr>
            <w:r>
              <w:rPr>
                <w:rFonts w:eastAsia="Times New Roman"/>
                <w:w w:val="99"/>
                <w:sz w:val="12"/>
                <w:szCs w:val="12"/>
              </w:rPr>
              <w:t>$</w:t>
            </w:r>
          </w:p>
        </w:tc>
        <w:tc>
          <w:tcPr>
            <w:tcW w:w="640" w:type="dxa"/>
            <w:shd w:val="clear" w:color="auto" w:fill="CCEEFF"/>
            <w:vAlign w:val="bottom"/>
          </w:tcPr>
          <w:p w:rsidR="004A0011" w:rsidRDefault="00D538EF">
            <w:pPr>
              <w:jc w:val="right"/>
              <w:rPr>
                <w:sz w:val="20"/>
                <w:szCs w:val="20"/>
              </w:rPr>
            </w:pPr>
            <w:r>
              <w:rPr>
                <w:rFonts w:eastAsia="Times New Roman"/>
                <w:sz w:val="12"/>
                <w:szCs w:val="12"/>
              </w:rPr>
              <w:t>—</w:t>
            </w:r>
          </w:p>
        </w:tc>
      </w:tr>
      <w:tr w:rsidR="004A0011">
        <w:trPr>
          <w:trHeight w:val="153"/>
        </w:trPr>
        <w:tc>
          <w:tcPr>
            <w:tcW w:w="3480" w:type="dxa"/>
            <w:vAlign w:val="bottom"/>
          </w:tcPr>
          <w:p w:rsidR="004A0011" w:rsidRDefault="00D538EF">
            <w:pPr>
              <w:rPr>
                <w:sz w:val="20"/>
                <w:szCs w:val="20"/>
              </w:rPr>
            </w:pPr>
            <w:r>
              <w:rPr>
                <w:rFonts w:eastAsia="Times New Roman"/>
                <w:sz w:val="12"/>
                <w:szCs w:val="12"/>
              </w:rPr>
              <w:t>Diluted</w:t>
            </w:r>
          </w:p>
        </w:tc>
        <w:tc>
          <w:tcPr>
            <w:tcW w:w="3580" w:type="dxa"/>
            <w:gridSpan w:val="3"/>
            <w:vAlign w:val="bottom"/>
          </w:tcPr>
          <w:p w:rsidR="004A0011" w:rsidRDefault="00D538EF">
            <w:pPr>
              <w:ind w:right="466"/>
              <w:jc w:val="right"/>
              <w:rPr>
                <w:sz w:val="20"/>
                <w:szCs w:val="20"/>
              </w:rPr>
            </w:pPr>
            <w:r>
              <w:rPr>
                <w:rFonts w:eastAsia="Times New Roman"/>
                <w:sz w:val="12"/>
                <w:szCs w:val="12"/>
              </w:rPr>
              <w:t>$</w:t>
            </w:r>
          </w:p>
        </w:tc>
        <w:tc>
          <w:tcPr>
            <w:tcW w:w="380" w:type="dxa"/>
            <w:vAlign w:val="bottom"/>
          </w:tcPr>
          <w:p w:rsidR="004A0011" w:rsidRDefault="00D538EF">
            <w:pPr>
              <w:jc w:val="right"/>
              <w:rPr>
                <w:sz w:val="20"/>
                <w:szCs w:val="20"/>
              </w:rPr>
            </w:pPr>
            <w:r>
              <w:rPr>
                <w:rFonts w:eastAsia="Times New Roman"/>
                <w:sz w:val="12"/>
                <w:szCs w:val="12"/>
              </w:rPr>
              <w:t>0.26</w:t>
            </w:r>
          </w:p>
        </w:tc>
        <w:tc>
          <w:tcPr>
            <w:tcW w:w="240" w:type="dxa"/>
            <w:vAlign w:val="bottom"/>
          </w:tcPr>
          <w:p w:rsidR="004A0011" w:rsidRDefault="004A0011">
            <w:pPr>
              <w:rPr>
                <w:sz w:val="13"/>
                <w:szCs w:val="13"/>
              </w:rPr>
            </w:pPr>
          </w:p>
        </w:tc>
        <w:tc>
          <w:tcPr>
            <w:tcW w:w="640" w:type="dxa"/>
            <w:vAlign w:val="bottom"/>
          </w:tcPr>
          <w:p w:rsidR="004A0011" w:rsidRDefault="00D538EF">
            <w:pPr>
              <w:ind w:right="526"/>
              <w:jc w:val="right"/>
              <w:rPr>
                <w:sz w:val="20"/>
                <w:szCs w:val="20"/>
              </w:rPr>
            </w:pPr>
            <w:r>
              <w:rPr>
                <w:rFonts w:eastAsia="Times New Roman"/>
                <w:w w:val="71"/>
                <w:sz w:val="11"/>
                <w:szCs w:val="11"/>
              </w:rPr>
              <w:t>$</w:t>
            </w:r>
          </w:p>
        </w:tc>
        <w:tc>
          <w:tcPr>
            <w:tcW w:w="680" w:type="dxa"/>
            <w:gridSpan w:val="3"/>
            <w:vAlign w:val="bottom"/>
          </w:tcPr>
          <w:p w:rsidR="004A0011" w:rsidRDefault="00D538EF">
            <w:pPr>
              <w:ind w:right="380"/>
              <w:jc w:val="right"/>
              <w:rPr>
                <w:sz w:val="20"/>
                <w:szCs w:val="20"/>
              </w:rPr>
            </w:pPr>
            <w:r>
              <w:rPr>
                <w:rFonts w:eastAsia="Times New Roman"/>
                <w:sz w:val="12"/>
                <w:szCs w:val="12"/>
              </w:rPr>
              <w:t>—</w:t>
            </w:r>
          </w:p>
        </w:tc>
        <w:tc>
          <w:tcPr>
            <w:tcW w:w="640" w:type="dxa"/>
            <w:gridSpan w:val="2"/>
            <w:vAlign w:val="bottom"/>
          </w:tcPr>
          <w:p w:rsidR="004A0011" w:rsidRDefault="00D538EF">
            <w:pPr>
              <w:ind w:right="506"/>
              <w:jc w:val="right"/>
              <w:rPr>
                <w:sz w:val="20"/>
                <w:szCs w:val="20"/>
              </w:rPr>
            </w:pPr>
            <w:r>
              <w:rPr>
                <w:rFonts w:eastAsia="Times New Roman"/>
                <w:w w:val="99"/>
                <w:sz w:val="12"/>
                <w:szCs w:val="12"/>
              </w:rPr>
              <w:t>$</w:t>
            </w:r>
          </w:p>
        </w:tc>
        <w:tc>
          <w:tcPr>
            <w:tcW w:w="360" w:type="dxa"/>
            <w:vAlign w:val="bottom"/>
          </w:tcPr>
          <w:p w:rsidR="004A0011" w:rsidRDefault="00D538EF">
            <w:pPr>
              <w:ind w:right="1"/>
              <w:jc w:val="right"/>
              <w:rPr>
                <w:sz w:val="20"/>
                <w:szCs w:val="20"/>
              </w:rPr>
            </w:pPr>
            <w:r>
              <w:rPr>
                <w:rFonts w:eastAsia="Times New Roman"/>
                <w:sz w:val="12"/>
                <w:szCs w:val="12"/>
              </w:rPr>
              <w:t>0.60</w:t>
            </w:r>
          </w:p>
        </w:tc>
        <w:tc>
          <w:tcPr>
            <w:tcW w:w="220" w:type="dxa"/>
            <w:vAlign w:val="bottom"/>
          </w:tcPr>
          <w:p w:rsidR="004A0011" w:rsidRDefault="004A0011">
            <w:pPr>
              <w:rPr>
                <w:sz w:val="13"/>
                <w:szCs w:val="13"/>
              </w:rPr>
            </w:pPr>
          </w:p>
        </w:tc>
        <w:tc>
          <w:tcPr>
            <w:tcW w:w="360" w:type="dxa"/>
            <w:vAlign w:val="bottom"/>
          </w:tcPr>
          <w:p w:rsidR="004A0011" w:rsidRDefault="00D538EF">
            <w:pPr>
              <w:ind w:right="220"/>
              <w:jc w:val="right"/>
              <w:rPr>
                <w:sz w:val="20"/>
                <w:szCs w:val="20"/>
              </w:rPr>
            </w:pPr>
            <w:r>
              <w:rPr>
                <w:rFonts w:eastAsia="Times New Roman"/>
                <w:w w:val="99"/>
                <w:sz w:val="12"/>
                <w:szCs w:val="12"/>
              </w:rPr>
              <w:t>$</w:t>
            </w:r>
          </w:p>
        </w:tc>
        <w:tc>
          <w:tcPr>
            <w:tcW w:w="640" w:type="dxa"/>
            <w:vAlign w:val="bottom"/>
          </w:tcPr>
          <w:p w:rsidR="004A0011" w:rsidRDefault="00D538EF">
            <w:pPr>
              <w:jc w:val="right"/>
              <w:rPr>
                <w:sz w:val="20"/>
                <w:szCs w:val="20"/>
              </w:rPr>
            </w:pPr>
            <w:r>
              <w:rPr>
                <w:rFonts w:eastAsia="Times New Roman"/>
                <w:sz w:val="12"/>
                <w:szCs w:val="12"/>
              </w:rPr>
              <w:t>—</w:t>
            </w:r>
          </w:p>
        </w:tc>
      </w:tr>
      <w:tr w:rsidR="004A0011">
        <w:trPr>
          <w:trHeight w:val="171"/>
        </w:trPr>
        <w:tc>
          <w:tcPr>
            <w:tcW w:w="3480" w:type="dxa"/>
            <w:shd w:val="clear" w:color="auto" w:fill="CCEEFF"/>
            <w:vAlign w:val="bottom"/>
          </w:tcPr>
          <w:p w:rsidR="004A0011" w:rsidRDefault="004A0011">
            <w:pPr>
              <w:rPr>
                <w:sz w:val="14"/>
                <w:szCs w:val="14"/>
              </w:rPr>
            </w:pPr>
          </w:p>
        </w:tc>
        <w:tc>
          <w:tcPr>
            <w:tcW w:w="2980" w:type="dxa"/>
            <w:shd w:val="clear" w:color="auto" w:fill="CCEEFF"/>
            <w:vAlign w:val="bottom"/>
          </w:tcPr>
          <w:p w:rsidR="004A0011" w:rsidRDefault="004A0011">
            <w:pPr>
              <w:rPr>
                <w:sz w:val="14"/>
                <w:szCs w:val="14"/>
              </w:rPr>
            </w:pPr>
          </w:p>
        </w:tc>
        <w:tc>
          <w:tcPr>
            <w:tcW w:w="20" w:type="dxa"/>
            <w:shd w:val="clear" w:color="auto" w:fill="CCEEFF"/>
            <w:vAlign w:val="bottom"/>
          </w:tcPr>
          <w:p w:rsidR="004A0011" w:rsidRDefault="004A0011">
            <w:pPr>
              <w:rPr>
                <w:sz w:val="14"/>
                <w:szCs w:val="14"/>
              </w:rPr>
            </w:pPr>
          </w:p>
        </w:tc>
        <w:tc>
          <w:tcPr>
            <w:tcW w:w="580" w:type="dxa"/>
            <w:shd w:val="clear" w:color="auto" w:fill="CCEEFF"/>
            <w:vAlign w:val="bottom"/>
          </w:tcPr>
          <w:p w:rsidR="004A0011" w:rsidRDefault="004A0011">
            <w:pPr>
              <w:rPr>
                <w:sz w:val="14"/>
                <w:szCs w:val="14"/>
              </w:rPr>
            </w:pPr>
          </w:p>
        </w:tc>
        <w:tc>
          <w:tcPr>
            <w:tcW w:w="380" w:type="dxa"/>
            <w:shd w:val="clear" w:color="auto" w:fill="CCEEFF"/>
            <w:vAlign w:val="bottom"/>
          </w:tcPr>
          <w:p w:rsidR="004A0011" w:rsidRDefault="004A0011">
            <w:pPr>
              <w:rPr>
                <w:sz w:val="14"/>
                <w:szCs w:val="14"/>
              </w:rPr>
            </w:pPr>
          </w:p>
        </w:tc>
        <w:tc>
          <w:tcPr>
            <w:tcW w:w="240" w:type="dxa"/>
            <w:shd w:val="clear" w:color="auto" w:fill="CCEEFF"/>
            <w:vAlign w:val="bottom"/>
          </w:tcPr>
          <w:p w:rsidR="004A0011" w:rsidRDefault="004A0011">
            <w:pPr>
              <w:rPr>
                <w:sz w:val="14"/>
                <w:szCs w:val="14"/>
              </w:rPr>
            </w:pPr>
          </w:p>
        </w:tc>
        <w:tc>
          <w:tcPr>
            <w:tcW w:w="640" w:type="dxa"/>
            <w:shd w:val="clear" w:color="auto" w:fill="CCEEFF"/>
            <w:vAlign w:val="bottom"/>
          </w:tcPr>
          <w:p w:rsidR="004A0011" w:rsidRDefault="004A0011">
            <w:pPr>
              <w:rPr>
                <w:sz w:val="14"/>
                <w:szCs w:val="14"/>
              </w:rPr>
            </w:pPr>
          </w:p>
        </w:tc>
        <w:tc>
          <w:tcPr>
            <w:tcW w:w="340" w:type="dxa"/>
            <w:shd w:val="clear" w:color="auto" w:fill="CCEEFF"/>
            <w:vAlign w:val="bottom"/>
          </w:tcPr>
          <w:p w:rsidR="004A0011" w:rsidRDefault="004A0011">
            <w:pPr>
              <w:rPr>
                <w:sz w:val="14"/>
                <w:szCs w:val="14"/>
              </w:rPr>
            </w:pPr>
          </w:p>
        </w:tc>
        <w:tc>
          <w:tcPr>
            <w:tcW w:w="20" w:type="dxa"/>
            <w:shd w:val="clear" w:color="auto" w:fill="CCEEFF"/>
            <w:vAlign w:val="bottom"/>
          </w:tcPr>
          <w:p w:rsidR="004A0011" w:rsidRDefault="004A0011">
            <w:pPr>
              <w:rPr>
                <w:sz w:val="14"/>
                <w:szCs w:val="14"/>
              </w:rPr>
            </w:pPr>
          </w:p>
        </w:tc>
        <w:tc>
          <w:tcPr>
            <w:tcW w:w="320" w:type="dxa"/>
            <w:shd w:val="clear" w:color="auto" w:fill="CCEEFF"/>
            <w:vAlign w:val="bottom"/>
          </w:tcPr>
          <w:p w:rsidR="004A0011" w:rsidRDefault="004A0011">
            <w:pPr>
              <w:rPr>
                <w:sz w:val="14"/>
                <w:szCs w:val="14"/>
              </w:rPr>
            </w:pPr>
          </w:p>
        </w:tc>
        <w:tc>
          <w:tcPr>
            <w:tcW w:w="20" w:type="dxa"/>
            <w:shd w:val="clear" w:color="auto" w:fill="CCEEFF"/>
            <w:vAlign w:val="bottom"/>
          </w:tcPr>
          <w:p w:rsidR="004A0011" w:rsidRDefault="004A0011">
            <w:pPr>
              <w:rPr>
                <w:sz w:val="14"/>
                <w:szCs w:val="14"/>
              </w:rPr>
            </w:pPr>
          </w:p>
        </w:tc>
        <w:tc>
          <w:tcPr>
            <w:tcW w:w="620" w:type="dxa"/>
            <w:shd w:val="clear" w:color="auto" w:fill="CCEEFF"/>
            <w:vAlign w:val="bottom"/>
          </w:tcPr>
          <w:p w:rsidR="004A0011" w:rsidRDefault="004A0011">
            <w:pPr>
              <w:rPr>
                <w:sz w:val="14"/>
                <w:szCs w:val="14"/>
              </w:rPr>
            </w:pPr>
          </w:p>
        </w:tc>
        <w:tc>
          <w:tcPr>
            <w:tcW w:w="360" w:type="dxa"/>
            <w:shd w:val="clear" w:color="auto" w:fill="CCEEFF"/>
            <w:vAlign w:val="bottom"/>
          </w:tcPr>
          <w:p w:rsidR="004A0011" w:rsidRDefault="004A0011">
            <w:pPr>
              <w:rPr>
                <w:sz w:val="14"/>
                <w:szCs w:val="14"/>
              </w:rPr>
            </w:pPr>
          </w:p>
        </w:tc>
        <w:tc>
          <w:tcPr>
            <w:tcW w:w="220" w:type="dxa"/>
            <w:shd w:val="clear" w:color="auto" w:fill="CCEEFF"/>
            <w:vAlign w:val="bottom"/>
          </w:tcPr>
          <w:p w:rsidR="004A0011" w:rsidRDefault="004A0011">
            <w:pPr>
              <w:rPr>
                <w:sz w:val="14"/>
                <w:szCs w:val="14"/>
              </w:rPr>
            </w:pPr>
          </w:p>
        </w:tc>
        <w:tc>
          <w:tcPr>
            <w:tcW w:w="360" w:type="dxa"/>
            <w:shd w:val="clear" w:color="auto" w:fill="CCEEFF"/>
            <w:vAlign w:val="bottom"/>
          </w:tcPr>
          <w:p w:rsidR="004A0011" w:rsidRDefault="004A0011">
            <w:pPr>
              <w:rPr>
                <w:sz w:val="14"/>
                <w:szCs w:val="14"/>
              </w:rPr>
            </w:pPr>
          </w:p>
        </w:tc>
        <w:tc>
          <w:tcPr>
            <w:tcW w:w="640" w:type="dxa"/>
            <w:shd w:val="clear" w:color="auto" w:fill="CCEEFF"/>
            <w:vAlign w:val="bottom"/>
          </w:tcPr>
          <w:p w:rsidR="004A0011" w:rsidRDefault="004A0011">
            <w:pPr>
              <w:rPr>
                <w:sz w:val="14"/>
                <w:szCs w:val="14"/>
              </w:rPr>
            </w:pPr>
          </w:p>
        </w:tc>
      </w:tr>
      <w:tr w:rsidR="004A0011">
        <w:trPr>
          <w:trHeight w:val="153"/>
        </w:trPr>
        <w:tc>
          <w:tcPr>
            <w:tcW w:w="3480" w:type="dxa"/>
            <w:vAlign w:val="bottom"/>
          </w:tcPr>
          <w:p w:rsidR="004A0011" w:rsidRDefault="00D538EF">
            <w:pPr>
              <w:rPr>
                <w:sz w:val="20"/>
                <w:szCs w:val="20"/>
              </w:rPr>
            </w:pPr>
            <w:r>
              <w:rPr>
                <w:rFonts w:eastAsia="Times New Roman"/>
                <w:b/>
                <w:bCs/>
                <w:sz w:val="12"/>
                <w:szCs w:val="12"/>
              </w:rPr>
              <w:t>Weighted-Average Shares of Class A Common Stock Outstanding:</w:t>
            </w:r>
          </w:p>
        </w:tc>
        <w:tc>
          <w:tcPr>
            <w:tcW w:w="298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580" w:type="dxa"/>
            <w:vAlign w:val="bottom"/>
          </w:tcPr>
          <w:p w:rsidR="004A0011" w:rsidRDefault="004A0011">
            <w:pPr>
              <w:rPr>
                <w:sz w:val="13"/>
                <w:szCs w:val="13"/>
              </w:rPr>
            </w:pPr>
          </w:p>
        </w:tc>
        <w:tc>
          <w:tcPr>
            <w:tcW w:w="380" w:type="dxa"/>
            <w:vAlign w:val="bottom"/>
          </w:tcPr>
          <w:p w:rsidR="004A0011" w:rsidRDefault="004A0011">
            <w:pPr>
              <w:rPr>
                <w:sz w:val="13"/>
                <w:szCs w:val="13"/>
              </w:rPr>
            </w:pPr>
          </w:p>
        </w:tc>
        <w:tc>
          <w:tcPr>
            <w:tcW w:w="240" w:type="dxa"/>
            <w:vAlign w:val="bottom"/>
          </w:tcPr>
          <w:p w:rsidR="004A0011" w:rsidRDefault="004A0011">
            <w:pPr>
              <w:rPr>
                <w:sz w:val="13"/>
                <w:szCs w:val="13"/>
              </w:rPr>
            </w:pPr>
          </w:p>
        </w:tc>
        <w:tc>
          <w:tcPr>
            <w:tcW w:w="640" w:type="dxa"/>
            <w:vAlign w:val="bottom"/>
          </w:tcPr>
          <w:p w:rsidR="004A0011" w:rsidRDefault="004A0011">
            <w:pPr>
              <w:rPr>
                <w:sz w:val="13"/>
                <w:szCs w:val="13"/>
              </w:rPr>
            </w:pPr>
          </w:p>
        </w:tc>
        <w:tc>
          <w:tcPr>
            <w:tcW w:w="34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6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640" w:type="dxa"/>
            <w:vAlign w:val="bottom"/>
          </w:tcPr>
          <w:p w:rsidR="004A0011" w:rsidRDefault="004A0011">
            <w:pPr>
              <w:rPr>
                <w:sz w:val="13"/>
                <w:szCs w:val="13"/>
              </w:rPr>
            </w:pPr>
          </w:p>
        </w:tc>
      </w:tr>
      <w:tr w:rsidR="004A0011">
        <w:trPr>
          <w:trHeight w:val="153"/>
        </w:trPr>
        <w:tc>
          <w:tcPr>
            <w:tcW w:w="3480" w:type="dxa"/>
            <w:shd w:val="clear" w:color="auto" w:fill="CCEEFF"/>
            <w:vAlign w:val="bottom"/>
          </w:tcPr>
          <w:p w:rsidR="004A0011" w:rsidRDefault="00D538EF">
            <w:pPr>
              <w:rPr>
                <w:sz w:val="20"/>
                <w:szCs w:val="20"/>
              </w:rPr>
            </w:pPr>
            <w:r>
              <w:rPr>
                <w:rFonts w:eastAsia="Times New Roman"/>
                <w:sz w:val="12"/>
                <w:szCs w:val="12"/>
              </w:rPr>
              <w:t>Basic</w:t>
            </w:r>
          </w:p>
        </w:tc>
        <w:tc>
          <w:tcPr>
            <w:tcW w:w="2980" w:type="dxa"/>
            <w:shd w:val="clear" w:color="auto" w:fill="CCEEFF"/>
            <w:vAlign w:val="bottom"/>
          </w:tcPr>
          <w:p w:rsidR="004A0011" w:rsidRDefault="004A0011">
            <w:pPr>
              <w:rPr>
                <w:sz w:val="13"/>
                <w:szCs w:val="13"/>
              </w:rPr>
            </w:pPr>
          </w:p>
        </w:tc>
        <w:tc>
          <w:tcPr>
            <w:tcW w:w="20" w:type="dxa"/>
            <w:shd w:val="clear" w:color="auto" w:fill="CCEEFF"/>
            <w:vAlign w:val="bottom"/>
          </w:tcPr>
          <w:p w:rsidR="004A0011" w:rsidRDefault="004A0011">
            <w:pPr>
              <w:rPr>
                <w:sz w:val="13"/>
                <w:szCs w:val="13"/>
              </w:rPr>
            </w:pPr>
          </w:p>
        </w:tc>
        <w:tc>
          <w:tcPr>
            <w:tcW w:w="580" w:type="dxa"/>
            <w:shd w:val="clear" w:color="auto" w:fill="CCEEFF"/>
            <w:vAlign w:val="bottom"/>
          </w:tcPr>
          <w:p w:rsidR="004A0011" w:rsidRDefault="004A0011">
            <w:pPr>
              <w:rPr>
                <w:sz w:val="13"/>
                <w:szCs w:val="13"/>
              </w:rPr>
            </w:pPr>
          </w:p>
        </w:tc>
        <w:tc>
          <w:tcPr>
            <w:tcW w:w="380" w:type="dxa"/>
            <w:shd w:val="clear" w:color="auto" w:fill="CCEEFF"/>
            <w:vAlign w:val="bottom"/>
          </w:tcPr>
          <w:p w:rsidR="004A0011" w:rsidRDefault="00D538EF">
            <w:pPr>
              <w:jc w:val="right"/>
              <w:rPr>
                <w:sz w:val="20"/>
                <w:szCs w:val="20"/>
              </w:rPr>
            </w:pPr>
            <w:r>
              <w:rPr>
                <w:rFonts w:eastAsia="Times New Roman"/>
                <w:sz w:val="12"/>
                <w:szCs w:val="12"/>
              </w:rPr>
              <w:t>39.4</w:t>
            </w:r>
          </w:p>
        </w:tc>
        <w:tc>
          <w:tcPr>
            <w:tcW w:w="24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4A0011">
            <w:pPr>
              <w:rPr>
                <w:sz w:val="13"/>
                <w:szCs w:val="13"/>
              </w:rPr>
            </w:pPr>
          </w:p>
        </w:tc>
        <w:tc>
          <w:tcPr>
            <w:tcW w:w="680" w:type="dxa"/>
            <w:gridSpan w:val="3"/>
            <w:shd w:val="clear" w:color="auto" w:fill="CCEEFF"/>
            <w:vAlign w:val="bottom"/>
          </w:tcPr>
          <w:p w:rsidR="004A0011" w:rsidRDefault="00D538EF">
            <w:pPr>
              <w:ind w:right="380"/>
              <w:jc w:val="right"/>
              <w:rPr>
                <w:sz w:val="20"/>
                <w:szCs w:val="20"/>
              </w:rPr>
            </w:pPr>
            <w:r>
              <w:rPr>
                <w:rFonts w:eastAsia="Times New Roman"/>
                <w:sz w:val="12"/>
                <w:szCs w:val="12"/>
              </w:rPr>
              <w:t>—</w:t>
            </w:r>
          </w:p>
        </w:tc>
        <w:tc>
          <w:tcPr>
            <w:tcW w:w="20" w:type="dxa"/>
            <w:shd w:val="clear" w:color="auto" w:fill="CCEEFF"/>
            <w:vAlign w:val="bottom"/>
          </w:tcPr>
          <w:p w:rsidR="004A0011" w:rsidRDefault="004A0011">
            <w:pPr>
              <w:rPr>
                <w:sz w:val="13"/>
                <w:szCs w:val="13"/>
              </w:rPr>
            </w:pPr>
          </w:p>
        </w:tc>
        <w:tc>
          <w:tcPr>
            <w:tcW w:w="6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D538EF">
            <w:pPr>
              <w:ind w:right="1"/>
              <w:jc w:val="right"/>
              <w:rPr>
                <w:sz w:val="20"/>
                <w:szCs w:val="20"/>
              </w:rPr>
            </w:pPr>
            <w:r>
              <w:rPr>
                <w:rFonts w:eastAsia="Times New Roman"/>
                <w:sz w:val="12"/>
                <w:szCs w:val="12"/>
              </w:rPr>
              <w:t>39.4</w:t>
            </w:r>
          </w:p>
        </w:tc>
        <w:tc>
          <w:tcPr>
            <w:tcW w:w="22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640" w:type="dxa"/>
            <w:shd w:val="clear" w:color="auto" w:fill="CCEEFF"/>
            <w:vAlign w:val="bottom"/>
          </w:tcPr>
          <w:p w:rsidR="004A0011" w:rsidRDefault="00D538EF">
            <w:pPr>
              <w:jc w:val="right"/>
              <w:rPr>
                <w:sz w:val="20"/>
                <w:szCs w:val="20"/>
              </w:rPr>
            </w:pPr>
            <w:r>
              <w:rPr>
                <w:rFonts w:eastAsia="Times New Roman"/>
                <w:sz w:val="12"/>
                <w:szCs w:val="12"/>
              </w:rPr>
              <w:t>—</w:t>
            </w:r>
          </w:p>
        </w:tc>
      </w:tr>
      <w:tr w:rsidR="004A0011">
        <w:trPr>
          <w:trHeight w:val="155"/>
        </w:trPr>
        <w:tc>
          <w:tcPr>
            <w:tcW w:w="3480" w:type="dxa"/>
            <w:vAlign w:val="bottom"/>
          </w:tcPr>
          <w:p w:rsidR="004A0011" w:rsidRDefault="00D538EF">
            <w:pPr>
              <w:rPr>
                <w:sz w:val="20"/>
                <w:szCs w:val="20"/>
              </w:rPr>
            </w:pPr>
            <w:r>
              <w:rPr>
                <w:rFonts w:eastAsia="Times New Roman"/>
                <w:sz w:val="12"/>
                <w:szCs w:val="12"/>
              </w:rPr>
              <w:t>Diluted</w:t>
            </w:r>
          </w:p>
        </w:tc>
        <w:tc>
          <w:tcPr>
            <w:tcW w:w="2980" w:type="dxa"/>
            <w:vAlign w:val="bottom"/>
          </w:tcPr>
          <w:p w:rsidR="004A0011" w:rsidRDefault="004A0011">
            <w:pPr>
              <w:rPr>
                <w:sz w:val="13"/>
                <w:szCs w:val="13"/>
              </w:rPr>
            </w:pPr>
          </w:p>
        </w:tc>
        <w:tc>
          <w:tcPr>
            <w:tcW w:w="20" w:type="dxa"/>
            <w:vAlign w:val="bottom"/>
          </w:tcPr>
          <w:p w:rsidR="004A0011" w:rsidRDefault="004A0011">
            <w:pPr>
              <w:rPr>
                <w:sz w:val="13"/>
                <w:szCs w:val="13"/>
              </w:rPr>
            </w:pPr>
          </w:p>
        </w:tc>
        <w:tc>
          <w:tcPr>
            <w:tcW w:w="580" w:type="dxa"/>
            <w:vAlign w:val="bottom"/>
          </w:tcPr>
          <w:p w:rsidR="004A0011" w:rsidRDefault="004A0011">
            <w:pPr>
              <w:rPr>
                <w:sz w:val="13"/>
                <w:szCs w:val="13"/>
              </w:rPr>
            </w:pPr>
          </w:p>
        </w:tc>
        <w:tc>
          <w:tcPr>
            <w:tcW w:w="380" w:type="dxa"/>
            <w:vAlign w:val="bottom"/>
          </w:tcPr>
          <w:p w:rsidR="004A0011" w:rsidRDefault="00D538EF">
            <w:pPr>
              <w:jc w:val="right"/>
              <w:rPr>
                <w:sz w:val="20"/>
                <w:szCs w:val="20"/>
              </w:rPr>
            </w:pPr>
            <w:r>
              <w:rPr>
                <w:rFonts w:eastAsia="Times New Roman"/>
                <w:sz w:val="12"/>
                <w:szCs w:val="12"/>
              </w:rPr>
              <w:t>39.5</w:t>
            </w:r>
          </w:p>
        </w:tc>
        <w:tc>
          <w:tcPr>
            <w:tcW w:w="240" w:type="dxa"/>
            <w:vAlign w:val="bottom"/>
          </w:tcPr>
          <w:p w:rsidR="004A0011" w:rsidRDefault="004A0011">
            <w:pPr>
              <w:rPr>
                <w:sz w:val="13"/>
                <w:szCs w:val="13"/>
              </w:rPr>
            </w:pPr>
          </w:p>
        </w:tc>
        <w:tc>
          <w:tcPr>
            <w:tcW w:w="640" w:type="dxa"/>
            <w:vAlign w:val="bottom"/>
          </w:tcPr>
          <w:p w:rsidR="004A0011" w:rsidRDefault="004A0011">
            <w:pPr>
              <w:rPr>
                <w:sz w:val="13"/>
                <w:szCs w:val="13"/>
              </w:rPr>
            </w:pPr>
          </w:p>
        </w:tc>
        <w:tc>
          <w:tcPr>
            <w:tcW w:w="680" w:type="dxa"/>
            <w:gridSpan w:val="3"/>
            <w:vAlign w:val="bottom"/>
          </w:tcPr>
          <w:p w:rsidR="004A0011" w:rsidRDefault="00D538EF">
            <w:pPr>
              <w:ind w:right="380"/>
              <w:jc w:val="right"/>
              <w:rPr>
                <w:sz w:val="20"/>
                <w:szCs w:val="20"/>
              </w:rPr>
            </w:pPr>
            <w:r>
              <w:rPr>
                <w:rFonts w:eastAsia="Times New Roman"/>
                <w:sz w:val="12"/>
                <w:szCs w:val="12"/>
              </w:rPr>
              <w:t>—</w:t>
            </w:r>
          </w:p>
        </w:tc>
        <w:tc>
          <w:tcPr>
            <w:tcW w:w="20" w:type="dxa"/>
            <w:vAlign w:val="bottom"/>
          </w:tcPr>
          <w:p w:rsidR="004A0011" w:rsidRDefault="004A0011">
            <w:pPr>
              <w:rPr>
                <w:sz w:val="13"/>
                <w:szCs w:val="13"/>
              </w:rPr>
            </w:pPr>
          </w:p>
        </w:tc>
        <w:tc>
          <w:tcPr>
            <w:tcW w:w="620" w:type="dxa"/>
            <w:vAlign w:val="bottom"/>
          </w:tcPr>
          <w:p w:rsidR="004A0011" w:rsidRDefault="004A0011">
            <w:pPr>
              <w:rPr>
                <w:sz w:val="13"/>
                <w:szCs w:val="13"/>
              </w:rPr>
            </w:pPr>
          </w:p>
        </w:tc>
        <w:tc>
          <w:tcPr>
            <w:tcW w:w="360" w:type="dxa"/>
            <w:vAlign w:val="bottom"/>
          </w:tcPr>
          <w:p w:rsidR="004A0011" w:rsidRDefault="00D538EF">
            <w:pPr>
              <w:ind w:right="1"/>
              <w:jc w:val="right"/>
              <w:rPr>
                <w:sz w:val="20"/>
                <w:szCs w:val="20"/>
              </w:rPr>
            </w:pPr>
            <w:r>
              <w:rPr>
                <w:rFonts w:eastAsia="Times New Roman"/>
                <w:sz w:val="12"/>
                <w:szCs w:val="12"/>
              </w:rPr>
              <w:t>39.5</w:t>
            </w:r>
          </w:p>
        </w:tc>
        <w:tc>
          <w:tcPr>
            <w:tcW w:w="22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640" w:type="dxa"/>
            <w:vAlign w:val="bottom"/>
          </w:tcPr>
          <w:p w:rsidR="004A0011" w:rsidRDefault="00D538EF">
            <w:pPr>
              <w:jc w:val="right"/>
              <w:rPr>
                <w:sz w:val="20"/>
                <w:szCs w:val="20"/>
              </w:rPr>
            </w:pPr>
            <w:r>
              <w:rPr>
                <w:rFonts w:eastAsia="Times New Roman"/>
                <w:sz w:val="12"/>
                <w:szCs w:val="12"/>
              </w:rPr>
              <w:t>—</w:t>
            </w:r>
          </w:p>
        </w:tc>
      </w:tr>
      <w:tr w:rsidR="004A0011">
        <w:trPr>
          <w:trHeight w:val="455"/>
        </w:trPr>
        <w:tc>
          <w:tcPr>
            <w:tcW w:w="3480" w:type="dxa"/>
            <w:vAlign w:val="bottom"/>
          </w:tcPr>
          <w:p w:rsidR="004A0011" w:rsidRDefault="004A0011">
            <w:pPr>
              <w:rPr>
                <w:sz w:val="24"/>
                <w:szCs w:val="24"/>
              </w:rPr>
            </w:pPr>
          </w:p>
        </w:tc>
        <w:tc>
          <w:tcPr>
            <w:tcW w:w="4200" w:type="dxa"/>
            <w:gridSpan w:val="5"/>
            <w:vAlign w:val="bottom"/>
          </w:tcPr>
          <w:p w:rsidR="004A0011" w:rsidRDefault="00D538EF">
            <w:pPr>
              <w:ind w:left="4"/>
              <w:jc w:val="center"/>
              <w:rPr>
                <w:sz w:val="20"/>
                <w:szCs w:val="20"/>
              </w:rPr>
            </w:pPr>
            <w:r>
              <w:rPr>
                <w:rFonts w:eastAsia="Times New Roman"/>
                <w:b/>
                <w:bCs/>
                <w:w w:val="97"/>
                <w:sz w:val="11"/>
                <w:szCs w:val="11"/>
              </w:rPr>
              <w:t>RECONCILIATION OF OPERATING PROFIT, AS REPORTED BY BELLRING,</w:t>
            </w:r>
          </w:p>
        </w:tc>
        <w:tc>
          <w:tcPr>
            <w:tcW w:w="640" w:type="dxa"/>
            <w:vAlign w:val="bottom"/>
          </w:tcPr>
          <w:p w:rsidR="004A0011" w:rsidRDefault="004A0011">
            <w:pPr>
              <w:rPr>
                <w:sz w:val="24"/>
                <w:szCs w:val="24"/>
              </w:rPr>
            </w:pPr>
          </w:p>
        </w:tc>
        <w:tc>
          <w:tcPr>
            <w:tcW w:w="340" w:type="dxa"/>
            <w:vAlign w:val="bottom"/>
          </w:tcPr>
          <w:p w:rsidR="004A0011" w:rsidRDefault="004A0011">
            <w:pPr>
              <w:rPr>
                <w:sz w:val="24"/>
                <w:szCs w:val="24"/>
              </w:rPr>
            </w:pPr>
          </w:p>
        </w:tc>
        <w:tc>
          <w:tcPr>
            <w:tcW w:w="20" w:type="dxa"/>
            <w:vAlign w:val="bottom"/>
          </w:tcPr>
          <w:p w:rsidR="004A0011" w:rsidRDefault="004A0011">
            <w:pPr>
              <w:rPr>
                <w:sz w:val="24"/>
                <w:szCs w:val="24"/>
              </w:rPr>
            </w:pPr>
          </w:p>
        </w:tc>
        <w:tc>
          <w:tcPr>
            <w:tcW w:w="320" w:type="dxa"/>
            <w:vAlign w:val="bottom"/>
          </w:tcPr>
          <w:p w:rsidR="004A0011" w:rsidRDefault="004A0011">
            <w:pPr>
              <w:rPr>
                <w:sz w:val="24"/>
                <w:szCs w:val="24"/>
              </w:rPr>
            </w:pPr>
          </w:p>
        </w:tc>
        <w:tc>
          <w:tcPr>
            <w:tcW w:w="20" w:type="dxa"/>
            <w:vAlign w:val="bottom"/>
          </w:tcPr>
          <w:p w:rsidR="004A0011" w:rsidRDefault="004A0011">
            <w:pPr>
              <w:rPr>
                <w:sz w:val="24"/>
                <w:szCs w:val="24"/>
              </w:rPr>
            </w:pPr>
          </w:p>
        </w:tc>
        <w:tc>
          <w:tcPr>
            <w:tcW w:w="620" w:type="dxa"/>
            <w:vAlign w:val="bottom"/>
          </w:tcPr>
          <w:p w:rsidR="004A0011" w:rsidRDefault="004A0011">
            <w:pPr>
              <w:rPr>
                <w:sz w:val="24"/>
                <w:szCs w:val="24"/>
              </w:rPr>
            </w:pPr>
          </w:p>
        </w:tc>
        <w:tc>
          <w:tcPr>
            <w:tcW w:w="360" w:type="dxa"/>
            <w:vAlign w:val="bottom"/>
          </w:tcPr>
          <w:p w:rsidR="004A0011" w:rsidRDefault="004A0011">
            <w:pPr>
              <w:rPr>
                <w:sz w:val="24"/>
                <w:szCs w:val="24"/>
              </w:rPr>
            </w:pPr>
          </w:p>
        </w:tc>
        <w:tc>
          <w:tcPr>
            <w:tcW w:w="220" w:type="dxa"/>
            <w:vAlign w:val="bottom"/>
          </w:tcPr>
          <w:p w:rsidR="004A0011" w:rsidRDefault="004A0011">
            <w:pPr>
              <w:rPr>
                <w:sz w:val="24"/>
                <w:szCs w:val="24"/>
              </w:rPr>
            </w:pPr>
          </w:p>
        </w:tc>
        <w:tc>
          <w:tcPr>
            <w:tcW w:w="360" w:type="dxa"/>
            <w:vAlign w:val="bottom"/>
          </w:tcPr>
          <w:p w:rsidR="004A0011" w:rsidRDefault="004A0011">
            <w:pPr>
              <w:rPr>
                <w:sz w:val="24"/>
                <w:szCs w:val="24"/>
              </w:rPr>
            </w:pPr>
          </w:p>
        </w:tc>
        <w:tc>
          <w:tcPr>
            <w:tcW w:w="640" w:type="dxa"/>
            <w:vAlign w:val="bottom"/>
          </w:tcPr>
          <w:p w:rsidR="004A0011" w:rsidRDefault="004A0011">
            <w:pPr>
              <w:rPr>
                <w:sz w:val="24"/>
                <w:szCs w:val="24"/>
              </w:rPr>
            </w:pPr>
          </w:p>
        </w:tc>
      </w:tr>
      <w:tr w:rsidR="004A0011">
        <w:trPr>
          <w:trHeight w:val="126"/>
        </w:trPr>
        <w:tc>
          <w:tcPr>
            <w:tcW w:w="3480" w:type="dxa"/>
            <w:vAlign w:val="bottom"/>
          </w:tcPr>
          <w:p w:rsidR="004A0011" w:rsidRDefault="004A0011">
            <w:pPr>
              <w:rPr>
                <w:sz w:val="10"/>
                <w:szCs w:val="10"/>
              </w:rPr>
            </w:pPr>
          </w:p>
        </w:tc>
        <w:tc>
          <w:tcPr>
            <w:tcW w:w="4200" w:type="dxa"/>
            <w:gridSpan w:val="5"/>
            <w:vAlign w:val="bottom"/>
          </w:tcPr>
          <w:p w:rsidR="004A0011" w:rsidRDefault="00D538EF">
            <w:pPr>
              <w:ind w:left="4"/>
              <w:jc w:val="center"/>
              <w:rPr>
                <w:sz w:val="20"/>
                <w:szCs w:val="20"/>
              </w:rPr>
            </w:pPr>
            <w:r>
              <w:rPr>
                <w:rFonts w:eastAsia="Times New Roman"/>
                <w:b/>
                <w:bCs/>
                <w:w w:val="97"/>
                <w:sz w:val="11"/>
                <w:szCs w:val="11"/>
              </w:rPr>
              <w:t>TO BELLRING BRANDS SEGMENT PROFIT, AS REPORTED BY POST (Unaudited)</w:t>
            </w:r>
          </w:p>
        </w:tc>
        <w:tc>
          <w:tcPr>
            <w:tcW w:w="640" w:type="dxa"/>
            <w:vAlign w:val="bottom"/>
          </w:tcPr>
          <w:p w:rsidR="004A0011" w:rsidRDefault="004A0011">
            <w:pPr>
              <w:rPr>
                <w:sz w:val="10"/>
                <w:szCs w:val="10"/>
              </w:rPr>
            </w:pPr>
          </w:p>
        </w:tc>
        <w:tc>
          <w:tcPr>
            <w:tcW w:w="34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32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620" w:type="dxa"/>
            <w:vAlign w:val="bottom"/>
          </w:tcPr>
          <w:p w:rsidR="004A0011" w:rsidRDefault="004A0011">
            <w:pPr>
              <w:rPr>
                <w:sz w:val="10"/>
                <w:szCs w:val="10"/>
              </w:rPr>
            </w:pPr>
          </w:p>
        </w:tc>
        <w:tc>
          <w:tcPr>
            <w:tcW w:w="360" w:type="dxa"/>
            <w:vAlign w:val="bottom"/>
          </w:tcPr>
          <w:p w:rsidR="004A0011" w:rsidRDefault="004A0011">
            <w:pPr>
              <w:rPr>
                <w:sz w:val="10"/>
                <w:szCs w:val="10"/>
              </w:rPr>
            </w:pPr>
          </w:p>
        </w:tc>
        <w:tc>
          <w:tcPr>
            <w:tcW w:w="220" w:type="dxa"/>
            <w:vAlign w:val="bottom"/>
          </w:tcPr>
          <w:p w:rsidR="004A0011" w:rsidRDefault="004A0011">
            <w:pPr>
              <w:rPr>
                <w:sz w:val="10"/>
                <w:szCs w:val="10"/>
              </w:rPr>
            </w:pPr>
          </w:p>
        </w:tc>
        <w:tc>
          <w:tcPr>
            <w:tcW w:w="360" w:type="dxa"/>
            <w:vAlign w:val="bottom"/>
          </w:tcPr>
          <w:p w:rsidR="004A0011" w:rsidRDefault="004A0011">
            <w:pPr>
              <w:rPr>
                <w:sz w:val="10"/>
                <w:szCs w:val="10"/>
              </w:rPr>
            </w:pPr>
          </w:p>
        </w:tc>
        <w:tc>
          <w:tcPr>
            <w:tcW w:w="640" w:type="dxa"/>
            <w:vAlign w:val="bottom"/>
          </w:tcPr>
          <w:p w:rsidR="004A0011" w:rsidRDefault="004A0011">
            <w:pPr>
              <w:rPr>
                <w:sz w:val="10"/>
                <w:szCs w:val="10"/>
              </w:rPr>
            </w:pPr>
          </w:p>
        </w:tc>
      </w:tr>
      <w:tr w:rsidR="004A0011">
        <w:trPr>
          <w:trHeight w:val="142"/>
        </w:trPr>
        <w:tc>
          <w:tcPr>
            <w:tcW w:w="3480" w:type="dxa"/>
            <w:vAlign w:val="bottom"/>
          </w:tcPr>
          <w:p w:rsidR="004A0011" w:rsidRDefault="004A0011">
            <w:pPr>
              <w:rPr>
                <w:sz w:val="12"/>
                <w:szCs w:val="12"/>
              </w:rPr>
            </w:pPr>
          </w:p>
        </w:tc>
        <w:tc>
          <w:tcPr>
            <w:tcW w:w="3580" w:type="dxa"/>
            <w:gridSpan w:val="3"/>
            <w:vAlign w:val="bottom"/>
          </w:tcPr>
          <w:p w:rsidR="004A0011" w:rsidRDefault="00D538EF">
            <w:pPr>
              <w:ind w:left="604"/>
              <w:jc w:val="center"/>
              <w:rPr>
                <w:sz w:val="20"/>
                <w:szCs w:val="20"/>
              </w:rPr>
            </w:pPr>
            <w:r>
              <w:rPr>
                <w:rFonts w:eastAsia="Times New Roman"/>
                <w:b/>
                <w:bCs/>
                <w:w w:val="98"/>
                <w:sz w:val="11"/>
                <w:szCs w:val="11"/>
              </w:rPr>
              <w:t>(in millions)</w:t>
            </w:r>
          </w:p>
        </w:tc>
        <w:tc>
          <w:tcPr>
            <w:tcW w:w="380" w:type="dxa"/>
            <w:vAlign w:val="bottom"/>
          </w:tcPr>
          <w:p w:rsidR="004A0011" w:rsidRDefault="004A0011">
            <w:pPr>
              <w:rPr>
                <w:sz w:val="12"/>
                <w:szCs w:val="12"/>
              </w:rPr>
            </w:pPr>
          </w:p>
        </w:tc>
        <w:tc>
          <w:tcPr>
            <w:tcW w:w="240" w:type="dxa"/>
            <w:vAlign w:val="bottom"/>
          </w:tcPr>
          <w:p w:rsidR="004A0011" w:rsidRDefault="004A0011">
            <w:pPr>
              <w:rPr>
                <w:sz w:val="12"/>
                <w:szCs w:val="12"/>
              </w:rPr>
            </w:pPr>
          </w:p>
        </w:tc>
        <w:tc>
          <w:tcPr>
            <w:tcW w:w="640" w:type="dxa"/>
            <w:vAlign w:val="bottom"/>
          </w:tcPr>
          <w:p w:rsidR="004A0011" w:rsidRDefault="004A0011">
            <w:pPr>
              <w:rPr>
                <w:sz w:val="12"/>
                <w:szCs w:val="12"/>
              </w:rPr>
            </w:pPr>
          </w:p>
        </w:tc>
        <w:tc>
          <w:tcPr>
            <w:tcW w:w="340" w:type="dxa"/>
            <w:vAlign w:val="bottom"/>
          </w:tcPr>
          <w:p w:rsidR="004A0011" w:rsidRDefault="004A0011">
            <w:pPr>
              <w:rPr>
                <w:sz w:val="12"/>
                <w:szCs w:val="12"/>
              </w:rPr>
            </w:pPr>
          </w:p>
        </w:tc>
        <w:tc>
          <w:tcPr>
            <w:tcW w:w="2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20" w:type="dxa"/>
            <w:vAlign w:val="bottom"/>
          </w:tcPr>
          <w:p w:rsidR="004A0011" w:rsidRDefault="004A0011">
            <w:pPr>
              <w:rPr>
                <w:sz w:val="12"/>
                <w:szCs w:val="12"/>
              </w:rPr>
            </w:pPr>
          </w:p>
        </w:tc>
        <w:tc>
          <w:tcPr>
            <w:tcW w:w="620" w:type="dxa"/>
            <w:vAlign w:val="bottom"/>
          </w:tcPr>
          <w:p w:rsidR="004A0011" w:rsidRDefault="004A0011">
            <w:pPr>
              <w:rPr>
                <w:sz w:val="12"/>
                <w:szCs w:val="12"/>
              </w:rPr>
            </w:pPr>
          </w:p>
        </w:tc>
        <w:tc>
          <w:tcPr>
            <w:tcW w:w="360" w:type="dxa"/>
            <w:vAlign w:val="bottom"/>
          </w:tcPr>
          <w:p w:rsidR="004A0011" w:rsidRDefault="004A0011">
            <w:pPr>
              <w:rPr>
                <w:sz w:val="12"/>
                <w:szCs w:val="12"/>
              </w:rPr>
            </w:pPr>
          </w:p>
        </w:tc>
        <w:tc>
          <w:tcPr>
            <w:tcW w:w="220" w:type="dxa"/>
            <w:vAlign w:val="bottom"/>
          </w:tcPr>
          <w:p w:rsidR="004A0011" w:rsidRDefault="004A0011">
            <w:pPr>
              <w:rPr>
                <w:sz w:val="12"/>
                <w:szCs w:val="12"/>
              </w:rPr>
            </w:pPr>
          </w:p>
        </w:tc>
        <w:tc>
          <w:tcPr>
            <w:tcW w:w="360" w:type="dxa"/>
            <w:vAlign w:val="bottom"/>
          </w:tcPr>
          <w:p w:rsidR="004A0011" w:rsidRDefault="004A0011">
            <w:pPr>
              <w:rPr>
                <w:sz w:val="12"/>
                <w:szCs w:val="12"/>
              </w:rPr>
            </w:pPr>
          </w:p>
        </w:tc>
        <w:tc>
          <w:tcPr>
            <w:tcW w:w="640" w:type="dxa"/>
            <w:vAlign w:val="bottom"/>
          </w:tcPr>
          <w:p w:rsidR="004A0011" w:rsidRDefault="004A0011">
            <w:pPr>
              <w:rPr>
                <w:sz w:val="12"/>
                <w:szCs w:val="12"/>
              </w:rPr>
            </w:pPr>
          </w:p>
        </w:tc>
      </w:tr>
      <w:tr w:rsidR="004A0011">
        <w:trPr>
          <w:trHeight w:val="121"/>
        </w:trPr>
        <w:tc>
          <w:tcPr>
            <w:tcW w:w="3480" w:type="dxa"/>
            <w:vAlign w:val="bottom"/>
          </w:tcPr>
          <w:p w:rsidR="004A0011" w:rsidRDefault="004A0011">
            <w:pPr>
              <w:rPr>
                <w:sz w:val="10"/>
                <w:szCs w:val="10"/>
              </w:rPr>
            </w:pPr>
          </w:p>
        </w:tc>
        <w:tc>
          <w:tcPr>
            <w:tcW w:w="298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580" w:type="dxa"/>
            <w:vAlign w:val="bottom"/>
          </w:tcPr>
          <w:p w:rsidR="004A0011" w:rsidRDefault="004A0011">
            <w:pPr>
              <w:rPr>
                <w:sz w:val="10"/>
                <w:szCs w:val="10"/>
              </w:rPr>
            </w:pPr>
          </w:p>
        </w:tc>
        <w:tc>
          <w:tcPr>
            <w:tcW w:w="1260" w:type="dxa"/>
            <w:gridSpan w:val="3"/>
            <w:vAlign w:val="bottom"/>
          </w:tcPr>
          <w:p w:rsidR="004A0011" w:rsidRDefault="00D538EF">
            <w:pPr>
              <w:spacing w:line="121" w:lineRule="exact"/>
              <w:ind w:right="186"/>
              <w:jc w:val="center"/>
              <w:rPr>
                <w:sz w:val="20"/>
                <w:szCs w:val="20"/>
              </w:rPr>
            </w:pPr>
            <w:r>
              <w:rPr>
                <w:rFonts w:eastAsia="Times New Roman"/>
                <w:b/>
                <w:bCs/>
                <w:w w:val="97"/>
                <w:sz w:val="11"/>
                <w:szCs w:val="11"/>
              </w:rPr>
              <w:t>Three Months Ended</w:t>
            </w:r>
          </w:p>
        </w:tc>
        <w:tc>
          <w:tcPr>
            <w:tcW w:w="34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320" w:type="dxa"/>
            <w:vAlign w:val="bottom"/>
          </w:tcPr>
          <w:p w:rsidR="004A0011" w:rsidRDefault="004A0011">
            <w:pPr>
              <w:rPr>
                <w:sz w:val="10"/>
                <w:szCs w:val="10"/>
              </w:rPr>
            </w:pPr>
          </w:p>
        </w:tc>
        <w:tc>
          <w:tcPr>
            <w:tcW w:w="20" w:type="dxa"/>
            <w:vAlign w:val="bottom"/>
          </w:tcPr>
          <w:p w:rsidR="004A0011" w:rsidRDefault="004A0011">
            <w:pPr>
              <w:rPr>
                <w:sz w:val="10"/>
                <w:szCs w:val="10"/>
              </w:rPr>
            </w:pPr>
          </w:p>
        </w:tc>
        <w:tc>
          <w:tcPr>
            <w:tcW w:w="620" w:type="dxa"/>
            <w:vAlign w:val="bottom"/>
          </w:tcPr>
          <w:p w:rsidR="004A0011" w:rsidRDefault="004A0011">
            <w:pPr>
              <w:rPr>
                <w:sz w:val="10"/>
                <w:szCs w:val="10"/>
              </w:rPr>
            </w:pPr>
          </w:p>
        </w:tc>
        <w:tc>
          <w:tcPr>
            <w:tcW w:w="940" w:type="dxa"/>
            <w:gridSpan w:val="3"/>
            <w:vAlign w:val="bottom"/>
          </w:tcPr>
          <w:p w:rsidR="004A0011" w:rsidRDefault="00D538EF">
            <w:pPr>
              <w:spacing w:line="121" w:lineRule="exact"/>
              <w:jc w:val="center"/>
              <w:rPr>
                <w:sz w:val="20"/>
                <w:szCs w:val="20"/>
              </w:rPr>
            </w:pPr>
            <w:r>
              <w:rPr>
                <w:rFonts w:eastAsia="Times New Roman"/>
                <w:b/>
                <w:bCs/>
                <w:w w:val="95"/>
                <w:sz w:val="11"/>
                <w:szCs w:val="11"/>
              </w:rPr>
              <w:t>Year Ended</w:t>
            </w:r>
          </w:p>
        </w:tc>
        <w:tc>
          <w:tcPr>
            <w:tcW w:w="640" w:type="dxa"/>
            <w:vAlign w:val="bottom"/>
          </w:tcPr>
          <w:p w:rsidR="004A0011" w:rsidRDefault="004A0011">
            <w:pPr>
              <w:rPr>
                <w:sz w:val="10"/>
                <w:szCs w:val="10"/>
              </w:rPr>
            </w:pPr>
          </w:p>
        </w:tc>
      </w:tr>
      <w:tr w:rsidR="004A0011">
        <w:trPr>
          <w:trHeight w:val="143"/>
        </w:trPr>
        <w:tc>
          <w:tcPr>
            <w:tcW w:w="3480" w:type="dxa"/>
            <w:tcBorders>
              <w:bottom w:val="single" w:sz="8" w:space="0" w:color="CCEEFF"/>
            </w:tcBorders>
            <w:vAlign w:val="bottom"/>
          </w:tcPr>
          <w:p w:rsidR="004A0011" w:rsidRDefault="004A0011">
            <w:pPr>
              <w:rPr>
                <w:sz w:val="12"/>
                <w:szCs w:val="12"/>
              </w:rPr>
            </w:pPr>
          </w:p>
        </w:tc>
        <w:tc>
          <w:tcPr>
            <w:tcW w:w="2980" w:type="dxa"/>
            <w:tcBorders>
              <w:bottom w:val="single" w:sz="8" w:space="0" w:color="CCEEFF"/>
            </w:tcBorders>
            <w:vAlign w:val="bottom"/>
          </w:tcPr>
          <w:p w:rsidR="004A0011" w:rsidRDefault="004A0011">
            <w:pPr>
              <w:rPr>
                <w:sz w:val="12"/>
                <w:szCs w:val="12"/>
              </w:rPr>
            </w:pPr>
          </w:p>
        </w:tc>
        <w:tc>
          <w:tcPr>
            <w:tcW w:w="20" w:type="dxa"/>
            <w:tcBorders>
              <w:bottom w:val="single" w:sz="8" w:space="0" w:color="CCEEFF"/>
            </w:tcBorders>
            <w:vAlign w:val="bottom"/>
          </w:tcPr>
          <w:p w:rsidR="004A0011" w:rsidRDefault="004A0011">
            <w:pPr>
              <w:rPr>
                <w:sz w:val="12"/>
                <w:szCs w:val="12"/>
              </w:rPr>
            </w:pPr>
          </w:p>
        </w:tc>
        <w:tc>
          <w:tcPr>
            <w:tcW w:w="580" w:type="dxa"/>
            <w:tcBorders>
              <w:bottom w:val="single" w:sz="8" w:space="0" w:color="auto"/>
            </w:tcBorders>
            <w:vAlign w:val="bottom"/>
          </w:tcPr>
          <w:p w:rsidR="004A0011" w:rsidRDefault="004A0011">
            <w:pPr>
              <w:rPr>
                <w:sz w:val="12"/>
                <w:szCs w:val="12"/>
              </w:rPr>
            </w:pPr>
          </w:p>
        </w:tc>
        <w:tc>
          <w:tcPr>
            <w:tcW w:w="1260" w:type="dxa"/>
            <w:gridSpan w:val="3"/>
            <w:tcBorders>
              <w:bottom w:val="single" w:sz="8" w:space="0" w:color="auto"/>
            </w:tcBorders>
            <w:vAlign w:val="bottom"/>
          </w:tcPr>
          <w:p w:rsidR="004A0011" w:rsidRDefault="00D538EF">
            <w:pPr>
              <w:ind w:right="186"/>
              <w:jc w:val="center"/>
              <w:rPr>
                <w:sz w:val="20"/>
                <w:szCs w:val="20"/>
              </w:rPr>
            </w:pPr>
            <w:r>
              <w:rPr>
                <w:rFonts w:eastAsia="Times New Roman"/>
                <w:b/>
                <w:bCs/>
                <w:w w:val="97"/>
                <w:sz w:val="11"/>
                <w:szCs w:val="11"/>
              </w:rPr>
              <w:t>September 30, 2019</w:t>
            </w:r>
          </w:p>
        </w:tc>
        <w:tc>
          <w:tcPr>
            <w:tcW w:w="340" w:type="dxa"/>
            <w:tcBorders>
              <w:bottom w:val="single" w:sz="8" w:space="0" w:color="auto"/>
            </w:tcBorders>
            <w:vAlign w:val="bottom"/>
          </w:tcPr>
          <w:p w:rsidR="004A0011" w:rsidRDefault="004A0011">
            <w:pPr>
              <w:rPr>
                <w:sz w:val="12"/>
                <w:szCs w:val="12"/>
              </w:rPr>
            </w:pPr>
          </w:p>
        </w:tc>
        <w:tc>
          <w:tcPr>
            <w:tcW w:w="20" w:type="dxa"/>
            <w:tcBorders>
              <w:bottom w:val="single" w:sz="8" w:space="0" w:color="auto"/>
            </w:tcBorders>
            <w:vAlign w:val="bottom"/>
          </w:tcPr>
          <w:p w:rsidR="004A0011" w:rsidRDefault="004A0011">
            <w:pPr>
              <w:rPr>
                <w:sz w:val="12"/>
                <w:szCs w:val="12"/>
              </w:rPr>
            </w:pPr>
          </w:p>
        </w:tc>
        <w:tc>
          <w:tcPr>
            <w:tcW w:w="320" w:type="dxa"/>
            <w:tcBorders>
              <w:bottom w:val="single" w:sz="8" w:space="0" w:color="CCEEFF"/>
            </w:tcBorders>
            <w:vAlign w:val="bottom"/>
          </w:tcPr>
          <w:p w:rsidR="004A0011" w:rsidRDefault="004A0011">
            <w:pPr>
              <w:rPr>
                <w:sz w:val="12"/>
                <w:szCs w:val="12"/>
              </w:rPr>
            </w:pPr>
          </w:p>
        </w:tc>
        <w:tc>
          <w:tcPr>
            <w:tcW w:w="20" w:type="dxa"/>
            <w:tcBorders>
              <w:bottom w:val="single" w:sz="8" w:space="0" w:color="CCEEFF"/>
            </w:tcBorders>
            <w:vAlign w:val="bottom"/>
          </w:tcPr>
          <w:p w:rsidR="004A0011" w:rsidRDefault="004A0011">
            <w:pPr>
              <w:rPr>
                <w:sz w:val="12"/>
                <w:szCs w:val="12"/>
              </w:rPr>
            </w:pPr>
          </w:p>
        </w:tc>
        <w:tc>
          <w:tcPr>
            <w:tcW w:w="620" w:type="dxa"/>
            <w:tcBorders>
              <w:bottom w:val="single" w:sz="8" w:space="0" w:color="auto"/>
            </w:tcBorders>
            <w:vAlign w:val="bottom"/>
          </w:tcPr>
          <w:p w:rsidR="004A0011" w:rsidRDefault="004A0011">
            <w:pPr>
              <w:rPr>
                <w:sz w:val="12"/>
                <w:szCs w:val="12"/>
              </w:rPr>
            </w:pPr>
          </w:p>
        </w:tc>
        <w:tc>
          <w:tcPr>
            <w:tcW w:w="940" w:type="dxa"/>
            <w:gridSpan w:val="3"/>
            <w:tcBorders>
              <w:bottom w:val="single" w:sz="8" w:space="0" w:color="auto"/>
            </w:tcBorders>
            <w:vAlign w:val="bottom"/>
          </w:tcPr>
          <w:p w:rsidR="004A0011" w:rsidRDefault="00D538EF">
            <w:pPr>
              <w:jc w:val="center"/>
              <w:rPr>
                <w:sz w:val="20"/>
                <w:szCs w:val="20"/>
              </w:rPr>
            </w:pPr>
            <w:r>
              <w:rPr>
                <w:rFonts w:eastAsia="Times New Roman"/>
                <w:b/>
                <w:bCs/>
                <w:w w:val="97"/>
                <w:sz w:val="11"/>
                <w:szCs w:val="11"/>
              </w:rPr>
              <w:t>September 30, 2019</w:t>
            </w:r>
          </w:p>
        </w:tc>
        <w:tc>
          <w:tcPr>
            <w:tcW w:w="640" w:type="dxa"/>
            <w:tcBorders>
              <w:bottom w:val="single" w:sz="8" w:space="0" w:color="auto"/>
            </w:tcBorders>
            <w:vAlign w:val="bottom"/>
          </w:tcPr>
          <w:p w:rsidR="004A0011" w:rsidRDefault="004A0011">
            <w:pPr>
              <w:rPr>
                <w:sz w:val="12"/>
                <w:szCs w:val="12"/>
              </w:rPr>
            </w:pPr>
          </w:p>
        </w:tc>
      </w:tr>
      <w:tr w:rsidR="004A0011">
        <w:trPr>
          <w:trHeight w:val="143"/>
        </w:trPr>
        <w:tc>
          <w:tcPr>
            <w:tcW w:w="3480" w:type="dxa"/>
            <w:shd w:val="clear" w:color="auto" w:fill="CCEEFF"/>
            <w:vAlign w:val="bottom"/>
          </w:tcPr>
          <w:p w:rsidR="004A0011" w:rsidRDefault="00D538EF">
            <w:pPr>
              <w:rPr>
                <w:sz w:val="20"/>
                <w:szCs w:val="20"/>
              </w:rPr>
            </w:pPr>
            <w:r>
              <w:rPr>
                <w:rFonts w:eastAsia="Times New Roman"/>
                <w:b/>
                <w:bCs/>
                <w:sz w:val="12"/>
                <w:szCs w:val="12"/>
              </w:rPr>
              <w:t>Operating profit, as reported by BellRing</w:t>
            </w:r>
          </w:p>
        </w:tc>
        <w:tc>
          <w:tcPr>
            <w:tcW w:w="3000" w:type="dxa"/>
            <w:gridSpan w:val="2"/>
            <w:shd w:val="clear" w:color="auto" w:fill="CCEEFF"/>
            <w:vAlign w:val="bottom"/>
          </w:tcPr>
          <w:p w:rsidR="004A0011" w:rsidRDefault="004A0011">
            <w:pPr>
              <w:rPr>
                <w:sz w:val="12"/>
                <w:szCs w:val="12"/>
              </w:rPr>
            </w:pPr>
          </w:p>
        </w:tc>
        <w:tc>
          <w:tcPr>
            <w:tcW w:w="580" w:type="dxa"/>
            <w:shd w:val="clear" w:color="auto" w:fill="CCEEFF"/>
            <w:vAlign w:val="bottom"/>
          </w:tcPr>
          <w:p w:rsidR="004A0011" w:rsidRDefault="00D538EF">
            <w:pPr>
              <w:ind w:right="466"/>
              <w:jc w:val="right"/>
              <w:rPr>
                <w:sz w:val="20"/>
                <w:szCs w:val="20"/>
              </w:rPr>
            </w:pPr>
            <w:r>
              <w:rPr>
                <w:rFonts w:eastAsia="Times New Roman"/>
                <w:w w:val="71"/>
                <w:sz w:val="11"/>
                <w:szCs w:val="11"/>
              </w:rPr>
              <w:t>$</w:t>
            </w:r>
          </w:p>
        </w:tc>
        <w:tc>
          <w:tcPr>
            <w:tcW w:w="380" w:type="dxa"/>
            <w:shd w:val="clear" w:color="auto" w:fill="CCEEFF"/>
            <w:vAlign w:val="bottom"/>
          </w:tcPr>
          <w:p w:rsidR="004A0011" w:rsidRDefault="004A0011">
            <w:pPr>
              <w:rPr>
                <w:sz w:val="12"/>
                <w:szCs w:val="12"/>
              </w:rPr>
            </w:pPr>
          </w:p>
        </w:tc>
        <w:tc>
          <w:tcPr>
            <w:tcW w:w="240" w:type="dxa"/>
            <w:shd w:val="clear" w:color="auto" w:fill="CCEEFF"/>
            <w:vAlign w:val="bottom"/>
          </w:tcPr>
          <w:p w:rsidR="004A0011" w:rsidRDefault="004A0011">
            <w:pPr>
              <w:rPr>
                <w:sz w:val="12"/>
                <w:szCs w:val="12"/>
              </w:rPr>
            </w:pPr>
          </w:p>
        </w:tc>
        <w:tc>
          <w:tcPr>
            <w:tcW w:w="640" w:type="dxa"/>
            <w:shd w:val="clear" w:color="auto" w:fill="CCEEFF"/>
            <w:vAlign w:val="bottom"/>
          </w:tcPr>
          <w:p w:rsidR="004A0011" w:rsidRDefault="004A0011">
            <w:pPr>
              <w:rPr>
                <w:sz w:val="12"/>
                <w:szCs w:val="12"/>
              </w:rPr>
            </w:pPr>
          </w:p>
        </w:tc>
        <w:tc>
          <w:tcPr>
            <w:tcW w:w="340" w:type="dxa"/>
            <w:shd w:val="clear" w:color="auto" w:fill="CCEEFF"/>
            <w:vAlign w:val="bottom"/>
          </w:tcPr>
          <w:p w:rsidR="004A0011" w:rsidRDefault="00D538EF">
            <w:pPr>
              <w:jc w:val="right"/>
              <w:rPr>
                <w:sz w:val="20"/>
                <w:szCs w:val="20"/>
              </w:rPr>
            </w:pPr>
            <w:r>
              <w:rPr>
                <w:rFonts w:eastAsia="Times New Roman"/>
                <w:sz w:val="12"/>
                <w:szCs w:val="12"/>
              </w:rPr>
              <w:t>36.0</w:t>
            </w:r>
          </w:p>
        </w:tc>
        <w:tc>
          <w:tcPr>
            <w:tcW w:w="2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20" w:type="dxa"/>
            <w:shd w:val="clear" w:color="auto" w:fill="CCEEFF"/>
            <w:vAlign w:val="bottom"/>
          </w:tcPr>
          <w:p w:rsidR="004A0011" w:rsidRDefault="004A0011">
            <w:pPr>
              <w:rPr>
                <w:sz w:val="12"/>
                <w:szCs w:val="12"/>
              </w:rPr>
            </w:pPr>
          </w:p>
        </w:tc>
        <w:tc>
          <w:tcPr>
            <w:tcW w:w="620" w:type="dxa"/>
            <w:shd w:val="clear" w:color="auto" w:fill="CCEEFF"/>
            <w:vAlign w:val="bottom"/>
          </w:tcPr>
          <w:p w:rsidR="004A0011" w:rsidRDefault="00D538EF">
            <w:pPr>
              <w:ind w:right="506"/>
              <w:jc w:val="right"/>
              <w:rPr>
                <w:sz w:val="20"/>
                <w:szCs w:val="20"/>
              </w:rPr>
            </w:pPr>
            <w:r>
              <w:rPr>
                <w:rFonts w:eastAsia="Times New Roman"/>
                <w:w w:val="71"/>
                <w:sz w:val="11"/>
                <w:szCs w:val="11"/>
              </w:rPr>
              <w:t>$</w:t>
            </w:r>
          </w:p>
        </w:tc>
        <w:tc>
          <w:tcPr>
            <w:tcW w:w="360" w:type="dxa"/>
            <w:shd w:val="clear" w:color="auto" w:fill="CCEEFF"/>
            <w:vAlign w:val="bottom"/>
          </w:tcPr>
          <w:p w:rsidR="004A0011" w:rsidRDefault="004A0011">
            <w:pPr>
              <w:rPr>
                <w:sz w:val="12"/>
                <w:szCs w:val="12"/>
              </w:rPr>
            </w:pPr>
          </w:p>
        </w:tc>
        <w:tc>
          <w:tcPr>
            <w:tcW w:w="220" w:type="dxa"/>
            <w:shd w:val="clear" w:color="auto" w:fill="CCEEFF"/>
            <w:vAlign w:val="bottom"/>
          </w:tcPr>
          <w:p w:rsidR="004A0011" w:rsidRDefault="004A0011">
            <w:pPr>
              <w:rPr>
                <w:sz w:val="12"/>
                <w:szCs w:val="12"/>
              </w:rPr>
            </w:pPr>
          </w:p>
        </w:tc>
        <w:tc>
          <w:tcPr>
            <w:tcW w:w="360" w:type="dxa"/>
            <w:shd w:val="clear" w:color="auto" w:fill="CCEEFF"/>
            <w:vAlign w:val="bottom"/>
          </w:tcPr>
          <w:p w:rsidR="004A0011" w:rsidRDefault="004A0011">
            <w:pPr>
              <w:rPr>
                <w:sz w:val="12"/>
                <w:szCs w:val="12"/>
              </w:rPr>
            </w:pPr>
          </w:p>
        </w:tc>
        <w:tc>
          <w:tcPr>
            <w:tcW w:w="640" w:type="dxa"/>
            <w:shd w:val="clear" w:color="auto" w:fill="CCEEFF"/>
            <w:vAlign w:val="bottom"/>
          </w:tcPr>
          <w:p w:rsidR="004A0011" w:rsidRDefault="00D538EF">
            <w:pPr>
              <w:jc w:val="right"/>
              <w:rPr>
                <w:sz w:val="20"/>
                <w:szCs w:val="20"/>
              </w:rPr>
            </w:pPr>
            <w:r>
              <w:rPr>
                <w:rFonts w:eastAsia="Times New Roman"/>
                <w:sz w:val="12"/>
                <w:szCs w:val="12"/>
              </w:rPr>
              <w:t>162.5</w:t>
            </w:r>
          </w:p>
        </w:tc>
      </w:tr>
      <w:tr w:rsidR="004A0011">
        <w:trPr>
          <w:trHeight w:val="153"/>
        </w:trPr>
        <w:tc>
          <w:tcPr>
            <w:tcW w:w="3480" w:type="dxa"/>
            <w:tcBorders>
              <w:bottom w:val="single" w:sz="8" w:space="0" w:color="CCEEFF"/>
            </w:tcBorders>
            <w:vAlign w:val="bottom"/>
          </w:tcPr>
          <w:p w:rsidR="004A0011" w:rsidRDefault="00D538EF">
            <w:pPr>
              <w:spacing w:line="153" w:lineRule="exact"/>
              <w:rPr>
                <w:sz w:val="20"/>
                <w:szCs w:val="20"/>
              </w:rPr>
            </w:pPr>
            <w:r>
              <w:rPr>
                <w:rFonts w:eastAsia="Times New Roman"/>
                <w:sz w:val="12"/>
                <w:szCs w:val="12"/>
              </w:rPr>
              <w:t xml:space="preserve">Allocated costs </w:t>
            </w:r>
            <w:r>
              <w:rPr>
                <w:rFonts w:eastAsia="Times New Roman"/>
                <w:sz w:val="15"/>
                <w:szCs w:val="15"/>
                <w:vertAlign w:val="superscript"/>
              </w:rPr>
              <w:t>(1)</w:t>
            </w:r>
          </w:p>
        </w:tc>
        <w:tc>
          <w:tcPr>
            <w:tcW w:w="2980" w:type="dxa"/>
            <w:tcBorders>
              <w:bottom w:val="single" w:sz="8" w:space="0" w:color="CCEEFF"/>
            </w:tcBorders>
            <w:vAlign w:val="bottom"/>
          </w:tcPr>
          <w:p w:rsidR="004A0011" w:rsidRDefault="004A0011">
            <w:pPr>
              <w:rPr>
                <w:sz w:val="13"/>
                <w:szCs w:val="13"/>
              </w:rPr>
            </w:pPr>
          </w:p>
        </w:tc>
        <w:tc>
          <w:tcPr>
            <w:tcW w:w="20" w:type="dxa"/>
            <w:tcBorders>
              <w:bottom w:val="single" w:sz="8" w:space="0" w:color="CCEEFF"/>
            </w:tcBorders>
            <w:vAlign w:val="bottom"/>
          </w:tcPr>
          <w:p w:rsidR="004A0011" w:rsidRDefault="004A0011">
            <w:pPr>
              <w:rPr>
                <w:sz w:val="13"/>
                <w:szCs w:val="13"/>
              </w:rPr>
            </w:pPr>
          </w:p>
        </w:tc>
        <w:tc>
          <w:tcPr>
            <w:tcW w:w="580" w:type="dxa"/>
            <w:tcBorders>
              <w:bottom w:val="single" w:sz="8" w:space="0" w:color="auto"/>
            </w:tcBorders>
            <w:vAlign w:val="bottom"/>
          </w:tcPr>
          <w:p w:rsidR="004A0011" w:rsidRDefault="004A0011">
            <w:pPr>
              <w:rPr>
                <w:sz w:val="13"/>
                <w:szCs w:val="13"/>
              </w:rPr>
            </w:pPr>
          </w:p>
        </w:tc>
        <w:tc>
          <w:tcPr>
            <w:tcW w:w="380" w:type="dxa"/>
            <w:tcBorders>
              <w:bottom w:val="single" w:sz="8" w:space="0" w:color="auto"/>
            </w:tcBorders>
            <w:vAlign w:val="bottom"/>
          </w:tcPr>
          <w:p w:rsidR="004A0011" w:rsidRDefault="004A0011">
            <w:pPr>
              <w:rPr>
                <w:sz w:val="13"/>
                <w:szCs w:val="13"/>
              </w:rPr>
            </w:pPr>
          </w:p>
        </w:tc>
        <w:tc>
          <w:tcPr>
            <w:tcW w:w="240" w:type="dxa"/>
            <w:tcBorders>
              <w:bottom w:val="single" w:sz="8" w:space="0" w:color="auto"/>
            </w:tcBorders>
            <w:vAlign w:val="bottom"/>
          </w:tcPr>
          <w:p w:rsidR="004A0011" w:rsidRDefault="004A0011">
            <w:pPr>
              <w:rPr>
                <w:sz w:val="13"/>
                <w:szCs w:val="13"/>
              </w:rPr>
            </w:pPr>
          </w:p>
        </w:tc>
        <w:tc>
          <w:tcPr>
            <w:tcW w:w="640" w:type="dxa"/>
            <w:tcBorders>
              <w:bottom w:val="single" w:sz="8" w:space="0" w:color="auto"/>
            </w:tcBorders>
            <w:vAlign w:val="bottom"/>
          </w:tcPr>
          <w:p w:rsidR="004A0011" w:rsidRDefault="004A0011">
            <w:pPr>
              <w:rPr>
                <w:sz w:val="13"/>
                <w:szCs w:val="13"/>
              </w:rPr>
            </w:pPr>
          </w:p>
        </w:tc>
        <w:tc>
          <w:tcPr>
            <w:tcW w:w="340" w:type="dxa"/>
            <w:tcBorders>
              <w:bottom w:val="single" w:sz="8" w:space="0" w:color="auto"/>
            </w:tcBorders>
            <w:vAlign w:val="bottom"/>
          </w:tcPr>
          <w:p w:rsidR="004A0011" w:rsidRDefault="00D538EF">
            <w:pPr>
              <w:jc w:val="right"/>
              <w:rPr>
                <w:sz w:val="20"/>
                <w:szCs w:val="20"/>
              </w:rPr>
            </w:pPr>
            <w:r>
              <w:rPr>
                <w:rFonts w:eastAsia="Times New Roman"/>
                <w:sz w:val="12"/>
                <w:szCs w:val="12"/>
              </w:rPr>
              <w:t>4.3</w:t>
            </w:r>
          </w:p>
        </w:tc>
        <w:tc>
          <w:tcPr>
            <w:tcW w:w="20" w:type="dxa"/>
            <w:tcBorders>
              <w:bottom w:val="single" w:sz="8" w:space="0" w:color="auto"/>
            </w:tcBorders>
            <w:vAlign w:val="bottom"/>
          </w:tcPr>
          <w:p w:rsidR="004A0011" w:rsidRDefault="004A0011">
            <w:pPr>
              <w:rPr>
                <w:sz w:val="13"/>
                <w:szCs w:val="13"/>
              </w:rPr>
            </w:pPr>
          </w:p>
        </w:tc>
        <w:tc>
          <w:tcPr>
            <w:tcW w:w="320" w:type="dxa"/>
            <w:tcBorders>
              <w:bottom w:val="single" w:sz="8" w:space="0" w:color="CCEEFF"/>
            </w:tcBorders>
            <w:vAlign w:val="bottom"/>
          </w:tcPr>
          <w:p w:rsidR="004A0011" w:rsidRDefault="004A0011">
            <w:pPr>
              <w:rPr>
                <w:sz w:val="13"/>
                <w:szCs w:val="13"/>
              </w:rPr>
            </w:pPr>
          </w:p>
        </w:tc>
        <w:tc>
          <w:tcPr>
            <w:tcW w:w="20" w:type="dxa"/>
            <w:tcBorders>
              <w:bottom w:val="single" w:sz="8" w:space="0" w:color="CCEEFF"/>
            </w:tcBorders>
            <w:vAlign w:val="bottom"/>
          </w:tcPr>
          <w:p w:rsidR="004A0011" w:rsidRDefault="004A0011">
            <w:pPr>
              <w:rPr>
                <w:sz w:val="13"/>
                <w:szCs w:val="13"/>
              </w:rPr>
            </w:pPr>
          </w:p>
        </w:tc>
        <w:tc>
          <w:tcPr>
            <w:tcW w:w="620" w:type="dxa"/>
            <w:tcBorders>
              <w:bottom w:val="single" w:sz="8" w:space="0" w:color="auto"/>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4A0011">
            <w:pPr>
              <w:rPr>
                <w:sz w:val="13"/>
                <w:szCs w:val="13"/>
              </w:rPr>
            </w:pPr>
          </w:p>
        </w:tc>
        <w:tc>
          <w:tcPr>
            <w:tcW w:w="220" w:type="dxa"/>
            <w:tcBorders>
              <w:bottom w:val="single" w:sz="8" w:space="0" w:color="auto"/>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4A0011">
            <w:pPr>
              <w:rPr>
                <w:sz w:val="13"/>
                <w:szCs w:val="13"/>
              </w:rPr>
            </w:pPr>
          </w:p>
        </w:tc>
        <w:tc>
          <w:tcPr>
            <w:tcW w:w="640" w:type="dxa"/>
            <w:tcBorders>
              <w:bottom w:val="single" w:sz="8" w:space="0" w:color="auto"/>
            </w:tcBorders>
            <w:vAlign w:val="bottom"/>
          </w:tcPr>
          <w:p w:rsidR="004A0011" w:rsidRDefault="00D538EF">
            <w:pPr>
              <w:jc w:val="right"/>
              <w:rPr>
                <w:sz w:val="20"/>
                <w:szCs w:val="20"/>
              </w:rPr>
            </w:pPr>
            <w:r>
              <w:rPr>
                <w:rFonts w:eastAsia="Times New Roman"/>
                <w:sz w:val="12"/>
                <w:szCs w:val="12"/>
              </w:rPr>
              <w:t>12.6</w:t>
            </w:r>
          </w:p>
        </w:tc>
      </w:tr>
      <w:tr w:rsidR="004A0011">
        <w:trPr>
          <w:trHeight w:val="158"/>
        </w:trPr>
        <w:tc>
          <w:tcPr>
            <w:tcW w:w="3480" w:type="dxa"/>
            <w:tcBorders>
              <w:bottom w:val="single" w:sz="8" w:space="0" w:color="CCEEFF"/>
            </w:tcBorders>
            <w:shd w:val="clear" w:color="auto" w:fill="CCEEFF"/>
            <w:vAlign w:val="bottom"/>
          </w:tcPr>
          <w:p w:rsidR="004A0011" w:rsidRDefault="00D538EF">
            <w:pPr>
              <w:rPr>
                <w:sz w:val="20"/>
                <w:szCs w:val="20"/>
              </w:rPr>
            </w:pPr>
            <w:r>
              <w:rPr>
                <w:rFonts w:eastAsia="Times New Roman"/>
                <w:b/>
                <w:bCs/>
                <w:sz w:val="12"/>
                <w:szCs w:val="12"/>
              </w:rPr>
              <w:t>BellRing Brands segment profit, as reported by Post</w:t>
            </w:r>
          </w:p>
        </w:tc>
        <w:tc>
          <w:tcPr>
            <w:tcW w:w="3000" w:type="dxa"/>
            <w:gridSpan w:val="2"/>
            <w:tcBorders>
              <w:bottom w:val="single" w:sz="8" w:space="0" w:color="CCEEFF"/>
            </w:tcBorders>
            <w:shd w:val="clear" w:color="auto" w:fill="CCEEFF"/>
            <w:vAlign w:val="bottom"/>
          </w:tcPr>
          <w:p w:rsidR="004A0011" w:rsidRDefault="004A0011">
            <w:pPr>
              <w:rPr>
                <w:sz w:val="13"/>
                <w:szCs w:val="13"/>
              </w:rPr>
            </w:pPr>
          </w:p>
        </w:tc>
        <w:tc>
          <w:tcPr>
            <w:tcW w:w="580" w:type="dxa"/>
            <w:tcBorders>
              <w:bottom w:val="single" w:sz="8" w:space="0" w:color="auto"/>
            </w:tcBorders>
            <w:shd w:val="clear" w:color="auto" w:fill="CCEEFF"/>
            <w:vAlign w:val="bottom"/>
          </w:tcPr>
          <w:p w:rsidR="004A0011" w:rsidRDefault="00D538EF">
            <w:pPr>
              <w:ind w:right="466"/>
              <w:jc w:val="right"/>
              <w:rPr>
                <w:sz w:val="20"/>
                <w:szCs w:val="20"/>
              </w:rPr>
            </w:pPr>
            <w:r>
              <w:rPr>
                <w:rFonts w:eastAsia="Times New Roman"/>
                <w:w w:val="71"/>
                <w:sz w:val="11"/>
                <w:szCs w:val="11"/>
              </w:rPr>
              <w:t>$</w:t>
            </w:r>
          </w:p>
        </w:tc>
        <w:tc>
          <w:tcPr>
            <w:tcW w:w="380" w:type="dxa"/>
            <w:tcBorders>
              <w:bottom w:val="single" w:sz="8" w:space="0" w:color="auto"/>
            </w:tcBorders>
            <w:shd w:val="clear" w:color="auto" w:fill="CCEEFF"/>
            <w:vAlign w:val="bottom"/>
          </w:tcPr>
          <w:p w:rsidR="004A0011" w:rsidRDefault="004A0011">
            <w:pPr>
              <w:rPr>
                <w:sz w:val="13"/>
                <w:szCs w:val="13"/>
              </w:rPr>
            </w:pPr>
          </w:p>
        </w:tc>
        <w:tc>
          <w:tcPr>
            <w:tcW w:w="240" w:type="dxa"/>
            <w:tcBorders>
              <w:bottom w:val="single" w:sz="8" w:space="0" w:color="auto"/>
            </w:tcBorders>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4A0011">
            <w:pPr>
              <w:rPr>
                <w:sz w:val="13"/>
                <w:szCs w:val="13"/>
              </w:rPr>
            </w:pPr>
          </w:p>
        </w:tc>
        <w:tc>
          <w:tcPr>
            <w:tcW w:w="3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40.3</w:t>
            </w:r>
          </w:p>
        </w:tc>
        <w:tc>
          <w:tcPr>
            <w:tcW w:w="20" w:type="dxa"/>
            <w:tcBorders>
              <w:bottom w:val="single" w:sz="8" w:space="0" w:color="auto"/>
            </w:tcBorders>
            <w:shd w:val="clear" w:color="auto" w:fill="CCEEFF"/>
            <w:vAlign w:val="bottom"/>
          </w:tcPr>
          <w:p w:rsidR="004A0011" w:rsidRDefault="004A0011">
            <w:pPr>
              <w:rPr>
                <w:sz w:val="13"/>
                <w:szCs w:val="13"/>
              </w:rPr>
            </w:pPr>
          </w:p>
        </w:tc>
        <w:tc>
          <w:tcPr>
            <w:tcW w:w="320" w:type="dxa"/>
            <w:tcBorders>
              <w:bottom w:val="single" w:sz="8" w:space="0" w:color="CCEEFF"/>
            </w:tcBorders>
            <w:shd w:val="clear" w:color="auto" w:fill="CCEEFF"/>
            <w:vAlign w:val="bottom"/>
          </w:tcPr>
          <w:p w:rsidR="004A0011" w:rsidRDefault="004A0011">
            <w:pPr>
              <w:rPr>
                <w:sz w:val="13"/>
                <w:szCs w:val="13"/>
              </w:rPr>
            </w:pPr>
          </w:p>
        </w:tc>
        <w:tc>
          <w:tcPr>
            <w:tcW w:w="20" w:type="dxa"/>
            <w:tcBorders>
              <w:bottom w:val="single" w:sz="8" w:space="0" w:color="CCEEFF"/>
            </w:tcBorders>
            <w:shd w:val="clear" w:color="auto" w:fill="CCEEFF"/>
            <w:vAlign w:val="bottom"/>
          </w:tcPr>
          <w:p w:rsidR="004A0011" w:rsidRDefault="004A0011">
            <w:pPr>
              <w:rPr>
                <w:sz w:val="13"/>
                <w:szCs w:val="13"/>
              </w:rPr>
            </w:pPr>
          </w:p>
        </w:tc>
        <w:tc>
          <w:tcPr>
            <w:tcW w:w="620" w:type="dxa"/>
            <w:tcBorders>
              <w:bottom w:val="single" w:sz="8" w:space="0" w:color="auto"/>
            </w:tcBorders>
            <w:shd w:val="clear" w:color="auto" w:fill="CCEEFF"/>
            <w:vAlign w:val="bottom"/>
          </w:tcPr>
          <w:p w:rsidR="004A0011" w:rsidRDefault="00D538EF">
            <w:pPr>
              <w:ind w:right="506"/>
              <w:jc w:val="right"/>
              <w:rPr>
                <w:sz w:val="20"/>
                <w:szCs w:val="20"/>
              </w:rPr>
            </w:pPr>
            <w:r>
              <w:rPr>
                <w:rFonts w:eastAsia="Times New Roman"/>
                <w:w w:val="71"/>
                <w:sz w:val="11"/>
                <w:szCs w:val="11"/>
              </w:rPr>
              <w:t>$</w:t>
            </w:r>
          </w:p>
        </w:tc>
        <w:tc>
          <w:tcPr>
            <w:tcW w:w="360" w:type="dxa"/>
            <w:tcBorders>
              <w:bottom w:val="single" w:sz="8" w:space="0" w:color="auto"/>
            </w:tcBorders>
            <w:shd w:val="clear" w:color="auto" w:fill="CCEEFF"/>
            <w:vAlign w:val="bottom"/>
          </w:tcPr>
          <w:p w:rsidR="004A0011" w:rsidRDefault="004A0011">
            <w:pPr>
              <w:rPr>
                <w:sz w:val="13"/>
                <w:szCs w:val="13"/>
              </w:rPr>
            </w:pPr>
          </w:p>
        </w:tc>
        <w:tc>
          <w:tcPr>
            <w:tcW w:w="220" w:type="dxa"/>
            <w:tcBorders>
              <w:bottom w:val="single" w:sz="8" w:space="0" w:color="auto"/>
            </w:tcBorders>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4A0011">
            <w:pPr>
              <w:rPr>
                <w:sz w:val="13"/>
                <w:szCs w:val="13"/>
              </w:rPr>
            </w:pPr>
          </w:p>
        </w:tc>
        <w:tc>
          <w:tcPr>
            <w:tcW w:w="6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175.1</w:t>
            </w:r>
          </w:p>
        </w:tc>
      </w:tr>
    </w:tbl>
    <w:p w:rsidR="004A0011" w:rsidRDefault="004A0011">
      <w:pPr>
        <w:spacing w:line="151" w:lineRule="exact"/>
        <w:rPr>
          <w:sz w:val="20"/>
          <w:szCs w:val="20"/>
        </w:rPr>
      </w:pPr>
    </w:p>
    <w:p w:rsidR="004A0011" w:rsidRDefault="00D538EF">
      <w:pPr>
        <w:numPr>
          <w:ilvl w:val="0"/>
          <w:numId w:val="6"/>
        </w:numPr>
        <w:tabs>
          <w:tab w:val="left" w:pos="121"/>
        </w:tabs>
        <w:spacing w:line="226" w:lineRule="auto"/>
        <w:ind w:right="580" w:firstLine="9"/>
        <w:rPr>
          <w:rFonts w:eastAsia="Times New Roman"/>
          <w:sz w:val="14"/>
          <w:szCs w:val="14"/>
          <w:vertAlign w:val="superscript"/>
        </w:rPr>
      </w:pPr>
      <w:r>
        <w:rPr>
          <w:rFonts w:eastAsia="Times New Roman"/>
          <w:sz w:val="11"/>
          <w:szCs w:val="11"/>
        </w:rPr>
        <w:t xml:space="preserve">Allocated </w:t>
      </w:r>
      <w:r>
        <w:rPr>
          <w:rFonts w:eastAsia="Times New Roman"/>
          <w:sz w:val="11"/>
          <w:szCs w:val="11"/>
        </w:rPr>
        <w:t>costs are general and administrative costs that are attributable to BellRing and have been allocated by Post to BellRing. BellRing includes these costs in its SG&amp;A expenses and Operating Profit measures in its Consolidated Statements of Operations. Post cl</w:t>
      </w:r>
      <w:r>
        <w:rPr>
          <w:rFonts w:eastAsia="Times New Roman"/>
          <w:sz w:val="11"/>
          <w:szCs w:val="11"/>
        </w:rPr>
        <w:t>assifies these costs as unallocated corporate expenses, which are reported by Post in general corporate expenses and other.</w:t>
      </w:r>
    </w:p>
    <w:p w:rsidR="004A0011" w:rsidRDefault="004A0011">
      <w:pPr>
        <w:spacing w:line="200" w:lineRule="exact"/>
        <w:rPr>
          <w:sz w:val="20"/>
          <w:szCs w:val="20"/>
        </w:rPr>
      </w:pPr>
    </w:p>
    <w:p w:rsidR="004A0011" w:rsidRDefault="004A0011">
      <w:pPr>
        <w:spacing w:line="393" w:lineRule="exact"/>
        <w:rPr>
          <w:sz w:val="20"/>
          <w:szCs w:val="20"/>
        </w:rPr>
      </w:pPr>
    </w:p>
    <w:p w:rsidR="004A0011" w:rsidRDefault="00D538EF">
      <w:pPr>
        <w:ind w:right="20"/>
        <w:jc w:val="center"/>
        <w:rPr>
          <w:sz w:val="20"/>
          <w:szCs w:val="20"/>
        </w:rPr>
      </w:pPr>
      <w:r>
        <w:rPr>
          <w:rFonts w:eastAsia="Times New Roman"/>
          <w:sz w:val="12"/>
          <w:szCs w:val="12"/>
        </w:rPr>
        <w:t>6</w:t>
      </w:r>
    </w:p>
    <w:p w:rsidR="004A0011" w:rsidRDefault="004A0011">
      <w:pPr>
        <w:sectPr w:rsidR="004A0011">
          <w:pgSz w:w="11900" w:h="16838"/>
          <w:pgMar w:top="638" w:right="339" w:bottom="1440" w:left="340" w:header="0" w:footer="0" w:gutter="0"/>
          <w:cols w:space="720" w:equalWidth="0">
            <w:col w:w="11220"/>
          </w:cols>
        </w:sectPr>
      </w:pPr>
    </w:p>
    <w:p w:rsidR="004A0011" w:rsidRDefault="00D538EF">
      <w:pPr>
        <w:ind w:right="20"/>
        <w:jc w:val="center"/>
        <w:rPr>
          <w:sz w:val="20"/>
          <w:szCs w:val="20"/>
        </w:rPr>
      </w:pPr>
      <w:bookmarkStart w:id="10" w:name="page10"/>
      <w:bookmarkEnd w:id="10"/>
      <w:r>
        <w:rPr>
          <w:rFonts w:eastAsia="Times New Roman"/>
          <w:b/>
          <w:bCs/>
          <w:sz w:val="12"/>
          <w:szCs w:val="12"/>
        </w:rPr>
        <w:lastRenderedPageBreak/>
        <w:t>CONSOLIDATED BALANCE SHEETS (Unaudited)</w:t>
      </w:r>
    </w:p>
    <w:p w:rsidR="004A0011" w:rsidRDefault="004A0011">
      <w:pPr>
        <w:spacing w:line="21" w:lineRule="exact"/>
        <w:rPr>
          <w:sz w:val="20"/>
          <w:szCs w:val="20"/>
        </w:rPr>
      </w:pPr>
    </w:p>
    <w:p w:rsidR="004A0011" w:rsidRDefault="00D538EF">
      <w:pPr>
        <w:ind w:right="80"/>
        <w:jc w:val="center"/>
        <w:rPr>
          <w:sz w:val="20"/>
          <w:szCs w:val="20"/>
        </w:rPr>
      </w:pPr>
      <w:r>
        <w:rPr>
          <w:rFonts w:eastAsia="Times New Roman"/>
          <w:b/>
          <w:bCs/>
          <w:sz w:val="12"/>
          <w:szCs w:val="12"/>
        </w:rPr>
        <w:t>(in millions)</w:t>
      </w:r>
    </w:p>
    <w:p w:rsidR="004A0011" w:rsidRDefault="004A0011">
      <w:pPr>
        <w:spacing w:line="2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200"/>
        <w:gridCol w:w="3940"/>
        <w:gridCol w:w="1400"/>
        <w:gridCol w:w="460"/>
        <w:gridCol w:w="340"/>
        <w:gridCol w:w="320"/>
        <w:gridCol w:w="1560"/>
        <w:gridCol w:w="20"/>
      </w:tblGrid>
      <w:tr w:rsidR="004A0011">
        <w:trPr>
          <w:trHeight w:val="144"/>
        </w:trPr>
        <w:tc>
          <w:tcPr>
            <w:tcW w:w="3200" w:type="dxa"/>
            <w:tcBorders>
              <w:bottom w:val="single" w:sz="8" w:space="0" w:color="CCEEFF"/>
            </w:tcBorders>
            <w:vAlign w:val="bottom"/>
          </w:tcPr>
          <w:p w:rsidR="004A0011" w:rsidRDefault="004A0011">
            <w:pPr>
              <w:rPr>
                <w:sz w:val="12"/>
                <w:szCs w:val="12"/>
              </w:rPr>
            </w:pPr>
          </w:p>
        </w:tc>
        <w:tc>
          <w:tcPr>
            <w:tcW w:w="3940" w:type="dxa"/>
            <w:tcBorders>
              <w:bottom w:val="single" w:sz="8" w:space="0" w:color="CCEEFF"/>
            </w:tcBorders>
            <w:vAlign w:val="bottom"/>
          </w:tcPr>
          <w:p w:rsidR="004A0011" w:rsidRDefault="004A0011">
            <w:pPr>
              <w:rPr>
                <w:sz w:val="12"/>
                <w:szCs w:val="12"/>
              </w:rPr>
            </w:pPr>
          </w:p>
        </w:tc>
        <w:tc>
          <w:tcPr>
            <w:tcW w:w="1400" w:type="dxa"/>
            <w:tcBorders>
              <w:bottom w:val="single" w:sz="8" w:space="0" w:color="auto"/>
            </w:tcBorders>
            <w:vAlign w:val="bottom"/>
          </w:tcPr>
          <w:p w:rsidR="004A0011" w:rsidRDefault="00D538EF">
            <w:pPr>
              <w:jc w:val="right"/>
              <w:rPr>
                <w:sz w:val="20"/>
                <w:szCs w:val="20"/>
              </w:rPr>
            </w:pPr>
            <w:r>
              <w:rPr>
                <w:rFonts w:eastAsia="Times New Roman"/>
                <w:b/>
                <w:bCs/>
                <w:sz w:val="11"/>
                <w:szCs w:val="11"/>
              </w:rPr>
              <w:t>September 30, 2020</w:t>
            </w:r>
          </w:p>
        </w:tc>
        <w:tc>
          <w:tcPr>
            <w:tcW w:w="460" w:type="dxa"/>
            <w:tcBorders>
              <w:bottom w:val="single" w:sz="8" w:space="0" w:color="auto"/>
            </w:tcBorders>
            <w:vAlign w:val="bottom"/>
          </w:tcPr>
          <w:p w:rsidR="004A0011" w:rsidRDefault="004A0011">
            <w:pPr>
              <w:rPr>
                <w:sz w:val="12"/>
                <w:szCs w:val="12"/>
              </w:rPr>
            </w:pPr>
          </w:p>
        </w:tc>
        <w:tc>
          <w:tcPr>
            <w:tcW w:w="340" w:type="dxa"/>
            <w:tcBorders>
              <w:bottom w:val="single" w:sz="8" w:space="0" w:color="CCEEFF"/>
            </w:tcBorders>
            <w:vAlign w:val="bottom"/>
          </w:tcPr>
          <w:p w:rsidR="004A0011" w:rsidRDefault="004A0011">
            <w:pPr>
              <w:rPr>
                <w:sz w:val="12"/>
                <w:szCs w:val="12"/>
              </w:rPr>
            </w:pPr>
          </w:p>
        </w:tc>
        <w:tc>
          <w:tcPr>
            <w:tcW w:w="320" w:type="dxa"/>
            <w:tcBorders>
              <w:bottom w:val="single" w:sz="8" w:space="0" w:color="auto"/>
            </w:tcBorders>
            <w:vAlign w:val="bottom"/>
          </w:tcPr>
          <w:p w:rsidR="004A0011" w:rsidRDefault="004A0011">
            <w:pPr>
              <w:rPr>
                <w:sz w:val="12"/>
                <w:szCs w:val="12"/>
              </w:rPr>
            </w:pPr>
          </w:p>
        </w:tc>
        <w:tc>
          <w:tcPr>
            <w:tcW w:w="1560" w:type="dxa"/>
            <w:tcBorders>
              <w:bottom w:val="single" w:sz="8" w:space="0" w:color="auto"/>
            </w:tcBorders>
            <w:vAlign w:val="bottom"/>
          </w:tcPr>
          <w:p w:rsidR="004A0011" w:rsidRDefault="00D538EF">
            <w:pPr>
              <w:ind w:right="420"/>
              <w:jc w:val="right"/>
              <w:rPr>
                <w:sz w:val="20"/>
                <w:szCs w:val="20"/>
              </w:rPr>
            </w:pPr>
            <w:r>
              <w:rPr>
                <w:rFonts w:eastAsia="Times New Roman"/>
                <w:b/>
                <w:bCs/>
                <w:sz w:val="11"/>
                <w:szCs w:val="11"/>
              </w:rPr>
              <w:t>September 30, 2019</w:t>
            </w:r>
          </w:p>
        </w:tc>
        <w:tc>
          <w:tcPr>
            <w:tcW w:w="0" w:type="dxa"/>
            <w:vAlign w:val="bottom"/>
          </w:tcPr>
          <w:p w:rsidR="004A0011" w:rsidRDefault="004A0011">
            <w:pPr>
              <w:rPr>
                <w:sz w:val="1"/>
                <w:szCs w:val="1"/>
              </w:rPr>
            </w:pPr>
          </w:p>
        </w:tc>
      </w:tr>
      <w:tr w:rsidR="004A0011">
        <w:trPr>
          <w:trHeight w:val="162"/>
        </w:trPr>
        <w:tc>
          <w:tcPr>
            <w:tcW w:w="3200" w:type="dxa"/>
            <w:shd w:val="clear" w:color="auto" w:fill="CCEEFF"/>
            <w:vAlign w:val="bottom"/>
          </w:tcPr>
          <w:p w:rsidR="004A0011" w:rsidRDefault="004A0011">
            <w:pPr>
              <w:rPr>
                <w:sz w:val="14"/>
                <w:szCs w:val="14"/>
              </w:rPr>
            </w:pPr>
          </w:p>
        </w:tc>
        <w:tc>
          <w:tcPr>
            <w:tcW w:w="5340" w:type="dxa"/>
            <w:gridSpan w:val="2"/>
            <w:shd w:val="clear" w:color="auto" w:fill="CCEEFF"/>
            <w:vAlign w:val="bottom"/>
          </w:tcPr>
          <w:p w:rsidR="004A0011" w:rsidRDefault="00D538EF">
            <w:pPr>
              <w:ind w:right="482"/>
              <w:jc w:val="center"/>
              <w:rPr>
                <w:sz w:val="20"/>
                <w:szCs w:val="20"/>
              </w:rPr>
            </w:pPr>
            <w:r>
              <w:rPr>
                <w:rFonts w:eastAsia="Times New Roman"/>
                <w:b/>
                <w:bCs/>
                <w:w w:val="97"/>
                <w:sz w:val="11"/>
                <w:szCs w:val="11"/>
              </w:rPr>
              <w:t>ASSETS</w:t>
            </w:r>
          </w:p>
        </w:tc>
        <w:tc>
          <w:tcPr>
            <w:tcW w:w="460" w:type="dxa"/>
            <w:shd w:val="clear" w:color="auto" w:fill="CCEEFF"/>
            <w:vAlign w:val="bottom"/>
          </w:tcPr>
          <w:p w:rsidR="004A0011" w:rsidRDefault="004A0011">
            <w:pPr>
              <w:rPr>
                <w:sz w:val="14"/>
                <w:szCs w:val="14"/>
              </w:rPr>
            </w:pPr>
          </w:p>
        </w:tc>
        <w:tc>
          <w:tcPr>
            <w:tcW w:w="340" w:type="dxa"/>
            <w:shd w:val="clear" w:color="auto" w:fill="CCEEFF"/>
            <w:vAlign w:val="bottom"/>
          </w:tcPr>
          <w:p w:rsidR="004A0011" w:rsidRDefault="004A0011">
            <w:pPr>
              <w:rPr>
                <w:sz w:val="14"/>
                <w:szCs w:val="14"/>
              </w:rPr>
            </w:pPr>
          </w:p>
        </w:tc>
        <w:tc>
          <w:tcPr>
            <w:tcW w:w="320" w:type="dxa"/>
            <w:shd w:val="clear" w:color="auto" w:fill="CCEEFF"/>
            <w:vAlign w:val="bottom"/>
          </w:tcPr>
          <w:p w:rsidR="004A0011" w:rsidRDefault="004A0011">
            <w:pPr>
              <w:rPr>
                <w:sz w:val="14"/>
                <w:szCs w:val="14"/>
              </w:rPr>
            </w:pPr>
          </w:p>
        </w:tc>
        <w:tc>
          <w:tcPr>
            <w:tcW w:w="1560" w:type="dxa"/>
            <w:shd w:val="clear" w:color="auto" w:fill="CCEEFF"/>
            <w:vAlign w:val="bottom"/>
          </w:tcPr>
          <w:p w:rsidR="004A0011" w:rsidRDefault="004A0011">
            <w:pPr>
              <w:rPr>
                <w:sz w:val="14"/>
                <w:szCs w:val="14"/>
              </w:rPr>
            </w:pP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rPr>
                <w:sz w:val="20"/>
                <w:szCs w:val="20"/>
              </w:rPr>
            </w:pPr>
            <w:r>
              <w:rPr>
                <w:rFonts w:eastAsia="Times New Roman"/>
                <w:b/>
                <w:bCs/>
                <w:sz w:val="12"/>
                <w:szCs w:val="12"/>
              </w:rPr>
              <w:t>Current Assets</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4A0011">
            <w:pPr>
              <w:rPr>
                <w:sz w:val="13"/>
                <w:szCs w:val="13"/>
              </w:rPr>
            </w:pP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Cash and cash equivalents</w:t>
            </w:r>
          </w:p>
        </w:tc>
        <w:tc>
          <w:tcPr>
            <w:tcW w:w="5340" w:type="dxa"/>
            <w:gridSpan w:val="2"/>
            <w:shd w:val="clear" w:color="auto" w:fill="CCEEFF"/>
            <w:vAlign w:val="bottom"/>
          </w:tcPr>
          <w:p w:rsidR="004A0011" w:rsidRDefault="00D538EF">
            <w:pPr>
              <w:ind w:right="1262"/>
              <w:jc w:val="right"/>
              <w:rPr>
                <w:sz w:val="20"/>
                <w:szCs w:val="20"/>
              </w:rPr>
            </w:pPr>
            <w:r>
              <w:rPr>
                <w:rFonts w:eastAsia="Times New Roman"/>
                <w:sz w:val="12"/>
                <w:szCs w:val="12"/>
              </w:rPr>
              <w:t>$</w:t>
            </w:r>
          </w:p>
        </w:tc>
        <w:tc>
          <w:tcPr>
            <w:tcW w:w="460" w:type="dxa"/>
            <w:shd w:val="clear" w:color="auto" w:fill="CCEEFF"/>
            <w:vAlign w:val="bottom"/>
          </w:tcPr>
          <w:p w:rsidR="004A0011" w:rsidRDefault="00D538EF">
            <w:pPr>
              <w:jc w:val="right"/>
              <w:rPr>
                <w:sz w:val="20"/>
                <w:szCs w:val="20"/>
              </w:rPr>
            </w:pPr>
            <w:r>
              <w:rPr>
                <w:rFonts w:eastAsia="Times New Roman"/>
                <w:sz w:val="12"/>
                <w:szCs w:val="12"/>
              </w:rPr>
              <w:t>48.7</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D538EF">
            <w:pPr>
              <w:ind w:right="180"/>
              <w:jc w:val="right"/>
              <w:rPr>
                <w:sz w:val="20"/>
                <w:szCs w:val="20"/>
              </w:rPr>
            </w:pPr>
            <w:r>
              <w:rPr>
                <w:rFonts w:eastAsia="Times New Roman"/>
                <w:w w:val="99"/>
                <w:sz w:val="12"/>
                <w:szCs w:val="12"/>
              </w:rPr>
              <w:t>$</w:t>
            </w:r>
          </w:p>
        </w:tc>
        <w:tc>
          <w:tcPr>
            <w:tcW w:w="1560" w:type="dxa"/>
            <w:shd w:val="clear" w:color="auto" w:fill="CCEEFF"/>
            <w:vAlign w:val="bottom"/>
          </w:tcPr>
          <w:p w:rsidR="004A0011" w:rsidRDefault="00D538EF">
            <w:pPr>
              <w:jc w:val="right"/>
              <w:rPr>
                <w:sz w:val="20"/>
                <w:szCs w:val="20"/>
              </w:rPr>
            </w:pPr>
            <w:r>
              <w:rPr>
                <w:rFonts w:eastAsia="Times New Roman"/>
                <w:sz w:val="12"/>
                <w:szCs w:val="12"/>
              </w:rPr>
              <w:t>5.5</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20"/>
              <w:rPr>
                <w:sz w:val="20"/>
                <w:szCs w:val="20"/>
              </w:rPr>
            </w:pPr>
            <w:r>
              <w:rPr>
                <w:rFonts w:eastAsia="Times New Roman"/>
                <w:sz w:val="12"/>
                <w:szCs w:val="12"/>
              </w:rPr>
              <w:t>Receivables, net</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sz w:val="12"/>
                <w:szCs w:val="12"/>
              </w:rPr>
              <w:t>83.1</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68.4</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Inventories</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150.5</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138.2</w:t>
            </w:r>
          </w:p>
        </w:tc>
        <w:tc>
          <w:tcPr>
            <w:tcW w:w="0" w:type="dxa"/>
            <w:vAlign w:val="bottom"/>
          </w:tcPr>
          <w:p w:rsidR="004A0011" w:rsidRDefault="004A0011">
            <w:pPr>
              <w:rPr>
                <w:sz w:val="1"/>
                <w:szCs w:val="1"/>
              </w:rPr>
            </w:pPr>
          </w:p>
        </w:tc>
      </w:tr>
      <w:tr w:rsidR="004A0011">
        <w:trPr>
          <w:trHeight w:val="153"/>
        </w:trPr>
        <w:tc>
          <w:tcPr>
            <w:tcW w:w="3200" w:type="dxa"/>
            <w:tcBorders>
              <w:bottom w:val="single" w:sz="8" w:space="0" w:color="CCEEFF"/>
            </w:tcBorders>
            <w:vAlign w:val="bottom"/>
          </w:tcPr>
          <w:p w:rsidR="004A0011" w:rsidRDefault="00D538EF">
            <w:pPr>
              <w:ind w:left="120"/>
              <w:rPr>
                <w:sz w:val="20"/>
                <w:szCs w:val="20"/>
              </w:rPr>
            </w:pPr>
            <w:r>
              <w:rPr>
                <w:rFonts w:eastAsia="Times New Roman"/>
                <w:sz w:val="12"/>
                <w:szCs w:val="12"/>
              </w:rPr>
              <w:t>Prepaid expenses and other current assets</w:t>
            </w:r>
          </w:p>
        </w:tc>
        <w:tc>
          <w:tcPr>
            <w:tcW w:w="3940" w:type="dxa"/>
            <w:tcBorders>
              <w:bottom w:val="single" w:sz="8" w:space="0" w:color="CCEEFF"/>
            </w:tcBorders>
            <w:vAlign w:val="bottom"/>
          </w:tcPr>
          <w:p w:rsidR="004A0011" w:rsidRDefault="004A0011">
            <w:pPr>
              <w:rPr>
                <w:sz w:val="13"/>
                <w:szCs w:val="13"/>
              </w:rPr>
            </w:pPr>
          </w:p>
        </w:tc>
        <w:tc>
          <w:tcPr>
            <w:tcW w:w="1400" w:type="dxa"/>
            <w:tcBorders>
              <w:bottom w:val="single" w:sz="8" w:space="0" w:color="auto"/>
            </w:tcBorders>
            <w:vAlign w:val="bottom"/>
          </w:tcPr>
          <w:p w:rsidR="004A0011" w:rsidRDefault="004A0011">
            <w:pPr>
              <w:rPr>
                <w:sz w:val="13"/>
                <w:szCs w:val="13"/>
              </w:rPr>
            </w:pP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7.9</w:t>
            </w:r>
          </w:p>
        </w:tc>
        <w:tc>
          <w:tcPr>
            <w:tcW w:w="340" w:type="dxa"/>
            <w:tcBorders>
              <w:bottom w:val="single" w:sz="8" w:space="0" w:color="CCEEFF"/>
            </w:tcBorders>
            <w:vAlign w:val="bottom"/>
          </w:tcPr>
          <w:p w:rsidR="004A0011" w:rsidRDefault="004A0011">
            <w:pPr>
              <w:rPr>
                <w:sz w:val="13"/>
                <w:szCs w:val="13"/>
              </w:rPr>
            </w:pPr>
          </w:p>
        </w:tc>
        <w:tc>
          <w:tcPr>
            <w:tcW w:w="320" w:type="dxa"/>
            <w:tcBorders>
              <w:bottom w:val="single" w:sz="8" w:space="0" w:color="auto"/>
            </w:tcBorders>
            <w:vAlign w:val="bottom"/>
          </w:tcPr>
          <w:p w:rsidR="004A0011" w:rsidRDefault="004A0011">
            <w:pPr>
              <w:rPr>
                <w:sz w:val="13"/>
                <w:szCs w:val="13"/>
              </w:rPr>
            </w:pP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7.4</w:t>
            </w:r>
          </w:p>
        </w:tc>
        <w:tc>
          <w:tcPr>
            <w:tcW w:w="0" w:type="dxa"/>
            <w:vAlign w:val="bottom"/>
          </w:tcPr>
          <w:p w:rsidR="004A0011" w:rsidRDefault="004A0011">
            <w:pPr>
              <w:rPr>
                <w:sz w:val="1"/>
                <w:szCs w:val="1"/>
              </w:rPr>
            </w:pPr>
          </w:p>
        </w:tc>
      </w:tr>
      <w:tr w:rsidR="004A0011">
        <w:trPr>
          <w:trHeight w:val="142"/>
        </w:trPr>
        <w:tc>
          <w:tcPr>
            <w:tcW w:w="3200" w:type="dxa"/>
            <w:shd w:val="clear" w:color="auto" w:fill="CCEEFF"/>
            <w:vAlign w:val="bottom"/>
          </w:tcPr>
          <w:p w:rsidR="004A0011" w:rsidRDefault="00D538EF">
            <w:pPr>
              <w:ind w:left="340"/>
              <w:rPr>
                <w:sz w:val="20"/>
                <w:szCs w:val="20"/>
              </w:rPr>
            </w:pPr>
            <w:r>
              <w:rPr>
                <w:rFonts w:eastAsia="Times New Roman"/>
                <w:b/>
                <w:bCs/>
                <w:sz w:val="12"/>
                <w:szCs w:val="12"/>
              </w:rPr>
              <w:t>Total Current Assets</w:t>
            </w:r>
          </w:p>
        </w:tc>
        <w:tc>
          <w:tcPr>
            <w:tcW w:w="3940" w:type="dxa"/>
            <w:shd w:val="clear" w:color="auto" w:fill="CCEEFF"/>
            <w:vAlign w:val="bottom"/>
          </w:tcPr>
          <w:p w:rsidR="004A0011" w:rsidRDefault="004A0011">
            <w:pPr>
              <w:rPr>
                <w:sz w:val="12"/>
                <w:szCs w:val="12"/>
              </w:rPr>
            </w:pPr>
          </w:p>
        </w:tc>
        <w:tc>
          <w:tcPr>
            <w:tcW w:w="1400" w:type="dxa"/>
            <w:shd w:val="clear" w:color="auto" w:fill="CCEEFF"/>
            <w:vAlign w:val="bottom"/>
          </w:tcPr>
          <w:p w:rsidR="004A0011" w:rsidRDefault="004A0011">
            <w:pPr>
              <w:rPr>
                <w:sz w:val="12"/>
                <w:szCs w:val="12"/>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290.2</w:t>
            </w:r>
          </w:p>
        </w:tc>
        <w:tc>
          <w:tcPr>
            <w:tcW w:w="34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219.5</w:t>
            </w:r>
          </w:p>
        </w:tc>
        <w:tc>
          <w:tcPr>
            <w:tcW w:w="0" w:type="dxa"/>
            <w:vAlign w:val="bottom"/>
          </w:tcPr>
          <w:p w:rsidR="004A0011" w:rsidRDefault="004A0011">
            <w:pPr>
              <w:rPr>
                <w:sz w:val="1"/>
                <w:szCs w:val="1"/>
              </w:rPr>
            </w:pPr>
          </w:p>
        </w:tc>
      </w:tr>
      <w:tr w:rsidR="004A0011">
        <w:trPr>
          <w:trHeight w:val="144"/>
        </w:trPr>
        <w:tc>
          <w:tcPr>
            <w:tcW w:w="3200" w:type="dxa"/>
            <w:vAlign w:val="bottom"/>
          </w:tcPr>
          <w:p w:rsidR="004A0011" w:rsidRDefault="004A0011">
            <w:pPr>
              <w:rPr>
                <w:sz w:val="12"/>
                <w:szCs w:val="12"/>
              </w:rPr>
            </w:pPr>
          </w:p>
        </w:tc>
        <w:tc>
          <w:tcPr>
            <w:tcW w:w="3940" w:type="dxa"/>
            <w:vAlign w:val="bottom"/>
          </w:tcPr>
          <w:p w:rsidR="004A0011" w:rsidRDefault="004A0011">
            <w:pPr>
              <w:rPr>
                <w:sz w:val="12"/>
                <w:szCs w:val="12"/>
              </w:rPr>
            </w:pPr>
          </w:p>
        </w:tc>
        <w:tc>
          <w:tcPr>
            <w:tcW w:w="1400" w:type="dxa"/>
            <w:vAlign w:val="bottom"/>
          </w:tcPr>
          <w:p w:rsidR="004A0011" w:rsidRDefault="004A0011">
            <w:pPr>
              <w:rPr>
                <w:sz w:val="12"/>
                <w:szCs w:val="12"/>
              </w:rPr>
            </w:pPr>
          </w:p>
        </w:tc>
        <w:tc>
          <w:tcPr>
            <w:tcW w:w="460" w:type="dxa"/>
            <w:vAlign w:val="bottom"/>
          </w:tcPr>
          <w:p w:rsidR="004A0011" w:rsidRDefault="004A0011">
            <w:pPr>
              <w:rPr>
                <w:sz w:val="12"/>
                <w:szCs w:val="12"/>
              </w:rPr>
            </w:pPr>
          </w:p>
        </w:tc>
        <w:tc>
          <w:tcPr>
            <w:tcW w:w="34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1560" w:type="dxa"/>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rPr>
                <w:sz w:val="20"/>
                <w:szCs w:val="20"/>
              </w:rPr>
            </w:pPr>
            <w:r>
              <w:rPr>
                <w:rFonts w:eastAsia="Times New Roman"/>
                <w:sz w:val="12"/>
                <w:szCs w:val="12"/>
              </w:rPr>
              <w:t>Property, net</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10.2</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11.7</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rPr>
                <w:sz w:val="20"/>
                <w:szCs w:val="20"/>
              </w:rPr>
            </w:pPr>
            <w:r>
              <w:rPr>
                <w:rFonts w:eastAsia="Times New Roman"/>
                <w:sz w:val="12"/>
                <w:szCs w:val="12"/>
              </w:rPr>
              <w:t>Goodwill</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sz w:val="12"/>
                <w:szCs w:val="12"/>
              </w:rPr>
              <w:t>65.9</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65.9</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rPr>
                <w:sz w:val="20"/>
                <w:szCs w:val="20"/>
              </w:rPr>
            </w:pPr>
            <w:r>
              <w:rPr>
                <w:rFonts w:eastAsia="Times New Roman"/>
                <w:sz w:val="12"/>
                <w:szCs w:val="12"/>
              </w:rPr>
              <w:t>Other intangible assets, net</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274.3</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296.5</w:t>
            </w:r>
          </w:p>
        </w:tc>
        <w:tc>
          <w:tcPr>
            <w:tcW w:w="0" w:type="dxa"/>
            <w:vAlign w:val="bottom"/>
          </w:tcPr>
          <w:p w:rsidR="004A0011" w:rsidRDefault="004A0011">
            <w:pPr>
              <w:rPr>
                <w:sz w:val="1"/>
                <w:szCs w:val="1"/>
              </w:rPr>
            </w:pPr>
          </w:p>
        </w:tc>
      </w:tr>
      <w:tr w:rsidR="004A0011">
        <w:trPr>
          <w:trHeight w:val="153"/>
        </w:trPr>
        <w:tc>
          <w:tcPr>
            <w:tcW w:w="3200" w:type="dxa"/>
            <w:tcBorders>
              <w:bottom w:val="single" w:sz="8" w:space="0" w:color="CCEEFF"/>
            </w:tcBorders>
            <w:vAlign w:val="bottom"/>
          </w:tcPr>
          <w:p w:rsidR="004A0011" w:rsidRDefault="00D538EF">
            <w:pPr>
              <w:rPr>
                <w:sz w:val="20"/>
                <w:szCs w:val="20"/>
              </w:rPr>
            </w:pPr>
            <w:r>
              <w:rPr>
                <w:rFonts w:eastAsia="Times New Roman"/>
                <w:sz w:val="12"/>
                <w:szCs w:val="12"/>
              </w:rPr>
              <w:t>Other assets</w:t>
            </w:r>
          </w:p>
        </w:tc>
        <w:tc>
          <w:tcPr>
            <w:tcW w:w="3940" w:type="dxa"/>
            <w:tcBorders>
              <w:bottom w:val="single" w:sz="8" w:space="0" w:color="CCEEFF"/>
            </w:tcBorders>
            <w:vAlign w:val="bottom"/>
          </w:tcPr>
          <w:p w:rsidR="004A0011" w:rsidRDefault="004A0011">
            <w:pPr>
              <w:rPr>
                <w:sz w:val="13"/>
                <w:szCs w:val="13"/>
              </w:rPr>
            </w:pPr>
          </w:p>
        </w:tc>
        <w:tc>
          <w:tcPr>
            <w:tcW w:w="1400" w:type="dxa"/>
            <w:tcBorders>
              <w:bottom w:val="single" w:sz="8" w:space="0" w:color="auto"/>
            </w:tcBorders>
            <w:vAlign w:val="bottom"/>
          </w:tcPr>
          <w:p w:rsidR="004A0011" w:rsidRDefault="004A0011">
            <w:pPr>
              <w:rPr>
                <w:sz w:val="13"/>
                <w:szCs w:val="13"/>
              </w:rPr>
            </w:pP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12.9</w:t>
            </w:r>
          </w:p>
        </w:tc>
        <w:tc>
          <w:tcPr>
            <w:tcW w:w="340" w:type="dxa"/>
            <w:tcBorders>
              <w:bottom w:val="single" w:sz="8" w:space="0" w:color="CCEEFF"/>
            </w:tcBorders>
            <w:vAlign w:val="bottom"/>
          </w:tcPr>
          <w:p w:rsidR="004A0011" w:rsidRDefault="004A0011">
            <w:pPr>
              <w:rPr>
                <w:sz w:val="13"/>
                <w:szCs w:val="13"/>
              </w:rPr>
            </w:pPr>
          </w:p>
        </w:tc>
        <w:tc>
          <w:tcPr>
            <w:tcW w:w="320" w:type="dxa"/>
            <w:tcBorders>
              <w:bottom w:val="single" w:sz="8" w:space="0" w:color="auto"/>
            </w:tcBorders>
            <w:vAlign w:val="bottom"/>
          </w:tcPr>
          <w:p w:rsidR="004A0011" w:rsidRDefault="004A0011">
            <w:pPr>
              <w:rPr>
                <w:sz w:val="13"/>
                <w:szCs w:val="13"/>
              </w:rPr>
            </w:pP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0.9</w:t>
            </w:r>
          </w:p>
        </w:tc>
        <w:tc>
          <w:tcPr>
            <w:tcW w:w="0" w:type="dxa"/>
            <w:vAlign w:val="bottom"/>
          </w:tcPr>
          <w:p w:rsidR="004A0011" w:rsidRDefault="004A0011">
            <w:pPr>
              <w:rPr>
                <w:sz w:val="1"/>
                <w:szCs w:val="1"/>
              </w:rPr>
            </w:pPr>
          </w:p>
        </w:tc>
      </w:tr>
      <w:tr w:rsidR="004A0011">
        <w:trPr>
          <w:trHeight w:val="158"/>
        </w:trPr>
        <w:tc>
          <w:tcPr>
            <w:tcW w:w="3200" w:type="dxa"/>
            <w:tcBorders>
              <w:bottom w:val="single" w:sz="8" w:space="0" w:color="CCEEFF"/>
            </w:tcBorders>
            <w:shd w:val="clear" w:color="auto" w:fill="CCEEFF"/>
            <w:vAlign w:val="bottom"/>
          </w:tcPr>
          <w:p w:rsidR="004A0011" w:rsidRDefault="00D538EF">
            <w:pPr>
              <w:ind w:left="340"/>
              <w:rPr>
                <w:sz w:val="20"/>
                <w:szCs w:val="20"/>
              </w:rPr>
            </w:pPr>
            <w:r>
              <w:rPr>
                <w:rFonts w:eastAsia="Times New Roman"/>
                <w:b/>
                <w:bCs/>
                <w:sz w:val="12"/>
                <w:szCs w:val="12"/>
              </w:rPr>
              <w:t>Total Assets</w:t>
            </w:r>
          </w:p>
        </w:tc>
        <w:tc>
          <w:tcPr>
            <w:tcW w:w="3940" w:type="dxa"/>
            <w:tcBorders>
              <w:bottom w:val="single" w:sz="8" w:space="0" w:color="CCEEFF"/>
            </w:tcBorders>
            <w:shd w:val="clear" w:color="auto" w:fill="CCEEFF"/>
            <w:vAlign w:val="bottom"/>
          </w:tcPr>
          <w:p w:rsidR="004A0011" w:rsidRDefault="004A0011">
            <w:pPr>
              <w:rPr>
                <w:sz w:val="13"/>
                <w:szCs w:val="13"/>
              </w:rPr>
            </w:pPr>
          </w:p>
        </w:tc>
        <w:tc>
          <w:tcPr>
            <w:tcW w:w="1400" w:type="dxa"/>
            <w:tcBorders>
              <w:bottom w:val="single" w:sz="8" w:space="0" w:color="auto"/>
            </w:tcBorders>
            <w:shd w:val="clear" w:color="auto" w:fill="CCEEFF"/>
            <w:vAlign w:val="bottom"/>
          </w:tcPr>
          <w:p w:rsidR="004A0011" w:rsidRDefault="00D538EF">
            <w:pPr>
              <w:ind w:right="1262"/>
              <w:jc w:val="right"/>
              <w:rPr>
                <w:sz w:val="20"/>
                <w:szCs w:val="20"/>
              </w:rPr>
            </w:pPr>
            <w:r>
              <w:rPr>
                <w:rFonts w:eastAsia="Times New Roman"/>
                <w:w w:val="99"/>
                <w:sz w:val="12"/>
                <w:szCs w:val="12"/>
              </w:rPr>
              <w:t>$</w:t>
            </w:r>
          </w:p>
        </w:tc>
        <w:tc>
          <w:tcPr>
            <w:tcW w:w="4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653.5</w:t>
            </w:r>
          </w:p>
        </w:tc>
        <w:tc>
          <w:tcPr>
            <w:tcW w:w="340" w:type="dxa"/>
            <w:tcBorders>
              <w:bottom w:val="single" w:sz="8" w:space="0" w:color="CCEEFF"/>
            </w:tcBorders>
            <w:shd w:val="clear" w:color="auto" w:fill="CCEEFF"/>
            <w:vAlign w:val="bottom"/>
          </w:tcPr>
          <w:p w:rsidR="004A0011" w:rsidRDefault="004A0011">
            <w:pPr>
              <w:rPr>
                <w:sz w:val="13"/>
                <w:szCs w:val="13"/>
              </w:rPr>
            </w:pPr>
          </w:p>
        </w:tc>
        <w:tc>
          <w:tcPr>
            <w:tcW w:w="320" w:type="dxa"/>
            <w:tcBorders>
              <w:bottom w:val="single" w:sz="8" w:space="0" w:color="auto"/>
            </w:tcBorders>
            <w:shd w:val="clear" w:color="auto" w:fill="CCEEFF"/>
            <w:vAlign w:val="bottom"/>
          </w:tcPr>
          <w:p w:rsidR="004A0011" w:rsidRDefault="00D538EF">
            <w:pPr>
              <w:ind w:right="180"/>
              <w:jc w:val="right"/>
              <w:rPr>
                <w:sz w:val="20"/>
                <w:szCs w:val="20"/>
              </w:rPr>
            </w:pPr>
            <w:r>
              <w:rPr>
                <w:rFonts w:eastAsia="Times New Roman"/>
                <w:w w:val="99"/>
                <w:sz w:val="12"/>
                <w:szCs w:val="12"/>
              </w:rPr>
              <w:t>$</w:t>
            </w:r>
          </w:p>
        </w:tc>
        <w:tc>
          <w:tcPr>
            <w:tcW w:w="15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594.5</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4A0011">
            <w:pPr>
              <w:rPr>
                <w:sz w:val="13"/>
                <w:szCs w:val="13"/>
              </w:rPr>
            </w:pP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4A0011">
            <w:pPr>
              <w:rPr>
                <w:sz w:val="13"/>
                <w:szCs w:val="13"/>
              </w:rPr>
            </w:pP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80"/>
        </w:trPr>
        <w:tc>
          <w:tcPr>
            <w:tcW w:w="3200" w:type="dxa"/>
            <w:shd w:val="clear" w:color="auto" w:fill="CCEEFF"/>
            <w:vAlign w:val="bottom"/>
          </w:tcPr>
          <w:p w:rsidR="004A0011" w:rsidRDefault="004A0011">
            <w:pPr>
              <w:rPr>
                <w:sz w:val="15"/>
                <w:szCs w:val="15"/>
              </w:rPr>
            </w:pPr>
          </w:p>
        </w:tc>
        <w:tc>
          <w:tcPr>
            <w:tcW w:w="5340" w:type="dxa"/>
            <w:gridSpan w:val="2"/>
            <w:shd w:val="clear" w:color="auto" w:fill="CCEEFF"/>
            <w:vAlign w:val="bottom"/>
          </w:tcPr>
          <w:p w:rsidR="004A0011" w:rsidRDefault="00D538EF">
            <w:pPr>
              <w:ind w:right="462"/>
              <w:jc w:val="center"/>
              <w:rPr>
                <w:sz w:val="20"/>
                <w:szCs w:val="20"/>
              </w:rPr>
            </w:pPr>
            <w:r>
              <w:rPr>
                <w:rFonts w:eastAsia="Times New Roman"/>
                <w:b/>
                <w:bCs/>
                <w:w w:val="97"/>
                <w:sz w:val="11"/>
                <w:szCs w:val="11"/>
              </w:rPr>
              <w:t>LIABILITIES AND STOCKHOLDERS’ EQUITY</w:t>
            </w:r>
          </w:p>
        </w:tc>
        <w:tc>
          <w:tcPr>
            <w:tcW w:w="460" w:type="dxa"/>
            <w:shd w:val="clear" w:color="auto" w:fill="CCEEFF"/>
            <w:vAlign w:val="bottom"/>
          </w:tcPr>
          <w:p w:rsidR="004A0011" w:rsidRDefault="004A0011">
            <w:pPr>
              <w:rPr>
                <w:sz w:val="15"/>
                <w:szCs w:val="15"/>
              </w:rPr>
            </w:pPr>
          </w:p>
        </w:tc>
        <w:tc>
          <w:tcPr>
            <w:tcW w:w="340" w:type="dxa"/>
            <w:shd w:val="clear" w:color="auto" w:fill="CCEEFF"/>
            <w:vAlign w:val="bottom"/>
          </w:tcPr>
          <w:p w:rsidR="004A0011" w:rsidRDefault="004A0011">
            <w:pPr>
              <w:rPr>
                <w:sz w:val="15"/>
                <w:szCs w:val="15"/>
              </w:rPr>
            </w:pPr>
          </w:p>
        </w:tc>
        <w:tc>
          <w:tcPr>
            <w:tcW w:w="320" w:type="dxa"/>
            <w:shd w:val="clear" w:color="auto" w:fill="CCEEFF"/>
            <w:vAlign w:val="bottom"/>
          </w:tcPr>
          <w:p w:rsidR="004A0011" w:rsidRDefault="004A0011">
            <w:pPr>
              <w:rPr>
                <w:sz w:val="15"/>
                <w:szCs w:val="15"/>
              </w:rPr>
            </w:pPr>
          </w:p>
        </w:tc>
        <w:tc>
          <w:tcPr>
            <w:tcW w:w="1560" w:type="dxa"/>
            <w:shd w:val="clear" w:color="auto" w:fill="CCEEFF"/>
            <w:vAlign w:val="bottom"/>
          </w:tcPr>
          <w:p w:rsidR="004A0011" w:rsidRDefault="004A0011">
            <w:pPr>
              <w:rPr>
                <w:sz w:val="15"/>
                <w:szCs w:val="15"/>
              </w:rPr>
            </w:pP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rPr>
                <w:sz w:val="20"/>
                <w:szCs w:val="20"/>
              </w:rPr>
            </w:pPr>
            <w:r>
              <w:rPr>
                <w:rFonts w:eastAsia="Times New Roman"/>
                <w:b/>
                <w:bCs/>
                <w:sz w:val="12"/>
                <w:szCs w:val="12"/>
              </w:rPr>
              <w:t>Current Liabilities</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4A0011">
            <w:pPr>
              <w:rPr>
                <w:sz w:val="13"/>
                <w:szCs w:val="13"/>
              </w:rPr>
            </w:pP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Current portion of long-term debt</w:t>
            </w:r>
          </w:p>
        </w:tc>
        <w:tc>
          <w:tcPr>
            <w:tcW w:w="5340" w:type="dxa"/>
            <w:gridSpan w:val="2"/>
            <w:shd w:val="clear" w:color="auto" w:fill="CCEEFF"/>
            <w:vAlign w:val="bottom"/>
          </w:tcPr>
          <w:p w:rsidR="004A0011" w:rsidRDefault="00D538EF">
            <w:pPr>
              <w:ind w:right="1262"/>
              <w:jc w:val="right"/>
              <w:rPr>
                <w:sz w:val="20"/>
                <w:szCs w:val="20"/>
              </w:rPr>
            </w:pPr>
            <w:r>
              <w:rPr>
                <w:rFonts w:eastAsia="Times New Roman"/>
                <w:sz w:val="12"/>
                <w:szCs w:val="12"/>
              </w:rPr>
              <w:t>$</w:t>
            </w:r>
          </w:p>
        </w:tc>
        <w:tc>
          <w:tcPr>
            <w:tcW w:w="460" w:type="dxa"/>
            <w:shd w:val="clear" w:color="auto" w:fill="CCEEFF"/>
            <w:vAlign w:val="bottom"/>
          </w:tcPr>
          <w:p w:rsidR="004A0011" w:rsidRDefault="00D538EF">
            <w:pPr>
              <w:jc w:val="right"/>
              <w:rPr>
                <w:sz w:val="20"/>
                <w:szCs w:val="20"/>
              </w:rPr>
            </w:pPr>
            <w:r>
              <w:rPr>
                <w:rFonts w:eastAsia="Times New Roman"/>
                <w:sz w:val="12"/>
                <w:szCs w:val="12"/>
              </w:rPr>
              <w:t>63.8</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D538EF">
            <w:pPr>
              <w:ind w:right="180"/>
              <w:jc w:val="right"/>
              <w:rPr>
                <w:sz w:val="20"/>
                <w:szCs w:val="20"/>
              </w:rPr>
            </w:pPr>
            <w:r>
              <w:rPr>
                <w:rFonts w:eastAsia="Times New Roman"/>
                <w:w w:val="99"/>
                <w:sz w:val="12"/>
                <w:szCs w:val="12"/>
              </w:rPr>
              <w:t>$</w:t>
            </w:r>
          </w:p>
        </w:tc>
        <w:tc>
          <w:tcPr>
            <w:tcW w:w="1560" w:type="dxa"/>
            <w:shd w:val="clear" w:color="auto" w:fill="CCEEFF"/>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20"/>
              <w:rPr>
                <w:sz w:val="20"/>
                <w:szCs w:val="20"/>
              </w:rPr>
            </w:pPr>
            <w:r>
              <w:rPr>
                <w:rFonts w:eastAsia="Times New Roman"/>
                <w:sz w:val="12"/>
                <w:szCs w:val="12"/>
              </w:rPr>
              <w:t>Accounts payable</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sz w:val="12"/>
                <w:szCs w:val="12"/>
              </w:rPr>
              <w:t>56.7</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61.7</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Other current liabilities</w:t>
            </w:r>
          </w:p>
        </w:tc>
        <w:tc>
          <w:tcPr>
            <w:tcW w:w="3940" w:type="dxa"/>
            <w:shd w:val="clear" w:color="auto" w:fill="CCEEFF"/>
            <w:vAlign w:val="bottom"/>
          </w:tcPr>
          <w:p w:rsidR="004A0011" w:rsidRDefault="004A0011">
            <w:pPr>
              <w:rPr>
                <w:sz w:val="13"/>
                <w:szCs w:val="13"/>
              </w:rPr>
            </w:pPr>
          </w:p>
        </w:tc>
        <w:tc>
          <w:tcPr>
            <w:tcW w:w="1400" w:type="dxa"/>
            <w:tcBorders>
              <w:bottom w:val="single" w:sz="8" w:space="0" w:color="auto"/>
            </w:tcBorders>
            <w:shd w:val="clear" w:color="auto" w:fill="CCEEFF"/>
            <w:vAlign w:val="bottom"/>
          </w:tcPr>
          <w:p w:rsidR="004A0011" w:rsidRDefault="004A0011">
            <w:pPr>
              <w:rPr>
                <w:sz w:val="13"/>
                <w:szCs w:val="13"/>
              </w:rPr>
            </w:pPr>
          </w:p>
        </w:tc>
        <w:tc>
          <w:tcPr>
            <w:tcW w:w="4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32.6</w:t>
            </w:r>
          </w:p>
        </w:tc>
        <w:tc>
          <w:tcPr>
            <w:tcW w:w="340" w:type="dxa"/>
            <w:shd w:val="clear" w:color="auto" w:fill="CCEEFF"/>
            <w:vAlign w:val="bottom"/>
          </w:tcPr>
          <w:p w:rsidR="004A0011" w:rsidRDefault="004A0011">
            <w:pPr>
              <w:rPr>
                <w:sz w:val="13"/>
                <w:szCs w:val="13"/>
              </w:rPr>
            </w:pPr>
          </w:p>
        </w:tc>
        <w:tc>
          <w:tcPr>
            <w:tcW w:w="320" w:type="dxa"/>
            <w:tcBorders>
              <w:bottom w:val="single" w:sz="8" w:space="0" w:color="auto"/>
            </w:tcBorders>
            <w:shd w:val="clear" w:color="auto" w:fill="CCEEFF"/>
            <w:vAlign w:val="bottom"/>
          </w:tcPr>
          <w:p w:rsidR="004A0011" w:rsidRDefault="004A0011">
            <w:pPr>
              <w:rPr>
                <w:sz w:val="13"/>
                <w:szCs w:val="13"/>
              </w:rPr>
            </w:pPr>
          </w:p>
        </w:tc>
        <w:tc>
          <w:tcPr>
            <w:tcW w:w="15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31.0</w:t>
            </w:r>
          </w:p>
        </w:tc>
        <w:tc>
          <w:tcPr>
            <w:tcW w:w="0" w:type="dxa"/>
            <w:vAlign w:val="bottom"/>
          </w:tcPr>
          <w:p w:rsidR="004A0011" w:rsidRDefault="004A0011">
            <w:pPr>
              <w:rPr>
                <w:sz w:val="1"/>
                <w:szCs w:val="1"/>
              </w:rPr>
            </w:pPr>
          </w:p>
        </w:tc>
      </w:tr>
      <w:tr w:rsidR="004A0011">
        <w:trPr>
          <w:trHeight w:val="142"/>
        </w:trPr>
        <w:tc>
          <w:tcPr>
            <w:tcW w:w="3200" w:type="dxa"/>
            <w:vAlign w:val="bottom"/>
          </w:tcPr>
          <w:p w:rsidR="004A0011" w:rsidRDefault="00D538EF">
            <w:pPr>
              <w:ind w:left="340"/>
              <w:rPr>
                <w:sz w:val="20"/>
                <w:szCs w:val="20"/>
              </w:rPr>
            </w:pPr>
            <w:r>
              <w:rPr>
                <w:rFonts w:eastAsia="Times New Roman"/>
                <w:b/>
                <w:bCs/>
                <w:sz w:val="12"/>
                <w:szCs w:val="12"/>
              </w:rPr>
              <w:t>Total Current Liabilities</w:t>
            </w:r>
          </w:p>
        </w:tc>
        <w:tc>
          <w:tcPr>
            <w:tcW w:w="3940" w:type="dxa"/>
            <w:vAlign w:val="bottom"/>
          </w:tcPr>
          <w:p w:rsidR="004A0011" w:rsidRDefault="004A0011">
            <w:pPr>
              <w:rPr>
                <w:sz w:val="12"/>
                <w:szCs w:val="12"/>
              </w:rPr>
            </w:pPr>
          </w:p>
        </w:tc>
        <w:tc>
          <w:tcPr>
            <w:tcW w:w="1400" w:type="dxa"/>
            <w:vAlign w:val="bottom"/>
          </w:tcPr>
          <w:p w:rsidR="004A0011" w:rsidRDefault="004A0011">
            <w:pPr>
              <w:rPr>
                <w:sz w:val="12"/>
                <w:szCs w:val="12"/>
              </w:rPr>
            </w:pPr>
          </w:p>
        </w:tc>
        <w:tc>
          <w:tcPr>
            <w:tcW w:w="460" w:type="dxa"/>
            <w:vAlign w:val="bottom"/>
          </w:tcPr>
          <w:p w:rsidR="004A0011" w:rsidRDefault="00D538EF">
            <w:pPr>
              <w:jc w:val="right"/>
              <w:rPr>
                <w:sz w:val="20"/>
                <w:szCs w:val="20"/>
              </w:rPr>
            </w:pPr>
            <w:r>
              <w:rPr>
                <w:rFonts w:eastAsia="Times New Roman"/>
                <w:sz w:val="12"/>
                <w:szCs w:val="12"/>
              </w:rPr>
              <w:t>153.1</w:t>
            </w:r>
          </w:p>
        </w:tc>
        <w:tc>
          <w:tcPr>
            <w:tcW w:w="34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1560" w:type="dxa"/>
            <w:vAlign w:val="bottom"/>
          </w:tcPr>
          <w:p w:rsidR="004A0011" w:rsidRDefault="00D538EF">
            <w:pPr>
              <w:jc w:val="right"/>
              <w:rPr>
                <w:sz w:val="20"/>
                <w:szCs w:val="20"/>
              </w:rPr>
            </w:pPr>
            <w:r>
              <w:rPr>
                <w:rFonts w:eastAsia="Times New Roman"/>
                <w:sz w:val="12"/>
                <w:szCs w:val="12"/>
              </w:rPr>
              <w:t>92.7</w:t>
            </w:r>
          </w:p>
        </w:tc>
        <w:tc>
          <w:tcPr>
            <w:tcW w:w="0" w:type="dxa"/>
            <w:vAlign w:val="bottom"/>
          </w:tcPr>
          <w:p w:rsidR="004A0011" w:rsidRDefault="004A0011">
            <w:pPr>
              <w:rPr>
                <w:sz w:val="1"/>
                <w:szCs w:val="1"/>
              </w:rPr>
            </w:pPr>
          </w:p>
        </w:tc>
      </w:tr>
      <w:tr w:rsidR="004A0011">
        <w:trPr>
          <w:trHeight w:val="144"/>
        </w:trPr>
        <w:tc>
          <w:tcPr>
            <w:tcW w:w="3200" w:type="dxa"/>
            <w:shd w:val="clear" w:color="auto" w:fill="CCEEFF"/>
            <w:vAlign w:val="bottom"/>
          </w:tcPr>
          <w:p w:rsidR="004A0011" w:rsidRDefault="004A0011">
            <w:pPr>
              <w:rPr>
                <w:sz w:val="12"/>
                <w:szCs w:val="12"/>
              </w:rPr>
            </w:pPr>
          </w:p>
        </w:tc>
        <w:tc>
          <w:tcPr>
            <w:tcW w:w="3940" w:type="dxa"/>
            <w:shd w:val="clear" w:color="auto" w:fill="CCEEFF"/>
            <w:vAlign w:val="bottom"/>
          </w:tcPr>
          <w:p w:rsidR="004A0011" w:rsidRDefault="004A0011">
            <w:pPr>
              <w:rPr>
                <w:sz w:val="12"/>
                <w:szCs w:val="12"/>
              </w:rPr>
            </w:pPr>
          </w:p>
        </w:tc>
        <w:tc>
          <w:tcPr>
            <w:tcW w:w="1400" w:type="dxa"/>
            <w:shd w:val="clear" w:color="auto" w:fill="CCEEFF"/>
            <w:vAlign w:val="bottom"/>
          </w:tcPr>
          <w:p w:rsidR="004A0011" w:rsidRDefault="004A0011">
            <w:pPr>
              <w:rPr>
                <w:sz w:val="12"/>
                <w:szCs w:val="12"/>
              </w:rPr>
            </w:pPr>
          </w:p>
        </w:tc>
        <w:tc>
          <w:tcPr>
            <w:tcW w:w="460" w:type="dxa"/>
            <w:shd w:val="clear" w:color="auto" w:fill="CCEEFF"/>
            <w:vAlign w:val="bottom"/>
          </w:tcPr>
          <w:p w:rsidR="004A0011" w:rsidRDefault="004A0011">
            <w:pPr>
              <w:rPr>
                <w:sz w:val="12"/>
                <w:szCs w:val="12"/>
              </w:rPr>
            </w:pPr>
          </w:p>
        </w:tc>
        <w:tc>
          <w:tcPr>
            <w:tcW w:w="34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1560" w:type="dxa"/>
            <w:shd w:val="clear" w:color="auto" w:fill="CCEEFF"/>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rPr>
                <w:sz w:val="20"/>
                <w:szCs w:val="20"/>
              </w:rPr>
            </w:pPr>
            <w:r>
              <w:rPr>
                <w:rFonts w:eastAsia="Times New Roman"/>
                <w:sz w:val="12"/>
                <w:szCs w:val="12"/>
              </w:rPr>
              <w:t>Long-term debt</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sz w:val="12"/>
                <w:szCs w:val="12"/>
              </w:rPr>
              <w:t>622.6</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rPr>
                <w:sz w:val="20"/>
                <w:szCs w:val="20"/>
              </w:rPr>
            </w:pPr>
            <w:r>
              <w:rPr>
                <w:rFonts w:eastAsia="Times New Roman"/>
                <w:sz w:val="12"/>
                <w:szCs w:val="12"/>
              </w:rPr>
              <w:t>Deferred income taxes</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9.0</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14.1</w:t>
            </w:r>
          </w:p>
        </w:tc>
        <w:tc>
          <w:tcPr>
            <w:tcW w:w="0" w:type="dxa"/>
            <w:vAlign w:val="bottom"/>
          </w:tcPr>
          <w:p w:rsidR="004A0011" w:rsidRDefault="004A0011">
            <w:pPr>
              <w:rPr>
                <w:sz w:val="1"/>
                <w:szCs w:val="1"/>
              </w:rPr>
            </w:pPr>
          </w:p>
        </w:tc>
      </w:tr>
      <w:tr w:rsidR="004A0011">
        <w:trPr>
          <w:trHeight w:val="153"/>
        </w:trPr>
        <w:tc>
          <w:tcPr>
            <w:tcW w:w="3200" w:type="dxa"/>
            <w:tcBorders>
              <w:bottom w:val="single" w:sz="8" w:space="0" w:color="CCEEFF"/>
            </w:tcBorders>
            <w:vAlign w:val="bottom"/>
          </w:tcPr>
          <w:p w:rsidR="004A0011" w:rsidRDefault="00D538EF">
            <w:pPr>
              <w:rPr>
                <w:sz w:val="20"/>
                <w:szCs w:val="20"/>
              </w:rPr>
            </w:pPr>
            <w:r>
              <w:rPr>
                <w:rFonts w:eastAsia="Times New Roman"/>
                <w:sz w:val="12"/>
                <w:szCs w:val="12"/>
              </w:rPr>
              <w:t xml:space="preserve">Other </w:t>
            </w:r>
            <w:r>
              <w:rPr>
                <w:rFonts w:eastAsia="Times New Roman"/>
                <w:sz w:val="12"/>
                <w:szCs w:val="12"/>
              </w:rPr>
              <w:t>liabilities</w:t>
            </w:r>
          </w:p>
        </w:tc>
        <w:tc>
          <w:tcPr>
            <w:tcW w:w="3940" w:type="dxa"/>
            <w:tcBorders>
              <w:bottom w:val="single" w:sz="8" w:space="0" w:color="CCEEFF"/>
            </w:tcBorders>
            <w:vAlign w:val="bottom"/>
          </w:tcPr>
          <w:p w:rsidR="004A0011" w:rsidRDefault="004A0011">
            <w:pPr>
              <w:rPr>
                <w:sz w:val="13"/>
                <w:szCs w:val="13"/>
              </w:rPr>
            </w:pPr>
          </w:p>
        </w:tc>
        <w:tc>
          <w:tcPr>
            <w:tcW w:w="1400" w:type="dxa"/>
            <w:tcBorders>
              <w:bottom w:val="single" w:sz="8" w:space="0" w:color="auto"/>
            </w:tcBorders>
            <w:vAlign w:val="bottom"/>
          </w:tcPr>
          <w:p w:rsidR="004A0011" w:rsidRDefault="004A0011">
            <w:pPr>
              <w:rPr>
                <w:sz w:val="13"/>
                <w:szCs w:val="13"/>
              </w:rPr>
            </w:pP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29.8</w:t>
            </w:r>
          </w:p>
        </w:tc>
        <w:tc>
          <w:tcPr>
            <w:tcW w:w="340" w:type="dxa"/>
            <w:tcBorders>
              <w:bottom w:val="single" w:sz="8" w:space="0" w:color="CCEEFF"/>
            </w:tcBorders>
            <w:vAlign w:val="bottom"/>
          </w:tcPr>
          <w:p w:rsidR="004A0011" w:rsidRDefault="004A0011">
            <w:pPr>
              <w:rPr>
                <w:sz w:val="13"/>
                <w:szCs w:val="13"/>
              </w:rPr>
            </w:pPr>
          </w:p>
        </w:tc>
        <w:tc>
          <w:tcPr>
            <w:tcW w:w="320" w:type="dxa"/>
            <w:tcBorders>
              <w:bottom w:val="single" w:sz="8" w:space="0" w:color="auto"/>
            </w:tcBorders>
            <w:vAlign w:val="bottom"/>
          </w:tcPr>
          <w:p w:rsidR="004A0011" w:rsidRDefault="004A0011">
            <w:pPr>
              <w:rPr>
                <w:sz w:val="13"/>
                <w:szCs w:val="13"/>
              </w:rPr>
            </w:pP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1.3</w:t>
            </w:r>
          </w:p>
        </w:tc>
        <w:tc>
          <w:tcPr>
            <w:tcW w:w="0" w:type="dxa"/>
            <w:vAlign w:val="bottom"/>
          </w:tcPr>
          <w:p w:rsidR="004A0011" w:rsidRDefault="004A0011">
            <w:pPr>
              <w:rPr>
                <w:sz w:val="1"/>
                <w:szCs w:val="1"/>
              </w:rPr>
            </w:pPr>
          </w:p>
        </w:tc>
      </w:tr>
      <w:tr w:rsidR="004A0011">
        <w:trPr>
          <w:trHeight w:val="142"/>
        </w:trPr>
        <w:tc>
          <w:tcPr>
            <w:tcW w:w="3200" w:type="dxa"/>
            <w:shd w:val="clear" w:color="auto" w:fill="CCEEFF"/>
            <w:vAlign w:val="bottom"/>
          </w:tcPr>
          <w:p w:rsidR="004A0011" w:rsidRDefault="00D538EF">
            <w:pPr>
              <w:ind w:left="340"/>
              <w:rPr>
                <w:sz w:val="20"/>
                <w:szCs w:val="20"/>
              </w:rPr>
            </w:pPr>
            <w:r>
              <w:rPr>
                <w:rFonts w:eastAsia="Times New Roman"/>
                <w:b/>
                <w:bCs/>
                <w:sz w:val="12"/>
                <w:szCs w:val="12"/>
              </w:rPr>
              <w:t>Total Liabilities</w:t>
            </w:r>
          </w:p>
        </w:tc>
        <w:tc>
          <w:tcPr>
            <w:tcW w:w="3940" w:type="dxa"/>
            <w:shd w:val="clear" w:color="auto" w:fill="CCEEFF"/>
            <w:vAlign w:val="bottom"/>
          </w:tcPr>
          <w:p w:rsidR="004A0011" w:rsidRDefault="004A0011">
            <w:pPr>
              <w:rPr>
                <w:sz w:val="12"/>
                <w:szCs w:val="12"/>
              </w:rPr>
            </w:pPr>
          </w:p>
        </w:tc>
        <w:tc>
          <w:tcPr>
            <w:tcW w:w="1400" w:type="dxa"/>
            <w:shd w:val="clear" w:color="auto" w:fill="CCEEFF"/>
            <w:vAlign w:val="bottom"/>
          </w:tcPr>
          <w:p w:rsidR="004A0011" w:rsidRDefault="004A0011">
            <w:pPr>
              <w:rPr>
                <w:sz w:val="12"/>
                <w:szCs w:val="12"/>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814.5</w:t>
            </w:r>
          </w:p>
        </w:tc>
        <w:tc>
          <w:tcPr>
            <w:tcW w:w="340" w:type="dxa"/>
            <w:shd w:val="clear" w:color="auto" w:fill="CCEEFF"/>
            <w:vAlign w:val="bottom"/>
          </w:tcPr>
          <w:p w:rsidR="004A0011" w:rsidRDefault="004A0011">
            <w:pPr>
              <w:rPr>
                <w:sz w:val="12"/>
                <w:szCs w:val="12"/>
              </w:rPr>
            </w:pPr>
          </w:p>
        </w:tc>
        <w:tc>
          <w:tcPr>
            <w:tcW w:w="320" w:type="dxa"/>
            <w:shd w:val="clear" w:color="auto" w:fill="CCEEFF"/>
            <w:vAlign w:val="bottom"/>
          </w:tcPr>
          <w:p w:rsidR="004A0011" w:rsidRDefault="004A0011">
            <w:pPr>
              <w:rPr>
                <w:sz w:val="12"/>
                <w:szCs w:val="12"/>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108.1</w:t>
            </w:r>
          </w:p>
        </w:tc>
        <w:tc>
          <w:tcPr>
            <w:tcW w:w="0" w:type="dxa"/>
            <w:vAlign w:val="bottom"/>
          </w:tcPr>
          <w:p w:rsidR="004A0011" w:rsidRDefault="004A0011">
            <w:pPr>
              <w:rPr>
                <w:sz w:val="1"/>
                <w:szCs w:val="1"/>
              </w:rPr>
            </w:pPr>
          </w:p>
        </w:tc>
      </w:tr>
      <w:tr w:rsidR="004A0011">
        <w:trPr>
          <w:trHeight w:val="171"/>
        </w:trPr>
        <w:tc>
          <w:tcPr>
            <w:tcW w:w="3200" w:type="dxa"/>
            <w:vAlign w:val="bottom"/>
          </w:tcPr>
          <w:p w:rsidR="004A0011" w:rsidRDefault="004A0011">
            <w:pPr>
              <w:rPr>
                <w:sz w:val="14"/>
                <w:szCs w:val="14"/>
              </w:rPr>
            </w:pPr>
          </w:p>
        </w:tc>
        <w:tc>
          <w:tcPr>
            <w:tcW w:w="3940" w:type="dxa"/>
            <w:vAlign w:val="bottom"/>
          </w:tcPr>
          <w:p w:rsidR="004A0011" w:rsidRDefault="004A0011">
            <w:pPr>
              <w:rPr>
                <w:sz w:val="14"/>
                <w:szCs w:val="14"/>
              </w:rPr>
            </w:pPr>
          </w:p>
        </w:tc>
        <w:tc>
          <w:tcPr>
            <w:tcW w:w="1400" w:type="dxa"/>
            <w:vAlign w:val="bottom"/>
          </w:tcPr>
          <w:p w:rsidR="004A0011" w:rsidRDefault="004A0011">
            <w:pPr>
              <w:rPr>
                <w:sz w:val="14"/>
                <w:szCs w:val="14"/>
              </w:rPr>
            </w:pPr>
          </w:p>
        </w:tc>
        <w:tc>
          <w:tcPr>
            <w:tcW w:w="460" w:type="dxa"/>
            <w:vAlign w:val="bottom"/>
          </w:tcPr>
          <w:p w:rsidR="004A0011" w:rsidRDefault="004A0011">
            <w:pPr>
              <w:rPr>
                <w:sz w:val="14"/>
                <w:szCs w:val="14"/>
              </w:rPr>
            </w:pPr>
          </w:p>
        </w:tc>
        <w:tc>
          <w:tcPr>
            <w:tcW w:w="340" w:type="dxa"/>
            <w:vAlign w:val="bottom"/>
          </w:tcPr>
          <w:p w:rsidR="004A0011" w:rsidRDefault="004A0011">
            <w:pPr>
              <w:rPr>
                <w:sz w:val="14"/>
                <w:szCs w:val="14"/>
              </w:rPr>
            </w:pPr>
          </w:p>
        </w:tc>
        <w:tc>
          <w:tcPr>
            <w:tcW w:w="320" w:type="dxa"/>
            <w:vAlign w:val="bottom"/>
          </w:tcPr>
          <w:p w:rsidR="004A0011" w:rsidRDefault="004A0011">
            <w:pPr>
              <w:rPr>
                <w:sz w:val="14"/>
                <w:szCs w:val="14"/>
              </w:rPr>
            </w:pPr>
          </w:p>
        </w:tc>
        <w:tc>
          <w:tcPr>
            <w:tcW w:w="1560" w:type="dxa"/>
            <w:vAlign w:val="bottom"/>
          </w:tcPr>
          <w:p w:rsidR="004A0011" w:rsidRDefault="004A0011">
            <w:pPr>
              <w:rPr>
                <w:sz w:val="14"/>
                <w:szCs w:val="14"/>
              </w:rPr>
            </w:pP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Redeemable noncontrolling interest</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2,021.6</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44"/>
        </w:trPr>
        <w:tc>
          <w:tcPr>
            <w:tcW w:w="3200" w:type="dxa"/>
            <w:vAlign w:val="bottom"/>
          </w:tcPr>
          <w:p w:rsidR="004A0011" w:rsidRDefault="004A0011">
            <w:pPr>
              <w:rPr>
                <w:sz w:val="12"/>
                <w:szCs w:val="12"/>
              </w:rPr>
            </w:pPr>
          </w:p>
        </w:tc>
        <w:tc>
          <w:tcPr>
            <w:tcW w:w="3940" w:type="dxa"/>
            <w:vAlign w:val="bottom"/>
          </w:tcPr>
          <w:p w:rsidR="004A0011" w:rsidRDefault="004A0011">
            <w:pPr>
              <w:rPr>
                <w:sz w:val="12"/>
                <w:szCs w:val="12"/>
              </w:rPr>
            </w:pPr>
          </w:p>
        </w:tc>
        <w:tc>
          <w:tcPr>
            <w:tcW w:w="1400" w:type="dxa"/>
            <w:vAlign w:val="bottom"/>
          </w:tcPr>
          <w:p w:rsidR="004A0011" w:rsidRDefault="004A0011">
            <w:pPr>
              <w:rPr>
                <w:sz w:val="12"/>
                <w:szCs w:val="12"/>
              </w:rPr>
            </w:pPr>
          </w:p>
        </w:tc>
        <w:tc>
          <w:tcPr>
            <w:tcW w:w="460" w:type="dxa"/>
            <w:vAlign w:val="bottom"/>
          </w:tcPr>
          <w:p w:rsidR="004A0011" w:rsidRDefault="004A0011">
            <w:pPr>
              <w:rPr>
                <w:sz w:val="12"/>
                <w:szCs w:val="12"/>
              </w:rPr>
            </w:pPr>
          </w:p>
        </w:tc>
        <w:tc>
          <w:tcPr>
            <w:tcW w:w="34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1560" w:type="dxa"/>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rPr>
                <w:sz w:val="20"/>
                <w:szCs w:val="20"/>
              </w:rPr>
            </w:pPr>
            <w:r>
              <w:rPr>
                <w:rFonts w:eastAsia="Times New Roman"/>
                <w:b/>
                <w:bCs/>
                <w:sz w:val="12"/>
                <w:szCs w:val="12"/>
              </w:rPr>
              <w:t>Stockholders’ Equity</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4A0011">
            <w:pPr>
              <w:rPr>
                <w:sz w:val="13"/>
                <w:szCs w:val="13"/>
              </w:rPr>
            </w:pP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20"/>
              <w:rPr>
                <w:sz w:val="20"/>
                <w:szCs w:val="20"/>
              </w:rPr>
            </w:pPr>
            <w:r>
              <w:rPr>
                <w:rFonts w:eastAsia="Times New Roman"/>
                <w:sz w:val="12"/>
                <w:szCs w:val="12"/>
              </w:rPr>
              <w:t>Preferred stock</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800" w:type="dxa"/>
            <w:gridSpan w:val="2"/>
            <w:vAlign w:val="bottom"/>
          </w:tcPr>
          <w:p w:rsidR="004A0011" w:rsidRDefault="00D538EF">
            <w:pPr>
              <w:ind w:right="380"/>
              <w:jc w:val="right"/>
              <w:rPr>
                <w:sz w:val="20"/>
                <w:szCs w:val="20"/>
              </w:rPr>
            </w:pPr>
            <w:r>
              <w:rPr>
                <w:rFonts w:eastAsia="Times New Roman"/>
                <w:sz w:val="12"/>
                <w:szCs w:val="12"/>
              </w:rPr>
              <w:t>—</w:t>
            </w: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Common stock</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0.4</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20"/>
              <w:rPr>
                <w:sz w:val="20"/>
                <w:szCs w:val="20"/>
              </w:rPr>
            </w:pPr>
            <w:r>
              <w:rPr>
                <w:rFonts w:eastAsia="Times New Roman"/>
                <w:sz w:val="12"/>
                <w:szCs w:val="12"/>
              </w:rPr>
              <w:t>Accumulated deficit</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w w:val="95"/>
                <w:sz w:val="12"/>
                <w:szCs w:val="12"/>
              </w:rPr>
              <w:t>(2,179.0)</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20"/>
              <w:rPr>
                <w:sz w:val="20"/>
                <w:szCs w:val="20"/>
              </w:rPr>
            </w:pPr>
            <w:r>
              <w:rPr>
                <w:rFonts w:eastAsia="Times New Roman"/>
                <w:sz w:val="12"/>
                <w:szCs w:val="12"/>
              </w:rPr>
              <w:t xml:space="preserve">Net </w:t>
            </w:r>
            <w:r>
              <w:rPr>
                <w:rFonts w:eastAsia="Times New Roman"/>
                <w:sz w:val="12"/>
                <w:szCs w:val="12"/>
              </w:rPr>
              <w:t>investment of Post Holdings, Inc.</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800" w:type="dxa"/>
            <w:gridSpan w:val="2"/>
            <w:shd w:val="clear" w:color="auto" w:fill="CCEEFF"/>
            <w:vAlign w:val="bottom"/>
          </w:tcPr>
          <w:p w:rsidR="004A0011" w:rsidRDefault="00D538EF">
            <w:pPr>
              <w:ind w:right="380"/>
              <w:jc w:val="right"/>
              <w:rPr>
                <w:sz w:val="20"/>
                <w:szCs w:val="20"/>
              </w:rPr>
            </w:pPr>
            <w:r>
              <w:rPr>
                <w:rFonts w:eastAsia="Times New Roman"/>
                <w:sz w:val="12"/>
                <w:szCs w:val="12"/>
              </w:rPr>
              <w:t>—</w:t>
            </w: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489.0</w:t>
            </w:r>
          </w:p>
        </w:tc>
        <w:tc>
          <w:tcPr>
            <w:tcW w:w="0" w:type="dxa"/>
            <w:vAlign w:val="bottom"/>
          </w:tcPr>
          <w:p w:rsidR="004A0011" w:rsidRDefault="004A0011">
            <w:pPr>
              <w:rPr>
                <w:sz w:val="1"/>
                <w:szCs w:val="1"/>
              </w:rPr>
            </w:pPr>
          </w:p>
        </w:tc>
      </w:tr>
      <w:tr w:rsidR="004A0011">
        <w:trPr>
          <w:trHeight w:val="153"/>
        </w:trPr>
        <w:tc>
          <w:tcPr>
            <w:tcW w:w="3200" w:type="dxa"/>
            <w:tcBorders>
              <w:bottom w:val="single" w:sz="8" w:space="0" w:color="CCEEFF"/>
            </w:tcBorders>
            <w:vAlign w:val="bottom"/>
          </w:tcPr>
          <w:p w:rsidR="004A0011" w:rsidRDefault="00D538EF">
            <w:pPr>
              <w:ind w:left="120"/>
              <w:rPr>
                <w:sz w:val="20"/>
                <w:szCs w:val="20"/>
              </w:rPr>
            </w:pPr>
            <w:r>
              <w:rPr>
                <w:rFonts w:eastAsia="Times New Roman"/>
                <w:sz w:val="12"/>
                <w:szCs w:val="12"/>
              </w:rPr>
              <w:t>Accumulated other comprehensive loss</w:t>
            </w:r>
          </w:p>
        </w:tc>
        <w:tc>
          <w:tcPr>
            <w:tcW w:w="3940" w:type="dxa"/>
            <w:tcBorders>
              <w:bottom w:val="single" w:sz="8" w:space="0" w:color="CCEEFF"/>
            </w:tcBorders>
            <w:vAlign w:val="bottom"/>
          </w:tcPr>
          <w:p w:rsidR="004A0011" w:rsidRDefault="004A0011">
            <w:pPr>
              <w:rPr>
                <w:sz w:val="13"/>
                <w:szCs w:val="13"/>
              </w:rPr>
            </w:pPr>
          </w:p>
        </w:tc>
        <w:tc>
          <w:tcPr>
            <w:tcW w:w="1400" w:type="dxa"/>
            <w:tcBorders>
              <w:bottom w:val="single" w:sz="8" w:space="0" w:color="auto"/>
            </w:tcBorders>
            <w:vAlign w:val="bottom"/>
          </w:tcPr>
          <w:p w:rsidR="004A0011" w:rsidRDefault="004A0011">
            <w:pPr>
              <w:rPr>
                <w:sz w:val="13"/>
                <w:szCs w:val="13"/>
              </w:rPr>
            </w:pP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(4.0)</w:t>
            </w:r>
          </w:p>
        </w:tc>
        <w:tc>
          <w:tcPr>
            <w:tcW w:w="340" w:type="dxa"/>
            <w:tcBorders>
              <w:bottom w:val="single" w:sz="8" w:space="0" w:color="CCEEFF"/>
            </w:tcBorders>
            <w:vAlign w:val="bottom"/>
          </w:tcPr>
          <w:p w:rsidR="004A0011" w:rsidRDefault="004A0011">
            <w:pPr>
              <w:rPr>
                <w:sz w:val="13"/>
                <w:szCs w:val="13"/>
              </w:rPr>
            </w:pPr>
          </w:p>
        </w:tc>
        <w:tc>
          <w:tcPr>
            <w:tcW w:w="320" w:type="dxa"/>
            <w:tcBorders>
              <w:bottom w:val="single" w:sz="8" w:space="0" w:color="auto"/>
            </w:tcBorders>
            <w:vAlign w:val="bottom"/>
          </w:tcPr>
          <w:p w:rsidR="004A0011" w:rsidRDefault="004A0011">
            <w:pPr>
              <w:rPr>
                <w:sz w:val="13"/>
                <w:szCs w:val="13"/>
              </w:rPr>
            </w:pP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(2.6)</w:t>
            </w:r>
          </w:p>
        </w:tc>
        <w:tc>
          <w:tcPr>
            <w:tcW w:w="0" w:type="dxa"/>
            <w:vAlign w:val="bottom"/>
          </w:tcPr>
          <w:p w:rsidR="004A0011" w:rsidRDefault="004A0011">
            <w:pPr>
              <w:rPr>
                <w:sz w:val="1"/>
                <w:szCs w:val="1"/>
              </w:rPr>
            </w:pPr>
          </w:p>
        </w:tc>
      </w:tr>
      <w:tr w:rsidR="004A0011">
        <w:trPr>
          <w:trHeight w:val="142"/>
        </w:trPr>
        <w:tc>
          <w:tcPr>
            <w:tcW w:w="3200" w:type="dxa"/>
            <w:shd w:val="clear" w:color="auto" w:fill="CCEEFF"/>
            <w:vAlign w:val="bottom"/>
          </w:tcPr>
          <w:p w:rsidR="004A0011" w:rsidRDefault="00D538EF">
            <w:pPr>
              <w:ind w:left="340"/>
              <w:rPr>
                <w:sz w:val="20"/>
                <w:szCs w:val="20"/>
              </w:rPr>
            </w:pPr>
            <w:r>
              <w:rPr>
                <w:rFonts w:eastAsia="Times New Roman"/>
                <w:b/>
                <w:bCs/>
                <w:sz w:val="12"/>
                <w:szCs w:val="12"/>
              </w:rPr>
              <w:t>Total Stockholders’ Equity</w:t>
            </w:r>
          </w:p>
        </w:tc>
        <w:tc>
          <w:tcPr>
            <w:tcW w:w="3940" w:type="dxa"/>
            <w:shd w:val="clear" w:color="auto" w:fill="CCEEFF"/>
            <w:vAlign w:val="bottom"/>
          </w:tcPr>
          <w:p w:rsidR="004A0011" w:rsidRDefault="004A0011">
            <w:pPr>
              <w:rPr>
                <w:sz w:val="12"/>
                <w:szCs w:val="12"/>
              </w:rPr>
            </w:pPr>
          </w:p>
        </w:tc>
        <w:tc>
          <w:tcPr>
            <w:tcW w:w="1400" w:type="dxa"/>
            <w:tcBorders>
              <w:bottom w:val="single" w:sz="8" w:space="0" w:color="auto"/>
            </w:tcBorders>
            <w:shd w:val="clear" w:color="auto" w:fill="CCEEFF"/>
            <w:vAlign w:val="bottom"/>
          </w:tcPr>
          <w:p w:rsidR="004A0011" w:rsidRDefault="004A0011">
            <w:pPr>
              <w:rPr>
                <w:sz w:val="12"/>
                <w:szCs w:val="12"/>
              </w:rPr>
            </w:pPr>
          </w:p>
        </w:tc>
        <w:tc>
          <w:tcPr>
            <w:tcW w:w="4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w w:val="95"/>
                <w:sz w:val="12"/>
                <w:szCs w:val="12"/>
              </w:rPr>
              <w:t>(2,182.6)</w:t>
            </w:r>
          </w:p>
        </w:tc>
        <w:tc>
          <w:tcPr>
            <w:tcW w:w="340" w:type="dxa"/>
            <w:shd w:val="clear" w:color="auto" w:fill="CCEEFF"/>
            <w:vAlign w:val="bottom"/>
          </w:tcPr>
          <w:p w:rsidR="004A0011" w:rsidRDefault="004A0011">
            <w:pPr>
              <w:rPr>
                <w:sz w:val="12"/>
                <w:szCs w:val="12"/>
              </w:rPr>
            </w:pPr>
          </w:p>
        </w:tc>
        <w:tc>
          <w:tcPr>
            <w:tcW w:w="320" w:type="dxa"/>
            <w:tcBorders>
              <w:bottom w:val="single" w:sz="8" w:space="0" w:color="auto"/>
            </w:tcBorders>
            <w:shd w:val="clear" w:color="auto" w:fill="CCEEFF"/>
            <w:vAlign w:val="bottom"/>
          </w:tcPr>
          <w:p w:rsidR="004A0011" w:rsidRDefault="004A0011">
            <w:pPr>
              <w:rPr>
                <w:sz w:val="12"/>
                <w:szCs w:val="12"/>
              </w:rPr>
            </w:pPr>
          </w:p>
        </w:tc>
        <w:tc>
          <w:tcPr>
            <w:tcW w:w="15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486.4</w:t>
            </w:r>
          </w:p>
        </w:tc>
        <w:tc>
          <w:tcPr>
            <w:tcW w:w="0" w:type="dxa"/>
            <w:vAlign w:val="bottom"/>
          </w:tcPr>
          <w:p w:rsidR="004A0011" w:rsidRDefault="004A0011">
            <w:pPr>
              <w:rPr>
                <w:sz w:val="1"/>
                <w:szCs w:val="1"/>
              </w:rPr>
            </w:pPr>
          </w:p>
        </w:tc>
      </w:tr>
      <w:tr w:rsidR="004A0011">
        <w:trPr>
          <w:trHeight w:val="142"/>
        </w:trPr>
        <w:tc>
          <w:tcPr>
            <w:tcW w:w="3200" w:type="dxa"/>
            <w:vAlign w:val="bottom"/>
          </w:tcPr>
          <w:p w:rsidR="004A0011" w:rsidRDefault="00D538EF">
            <w:pPr>
              <w:ind w:left="340"/>
              <w:rPr>
                <w:sz w:val="20"/>
                <w:szCs w:val="20"/>
              </w:rPr>
            </w:pPr>
            <w:r>
              <w:rPr>
                <w:rFonts w:eastAsia="Times New Roman"/>
                <w:b/>
                <w:bCs/>
                <w:sz w:val="12"/>
                <w:szCs w:val="12"/>
              </w:rPr>
              <w:t>Total Liabilities and Stockholders’ Equity</w:t>
            </w:r>
          </w:p>
        </w:tc>
        <w:tc>
          <w:tcPr>
            <w:tcW w:w="3940" w:type="dxa"/>
            <w:vAlign w:val="bottom"/>
          </w:tcPr>
          <w:p w:rsidR="004A0011" w:rsidRDefault="004A0011">
            <w:pPr>
              <w:rPr>
                <w:sz w:val="12"/>
                <w:szCs w:val="12"/>
              </w:rPr>
            </w:pPr>
          </w:p>
        </w:tc>
        <w:tc>
          <w:tcPr>
            <w:tcW w:w="1400" w:type="dxa"/>
            <w:tcBorders>
              <w:bottom w:val="single" w:sz="8" w:space="0" w:color="auto"/>
            </w:tcBorders>
            <w:vAlign w:val="bottom"/>
          </w:tcPr>
          <w:p w:rsidR="004A0011" w:rsidRDefault="00D538EF">
            <w:pPr>
              <w:ind w:right="1262"/>
              <w:jc w:val="right"/>
              <w:rPr>
                <w:sz w:val="20"/>
                <w:szCs w:val="20"/>
              </w:rPr>
            </w:pPr>
            <w:r>
              <w:rPr>
                <w:rFonts w:eastAsia="Times New Roman"/>
                <w:w w:val="99"/>
                <w:sz w:val="12"/>
                <w:szCs w:val="12"/>
              </w:rPr>
              <w:t>$</w:t>
            </w: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653.5</w:t>
            </w:r>
          </w:p>
        </w:tc>
        <w:tc>
          <w:tcPr>
            <w:tcW w:w="340" w:type="dxa"/>
            <w:vAlign w:val="bottom"/>
          </w:tcPr>
          <w:p w:rsidR="004A0011" w:rsidRDefault="004A0011">
            <w:pPr>
              <w:rPr>
                <w:sz w:val="12"/>
                <w:szCs w:val="12"/>
              </w:rPr>
            </w:pPr>
          </w:p>
        </w:tc>
        <w:tc>
          <w:tcPr>
            <w:tcW w:w="320" w:type="dxa"/>
            <w:tcBorders>
              <w:bottom w:val="single" w:sz="8" w:space="0" w:color="auto"/>
            </w:tcBorders>
            <w:vAlign w:val="bottom"/>
          </w:tcPr>
          <w:p w:rsidR="004A0011" w:rsidRDefault="00D538EF">
            <w:pPr>
              <w:ind w:right="180"/>
              <w:jc w:val="right"/>
              <w:rPr>
                <w:sz w:val="20"/>
                <w:szCs w:val="20"/>
              </w:rPr>
            </w:pPr>
            <w:r>
              <w:rPr>
                <w:rFonts w:eastAsia="Times New Roman"/>
                <w:w w:val="99"/>
                <w:sz w:val="12"/>
                <w:szCs w:val="12"/>
              </w:rPr>
              <w:t>$</w:t>
            </w: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594.5</w:t>
            </w:r>
          </w:p>
        </w:tc>
        <w:tc>
          <w:tcPr>
            <w:tcW w:w="0" w:type="dxa"/>
            <w:vAlign w:val="bottom"/>
          </w:tcPr>
          <w:p w:rsidR="004A0011" w:rsidRDefault="004A0011">
            <w:pPr>
              <w:rPr>
                <w:sz w:val="1"/>
                <w:szCs w:val="1"/>
              </w:rPr>
            </w:pPr>
          </w:p>
        </w:tc>
      </w:tr>
      <w:tr w:rsidR="004A0011">
        <w:trPr>
          <w:trHeight w:val="20"/>
        </w:trPr>
        <w:tc>
          <w:tcPr>
            <w:tcW w:w="3200" w:type="dxa"/>
            <w:vAlign w:val="bottom"/>
          </w:tcPr>
          <w:p w:rsidR="004A0011" w:rsidRDefault="004A0011">
            <w:pPr>
              <w:spacing w:line="20" w:lineRule="exact"/>
              <w:rPr>
                <w:sz w:val="1"/>
                <w:szCs w:val="1"/>
              </w:rPr>
            </w:pPr>
          </w:p>
        </w:tc>
        <w:tc>
          <w:tcPr>
            <w:tcW w:w="3940" w:type="dxa"/>
            <w:vAlign w:val="bottom"/>
          </w:tcPr>
          <w:p w:rsidR="004A0011" w:rsidRDefault="004A0011">
            <w:pPr>
              <w:spacing w:line="20" w:lineRule="exact"/>
              <w:rPr>
                <w:sz w:val="1"/>
                <w:szCs w:val="1"/>
              </w:rPr>
            </w:pPr>
          </w:p>
        </w:tc>
        <w:tc>
          <w:tcPr>
            <w:tcW w:w="1400" w:type="dxa"/>
            <w:tcBorders>
              <w:bottom w:val="single" w:sz="8" w:space="0" w:color="auto"/>
            </w:tcBorders>
            <w:vAlign w:val="bottom"/>
          </w:tcPr>
          <w:p w:rsidR="004A0011" w:rsidRDefault="004A0011">
            <w:pPr>
              <w:spacing w:line="20" w:lineRule="exact"/>
              <w:rPr>
                <w:sz w:val="1"/>
                <w:szCs w:val="1"/>
              </w:rPr>
            </w:pPr>
          </w:p>
        </w:tc>
        <w:tc>
          <w:tcPr>
            <w:tcW w:w="460" w:type="dxa"/>
            <w:tcBorders>
              <w:bottom w:val="single" w:sz="8" w:space="0" w:color="auto"/>
            </w:tcBorders>
            <w:vAlign w:val="bottom"/>
          </w:tcPr>
          <w:p w:rsidR="004A0011" w:rsidRDefault="004A0011">
            <w:pPr>
              <w:spacing w:line="20" w:lineRule="exact"/>
              <w:rPr>
                <w:sz w:val="1"/>
                <w:szCs w:val="1"/>
              </w:rPr>
            </w:pPr>
          </w:p>
        </w:tc>
        <w:tc>
          <w:tcPr>
            <w:tcW w:w="340" w:type="dxa"/>
            <w:vAlign w:val="bottom"/>
          </w:tcPr>
          <w:p w:rsidR="004A0011" w:rsidRDefault="004A0011">
            <w:pPr>
              <w:spacing w:line="20" w:lineRule="exact"/>
              <w:rPr>
                <w:sz w:val="1"/>
                <w:szCs w:val="1"/>
              </w:rPr>
            </w:pPr>
          </w:p>
        </w:tc>
        <w:tc>
          <w:tcPr>
            <w:tcW w:w="320" w:type="dxa"/>
            <w:tcBorders>
              <w:bottom w:val="single" w:sz="8" w:space="0" w:color="auto"/>
            </w:tcBorders>
            <w:vAlign w:val="bottom"/>
          </w:tcPr>
          <w:p w:rsidR="004A0011" w:rsidRDefault="004A0011">
            <w:pPr>
              <w:spacing w:line="20" w:lineRule="exact"/>
              <w:rPr>
                <w:sz w:val="1"/>
                <w:szCs w:val="1"/>
              </w:rPr>
            </w:pPr>
          </w:p>
        </w:tc>
        <w:tc>
          <w:tcPr>
            <w:tcW w:w="1560" w:type="dxa"/>
            <w:tcBorders>
              <w:bottom w:val="single" w:sz="8" w:space="0" w:color="auto"/>
            </w:tcBorders>
            <w:vAlign w:val="bottom"/>
          </w:tcPr>
          <w:p w:rsidR="004A0011" w:rsidRDefault="004A0011">
            <w:pPr>
              <w:spacing w:line="20" w:lineRule="exact"/>
              <w:rPr>
                <w:sz w:val="1"/>
                <w:szCs w:val="1"/>
              </w:rPr>
            </w:pPr>
          </w:p>
        </w:tc>
        <w:tc>
          <w:tcPr>
            <w:tcW w:w="0" w:type="dxa"/>
            <w:vAlign w:val="bottom"/>
          </w:tcPr>
          <w:p w:rsidR="004A0011" w:rsidRDefault="004A0011">
            <w:pPr>
              <w:spacing w:line="20" w:lineRule="exact"/>
              <w:rPr>
                <w:sz w:val="1"/>
                <w:szCs w:val="1"/>
              </w:rPr>
            </w:pPr>
          </w:p>
        </w:tc>
      </w:tr>
      <w:tr w:rsidR="004A0011">
        <w:trPr>
          <w:trHeight w:val="487"/>
        </w:trPr>
        <w:tc>
          <w:tcPr>
            <w:tcW w:w="3200" w:type="dxa"/>
            <w:vAlign w:val="bottom"/>
          </w:tcPr>
          <w:p w:rsidR="004A0011" w:rsidRDefault="004A0011">
            <w:pPr>
              <w:rPr>
                <w:sz w:val="24"/>
                <w:szCs w:val="24"/>
              </w:rPr>
            </w:pPr>
          </w:p>
        </w:tc>
        <w:tc>
          <w:tcPr>
            <w:tcW w:w="5340" w:type="dxa"/>
            <w:gridSpan w:val="2"/>
            <w:vAlign w:val="bottom"/>
          </w:tcPr>
          <w:p w:rsidR="004A0011" w:rsidRDefault="00D538EF">
            <w:pPr>
              <w:ind w:right="482"/>
              <w:jc w:val="center"/>
              <w:rPr>
                <w:sz w:val="20"/>
                <w:szCs w:val="20"/>
              </w:rPr>
            </w:pPr>
            <w:r>
              <w:rPr>
                <w:rFonts w:eastAsia="Times New Roman"/>
                <w:b/>
                <w:bCs/>
                <w:w w:val="97"/>
                <w:sz w:val="11"/>
                <w:szCs w:val="11"/>
              </w:rPr>
              <w:t xml:space="preserve">SELECTED CONDENSED </w:t>
            </w:r>
            <w:r>
              <w:rPr>
                <w:rFonts w:eastAsia="Times New Roman"/>
                <w:b/>
                <w:bCs/>
                <w:w w:val="97"/>
                <w:sz w:val="11"/>
                <w:szCs w:val="11"/>
              </w:rPr>
              <w:t>CONSOLIDATED CASH FLOWS INFORMATION (Unaudited)</w:t>
            </w:r>
          </w:p>
        </w:tc>
        <w:tc>
          <w:tcPr>
            <w:tcW w:w="460" w:type="dxa"/>
            <w:vAlign w:val="bottom"/>
          </w:tcPr>
          <w:p w:rsidR="004A0011" w:rsidRDefault="004A0011">
            <w:pPr>
              <w:rPr>
                <w:sz w:val="24"/>
                <w:szCs w:val="24"/>
              </w:rPr>
            </w:pPr>
          </w:p>
        </w:tc>
        <w:tc>
          <w:tcPr>
            <w:tcW w:w="340" w:type="dxa"/>
            <w:vAlign w:val="bottom"/>
          </w:tcPr>
          <w:p w:rsidR="004A0011" w:rsidRDefault="004A0011">
            <w:pPr>
              <w:rPr>
                <w:sz w:val="24"/>
                <w:szCs w:val="24"/>
              </w:rPr>
            </w:pPr>
          </w:p>
        </w:tc>
        <w:tc>
          <w:tcPr>
            <w:tcW w:w="320" w:type="dxa"/>
            <w:vAlign w:val="bottom"/>
          </w:tcPr>
          <w:p w:rsidR="004A0011" w:rsidRDefault="004A0011">
            <w:pPr>
              <w:rPr>
                <w:sz w:val="24"/>
                <w:szCs w:val="24"/>
              </w:rPr>
            </w:pPr>
          </w:p>
        </w:tc>
        <w:tc>
          <w:tcPr>
            <w:tcW w:w="1560" w:type="dxa"/>
            <w:vAlign w:val="bottom"/>
          </w:tcPr>
          <w:p w:rsidR="004A0011" w:rsidRDefault="004A0011">
            <w:pPr>
              <w:rPr>
                <w:sz w:val="24"/>
                <w:szCs w:val="24"/>
              </w:rPr>
            </w:pPr>
          </w:p>
        </w:tc>
        <w:tc>
          <w:tcPr>
            <w:tcW w:w="0" w:type="dxa"/>
            <w:vAlign w:val="bottom"/>
          </w:tcPr>
          <w:p w:rsidR="004A0011" w:rsidRDefault="004A0011">
            <w:pPr>
              <w:rPr>
                <w:sz w:val="1"/>
                <w:szCs w:val="1"/>
              </w:rPr>
            </w:pPr>
          </w:p>
        </w:tc>
      </w:tr>
      <w:tr w:rsidR="004A0011">
        <w:trPr>
          <w:trHeight w:val="142"/>
        </w:trPr>
        <w:tc>
          <w:tcPr>
            <w:tcW w:w="3200" w:type="dxa"/>
            <w:vAlign w:val="bottom"/>
          </w:tcPr>
          <w:p w:rsidR="004A0011" w:rsidRDefault="004A0011">
            <w:pPr>
              <w:rPr>
                <w:sz w:val="12"/>
                <w:szCs w:val="12"/>
              </w:rPr>
            </w:pPr>
          </w:p>
        </w:tc>
        <w:tc>
          <w:tcPr>
            <w:tcW w:w="5340" w:type="dxa"/>
            <w:gridSpan w:val="2"/>
            <w:vAlign w:val="bottom"/>
          </w:tcPr>
          <w:p w:rsidR="004A0011" w:rsidRDefault="00D538EF">
            <w:pPr>
              <w:ind w:right="482"/>
              <w:jc w:val="center"/>
              <w:rPr>
                <w:sz w:val="20"/>
                <w:szCs w:val="20"/>
              </w:rPr>
            </w:pPr>
            <w:r>
              <w:rPr>
                <w:rFonts w:eastAsia="Times New Roman"/>
                <w:b/>
                <w:bCs/>
                <w:w w:val="98"/>
                <w:sz w:val="11"/>
                <w:szCs w:val="11"/>
              </w:rPr>
              <w:t>(in millions)</w:t>
            </w:r>
          </w:p>
        </w:tc>
        <w:tc>
          <w:tcPr>
            <w:tcW w:w="460" w:type="dxa"/>
            <w:vAlign w:val="bottom"/>
          </w:tcPr>
          <w:p w:rsidR="004A0011" w:rsidRDefault="004A0011">
            <w:pPr>
              <w:rPr>
                <w:sz w:val="12"/>
                <w:szCs w:val="12"/>
              </w:rPr>
            </w:pPr>
          </w:p>
        </w:tc>
        <w:tc>
          <w:tcPr>
            <w:tcW w:w="34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1560" w:type="dxa"/>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21"/>
        </w:trPr>
        <w:tc>
          <w:tcPr>
            <w:tcW w:w="3200" w:type="dxa"/>
            <w:vAlign w:val="bottom"/>
          </w:tcPr>
          <w:p w:rsidR="004A0011" w:rsidRDefault="004A0011">
            <w:pPr>
              <w:rPr>
                <w:sz w:val="10"/>
                <w:szCs w:val="10"/>
              </w:rPr>
            </w:pPr>
          </w:p>
        </w:tc>
        <w:tc>
          <w:tcPr>
            <w:tcW w:w="3940" w:type="dxa"/>
            <w:vAlign w:val="bottom"/>
          </w:tcPr>
          <w:p w:rsidR="004A0011" w:rsidRDefault="004A0011">
            <w:pPr>
              <w:rPr>
                <w:sz w:val="10"/>
                <w:szCs w:val="10"/>
              </w:rPr>
            </w:pPr>
          </w:p>
        </w:tc>
        <w:tc>
          <w:tcPr>
            <w:tcW w:w="1400" w:type="dxa"/>
            <w:vAlign w:val="bottom"/>
          </w:tcPr>
          <w:p w:rsidR="004A0011" w:rsidRDefault="004A0011">
            <w:pPr>
              <w:rPr>
                <w:sz w:val="10"/>
                <w:szCs w:val="10"/>
              </w:rPr>
            </w:pPr>
          </w:p>
        </w:tc>
        <w:tc>
          <w:tcPr>
            <w:tcW w:w="1120" w:type="dxa"/>
            <w:gridSpan w:val="3"/>
            <w:vAlign w:val="bottom"/>
          </w:tcPr>
          <w:p w:rsidR="004A0011" w:rsidRDefault="00D538EF">
            <w:pPr>
              <w:spacing w:line="121" w:lineRule="exact"/>
              <w:ind w:right="160"/>
              <w:jc w:val="right"/>
              <w:rPr>
                <w:sz w:val="20"/>
                <w:szCs w:val="20"/>
              </w:rPr>
            </w:pPr>
            <w:r>
              <w:rPr>
                <w:rFonts w:eastAsia="Times New Roman"/>
                <w:b/>
                <w:bCs/>
                <w:sz w:val="11"/>
                <w:szCs w:val="11"/>
              </w:rPr>
              <w:t>Year Ended</w:t>
            </w:r>
          </w:p>
        </w:tc>
        <w:tc>
          <w:tcPr>
            <w:tcW w:w="1560" w:type="dxa"/>
            <w:vAlign w:val="bottom"/>
          </w:tcPr>
          <w:p w:rsidR="004A0011" w:rsidRDefault="004A0011">
            <w:pPr>
              <w:rPr>
                <w:sz w:val="10"/>
                <w:szCs w:val="10"/>
              </w:rPr>
            </w:pPr>
          </w:p>
        </w:tc>
        <w:tc>
          <w:tcPr>
            <w:tcW w:w="0" w:type="dxa"/>
            <w:vAlign w:val="bottom"/>
          </w:tcPr>
          <w:p w:rsidR="004A0011" w:rsidRDefault="004A0011">
            <w:pPr>
              <w:rPr>
                <w:sz w:val="1"/>
                <w:szCs w:val="1"/>
              </w:rPr>
            </w:pPr>
          </w:p>
        </w:tc>
      </w:tr>
      <w:tr w:rsidR="004A0011">
        <w:trPr>
          <w:trHeight w:val="143"/>
        </w:trPr>
        <w:tc>
          <w:tcPr>
            <w:tcW w:w="3200" w:type="dxa"/>
            <w:vAlign w:val="bottom"/>
          </w:tcPr>
          <w:p w:rsidR="004A0011" w:rsidRDefault="004A0011">
            <w:pPr>
              <w:rPr>
                <w:sz w:val="12"/>
                <w:szCs w:val="12"/>
              </w:rPr>
            </w:pPr>
          </w:p>
        </w:tc>
        <w:tc>
          <w:tcPr>
            <w:tcW w:w="3940" w:type="dxa"/>
            <w:vAlign w:val="bottom"/>
          </w:tcPr>
          <w:p w:rsidR="004A0011" w:rsidRDefault="004A0011">
            <w:pPr>
              <w:rPr>
                <w:sz w:val="12"/>
                <w:szCs w:val="12"/>
              </w:rPr>
            </w:pPr>
          </w:p>
        </w:tc>
        <w:tc>
          <w:tcPr>
            <w:tcW w:w="1400" w:type="dxa"/>
            <w:tcBorders>
              <w:bottom w:val="single" w:sz="8" w:space="0" w:color="auto"/>
            </w:tcBorders>
            <w:vAlign w:val="bottom"/>
          </w:tcPr>
          <w:p w:rsidR="004A0011" w:rsidRDefault="004A0011">
            <w:pPr>
              <w:rPr>
                <w:sz w:val="12"/>
                <w:szCs w:val="12"/>
              </w:rPr>
            </w:pPr>
          </w:p>
        </w:tc>
        <w:tc>
          <w:tcPr>
            <w:tcW w:w="1120" w:type="dxa"/>
            <w:gridSpan w:val="3"/>
            <w:tcBorders>
              <w:bottom w:val="single" w:sz="8" w:space="0" w:color="auto"/>
            </w:tcBorders>
            <w:vAlign w:val="bottom"/>
          </w:tcPr>
          <w:p w:rsidR="004A0011" w:rsidRDefault="00D538EF">
            <w:pPr>
              <w:ind w:right="100"/>
              <w:jc w:val="right"/>
              <w:rPr>
                <w:sz w:val="20"/>
                <w:szCs w:val="20"/>
              </w:rPr>
            </w:pPr>
            <w:r>
              <w:rPr>
                <w:rFonts w:eastAsia="Times New Roman"/>
                <w:b/>
                <w:bCs/>
                <w:sz w:val="11"/>
                <w:szCs w:val="11"/>
              </w:rPr>
              <w:t>September 30,</w:t>
            </w:r>
          </w:p>
        </w:tc>
        <w:tc>
          <w:tcPr>
            <w:tcW w:w="1560" w:type="dxa"/>
            <w:tcBorders>
              <w:bottom w:val="single" w:sz="8" w:space="0" w:color="auto"/>
            </w:tcBorders>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33"/>
        </w:trPr>
        <w:tc>
          <w:tcPr>
            <w:tcW w:w="3200" w:type="dxa"/>
            <w:tcBorders>
              <w:bottom w:val="single" w:sz="8" w:space="0" w:color="CCEEFF"/>
            </w:tcBorders>
            <w:vAlign w:val="bottom"/>
          </w:tcPr>
          <w:p w:rsidR="004A0011" w:rsidRDefault="004A0011">
            <w:pPr>
              <w:rPr>
                <w:sz w:val="11"/>
                <w:szCs w:val="11"/>
              </w:rPr>
            </w:pPr>
          </w:p>
        </w:tc>
        <w:tc>
          <w:tcPr>
            <w:tcW w:w="3940" w:type="dxa"/>
            <w:tcBorders>
              <w:bottom w:val="single" w:sz="8" w:space="0" w:color="CCEEFF"/>
            </w:tcBorders>
            <w:vAlign w:val="bottom"/>
          </w:tcPr>
          <w:p w:rsidR="004A0011" w:rsidRDefault="004A0011">
            <w:pPr>
              <w:rPr>
                <w:sz w:val="11"/>
                <w:szCs w:val="11"/>
              </w:rPr>
            </w:pPr>
          </w:p>
        </w:tc>
        <w:tc>
          <w:tcPr>
            <w:tcW w:w="1400" w:type="dxa"/>
            <w:tcBorders>
              <w:bottom w:val="single" w:sz="8" w:space="0" w:color="auto"/>
            </w:tcBorders>
            <w:vAlign w:val="bottom"/>
          </w:tcPr>
          <w:p w:rsidR="004A0011" w:rsidRDefault="00D538EF">
            <w:pPr>
              <w:ind w:right="302"/>
              <w:jc w:val="right"/>
              <w:rPr>
                <w:sz w:val="20"/>
                <w:szCs w:val="20"/>
              </w:rPr>
            </w:pPr>
            <w:r>
              <w:rPr>
                <w:rFonts w:eastAsia="Times New Roman"/>
                <w:b/>
                <w:bCs/>
                <w:sz w:val="11"/>
                <w:szCs w:val="11"/>
              </w:rPr>
              <w:t>2020</w:t>
            </w:r>
          </w:p>
        </w:tc>
        <w:tc>
          <w:tcPr>
            <w:tcW w:w="460" w:type="dxa"/>
            <w:tcBorders>
              <w:bottom w:val="single" w:sz="8" w:space="0" w:color="auto"/>
            </w:tcBorders>
            <w:vAlign w:val="bottom"/>
          </w:tcPr>
          <w:p w:rsidR="004A0011" w:rsidRDefault="004A0011">
            <w:pPr>
              <w:rPr>
                <w:sz w:val="11"/>
                <w:szCs w:val="11"/>
              </w:rPr>
            </w:pPr>
          </w:p>
        </w:tc>
        <w:tc>
          <w:tcPr>
            <w:tcW w:w="340" w:type="dxa"/>
            <w:tcBorders>
              <w:bottom w:val="single" w:sz="8" w:space="0" w:color="CCEEFF"/>
            </w:tcBorders>
            <w:vAlign w:val="bottom"/>
          </w:tcPr>
          <w:p w:rsidR="004A0011" w:rsidRDefault="004A0011">
            <w:pPr>
              <w:rPr>
                <w:sz w:val="11"/>
                <w:szCs w:val="11"/>
              </w:rPr>
            </w:pPr>
          </w:p>
        </w:tc>
        <w:tc>
          <w:tcPr>
            <w:tcW w:w="320" w:type="dxa"/>
            <w:tcBorders>
              <w:bottom w:val="single" w:sz="8" w:space="0" w:color="auto"/>
            </w:tcBorders>
            <w:vAlign w:val="bottom"/>
          </w:tcPr>
          <w:p w:rsidR="004A0011" w:rsidRDefault="004A0011">
            <w:pPr>
              <w:rPr>
                <w:sz w:val="11"/>
                <w:szCs w:val="11"/>
              </w:rPr>
            </w:pPr>
          </w:p>
        </w:tc>
        <w:tc>
          <w:tcPr>
            <w:tcW w:w="1560" w:type="dxa"/>
            <w:tcBorders>
              <w:bottom w:val="single" w:sz="8" w:space="0" w:color="auto"/>
            </w:tcBorders>
            <w:vAlign w:val="bottom"/>
          </w:tcPr>
          <w:p w:rsidR="004A0011" w:rsidRDefault="00D538EF">
            <w:pPr>
              <w:ind w:right="780"/>
              <w:jc w:val="right"/>
              <w:rPr>
                <w:sz w:val="20"/>
                <w:szCs w:val="20"/>
              </w:rPr>
            </w:pPr>
            <w:r>
              <w:rPr>
                <w:rFonts w:eastAsia="Times New Roman"/>
                <w:b/>
                <w:bCs/>
                <w:sz w:val="11"/>
                <w:szCs w:val="11"/>
              </w:rPr>
              <w:t>2019</w:t>
            </w:r>
          </w:p>
        </w:tc>
        <w:tc>
          <w:tcPr>
            <w:tcW w:w="0" w:type="dxa"/>
            <w:vAlign w:val="bottom"/>
          </w:tcPr>
          <w:p w:rsidR="004A0011" w:rsidRDefault="004A0011">
            <w:pPr>
              <w:rPr>
                <w:sz w:val="1"/>
                <w:szCs w:val="1"/>
              </w:rPr>
            </w:pPr>
          </w:p>
        </w:tc>
      </w:tr>
      <w:tr w:rsidR="004A0011">
        <w:trPr>
          <w:trHeight w:val="134"/>
        </w:trPr>
        <w:tc>
          <w:tcPr>
            <w:tcW w:w="3200" w:type="dxa"/>
            <w:shd w:val="clear" w:color="auto" w:fill="CCEEFF"/>
            <w:vAlign w:val="bottom"/>
          </w:tcPr>
          <w:p w:rsidR="004A0011" w:rsidRDefault="00D538EF">
            <w:pPr>
              <w:spacing w:line="134" w:lineRule="exact"/>
              <w:rPr>
                <w:sz w:val="20"/>
                <w:szCs w:val="20"/>
              </w:rPr>
            </w:pPr>
            <w:r>
              <w:rPr>
                <w:rFonts w:eastAsia="Times New Roman"/>
                <w:b/>
                <w:bCs/>
                <w:sz w:val="12"/>
                <w:szCs w:val="12"/>
              </w:rPr>
              <w:t>Cash provided by (used in):</w:t>
            </w:r>
          </w:p>
        </w:tc>
        <w:tc>
          <w:tcPr>
            <w:tcW w:w="3940" w:type="dxa"/>
            <w:shd w:val="clear" w:color="auto" w:fill="CCEEFF"/>
            <w:vAlign w:val="bottom"/>
          </w:tcPr>
          <w:p w:rsidR="004A0011" w:rsidRDefault="004A0011">
            <w:pPr>
              <w:rPr>
                <w:sz w:val="11"/>
                <w:szCs w:val="11"/>
              </w:rPr>
            </w:pPr>
          </w:p>
        </w:tc>
        <w:tc>
          <w:tcPr>
            <w:tcW w:w="1400" w:type="dxa"/>
            <w:shd w:val="clear" w:color="auto" w:fill="CCEEFF"/>
            <w:vAlign w:val="bottom"/>
          </w:tcPr>
          <w:p w:rsidR="004A0011" w:rsidRDefault="004A0011">
            <w:pPr>
              <w:rPr>
                <w:sz w:val="11"/>
                <w:szCs w:val="11"/>
              </w:rPr>
            </w:pPr>
          </w:p>
        </w:tc>
        <w:tc>
          <w:tcPr>
            <w:tcW w:w="460" w:type="dxa"/>
            <w:shd w:val="clear" w:color="auto" w:fill="CCEEFF"/>
            <w:vAlign w:val="bottom"/>
          </w:tcPr>
          <w:p w:rsidR="004A0011" w:rsidRDefault="004A0011">
            <w:pPr>
              <w:rPr>
                <w:sz w:val="11"/>
                <w:szCs w:val="11"/>
              </w:rPr>
            </w:pPr>
          </w:p>
        </w:tc>
        <w:tc>
          <w:tcPr>
            <w:tcW w:w="340" w:type="dxa"/>
            <w:shd w:val="clear" w:color="auto" w:fill="CCEEFF"/>
            <w:vAlign w:val="bottom"/>
          </w:tcPr>
          <w:p w:rsidR="004A0011" w:rsidRDefault="004A0011">
            <w:pPr>
              <w:rPr>
                <w:sz w:val="11"/>
                <w:szCs w:val="11"/>
              </w:rPr>
            </w:pPr>
          </w:p>
        </w:tc>
        <w:tc>
          <w:tcPr>
            <w:tcW w:w="320" w:type="dxa"/>
            <w:shd w:val="clear" w:color="auto" w:fill="CCEEFF"/>
            <w:vAlign w:val="bottom"/>
          </w:tcPr>
          <w:p w:rsidR="004A0011" w:rsidRDefault="004A0011">
            <w:pPr>
              <w:rPr>
                <w:sz w:val="11"/>
                <w:szCs w:val="11"/>
              </w:rPr>
            </w:pPr>
          </w:p>
        </w:tc>
        <w:tc>
          <w:tcPr>
            <w:tcW w:w="1560" w:type="dxa"/>
            <w:shd w:val="clear" w:color="auto" w:fill="CCEEFF"/>
            <w:vAlign w:val="bottom"/>
          </w:tcPr>
          <w:p w:rsidR="004A0011" w:rsidRDefault="004A0011">
            <w:pPr>
              <w:rPr>
                <w:sz w:val="11"/>
                <w:szCs w:val="11"/>
              </w:rPr>
            </w:pP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40"/>
              <w:rPr>
                <w:sz w:val="20"/>
                <w:szCs w:val="20"/>
              </w:rPr>
            </w:pPr>
            <w:r>
              <w:rPr>
                <w:rFonts w:eastAsia="Times New Roman"/>
                <w:sz w:val="12"/>
                <w:szCs w:val="12"/>
              </w:rPr>
              <w:t>Operating activities</w:t>
            </w:r>
          </w:p>
        </w:tc>
        <w:tc>
          <w:tcPr>
            <w:tcW w:w="5340" w:type="dxa"/>
            <w:gridSpan w:val="2"/>
            <w:vAlign w:val="bottom"/>
          </w:tcPr>
          <w:p w:rsidR="004A0011" w:rsidRDefault="00D538EF">
            <w:pPr>
              <w:ind w:right="1262"/>
              <w:jc w:val="right"/>
              <w:rPr>
                <w:sz w:val="20"/>
                <w:szCs w:val="20"/>
              </w:rPr>
            </w:pPr>
            <w:r>
              <w:rPr>
                <w:rFonts w:eastAsia="Times New Roman"/>
                <w:sz w:val="12"/>
                <w:szCs w:val="12"/>
              </w:rPr>
              <w:t>$</w:t>
            </w:r>
          </w:p>
        </w:tc>
        <w:tc>
          <w:tcPr>
            <w:tcW w:w="460" w:type="dxa"/>
            <w:vAlign w:val="bottom"/>
          </w:tcPr>
          <w:p w:rsidR="004A0011" w:rsidRDefault="00D538EF">
            <w:pPr>
              <w:jc w:val="right"/>
              <w:rPr>
                <w:sz w:val="20"/>
                <w:szCs w:val="20"/>
              </w:rPr>
            </w:pPr>
            <w:r>
              <w:rPr>
                <w:rFonts w:eastAsia="Times New Roman"/>
                <w:sz w:val="12"/>
                <w:szCs w:val="12"/>
              </w:rPr>
              <w:t>97.2</w:t>
            </w:r>
          </w:p>
        </w:tc>
        <w:tc>
          <w:tcPr>
            <w:tcW w:w="340" w:type="dxa"/>
            <w:vAlign w:val="bottom"/>
          </w:tcPr>
          <w:p w:rsidR="004A0011" w:rsidRDefault="004A0011">
            <w:pPr>
              <w:rPr>
                <w:sz w:val="13"/>
                <w:szCs w:val="13"/>
              </w:rPr>
            </w:pPr>
          </w:p>
        </w:tc>
        <w:tc>
          <w:tcPr>
            <w:tcW w:w="320" w:type="dxa"/>
            <w:vAlign w:val="bottom"/>
          </w:tcPr>
          <w:p w:rsidR="004A0011" w:rsidRDefault="00D538EF">
            <w:pPr>
              <w:ind w:right="180"/>
              <w:jc w:val="right"/>
              <w:rPr>
                <w:sz w:val="20"/>
                <w:szCs w:val="20"/>
              </w:rPr>
            </w:pPr>
            <w:r>
              <w:rPr>
                <w:rFonts w:eastAsia="Times New Roman"/>
                <w:w w:val="99"/>
                <w:sz w:val="12"/>
                <w:szCs w:val="12"/>
              </w:rPr>
              <w:t>$</w:t>
            </w:r>
          </w:p>
        </w:tc>
        <w:tc>
          <w:tcPr>
            <w:tcW w:w="1560" w:type="dxa"/>
            <w:vAlign w:val="bottom"/>
          </w:tcPr>
          <w:p w:rsidR="004A0011" w:rsidRDefault="00D538EF">
            <w:pPr>
              <w:jc w:val="right"/>
              <w:rPr>
                <w:sz w:val="20"/>
                <w:szCs w:val="20"/>
              </w:rPr>
            </w:pPr>
            <w:r>
              <w:rPr>
                <w:rFonts w:eastAsia="Times New Roman"/>
                <w:sz w:val="12"/>
                <w:szCs w:val="12"/>
              </w:rPr>
              <w:t>98.3</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ind w:left="140"/>
              <w:rPr>
                <w:sz w:val="20"/>
                <w:szCs w:val="20"/>
              </w:rPr>
            </w:pPr>
            <w:r>
              <w:rPr>
                <w:rFonts w:eastAsia="Times New Roman"/>
                <w:sz w:val="12"/>
                <w:szCs w:val="12"/>
              </w:rPr>
              <w:t>Investing activities</w:t>
            </w:r>
          </w:p>
        </w:tc>
        <w:tc>
          <w:tcPr>
            <w:tcW w:w="3940" w:type="dxa"/>
            <w:shd w:val="clear" w:color="auto" w:fill="CCEEFF"/>
            <w:vAlign w:val="bottom"/>
          </w:tcPr>
          <w:p w:rsidR="004A0011" w:rsidRDefault="004A0011">
            <w:pPr>
              <w:rPr>
                <w:sz w:val="13"/>
                <w:szCs w:val="13"/>
              </w:rPr>
            </w:pPr>
          </w:p>
        </w:tc>
        <w:tc>
          <w:tcPr>
            <w:tcW w:w="140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D538EF">
            <w:pPr>
              <w:jc w:val="right"/>
              <w:rPr>
                <w:sz w:val="20"/>
                <w:szCs w:val="20"/>
              </w:rPr>
            </w:pPr>
            <w:r>
              <w:rPr>
                <w:rFonts w:eastAsia="Times New Roman"/>
                <w:sz w:val="12"/>
                <w:szCs w:val="12"/>
              </w:rPr>
              <w:t>(2.1)</w:t>
            </w:r>
          </w:p>
        </w:tc>
        <w:tc>
          <w:tcPr>
            <w:tcW w:w="34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4A0011">
            <w:pPr>
              <w:rPr>
                <w:sz w:val="13"/>
                <w:szCs w:val="13"/>
              </w:rPr>
            </w:pPr>
          </w:p>
        </w:tc>
        <w:tc>
          <w:tcPr>
            <w:tcW w:w="1560" w:type="dxa"/>
            <w:shd w:val="clear" w:color="auto" w:fill="CCEEFF"/>
            <w:vAlign w:val="bottom"/>
          </w:tcPr>
          <w:p w:rsidR="004A0011" w:rsidRDefault="00D538EF">
            <w:pPr>
              <w:jc w:val="right"/>
              <w:rPr>
                <w:sz w:val="20"/>
                <w:szCs w:val="20"/>
              </w:rPr>
            </w:pPr>
            <w:r>
              <w:rPr>
                <w:rFonts w:eastAsia="Times New Roman"/>
                <w:sz w:val="12"/>
                <w:szCs w:val="12"/>
              </w:rPr>
              <w:t>(3.2)</w:t>
            </w:r>
          </w:p>
        </w:tc>
        <w:tc>
          <w:tcPr>
            <w:tcW w:w="0" w:type="dxa"/>
            <w:vAlign w:val="bottom"/>
          </w:tcPr>
          <w:p w:rsidR="004A0011" w:rsidRDefault="004A0011">
            <w:pPr>
              <w:rPr>
                <w:sz w:val="1"/>
                <w:szCs w:val="1"/>
              </w:rPr>
            </w:pPr>
          </w:p>
        </w:tc>
      </w:tr>
      <w:tr w:rsidR="004A0011">
        <w:trPr>
          <w:trHeight w:val="153"/>
        </w:trPr>
        <w:tc>
          <w:tcPr>
            <w:tcW w:w="3200" w:type="dxa"/>
            <w:vAlign w:val="bottom"/>
          </w:tcPr>
          <w:p w:rsidR="004A0011" w:rsidRDefault="00D538EF">
            <w:pPr>
              <w:ind w:left="140"/>
              <w:rPr>
                <w:sz w:val="20"/>
                <w:szCs w:val="20"/>
              </w:rPr>
            </w:pPr>
            <w:r>
              <w:rPr>
                <w:rFonts w:eastAsia="Times New Roman"/>
                <w:sz w:val="12"/>
                <w:szCs w:val="12"/>
              </w:rPr>
              <w:t>Financing activities</w:t>
            </w:r>
          </w:p>
        </w:tc>
        <w:tc>
          <w:tcPr>
            <w:tcW w:w="3940" w:type="dxa"/>
            <w:vAlign w:val="bottom"/>
          </w:tcPr>
          <w:p w:rsidR="004A0011" w:rsidRDefault="004A0011">
            <w:pPr>
              <w:rPr>
                <w:sz w:val="13"/>
                <w:szCs w:val="13"/>
              </w:rPr>
            </w:pPr>
          </w:p>
        </w:tc>
        <w:tc>
          <w:tcPr>
            <w:tcW w:w="1400" w:type="dxa"/>
            <w:vAlign w:val="bottom"/>
          </w:tcPr>
          <w:p w:rsidR="004A0011" w:rsidRDefault="004A0011">
            <w:pPr>
              <w:rPr>
                <w:sz w:val="13"/>
                <w:szCs w:val="13"/>
              </w:rPr>
            </w:pPr>
          </w:p>
        </w:tc>
        <w:tc>
          <w:tcPr>
            <w:tcW w:w="460" w:type="dxa"/>
            <w:vAlign w:val="bottom"/>
          </w:tcPr>
          <w:p w:rsidR="004A0011" w:rsidRDefault="00D538EF">
            <w:pPr>
              <w:jc w:val="right"/>
              <w:rPr>
                <w:sz w:val="20"/>
                <w:szCs w:val="20"/>
              </w:rPr>
            </w:pPr>
            <w:r>
              <w:rPr>
                <w:rFonts w:eastAsia="Times New Roman"/>
                <w:sz w:val="12"/>
                <w:szCs w:val="12"/>
              </w:rPr>
              <w:t>(52.6)</w:t>
            </w:r>
          </w:p>
        </w:tc>
        <w:tc>
          <w:tcPr>
            <w:tcW w:w="340" w:type="dxa"/>
            <w:vAlign w:val="bottom"/>
          </w:tcPr>
          <w:p w:rsidR="004A0011" w:rsidRDefault="004A0011">
            <w:pPr>
              <w:rPr>
                <w:sz w:val="13"/>
                <w:szCs w:val="13"/>
              </w:rPr>
            </w:pPr>
          </w:p>
        </w:tc>
        <w:tc>
          <w:tcPr>
            <w:tcW w:w="320" w:type="dxa"/>
            <w:vAlign w:val="bottom"/>
          </w:tcPr>
          <w:p w:rsidR="004A0011" w:rsidRDefault="004A0011">
            <w:pPr>
              <w:rPr>
                <w:sz w:val="13"/>
                <w:szCs w:val="13"/>
              </w:rPr>
            </w:pPr>
          </w:p>
        </w:tc>
        <w:tc>
          <w:tcPr>
            <w:tcW w:w="1560" w:type="dxa"/>
            <w:vAlign w:val="bottom"/>
          </w:tcPr>
          <w:p w:rsidR="004A0011" w:rsidRDefault="00D538EF">
            <w:pPr>
              <w:jc w:val="right"/>
              <w:rPr>
                <w:sz w:val="20"/>
                <w:szCs w:val="20"/>
              </w:rPr>
            </w:pPr>
            <w:r>
              <w:rPr>
                <w:rFonts w:eastAsia="Times New Roman"/>
                <w:sz w:val="12"/>
                <w:szCs w:val="12"/>
              </w:rPr>
              <w:t>(100.2)</w:t>
            </w:r>
          </w:p>
        </w:tc>
        <w:tc>
          <w:tcPr>
            <w:tcW w:w="0" w:type="dxa"/>
            <w:vAlign w:val="bottom"/>
          </w:tcPr>
          <w:p w:rsidR="004A0011" w:rsidRDefault="004A0011">
            <w:pPr>
              <w:rPr>
                <w:sz w:val="1"/>
                <w:szCs w:val="1"/>
              </w:rPr>
            </w:pPr>
          </w:p>
        </w:tc>
      </w:tr>
      <w:tr w:rsidR="004A0011">
        <w:trPr>
          <w:trHeight w:val="153"/>
        </w:trPr>
        <w:tc>
          <w:tcPr>
            <w:tcW w:w="3200" w:type="dxa"/>
            <w:shd w:val="clear" w:color="auto" w:fill="CCEEFF"/>
            <w:vAlign w:val="bottom"/>
          </w:tcPr>
          <w:p w:rsidR="004A0011" w:rsidRDefault="00D538EF">
            <w:pPr>
              <w:rPr>
                <w:sz w:val="20"/>
                <w:szCs w:val="20"/>
              </w:rPr>
            </w:pPr>
            <w:r>
              <w:rPr>
                <w:rFonts w:eastAsia="Times New Roman"/>
                <w:sz w:val="12"/>
                <w:szCs w:val="12"/>
              </w:rPr>
              <w:t>Effect of exchange rate changes on cash and cash equivalents</w:t>
            </w:r>
          </w:p>
        </w:tc>
        <w:tc>
          <w:tcPr>
            <w:tcW w:w="3940" w:type="dxa"/>
            <w:shd w:val="clear" w:color="auto" w:fill="CCEEFF"/>
            <w:vAlign w:val="bottom"/>
          </w:tcPr>
          <w:p w:rsidR="004A0011" w:rsidRDefault="004A0011">
            <w:pPr>
              <w:rPr>
                <w:sz w:val="13"/>
                <w:szCs w:val="13"/>
              </w:rPr>
            </w:pPr>
          </w:p>
        </w:tc>
        <w:tc>
          <w:tcPr>
            <w:tcW w:w="1400" w:type="dxa"/>
            <w:tcBorders>
              <w:bottom w:val="single" w:sz="8" w:space="0" w:color="auto"/>
            </w:tcBorders>
            <w:shd w:val="clear" w:color="auto" w:fill="CCEEFF"/>
            <w:vAlign w:val="bottom"/>
          </w:tcPr>
          <w:p w:rsidR="004A0011" w:rsidRDefault="004A0011">
            <w:pPr>
              <w:rPr>
                <w:sz w:val="13"/>
                <w:szCs w:val="13"/>
              </w:rPr>
            </w:pPr>
          </w:p>
        </w:tc>
        <w:tc>
          <w:tcPr>
            <w:tcW w:w="4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0.7</w:t>
            </w:r>
          </w:p>
        </w:tc>
        <w:tc>
          <w:tcPr>
            <w:tcW w:w="340" w:type="dxa"/>
            <w:shd w:val="clear" w:color="auto" w:fill="CCEEFF"/>
            <w:vAlign w:val="bottom"/>
          </w:tcPr>
          <w:p w:rsidR="004A0011" w:rsidRDefault="004A0011">
            <w:pPr>
              <w:rPr>
                <w:sz w:val="13"/>
                <w:szCs w:val="13"/>
              </w:rPr>
            </w:pPr>
          </w:p>
        </w:tc>
        <w:tc>
          <w:tcPr>
            <w:tcW w:w="320" w:type="dxa"/>
            <w:tcBorders>
              <w:bottom w:val="single" w:sz="8" w:space="0" w:color="auto"/>
            </w:tcBorders>
            <w:shd w:val="clear" w:color="auto" w:fill="CCEEFF"/>
            <w:vAlign w:val="bottom"/>
          </w:tcPr>
          <w:p w:rsidR="004A0011" w:rsidRDefault="004A0011">
            <w:pPr>
              <w:rPr>
                <w:sz w:val="13"/>
                <w:szCs w:val="13"/>
              </w:rPr>
            </w:pPr>
          </w:p>
        </w:tc>
        <w:tc>
          <w:tcPr>
            <w:tcW w:w="15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(0.3)</w:t>
            </w:r>
          </w:p>
        </w:tc>
        <w:tc>
          <w:tcPr>
            <w:tcW w:w="0" w:type="dxa"/>
            <w:vAlign w:val="bottom"/>
          </w:tcPr>
          <w:p w:rsidR="004A0011" w:rsidRDefault="004A0011">
            <w:pPr>
              <w:rPr>
                <w:sz w:val="1"/>
                <w:szCs w:val="1"/>
              </w:rPr>
            </w:pPr>
          </w:p>
        </w:tc>
      </w:tr>
      <w:tr w:rsidR="004A0011">
        <w:trPr>
          <w:trHeight w:val="142"/>
        </w:trPr>
        <w:tc>
          <w:tcPr>
            <w:tcW w:w="3200" w:type="dxa"/>
            <w:vAlign w:val="bottom"/>
          </w:tcPr>
          <w:p w:rsidR="004A0011" w:rsidRDefault="00D538EF">
            <w:pPr>
              <w:rPr>
                <w:sz w:val="20"/>
                <w:szCs w:val="20"/>
              </w:rPr>
            </w:pPr>
            <w:r>
              <w:rPr>
                <w:rFonts w:eastAsia="Times New Roman"/>
                <w:b/>
                <w:bCs/>
                <w:sz w:val="12"/>
                <w:szCs w:val="12"/>
              </w:rPr>
              <w:t>Increase (decrease) in cash and cash equivalents</w:t>
            </w:r>
          </w:p>
        </w:tc>
        <w:tc>
          <w:tcPr>
            <w:tcW w:w="3940" w:type="dxa"/>
            <w:vAlign w:val="bottom"/>
          </w:tcPr>
          <w:p w:rsidR="004A0011" w:rsidRDefault="004A0011">
            <w:pPr>
              <w:rPr>
                <w:sz w:val="12"/>
                <w:szCs w:val="12"/>
              </w:rPr>
            </w:pPr>
          </w:p>
        </w:tc>
        <w:tc>
          <w:tcPr>
            <w:tcW w:w="1400" w:type="dxa"/>
            <w:tcBorders>
              <w:bottom w:val="single" w:sz="8" w:space="0" w:color="auto"/>
            </w:tcBorders>
            <w:vAlign w:val="bottom"/>
          </w:tcPr>
          <w:p w:rsidR="004A0011" w:rsidRDefault="00D538EF">
            <w:pPr>
              <w:ind w:right="1262"/>
              <w:jc w:val="right"/>
              <w:rPr>
                <w:sz w:val="20"/>
                <w:szCs w:val="20"/>
              </w:rPr>
            </w:pPr>
            <w:r>
              <w:rPr>
                <w:rFonts w:eastAsia="Times New Roman"/>
                <w:w w:val="99"/>
                <w:sz w:val="12"/>
                <w:szCs w:val="12"/>
              </w:rPr>
              <w:t>$</w:t>
            </w:r>
          </w:p>
        </w:tc>
        <w:tc>
          <w:tcPr>
            <w:tcW w:w="460" w:type="dxa"/>
            <w:tcBorders>
              <w:bottom w:val="single" w:sz="8" w:space="0" w:color="auto"/>
            </w:tcBorders>
            <w:vAlign w:val="bottom"/>
          </w:tcPr>
          <w:p w:rsidR="004A0011" w:rsidRDefault="00D538EF">
            <w:pPr>
              <w:jc w:val="right"/>
              <w:rPr>
                <w:sz w:val="20"/>
                <w:szCs w:val="20"/>
              </w:rPr>
            </w:pPr>
            <w:r>
              <w:rPr>
                <w:rFonts w:eastAsia="Times New Roman"/>
                <w:sz w:val="12"/>
                <w:szCs w:val="12"/>
              </w:rPr>
              <w:t>43.2</w:t>
            </w:r>
          </w:p>
        </w:tc>
        <w:tc>
          <w:tcPr>
            <w:tcW w:w="340" w:type="dxa"/>
            <w:vAlign w:val="bottom"/>
          </w:tcPr>
          <w:p w:rsidR="004A0011" w:rsidRDefault="004A0011">
            <w:pPr>
              <w:rPr>
                <w:sz w:val="12"/>
                <w:szCs w:val="12"/>
              </w:rPr>
            </w:pPr>
          </w:p>
        </w:tc>
        <w:tc>
          <w:tcPr>
            <w:tcW w:w="320" w:type="dxa"/>
            <w:tcBorders>
              <w:bottom w:val="single" w:sz="8" w:space="0" w:color="auto"/>
            </w:tcBorders>
            <w:vAlign w:val="bottom"/>
          </w:tcPr>
          <w:p w:rsidR="004A0011" w:rsidRDefault="00D538EF">
            <w:pPr>
              <w:ind w:right="180"/>
              <w:jc w:val="right"/>
              <w:rPr>
                <w:sz w:val="20"/>
                <w:szCs w:val="20"/>
              </w:rPr>
            </w:pPr>
            <w:r>
              <w:rPr>
                <w:rFonts w:eastAsia="Times New Roman"/>
                <w:w w:val="99"/>
                <w:sz w:val="12"/>
                <w:szCs w:val="12"/>
              </w:rPr>
              <w:t>$</w:t>
            </w:r>
          </w:p>
        </w:tc>
        <w:tc>
          <w:tcPr>
            <w:tcW w:w="1560" w:type="dxa"/>
            <w:tcBorders>
              <w:bottom w:val="single" w:sz="8" w:space="0" w:color="auto"/>
            </w:tcBorders>
            <w:vAlign w:val="bottom"/>
          </w:tcPr>
          <w:p w:rsidR="004A0011" w:rsidRDefault="00D538EF">
            <w:pPr>
              <w:jc w:val="right"/>
              <w:rPr>
                <w:sz w:val="20"/>
                <w:szCs w:val="20"/>
              </w:rPr>
            </w:pPr>
            <w:r>
              <w:rPr>
                <w:rFonts w:eastAsia="Times New Roman"/>
                <w:sz w:val="12"/>
                <w:szCs w:val="12"/>
              </w:rPr>
              <w:t>(5.4)</w:t>
            </w:r>
          </w:p>
        </w:tc>
        <w:tc>
          <w:tcPr>
            <w:tcW w:w="0" w:type="dxa"/>
            <w:vAlign w:val="bottom"/>
          </w:tcPr>
          <w:p w:rsidR="004A0011" w:rsidRDefault="004A0011">
            <w:pPr>
              <w:rPr>
                <w:sz w:val="1"/>
                <w:szCs w:val="1"/>
              </w:rPr>
            </w:pPr>
          </w:p>
        </w:tc>
      </w:tr>
      <w:tr w:rsidR="004A0011">
        <w:trPr>
          <w:trHeight w:val="20"/>
        </w:trPr>
        <w:tc>
          <w:tcPr>
            <w:tcW w:w="3200" w:type="dxa"/>
            <w:vAlign w:val="bottom"/>
          </w:tcPr>
          <w:p w:rsidR="004A0011" w:rsidRDefault="004A0011">
            <w:pPr>
              <w:spacing w:line="20" w:lineRule="exact"/>
              <w:rPr>
                <w:sz w:val="1"/>
                <w:szCs w:val="1"/>
              </w:rPr>
            </w:pPr>
          </w:p>
        </w:tc>
        <w:tc>
          <w:tcPr>
            <w:tcW w:w="3940" w:type="dxa"/>
            <w:vMerge w:val="restart"/>
            <w:vAlign w:val="bottom"/>
          </w:tcPr>
          <w:p w:rsidR="004A0011" w:rsidRDefault="00D538EF">
            <w:pPr>
              <w:ind w:left="823"/>
              <w:jc w:val="center"/>
              <w:rPr>
                <w:sz w:val="20"/>
                <w:szCs w:val="20"/>
              </w:rPr>
            </w:pPr>
            <w:r>
              <w:rPr>
                <w:rFonts w:eastAsia="Times New Roman"/>
                <w:w w:val="99"/>
                <w:sz w:val="12"/>
                <w:szCs w:val="12"/>
              </w:rPr>
              <w:t>7</w:t>
            </w:r>
          </w:p>
        </w:tc>
        <w:tc>
          <w:tcPr>
            <w:tcW w:w="1400" w:type="dxa"/>
            <w:tcBorders>
              <w:bottom w:val="single" w:sz="8" w:space="0" w:color="auto"/>
            </w:tcBorders>
            <w:vAlign w:val="bottom"/>
          </w:tcPr>
          <w:p w:rsidR="004A0011" w:rsidRDefault="004A0011">
            <w:pPr>
              <w:spacing w:line="20" w:lineRule="exact"/>
              <w:rPr>
                <w:sz w:val="1"/>
                <w:szCs w:val="1"/>
              </w:rPr>
            </w:pPr>
          </w:p>
        </w:tc>
        <w:tc>
          <w:tcPr>
            <w:tcW w:w="460" w:type="dxa"/>
            <w:tcBorders>
              <w:bottom w:val="single" w:sz="8" w:space="0" w:color="auto"/>
            </w:tcBorders>
            <w:vAlign w:val="bottom"/>
          </w:tcPr>
          <w:p w:rsidR="004A0011" w:rsidRDefault="004A0011">
            <w:pPr>
              <w:spacing w:line="20" w:lineRule="exact"/>
              <w:rPr>
                <w:sz w:val="1"/>
                <w:szCs w:val="1"/>
              </w:rPr>
            </w:pPr>
          </w:p>
        </w:tc>
        <w:tc>
          <w:tcPr>
            <w:tcW w:w="340" w:type="dxa"/>
            <w:vAlign w:val="bottom"/>
          </w:tcPr>
          <w:p w:rsidR="004A0011" w:rsidRDefault="004A0011">
            <w:pPr>
              <w:spacing w:line="20" w:lineRule="exact"/>
              <w:rPr>
                <w:sz w:val="1"/>
                <w:szCs w:val="1"/>
              </w:rPr>
            </w:pPr>
          </w:p>
        </w:tc>
        <w:tc>
          <w:tcPr>
            <w:tcW w:w="320" w:type="dxa"/>
            <w:tcBorders>
              <w:bottom w:val="single" w:sz="8" w:space="0" w:color="auto"/>
            </w:tcBorders>
            <w:vAlign w:val="bottom"/>
          </w:tcPr>
          <w:p w:rsidR="004A0011" w:rsidRDefault="004A0011">
            <w:pPr>
              <w:spacing w:line="20" w:lineRule="exact"/>
              <w:rPr>
                <w:sz w:val="1"/>
                <w:szCs w:val="1"/>
              </w:rPr>
            </w:pPr>
          </w:p>
        </w:tc>
        <w:tc>
          <w:tcPr>
            <w:tcW w:w="1560" w:type="dxa"/>
            <w:tcBorders>
              <w:bottom w:val="single" w:sz="8" w:space="0" w:color="auto"/>
            </w:tcBorders>
            <w:vAlign w:val="bottom"/>
          </w:tcPr>
          <w:p w:rsidR="004A0011" w:rsidRDefault="004A0011">
            <w:pPr>
              <w:spacing w:line="20" w:lineRule="exact"/>
              <w:rPr>
                <w:sz w:val="1"/>
                <w:szCs w:val="1"/>
              </w:rPr>
            </w:pPr>
          </w:p>
        </w:tc>
        <w:tc>
          <w:tcPr>
            <w:tcW w:w="0" w:type="dxa"/>
            <w:vAlign w:val="bottom"/>
          </w:tcPr>
          <w:p w:rsidR="004A0011" w:rsidRDefault="004A0011">
            <w:pPr>
              <w:spacing w:line="20" w:lineRule="exact"/>
              <w:rPr>
                <w:sz w:val="1"/>
                <w:szCs w:val="1"/>
              </w:rPr>
            </w:pPr>
          </w:p>
        </w:tc>
      </w:tr>
      <w:tr w:rsidR="004A0011">
        <w:trPr>
          <w:trHeight w:val="723"/>
        </w:trPr>
        <w:tc>
          <w:tcPr>
            <w:tcW w:w="3200" w:type="dxa"/>
            <w:vAlign w:val="bottom"/>
          </w:tcPr>
          <w:p w:rsidR="004A0011" w:rsidRDefault="004A0011">
            <w:pPr>
              <w:rPr>
                <w:sz w:val="24"/>
                <w:szCs w:val="24"/>
              </w:rPr>
            </w:pPr>
          </w:p>
        </w:tc>
        <w:tc>
          <w:tcPr>
            <w:tcW w:w="3940" w:type="dxa"/>
            <w:vMerge/>
            <w:vAlign w:val="bottom"/>
          </w:tcPr>
          <w:p w:rsidR="004A0011" w:rsidRDefault="004A0011">
            <w:pPr>
              <w:rPr>
                <w:sz w:val="24"/>
                <w:szCs w:val="24"/>
              </w:rPr>
            </w:pPr>
          </w:p>
        </w:tc>
        <w:tc>
          <w:tcPr>
            <w:tcW w:w="1400" w:type="dxa"/>
            <w:vAlign w:val="bottom"/>
          </w:tcPr>
          <w:p w:rsidR="004A0011" w:rsidRDefault="004A0011">
            <w:pPr>
              <w:rPr>
                <w:sz w:val="24"/>
                <w:szCs w:val="24"/>
              </w:rPr>
            </w:pPr>
          </w:p>
        </w:tc>
        <w:tc>
          <w:tcPr>
            <w:tcW w:w="460" w:type="dxa"/>
            <w:vAlign w:val="bottom"/>
          </w:tcPr>
          <w:p w:rsidR="004A0011" w:rsidRDefault="004A0011">
            <w:pPr>
              <w:rPr>
                <w:sz w:val="24"/>
                <w:szCs w:val="24"/>
              </w:rPr>
            </w:pPr>
          </w:p>
        </w:tc>
        <w:tc>
          <w:tcPr>
            <w:tcW w:w="340" w:type="dxa"/>
            <w:vAlign w:val="bottom"/>
          </w:tcPr>
          <w:p w:rsidR="004A0011" w:rsidRDefault="004A0011">
            <w:pPr>
              <w:rPr>
                <w:sz w:val="24"/>
                <w:szCs w:val="24"/>
              </w:rPr>
            </w:pPr>
          </w:p>
        </w:tc>
        <w:tc>
          <w:tcPr>
            <w:tcW w:w="320" w:type="dxa"/>
            <w:vAlign w:val="bottom"/>
          </w:tcPr>
          <w:p w:rsidR="004A0011" w:rsidRDefault="004A0011">
            <w:pPr>
              <w:rPr>
                <w:sz w:val="24"/>
                <w:szCs w:val="24"/>
              </w:rPr>
            </w:pPr>
          </w:p>
        </w:tc>
        <w:tc>
          <w:tcPr>
            <w:tcW w:w="1560" w:type="dxa"/>
            <w:vAlign w:val="bottom"/>
          </w:tcPr>
          <w:p w:rsidR="004A0011" w:rsidRDefault="004A0011">
            <w:pPr>
              <w:rPr>
                <w:sz w:val="24"/>
                <w:szCs w:val="24"/>
              </w:rPr>
            </w:pPr>
          </w:p>
        </w:tc>
        <w:tc>
          <w:tcPr>
            <w:tcW w:w="0" w:type="dxa"/>
            <w:vAlign w:val="bottom"/>
          </w:tcPr>
          <w:p w:rsidR="004A0011" w:rsidRDefault="004A0011">
            <w:pPr>
              <w:rPr>
                <w:sz w:val="1"/>
                <w:szCs w:val="1"/>
              </w:rPr>
            </w:pPr>
          </w:p>
        </w:tc>
      </w:tr>
    </w:tbl>
    <w:p w:rsidR="004A0011" w:rsidRDefault="004A0011">
      <w:pPr>
        <w:sectPr w:rsidR="004A0011">
          <w:pgSz w:w="11900" w:h="16838"/>
          <w:pgMar w:top="638" w:right="339" w:bottom="1440" w:left="340" w:header="0" w:footer="0" w:gutter="0"/>
          <w:cols w:space="720" w:equalWidth="0">
            <w:col w:w="11220"/>
          </w:cols>
        </w:sectPr>
      </w:pPr>
    </w:p>
    <w:p w:rsidR="004A0011" w:rsidRDefault="00D538EF">
      <w:pPr>
        <w:jc w:val="center"/>
        <w:rPr>
          <w:sz w:val="20"/>
          <w:szCs w:val="20"/>
        </w:rPr>
      </w:pPr>
      <w:bookmarkStart w:id="11" w:name="page11"/>
      <w:bookmarkEnd w:id="11"/>
      <w:r>
        <w:rPr>
          <w:rFonts w:eastAsia="Times New Roman"/>
          <w:b/>
          <w:bCs/>
          <w:sz w:val="11"/>
          <w:szCs w:val="11"/>
        </w:rPr>
        <w:lastRenderedPageBreak/>
        <w:t xml:space="preserve">EXPLANATION AND </w:t>
      </w:r>
      <w:r>
        <w:rPr>
          <w:rFonts w:eastAsia="Times New Roman"/>
          <w:b/>
          <w:bCs/>
          <w:sz w:val="11"/>
          <w:szCs w:val="11"/>
        </w:rPr>
        <w:t>RECONCILIATION OF NON-GAAP MEASURES</w:t>
      </w:r>
    </w:p>
    <w:p w:rsidR="004A0011" w:rsidRDefault="004A0011">
      <w:pPr>
        <w:spacing w:line="108" w:lineRule="exact"/>
        <w:rPr>
          <w:sz w:val="20"/>
          <w:szCs w:val="20"/>
        </w:rPr>
      </w:pPr>
    </w:p>
    <w:p w:rsidR="004A0011" w:rsidRDefault="00D538EF">
      <w:pPr>
        <w:spacing w:line="260" w:lineRule="auto"/>
        <w:ind w:right="60"/>
        <w:rPr>
          <w:sz w:val="20"/>
          <w:szCs w:val="20"/>
        </w:rPr>
      </w:pPr>
      <w:r>
        <w:rPr>
          <w:rFonts w:eastAsia="Times New Roman"/>
          <w:sz w:val="12"/>
          <w:szCs w:val="12"/>
        </w:rPr>
        <w:t>BellRing uses certain non-GAAP measures in this release to supplement the financial measures prepared in accordance with U.S. generally accepted accounting principles (“GAAP”). These non-GAAP measures include Adjusted n</w:t>
      </w:r>
      <w:r>
        <w:rPr>
          <w:rFonts w:eastAsia="Times New Roman"/>
          <w:sz w:val="12"/>
          <w:szCs w:val="12"/>
        </w:rPr>
        <w:t>et earnings available to Class A common stockholders, Adjusted diluted earnings per share of Class A common stock and Adjusted EBITDA. The reconciliation of each of these non-GAAP measures to the most directly comparable GAAP measure is provided in the tab</w:t>
      </w:r>
      <w:r>
        <w:rPr>
          <w:rFonts w:eastAsia="Times New Roman"/>
          <w:sz w:val="12"/>
          <w:szCs w:val="12"/>
        </w:rPr>
        <w:t>les following this section. Non-GAAP measures are not prepared in accordance with GAAP, as they exclude certain items as described below. These non-GAAP measures may not be comparable to similarly titled measures of other companies.</w:t>
      </w:r>
    </w:p>
    <w:p w:rsidR="004A0011" w:rsidRDefault="004A0011">
      <w:pPr>
        <w:spacing w:line="86" w:lineRule="exact"/>
        <w:rPr>
          <w:sz w:val="20"/>
          <w:szCs w:val="20"/>
        </w:rPr>
      </w:pPr>
    </w:p>
    <w:p w:rsidR="004A0011" w:rsidRDefault="00D538EF">
      <w:pPr>
        <w:rPr>
          <w:sz w:val="20"/>
          <w:szCs w:val="20"/>
        </w:rPr>
      </w:pPr>
      <w:r>
        <w:rPr>
          <w:rFonts w:eastAsia="Times New Roman"/>
          <w:sz w:val="12"/>
          <w:szCs w:val="12"/>
          <w:u w:val="single"/>
        </w:rPr>
        <w:t xml:space="preserve">Adjusted net earnings </w:t>
      </w:r>
      <w:r>
        <w:rPr>
          <w:rFonts w:eastAsia="Times New Roman"/>
          <w:sz w:val="12"/>
          <w:szCs w:val="12"/>
          <w:u w:val="single"/>
        </w:rPr>
        <w:t>available to Class A common stockholders and Adjusted diluted earnings per share of Class A common stock</w:t>
      </w:r>
    </w:p>
    <w:p w:rsidR="004A0011" w:rsidRDefault="004A0011">
      <w:pPr>
        <w:spacing w:line="17" w:lineRule="exact"/>
        <w:rPr>
          <w:sz w:val="20"/>
          <w:szCs w:val="20"/>
        </w:rPr>
      </w:pPr>
    </w:p>
    <w:p w:rsidR="004A0011" w:rsidRDefault="00D538EF">
      <w:pPr>
        <w:spacing w:line="260" w:lineRule="auto"/>
        <w:ind w:right="40"/>
        <w:rPr>
          <w:sz w:val="20"/>
          <w:szCs w:val="20"/>
        </w:rPr>
      </w:pPr>
      <w:r>
        <w:rPr>
          <w:rFonts w:eastAsia="Times New Roman"/>
          <w:sz w:val="12"/>
          <w:szCs w:val="12"/>
        </w:rPr>
        <w:t>BellRing believes Adjusted net earnings available to Class A common stockholders and Adjusted diluted earnings per share of Class A common stock are u</w:t>
      </w:r>
      <w:r>
        <w:rPr>
          <w:rFonts w:eastAsia="Times New Roman"/>
          <w:sz w:val="12"/>
          <w:szCs w:val="12"/>
        </w:rPr>
        <w:t>seful to investors in evaluating BellRing’s operating performance because they exclude items that affect the comparability of BellRing’s financial results and could potentially distort an understanding of the trends in business performance.</w:t>
      </w:r>
    </w:p>
    <w:p w:rsidR="004A0011" w:rsidRDefault="004A0011">
      <w:pPr>
        <w:spacing w:line="86" w:lineRule="exact"/>
        <w:rPr>
          <w:sz w:val="20"/>
          <w:szCs w:val="20"/>
        </w:rPr>
      </w:pPr>
    </w:p>
    <w:p w:rsidR="004A0011" w:rsidRDefault="00D538EF">
      <w:pPr>
        <w:rPr>
          <w:sz w:val="20"/>
          <w:szCs w:val="20"/>
        </w:rPr>
      </w:pPr>
      <w:r>
        <w:rPr>
          <w:rFonts w:eastAsia="Times New Roman"/>
          <w:sz w:val="12"/>
          <w:szCs w:val="12"/>
        </w:rPr>
        <w:t>Adjusted net e</w:t>
      </w:r>
      <w:r>
        <w:rPr>
          <w:rFonts w:eastAsia="Times New Roman"/>
          <w:sz w:val="12"/>
          <w:szCs w:val="12"/>
        </w:rPr>
        <w:t>arnings available to Class A common stockholders and Adjusted diluted earnings per share of Class A common stock are adjusted for the following items:</w:t>
      </w:r>
    </w:p>
    <w:p w:rsidR="004A0011" w:rsidRDefault="004A0011">
      <w:pPr>
        <w:spacing w:line="17" w:lineRule="exact"/>
        <w:rPr>
          <w:sz w:val="20"/>
          <w:szCs w:val="20"/>
        </w:rPr>
      </w:pPr>
    </w:p>
    <w:p w:rsidR="004A0011" w:rsidRDefault="00D538EF">
      <w:pPr>
        <w:numPr>
          <w:ilvl w:val="0"/>
          <w:numId w:val="7"/>
        </w:numPr>
        <w:tabs>
          <w:tab w:val="left" w:pos="413"/>
        </w:tabs>
        <w:spacing w:line="250" w:lineRule="auto"/>
        <w:ind w:left="420" w:right="400" w:hanging="212"/>
        <w:rPr>
          <w:rFonts w:eastAsia="Times New Roman"/>
          <w:sz w:val="12"/>
          <w:szCs w:val="12"/>
        </w:rPr>
      </w:pPr>
      <w:r>
        <w:rPr>
          <w:rFonts w:eastAsia="Times New Roman"/>
          <w:i/>
          <w:iCs/>
          <w:sz w:val="12"/>
          <w:szCs w:val="12"/>
        </w:rPr>
        <w:t>Separation costs</w:t>
      </w:r>
      <w:r>
        <w:rPr>
          <w:rFonts w:eastAsia="Times New Roman"/>
          <w:sz w:val="12"/>
          <w:szCs w:val="12"/>
        </w:rPr>
        <w:t xml:space="preserve">: BellRing has excluded certain expenses incurred to effect its separation from Post </w:t>
      </w:r>
      <w:r>
        <w:rPr>
          <w:rFonts w:eastAsia="Times New Roman"/>
          <w:sz w:val="12"/>
          <w:szCs w:val="12"/>
        </w:rPr>
        <w:t>and to support its transition into a separate stand-alone, publicly-traded entity as the amount and frequency of such</w:t>
      </w:r>
      <w:r>
        <w:rPr>
          <w:rFonts w:eastAsia="Times New Roman"/>
          <w:i/>
          <w:iCs/>
          <w:sz w:val="12"/>
          <w:szCs w:val="12"/>
        </w:rPr>
        <w:t xml:space="preserve"> </w:t>
      </w:r>
      <w:r>
        <w:rPr>
          <w:rFonts w:eastAsia="Times New Roman"/>
          <w:sz w:val="12"/>
          <w:szCs w:val="12"/>
        </w:rPr>
        <w:t>adjustments are not consistent. Additionally, BellRing believes that these costs do not reflect expected ongoing future operating expenses</w:t>
      </w:r>
      <w:r>
        <w:rPr>
          <w:rFonts w:eastAsia="Times New Roman"/>
          <w:sz w:val="12"/>
          <w:szCs w:val="12"/>
        </w:rPr>
        <w:t xml:space="preserve"> and do not contribute to a meaningful evaluation of BellRing’s current operating performance or comparisons of BellRing’s operating performance to other periods.</w:t>
      </w:r>
    </w:p>
    <w:p w:rsidR="004A0011" w:rsidRDefault="00D538EF">
      <w:pPr>
        <w:numPr>
          <w:ilvl w:val="0"/>
          <w:numId w:val="7"/>
        </w:numPr>
        <w:tabs>
          <w:tab w:val="left" w:pos="420"/>
        </w:tabs>
        <w:spacing w:line="250" w:lineRule="auto"/>
        <w:ind w:left="420" w:right="500" w:hanging="212"/>
        <w:rPr>
          <w:rFonts w:eastAsia="Times New Roman"/>
          <w:sz w:val="12"/>
          <w:szCs w:val="12"/>
        </w:rPr>
      </w:pPr>
      <w:r>
        <w:rPr>
          <w:rFonts w:eastAsia="Times New Roman"/>
          <w:i/>
          <w:iCs/>
          <w:sz w:val="12"/>
          <w:szCs w:val="12"/>
        </w:rPr>
        <w:t>Foreign currency gain/loss on intercompany loans</w:t>
      </w:r>
      <w:r>
        <w:rPr>
          <w:rFonts w:eastAsia="Times New Roman"/>
          <w:sz w:val="12"/>
          <w:szCs w:val="12"/>
        </w:rPr>
        <w:t>: BellRing has excluded the impact of foreign</w:t>
      </w:r>
      <w:r>
        <w:rPr>
          <w:rFonts w:eastAsia="Times New Roman"/>
          <w:sz w:val="12"/>
          <w:szCs w:val="12"/>
        </w:rPr>
        <w:t xml:space="preserve"> currency fluctuations related to intercompany loans denominated in currencies other than the functional currency of the</w:t>
      </w:r>
      <w:r>
        <w:rPr>
          <w:rFonts w:eastAsia="Times New Roman"/>
          <w:i/>
          <w:iCs/>
          <w:sz w:val="12"/>
          <w:szCs w:val="12"/>
        </w:rPr>
        <w:t xml:space="preserve"> </w:t>
      </w:r>
      <w:r>
        <w:rPr>
          <w:rFonts w:eastAsia="Times New Roman"/>
          <w:sz w:val="12"/>
          <w:szCs w:val="12"/>
        </w:rPr>
        <w:t>respective legal entity in evaluating BellRing’s performance to allow for more meaningful comparisons of performance to other periods.</w:t>
      </w:r>
    </w:p>
    <w:p w:rsidR="004A0011" w:rsidRDefault="00D538EF">
      <w:pPr>
        <w:numPr>
          <w:ilvl w:val="0"/>
          <w:numId w:val="7"/>
        </w:numPr>
        <w:tabs>
          <w:tab w:val="left" w:pos="413"/>
        </w:tabs>
        <w:spacing w:line="260" w:lineRule="auto"/>
        <w:ind w:left="420" w:right="60" w:hanging="212"/>
        <w:rPr>
          <w:rFonts w:eastAsia="Times New Roman"/>
          <w:sz w:val="12"/>
          <w:szCs w:val="12"/>
        </w:rPr>
      </w:pPr>
      <w:r>
        <w:rPr>
          <w:rFonts w:eastAsia="Times New Roman"/>
          <w:i/>
          <w:iCs/>
          <w:sz w:val="12"/>
          <w:szCs w:val="12"/>
        </w:rPr>
        <w:t>Income tax</w:t>
      </w:r>
      <w:r>
        <w:rPr>
          <w:rFonts w:eastAsia="Times New Roman"/>
          <w:sz w:val="12"/>
          <w:szCs w:val="12"/>
        </w:rPr>
        <w:t>: BellRing has included the income tax impact of the non-GAAP adjustments using a rate described in the footnote of the reconciliation table, as BellRing believes that its GAAP effective income tax rate as reported</w:t>
      </w:r>
      <w:r>
        <w:rPr>
          <w:rFonts w:eastAsia="Times New Roman"/>
          <w:i/>
          <w:iCs/>
          <w:sz w:val="12"/>
          <w:szCs w:val="12"/>
        </w:rPr>
        <w:t xml:space="preserve"> </w:t>
      </w:r>
      <w:r>
        <w:rPr>
          <w:rFonts w:eastAsia="Times New Roman"/>
          <w:sz w:val="12"/>
          <w:szCs w:val="12"/>
        </w:rPr>
        <w:t>is not representative of the in</w:t>
      </w:r>
      <w:r>
        <w:rPr>
          <w:rFonts w:eastAsia="Times New Roman"/>
          <w:sz w:val="12"/>
          <w:szCs w:val="12"/>
        </w:rPr>
        <w:t>come tax expense impact of the adjustments.</w:t>
      </w:r>
    </w:p>
    <w:p w:rsidR="004A0011" w:rsidRDefault="004A0011">
      <w:pPr>
        <w:spacing w:line="86" w:lineRule="exact"/>
        <w:rPr>
          <w:sz w:val="20"/>
          <w:szCs w:val="20"/>
        </w:rPr>
      </w:pPr>
    </w:p>
    <w:p w:rsidR="004A0011" w:rsidRDefault="00D538EF">
      <w:pPr>
        <w:rPr>
          <w:sz w:val="20"/>
          <w:szCs w:val="20"/>
        </w:rPr>
      </w:pPr>
      <w:r>
        <w:rPr>
          <w:rFonts w:eastAsia="Times New Roman"/>
          <w:sz w:val="12"/>
          <w:szCs w:val="12"/>
          <w:u w:val="single"/>
        </w:rPr>
        <w:t>Adjusted EBITDA</w:t>
      </w:r>
    </w:p>
    <w:p w:rsidR="004A0011" w:rsidRDefault="004A0011">
      <w:pPr>
        <w:spacing w:line="17" w:lineRule="exact"/>
        <w:rPr>
          <w:sz w:val="20"/>
          <w:szCs w:val="20"/>
        </w:rPr>
      </w:pPr>
    </w:p>
    <w:p w:rsidR="004A0011" w:rsidRDefault="00D538EF">
      <w:pPr>
        <w:spacing w:line="253" w:lineRule="auto"/>
        <w:ind w:right="40"/>
        <w:rPr>
          <w:sz w:val="20"/>
          <w:szCs w:val="20"/>
        </w:rPr>
      </w:pPr>
      <w:r>
        <w:rPr>
          <w:rFonts w:eastAsia="Times New Roman"/>
          <w:sz w:val="12"/>
          <w:szCs w:val="12"/>
        </w:rPr>
        <w:t xml:space="preserve">BellRing believes that Adjusted EBITDA is useful to investors in evaluating BellRing’s operating performance and liquidity because (i) BellRing believes it is widely used to measure a </w:t>
      </w:r>
      <w:r>
        <w:rPr>
          <w:rFonts w:eastAsia="Times New Roman"/>
          <w:sz w:val="12"/>
          <w:szCs w:val="12"/>
        </w:rPr>
        <w:t>company’s operating performance without regard to items such as depreciation and amortization, which can vary depending upon accounting methods and the book value of assets, (ii) it presents a measure of corporate performance exclusive of BellRing’s capita</w:t>
      </w:r>
      <w:r>
        <w:rPr>
          <w:rFonts w:eastAsia="Times New Roman"/>
          <w:sz w:val="12"/>
          <w:szCs w:val="12"/>
        </w:rPr>
        <w:t>l structure and the method by which the assets were acquired and (iii) it is a financial indicator of a company’s ability to service its debt, as BellRing LLC is required to comply with certain covenants and limitations that are based on variations of EBIT</w:t>
      </w:r>
      <w:r>
        <w:rPr>
          <w:rFonts w:eastAsia="Times New Roman"/>
          <w:sz w:val="12"/>
          <w:szCs w:val="12"/>
        </w:rPr>
        <w:t>DA in BellRing LLC’s financing documents. Management uses Adjusted EBITDA to provide forward-looking guidance to forecast future results.</w:t>
      </w:r>
    </w:p>
    <w:p w:rsidR="004A0011" w:rsidRDefault="004A0011">
      <w:pPr>
        <w:spacing w:line="91" w:lineRule="exact"/>
        <w:rPr>
          <w:sz w:val="20"/>
          <w:szCs w:val="20"/>
        </w:rPr>
      </w:pPr>
    </w:p>
    <w:p w:rsidR="004A0011" w:rsidRDefault="00D538EF">
      <w:pPr>
        <w:rPr>
          <w:sz w:val="20"/>
          <w:szCs w:val="20"/>
        </w:rPr>
      </w:pPr>
      <w:r>
        <w:rPr>
          <w:rFonts w:eastAsia="Times New Roman"/>
          <w:sz w:val="12"/>
          <w:szCs w:val="12"/>
        </w:rPr>
        <w:t xml:space="preserve">Adjusted EBITDA reflects adjustments for income tax expense, interest expense, net and depreciation and amortization </w:t>
      </w:r>
      <w:r>
        <w:rPr>
          <w:rFonts w:eastAsia="Times New Roman"/>
          <w:sz w:val="12"/>
          <w:szCs w:val="12"/>
        </w:rPr>
        <w:t>and the adjustments for separation costs and foreign currency gain/loss on intercompany loans, as discussed above.</w:t>
      </w:r>
    </w:p>
    <w:p w:rsidR="004A0011" w:rsidRDefault="004A0011">
      <w:pPr>
        <w:spacing w:line="17" w:lineRule="exact"/>
        <w:rPr>
          <w:sz w:val="20"/>
          <w:szCs w:val="20"/>
        </w:rPr>
      </w:pPr>
    </w:p>
    <w:p w:rsidR="004A0011" w:rsidRDefault="00D538EF">
      <w:pPr>
        <w:rPr>
          <w:sz w:val="20"/>
          <w:szCs w:val="20"/>
        </w:rPr>
      </w:pPr>
      <w:r>
        <w:rPr>
          <w:rFonts w:eastAsia="Times New Roman"/>
          <w:sz w:val="12"/>
          <w:szCs w:val="12"/>
        </w:rPr>
        <w:t>Additionally, Adjusted EBITDA reflects adjustments for the following items:</w:t>
      </w:r>
    </w:p>
    <w:p w:rsidR="004A0011" w:rsidRDefault="004A0011">
      <w:pPr>
        <w:spacing w:line="6" w:lineRule="exact"/>
        <w:rPr>
          <w:sz w:val="20"/>
          <w:szCs w:val="20"/>
        </w:rPr>
      </w:pPr>
    </w:p>
    <w:p w:rsidR="004A0011" w:rsidRDefault="00D538EF">
      <w:pPr>
        <w:numPr>
          <w:ilvl w:val="0"/>
          <w:numId w:val="8"/>
        </w:numPr>
        <w:tabs>
          <w:tab w:val="left" w:pos="444"/>
        </w:tabs>
        <w:spacing w:line="250" w:lineRule="auto"/>
        <w:ind w:left="420" w:hanging="212"/>
        <w:rPr>
          <w:rFonts w:eastAsia="Times New Roman"/>
          <w:sz w:val="12"/>
          <w:szCs w:val="12"/>
        </w:rPr>
      </w:pPr>
      <w:r>
        <w:rPr>
          <w:rFonts w:eastAsia="Times New Roman"/>
          <w:i/>
          <w:iCs/>
          <w:sz w:val="12"/>
          <w:szCs w:val="12"/>
        </w:rPr>
        <w:t>NCI adjustment</w:t>
      </w:r>
      <w:r>
        <w:rPr>
          <w:rFonts w:eastAsia="Times New Roman"/>
          <w:sz w:val="12"/>
          <w:szCs w:val="12"/>
        </w:rPr>
        <w:t>: BellRing has included adjustments for the porti</w:t>
      </w:r>
      <w:r>
        <w:rPr>
          <w:rFonts w:eastAsia="Times New Roman"/>
          <w:sz w:val="12"/>
          <w:szCs w:val="12"/>
        </w:rPr>
        <w:t>on of its consolidated net earnings/loss which was allocated to NCI, allowing for the calculation of Adjusted EBITDA to include 100% of BellRing as BellRing’s</w:t>
      </w:r>
      <w:r>
        <w:rPr>
          <w:rFonts w:eastAsia="Times New Roman"/>
          <w:i/>
          <w:iCs/>
          <w:sz w:val="12"/>
          <w:szCs w:val="12"/>
        </w:rPr>
        <w:t xml:space="preserve"> </w:t>
      </w:r>
      <w:r>
        <w:rPr>
          <w:rFonts w:eastAsia="Times New Roman"/>
          <w:sz w:val="12"/>
          <w:szCs w:val="12"/>
        </w:rPr>
        <w:t>management evaluates BellRing’s operating performance on a basis that includes 100% of BellRing.</w:t>
      </w:r>
    </w:p>
    <w:p w:rsidR="004A0011" w:rsidRDefault="00D538EF">
      <w:pPr>
        <w:numPr>
          <w:ilvl w:val="0"/>
          <w:numId w:val="8"/>
        </w:numPr>
        <w:tabs>
          <w:tab w:val="left" w:pos="437"/>
        </w:tabs>
        <w:spacing w:line="252" w:lineRule="auto"/>
        <w:ind w:left="420" w:right="20" w:hanging="212"/>
        <w:rPr>
          <w:rFonts w:eastAsia="Times New Roman"/>
          <w:sz w:val="12"/>
          <w:szCs w:val="12"/>
        </w:rPr>
      </w:pPr>
      <w:r>
        <w:rPr>
          <w:rFonts w:eastAsia="Times New Roman"/>
          <w:i/>
          <w:iCs/>
          <w:sz w:val="12"/>
          <w:szCs w:val="12"/>
        </w:rPr>
        <w:t>Stock-based compensation</w:t>
      </w:r>
      <w:r>
        <w:rPr>
          <w:rFonts w:eastAsia="Times New Roman"/>
          <w:sz w:val="12"/>
          <w:szCs w:val="12"/>
        </w:rPr>
        <w:t>: BellRing’s compensation strategy after the IPO includes the use of BellRing stock-based compensation to attract and retain executives and employees by aligning their long-term compensation</w:t>
      </w:r>
      <w:r>
        <w:rPr>
          <w:rFonts w:eastAsia="Times New Roman"/>
          <w:i/>
          <w:iCs/>
          <w:sz w:val="12"/>
          <w:szCs w:val="12"/>
        </w:rPr>
        <w:t xml:space="preserve"> </w:t>
      </w:r>
      <w:r>
        <w:rPr>
          <w:rFonts w:eastAsia="Times New Roman"/>
          <w:sz w:val="12"/>
          <w:szCs w:val="12"/>
        </w:rPr>
        <w:t>interests with BellRing’s stockholders’ i</w:t>
      </w:r>
      <w:r>
        <w:rPr>
          <w:rFonts w:eastAsia="Times New Roman"/>
          <w:sz w:val="12"/>
          <w:szCs w:val="12"/>
        </w:rPr>
        <w:t>nvestment interests. BellRing’s director compensation strategy includes an election by any director who earns retainers in which the director may elect to defer compensation granted as a director to BellRing Class A common stock, earning a match on the def</w:t>
      </w:r>
      <w:r>
        <w:rPr>
          <w:rFonts w:eastAsia="Times New Roman"/>
          <w:sz w:val="12"/>
          <w:szCs w:val="12"/>
        </w:rPr>
        <w:t>erral, both of which are stock-settled upon the director’s retirement from the BellRing board of directors. BellRing’s compensation strategy prior to the IPO included the use of Post stock-based compensation to attract and retain executives and employees b</w:t>
      </w:r>
      <w:r>
        <w:rPr>
          <w:rFonts w:eastAsia="Times New Roman"/>
          <w:sz w:val="12"/>
          <w:szCs w:val="12"/>
        </w:rPr>
        <w:t>y aligning their long-term compensation interests with Post’s shareholders’ investment interests; after the IPO, BellRing continues to be charged for Post stock-based compensation through the master services agreement with Post. BellRing has excluded stock</w:t>
      </w:r>
      <w:r>
        <w:rPr>
          <w:rFonts w:eastAsia="Times New Roman"/>
          <w:sz w:val="12"/>
          <w:szCs w:val="12"/>
        </w:rPr>
        <w:t>-based compensation as stock-based compensation can vary significantly based on reasons such as the timing, size and nature of the awards granted and subjective assumptions which are unrelated to operational decisions and performance in any particular peri</w:t>
      </w:r>
      <w:r>
        <w:rPr>
          <w:rFonts w:eastAsia="Times New Roman"/>
          <w:sz w:val="12"/>
          <w:szCs w:val="12"/>
        </w:rPr>
        <w:t>od and do not contribute to meaningful comparisons of BellRing’s operating performance to other periods.</w:t>
      </w:r>
    </w:p>
    <w:p w:rsidR="004A0011" w:rsidRDefault="004A0011">
      <w:pPr>
        <w:spacing w:line="352" w:lineRule="exact"/>
        <w:rPr>
          <w:sz w:val="20"/>
          <w:szCs w:val="20"/>
        </w:rPr>
      </w:pPr>
    </w:p>
    <w:p w:rsidR="004A0011" w:rsidRDefault="00D538EF">
      <w:pPr>
        <w:jc w:val="center"/>
        <w:rPr>
          <w:sz w:val="20"/>
          <w:szCs w:val="20"/>
        </w:rPr>
      </w:pPr>
      <w:r>
        <w:rPr>
          <w:rFonts w:eastAsia="Times New Roman"/>
          <w:sz w:val="12"/>
          <w:szCs w:val="12"/>
        </w:rPr>
        <w:t>8</w:t>
      </w:r>
    </w:p>
    <w:p w:rsidR="004A0011" w:rsidRDefault="004A0011">
      <w:pPr>
        <w:sectPr w:rsidR="004A0011">
          <w:pgSz w:w="11900" w:h="16838"/>
          <w:pgMar w:top="641" w:right="299" w:bottom="1440" w:left="300" w:header="0" w:footer="0" w:gutter="0"/>
          <w:cols w:space="720" w:equalWidth="0">
            <w:col w:w="11300"/>
          </w:cols>
        </w:sectPr>
      </w:pPr>
    </w:p>
    <w:p w:rsidR="004A0011" w:rsidRDefault="00D538EF">
      <w:pPr>
        <w:jc w:val="center"/>
        <w:rPr>
          <w:sz w:val="20"/>
          <w:szCs w:val="20"/>
        </w:rPr>
      </w:pPr>
      <w:bookmarkStart w:id="12" w:name="page12"/>
      <w:bookmarkEnd w:id="12"/>
      <w:r>
        <w:rPr>
          <w:rFonts w:eastAsia="Times New Roman"/>
          <w:b/>
          <w:bCs/>
          <w:sz w:val="11"/>
          <w:szCs w:val="11"/>
        </w:rPr>
        <w:lastRenderedPageBreak/>
        <w:t>RECONCILIATION OF NET EARNINGS AVAILABLE TO CLASS A COMMON STOCKHOLDERS</w:t>
      </w:r>
    </w:p>
    <w:p w:rsidR="004A0011" w:rsidRDefault="004A0011">
      <w:pPr>
        <w:spacing w:line="13" w:lineRule="exact"/>
        <w:rPr>
          <w:sz w:val="20"/>
          <w:szCs w:val="20"/>
        </w:rPr>
      </w:pPr>
    </w:p>
    <w:p w:rsidR="004A0011" w:rsidRDefault="00D538EF">
      <w:pPr>
        <w:jc w:val="center"/>
        <w:rPr>
          <w:sz w:val="20"/>
          <w:szCs w:val="20"/>
        </w:rPr>
      </w:pPr>
      <w:r>
        <w:rPr>
          <w:rFonts w:eastAsia="Times New Roman"/>
          <w:b/>
          <w:bCs/>
          <w:sz w:val="11"/>
          <w:szCs w:val="11"/>
        </w:rPr>
        <w:t>TO ADJUSTED NET EARNINGS AVAILABLE TO CLASS A COMMON ST</w:t>
      </w:r>
      <w:r>
        <w:rPr>
          <w:rFonts w:eastAsia="Times New Roman"/>
          <w:b/>
          <w:bCs/>
          <w:sz w:val="11"/>
          <w:szCs w:val="11"/>
        </w:rPr>
        <w:t>OCKHOLDERS (Unaudited)</w:t>
      </w:r>
    </w:p>
    <w:p w:rsidR="004A0011" w:rsidRDefault="00D538EF">
      <w:pPr>
        <w:jc w:val="center"/>
        <w:rPr>
          <w:sz w:val="20"/>
          <w:szCs w:val="20"/>
        </w:rPr>
      </w:pPr>
      <w:r>
        <w:rPr>
          <w:rFonts w:eastAsia="Times New Roman"/>
          <w:b/>
          <w:bCs/>
          <w:sz w:val="11"/>
          <w:szCs w:val="11"/>
        </w:rPr>
        <w:t>(in millions)</w:t>
      </w:r>
    </w:p>
    <w:tbl>
      <w:tblPr>
        <w:tblW w:w="0" w:type="auto"/>
        <w:tblInd w:w="20" w:type="dxa"/>
        <w:tblLayout w:type="fixed"/>
        <w:tblCellMar>
          <w:left w:w="0" w:type="dxa"/>
          <w:right w:w="0" w:type="dxa"/>
        </w:tblCellMar>
        <w:tblLook w:val="04A0" w:firstRow="1" w:lastRow="0" w:firstColumn="1" w:lastColumn="0" w:noHBand="0" w:noVBand="1"/>
      </w:tblPr>
      <w:tblGrid>
        <w:gridCol w:w="6480"/>
        <w:gridCol w:w="1760"/>
        <w:gridCol w:w="440"/>
        <w:gridCol w:w="340"/>
        <w:gridCol w:w="120"/>
        <w:gridCol w:w="2080"/>
        <w:gridCol w:w="20"/>
      </w:tblGrid>
      <w:tr w:rsidR="004A0011">
        <w:trPr>
          <w:trHeight w:val="123"/>
        </w:trPr>
        <w:tc>
          <w:tcPr>
            <w:tcW w:w="6480" w:type="dxa"/>
            <w:vAlign w:val="bottom"/>
          </w:tcPr>
          <w:p w:rsidR="004A0011" w:rsidRDefault="004A0011">
            <w:pPr>
              <w:rPr>
                <w:sz w:val="10"/>
                <w:szCs w:val="10"/>
              </w:rPr>
            </w:pPr>
          </w:p>
        </w:tc>
        <w:tc>
          <w:tcPr>
            <w:tcW w:w="1760" w:type="dxa"/>
            <w:vAlign w:val="bottom"/>
          </w:tcPr>
          <w:p w:rsidR="004A0011" w:rsidRDefault="00D538EF">
            <w:pPr>
              <w:spacing w:line="123" w:lineRule="exact"/>
              <w:ind w:right="126"/>
              <w:jc w:val="right"/>
              <w:rPr>
                <w:sz w:val="20"/>
                <w:szCs w:val="20"/>
              </w:rPr>
            </w:pPr>
            <w:r>
              <w:rPr>
                <w:rFonts w:eastAsia="Times New Roman"/>
                <w:b/>
                <w:bCs/>
                <w:sz w:val="11"/>
                <w:szCs w:val="11"/>
              </w:rPr>
              <w:t>Three Months Ended</w:t>
            </w:r>
          </w:p>
        </w:tc>
        <w:tc>
          <w:tcPr>
            <w:tcW w:w="440" w:type="dxa"/>
            <w:vAlign w:val="bottom"/>
          </w:tcPr>
          <w:p w:rsidR="004A0011" w:rsidRDefault="004A0011">
            <w:pPr>
              <w:rPr>
                <w:sz w:val="10"/>
                <w:szCs w:val="10"/>
              </w:rPr>
            </w:pPr>
          </w:p>
        </w:tc>
        <w:tc>
          <w:tcPr>
            <w:tcW w:w="340" w:type="dxa"/>
            <w:vAlign w:val="bottom"/>
          </w:tcPr>
          <w:p w:rsidR="004A0011" w:rsidRDefault="004A0011">
            <w:pPr>
              <w:rPr>
                <w:sz w:val="10"/>
                <w:szCs w:val="10"/>
              </w:rPr>
            </w:pPr>
          </w:p>
        </w:tc>
        <w:tc>
          <w:tcPr>
            <w:tcW w:w="120" w:type="dxa"/>
            <w:vAlign w:val="bottom"/>
          </w:tcPr>
          <w:p w:rsidR="004A0011" w:rsidRDefault="004A0011">
            <w:pPr>
              <w:rPr>
                <w:sz w:val="10"/>
                <w:szCs w:val="10"/>
              </w:rPr>
            </w:pPr>
          </w:p>
        </w:tc>
        <w:tc>
          <w:tcPr>
            <w:tcW w:w="2080" w:type="dxa"/>
            <w:vMerge w:val="restart"/>
            <w:vAlign w:val="bottom"/>
          </w:tcPr>
          <w:p w:rsidR="004A0011" w:rsidRDefault="00D538EF">
            <w:pPr>
              <w:ind w:right="141"/>
              <w:jc w:val="right"/>
              <w:rPr>
                <w:sz w:val="20"/>
                <w:szCs w:val="20"/>
              </w:rPr>
            </w:pPr>
            <w:r>
              <w:rPr>
                <w:rFonts w:eastAsia="Times New Roman"/>
                <w:b/>
                <w:bCs/>
                <w:w w:val="99"/>
                <w:sz w:val="11"/>
                <w:szCs w:val="11"/>
              </w:rPr>
              <w:t>October 21, 2019 to September 30, 2020</w:t>
            </w:r>
          </w:p>
        </w:tc>
        <w:tc>
          <w:tcPr>
            <w:tcW w:w="0" w:type="dxa"/>
            <w:vAlign w:val="bottom"/>
          </w:tcPr>
          <w:p w:rsidR="004A0011" w:rsidRDefault="004A0011">
            <w:pPr>
              <w:rPr>
                <w:sz w:val="1"/>
                <w:szCs w:val="1"/>
              </w:rPr>
            </w:pPr>
          </w:p>
        </w:tc>
      </w:tr>
      <w:tr w:rsidR="004A0011">
        <w:trPr>
          <w:trHeight w:val="143"/>
        </w:trPr>
        <w:tc>
          <w:tcPr>
            <w:tcW w:w="6480" w:type="dxa"/>
            <w:tcBorders>
              <w:bottom w:val="single" w:sz="8" w:space="0" w:color="CCEEFF"/>
            </w:tcBorders>
            <w:vAlign w:val="bottom"/>
          </w:tcPr>
          <w:p w:rsidR="004A0011" w:rsidRDefault="004A0011">
            <w:pPr>
              <w:rPr>
                <w:sz w:val="12"/>
                <w:szCs w:val="12"/>
              </w:rPr>
            </w:pPr>
          </w:p>
        </w:tc>
        <w:tc>
          <w:tcPr>
            <w:tcW w:w="1760" w:type="dxa"/>
            <w:tcBorders>
              <w:bottom w:val="single" w:sz="8" w:space="0" w:color="auto"/>
            </w:tcBorders>
            <w:vAlign w:val="bottom"/>
          </w:tcPr>
          <w:p w:rsidR="004A0011" w:rsidRDefault="00D538EF">
            <w:pPr>
              <w:ind w:right="166"/>
              <w:jc w:val="right"/>
              <w:rPr>
                <w:sz w:val="20"/>
                <w:szCs w:val="20"/>
              </w:rPr>
            </w:pPr>
            <w:r>
              <w:rPr>
                <w:rFonts w:eastAsia="Times New Roman"/>
                <w:b/>
                <w:bCs/>
                <w:sz w:val="11"/>
                <w:szCs w:val="11"/>
              </w:rPr>
              <w:t>September 30, 2020</w:t>
            </w:r>
          </w:p>
        </w:tc>
        <w:tc>
          <w:tcPr>
            <w:tcW w:w="440" w:type="dxa"/>
            <w:tcBorders>
              <w:bottom w:val="single" w:sz="8" w:space="0" w:color="auto"/>
            </w:tcBorders>
            <w:vAlign w:val="bottom"/>
          </w:tcPr>
          <w:p w:rsidR="004A0011" w:rsidRDefault="004A0011">
            <w:pPr>
              <w:rPr>
                <w:sz w:val="12"/>
                <w:szCs w:val="12"/>
              </w:rPr>
            </w:pPr>
          </w:p>
        </w:tc>
        <w:tc>
          <w:tcPr>
            <w:tcW w:w="340" w:type="dxa"/>
            <w:tcBorders>
              <w:bottom w:val="single" w:sz="8" w:space="0" w:color="CCEEFF"/>
            </w:tcBorders>
            <w:vAlign w:val="bottom"/>
          </w:tcPr>
          <w:p w:rsidR="004A0011" w:rsidRDefault="004A0011">
            <w:pPr>
              <w:rPr>
                <w:sz w:val="12"/>
                <w:szCs w:val="12"/>
              </w:rPr>
            </w:pPr>
          </w:p>
        </w:tc>
        <w:tc>
          <w:tcPr>
            <w:tcW w:w="120" w:type="dxa"/>
            <w:tcBorders>
              <w:bottom w:val="single" w:sz="8" w:space="0" w:color="auto"/>
            </w:tcBorders>
            <w:vAlign w:val="bottom"/>
          </w:tcPr>
          <w:p w:rsidR="004A0011" w:rsidRDefault="004A0011">
            <w:pPr>
              <w:rPr>
                <w:sz w:val="12"/>
                <w:szCs w:val="12"/>
              </w:rPr>
            </w:pPr>
          </w:p>
        </w:tc>
        <w:tc>
          <w:tcPr>
            <w:tcW w:w="2080" w:type="dxa"/>
            <w:vMerge/>
            <w:tcBorders>
              <w:bottom w:val="single" w:sz="8" w:space="0" w:color="auto"/>
            </w:tcBorders>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43"/>
        </w:trPr>
        <w:tc>
          <w:tcPr>
            <w:tcW w:w="6480" w:type="dxa"/>
            <w:shd w:val="clear" w:color="auto" w:fill="CCEEFF"/>
            <w:vAlign w:val="bottom"/>
          </w:tcPr>
          <w:p w:rsidR="004A0011" w:rsidRDefault="00D538EF">
            <w:pPr>
              <w:rPr>
                <w:sz w:val="20"/>
                <w:szCs w:val="20"/>
              </w:rPr>
            </w:pPr>
            <w:r>
              <w:rPr>
                <w:rFonts w:eastAsia="Times New Roman"/>
                <w:b/>
                <w:bCs/>
                <w:sz w:val="12"/>
                <w:szCs w:val="12"/>
              </w:rPr>
              <w:t>Net Earnings Available to Class A Common Stockholders</w:t>
            </w:r>
          </w:p>
        </w:tc>
        <w:tc>
          <w:tcPr>
            <w:tcW w:w="1760" w:type="dxa"/>
            <w:shd w:val="clear" w:color="auto" w:fill="CCEEFF"/>
            <w:vAlign w:val="bottom"/>
          </w:tcPr>
          <w:p w:rsidR="004A0011" w:rsidRDefault="00D538EF">
            <w:pPr>
              <w:ind w:right="1646"/>
              <w:jc w:val="right"/>
              <w:rPr>
                <w:sz w:val="20"/>
                <w:szCs w:val="20"/>
              </w:rPr>
            </w:pPr>
            <w:r>
              <w:rPr>
                <w:rFonts w:eastAsia="Times New Roman"/>
                <w:w w:val="71"/>
                <w:sz w:val="11"/>
                <w:szCs w:val="11"/>
              </w:rPr>
              <w:t>$</w:t>
            </w:r>
          </w:p>
        </w:tc>
        <w:tc>
          <w:tcPr>
            <w:tcW w:w="440" w:type="dxa"/>
            <w:shd w:val="clear" w:color="auto" w:fill="CCEEFF"/>
            <w:vAlign w:val="bottom"/>
          </w:tcPr>
          <w:p w:rsidR="004A0011" w:rsidRDefault="00D538EF">
            <w:pPr>
              <w:ind w:right="2"/>
              <w:jc w:val="right"/>
              <w:rPr>
                <w:sz w:val="20"/>
                <w:szCs w:val="20"/>
              </w:rPr>
            </w:pPr>
            <w:r>
              <w:rPr>
                <w:rFonts w:eastAsia="Times New Roman"/>
                <w:sz w:val="12"/>
                <w:szCs w:val="12"/>
              </w:rPr>
              <w:t>10.0</w:t>
            </w:r>
          </w:p>
        </w:tc>
        <w:tc>
          <w:tcPr>
            <w:tcW w:w="340" w:type="dxa"/>
            <w:shd w:val="clear" w:color="auto" w:fill="CCEEFF"/>
            <w:vAlign w:val="bottom"/>
          </w:tcPr>
          <w:p w:rsidR="004A0011" w:rsidRDefault="004A0011">
            <w:pPr>
              <w:rPr>
                <w:sz w:val="12"/>
                <w:szCs w:val="12"/>
              </w:rPr>
            </w:pPr>
          </w:p>
        </w:tc>
        <w:tc>
          <w:tcPr>
            <w:tcW w:w="120" w:type="dxa"/>
            <w:shd w:val="clear" w:color="auto" w:fill="CCEEFF"/>
            <w:vAlign w:val="bottom"/>
          </w:tcPr>
          <w:p w:rsidR="004A0011" w:rsidRDefault="00D538EF">
            <w:pPr>
              <w:ind w:right="6"/>
              <w:jc w:val="right"/>
              <w:rPr>
                <w:sz w:val="20"/>
                <w:szCs w:val="20"/>
              </w:rPr>
            </w:pPr>
            <w:r>
              <w:rPr>
                <w:rFonts w:eastAsia="Times New Roman"/>
                <w:w w:val="71"/>
                <w:sz w:val="11"/>
                <w:szCs w:val="11"/>
              </w:rPr>
              <w:t>$</w:t>
            </w:r>
          </w:p>
        </w:tc>
        <w:tc>
          <w:tcPr>
            <w:tcW w:w="2080" w:type="dxa"/>
            <w:shd w:val="clear" w:color="auto" w:fill="CCEEFF"/>
            <w:vAlign w:val="bottom"/>
          </w:tcPr>
          <w:p w:rsidR="004A0011" w:rsidRDefault="00D538EF">
            <w:pPr>
              <w:ind w:right="1"/>
              <w:jc w:val="right"/>
              <w:rPr>
                <w:sz w:val="20"/>
                <w:szCs w:val="20"/>
              </w:rPr>
            </w:pPr>
            <w:r>
              <w:rPr>
                <w:rFonts w:eastAsia="Times New Roman"/>
                <w:sz w:val="12"/>
                <w:szCs w:val="12"/>
              </w:rPr>
              <w:t>23.5</w:t>
            </w:r>
          </w:p>
        </w:tc>
        <w:tc>
          <w:tcPr>
            <w:tcW w:w="0" w:type="dxa"/>
            <w:vAlign w:val="bottom"/>
          </w:tcPr>
          <w:p w:rsidR="004A0011" w:rsidRDefault="004A0011">
            <w:pPr>
              <w:rPr>
                <w:sz w:val="1"/>
                <w:szCs w:val="1"/>
              </w:rPr>
            </w:pPr>
          </w:p>
        </w:tc>
      </w:tr>
      <w:tr w:rsidR="004A0011">
        <w:trPr>
          <w:trHeight w:val="153"/>
        </w:trPr>
        <w:tc>
          <w:tcPr>
            <w:tcW w:w="6480" w:type="dxa"/>
            <w:tcBorders>
              <w:bottom w:val="single" w:sz="8" w:space="0" w:color="CCEEFF"/>
            </w:tcBorders>
            <w:vAlign w:val="bottom"/>
          </w:tcPr>
          <w:p w:rsidR="004A0011" w:rsidRDefault="00D538EF">
            <w:pPr>
              <w:rPr>
                <w:sz w:val="20"/>
                <w:szCs w:val="20"/>
              </w:rPr>
            </w:pPr>
            <w:r>
              <w:rPr>
                <w:rFonts w:eastAsia="Times New Roman"/>
                <w:sz w:val="12"/>
                <w:szCs w:val="12"/>
              </w:rPr>
              <w:t>Dilutive impact of net earnings attributable to NCI</w:t>
            </w:r>
          </w:p>
        </w:tc>
        <w:tc>
          <w:tcPr>
            <w:tcW w:w="1760" w:type="dxa"/>
            <w:tcBorders>
              <w:bottom w:val="single" w:sz="8" w:space="0" w:color="auto"/>
            </w:tcBorders>
            <w:vAlign w:val="bottom"/>
          </w:tcPr>
          <w:p w:rsidR="004A0011" w:rsidRDefault="004A0011">
            <w:pPr>
              <w:rPr>
                <w:sz w:val="13"/>
                <w:szCs w:val="13"/>
              </w:rPr>
            </w:pPr>
          </w:p>
        </w:tc>
        <w:tc>
          <w:tcPr>
            <w:tcW w:w="440" w:type="dxa"/>
            <w:tcBorders>
              <w:bottom w:val="single" w:sz="8" w:space="0" w:color="auto"/>
            </w:tcBorders>
            <w:vAlign w:val="bottom"/>
          </w:tcPr>
          <w:p w:rsidR="004A0011" w:rsidRDefault="00D538EF">
            <w:pPr>
              <w:ind w:right="2"/>
              <w:jc w:val="right"/>
              <w:rPr>
                <w:sz w:val="20"/>
                <w:szCs w:val="20"/>
              </w:rPr>
            </w:pPr>
            <w:r>
              <w:rPr>
                <w:rFonts w:eastAsia="Times New Roman"/>
                <w:sz w:val="12"/>
                <w:szCs w:val="12"/>
              </w:rPr>
              <w:t>0.1</w:t>
            </w:r>
          </w:p>
        </w:tc>
        <w:tc>
          <w:tcPr>
            <w:tcW w:w="340" w:type="dxa"/>
            <w:tcBorders>
              <w:bottom w:val="single" w:sz="8" w:space="0" w:color="CCEEFF"/>
            </w:tcBorders>
            <w:vAlign w:val="bottom"/>
          </w:tcPr>
          <w:p w:rsidR="004A0011" w:rsidRDefault="004A0011">
            <w:pPr>
              <w:rPr>
                <w:sz w:val="13"/>
                <w:szCs w:val="13"/>
              </w:rPr>
            </w:pPr>
          </w:p>
        </w:tc>
        <w:tc>
          <w:tcPr>
            <w:tcW w:w="120" w:type="dxa"/>
            <w:tcBorders>
              <w:bottom w:val="single" w:sz="8" w:space="0" w:color="auto"/>
            </w:tcBorders>
            <w:vAlign w:val="bottom"/>
          </w:tcPr>
          <w:p w:rsidR="004A0011" w:rsidRDefault="004A0011">
            <w:pPr>
              <w:rPr>
                <w:sz w:val="13"/>
                <w:szCs w:val="13"/>
              </w:rPr>
            </w:pPr>
          </w:p>
        </w:tc>
        <w:tc>
          <w:tcPr>
            <w:tcW w:w="2080" w:type="dxa"/>
            <w:tcBorders>
              <w:bottom w:val="single" w:sz="8" w:space="0" w:color="auto"/>
            </w:tcBorders>
            <w:vAlign w:val="bottom"/>
          </w:tcPr>
          <w:p w:rsidR="004A0011" w:rsidRDefault="00D538EF">
            <w:pPr>
              <w:ind w:right="1"/>
              <w:jc w:val="right"/>
              <w:rPr>
                <w:sz w:val="20"/>
                <w:szCs w:val="20"/>
              </w:rPr>
            </w:pPr>
            <w:r>
              <w:rPr>
                <w:rFonts w:eastAsia="Times New Roman"/>
                <w:sz w:val="12"/>
                <w:szCs w:val="12"/>
              </w:rPr>
              <w:t>0.1</w:t>
            </w:r>
          </w:p>
        </w:tc>
        <w:tc>
          <w:tcPr>
            <w:tcW w:w="0" w:type="dxa"/>
            <w:vAlign w:val="bottom"/>
          </w:tcPr>
          <w:p w:rsidR="004A0011" w:rsidRDefault="004A0011">
            <w:pPr>
              <w:rPr>
                <w:sz w:val="1"/>
                <w:szCs w:val="1"/>
              </w:rPr>
            </w:pPr>
          </w:p>
        </w:tc>
      </w:tr>
      <w:tr w:rsidR="004A0011">
        <w:trPr>
          <w:trHeight w:val="142"/>
        </w:trPr>
        <w:tc>
          <w:tcPr>
            <w:tcW w:w="6480" w:type="dxa"/>
            <w:shd w:val="clear" w:color="auto" w:fill="CCEEFF"/>
            <w:vAlign w:val="bottom"/>
          </w:tcPr>
          <w:p w:rsidR="004A0011" w:rsidRDefault="00D538EF">
            <w:pPr>
              <w:rPr>
                <w:sz w:val="20"/>
                <w:szCs w:val="20"/>
              </w:rPr>
            </w:pPr>
            <w:r>
              <w:rPr>
                <w:rFonts w:eastAsia="Times New Roman"/>
                <w:b/>
                <w:bCs/>
                <w:sz w:val="12"/>
                <w:szCs w:val="12"/>
              </w:rPr>
              <w:t>Net Earnings for Diluted Earnings per Share</w:t>
            </w:r>
          </w:p>
        </w:tc>
        <w:tc>
          <w:tcPr>
            <w:tcW w:w="1760" w:type="dxa"/>
            <w:shd w:val="clear" w:color="auto" w:fill="CCEEFF"/>
            <w:vAlign w:val="bottom"/>
          </w:tcPr>
          <w:p w:rsidR="004A0011" w:rsidRDefault="004A0011">
            <w:pPr>
              <w:rPr>
                <w:sz w:val="12"/>
                <w:szCs w:val="12"/>
              </w:rPr>
            </w:pPr>
          </w:p>
        </w:tc>
        <w:tc>
          <w:tcPr>
            <w:tcW w:w="440" w:type="dxa"/>
            <w:shd w:val="clear" w:color="auto" w:fill="CCEEFF"/>
            <w:vAlign w:val="bottom"/>
          </w:tcPr>
          <w:p w:rsidR="004A0011" w:rsidRDefault="00D538EF">
            <w:pPr>
              <w:ind w:right="2"/>
              <w:jc w:val="right"/>
              <w:rPr>
                <w:sz w:val="20"/>
                <w:szCs w:val="20"/>
              </w:rPr>
            </w:pPr>
            <w:r>
              <w:rPr>
                <w:rFonts w:eastAsia="Times New Roman"/>
                <w:sz w:val="12"/>
                <w:szCs w:val="12"/>
              </w:rPr>
              <w:t>10.1</w:t>
            </w:r>
          </w:p>
        </w:tc>
        <w:tc>
          <w:tcPr>
            <w:tcW w:w="340" w:type="dxa"/>
            <w:shd w:val="clear" w:color="auto" w:fill="CCEEFF"/>
            <w:vAlign w:val="bottom"/>
          </w:tcPr>
          <w:p w:rsidR="004A0011" w:rsidRDefault="004A0011">
            <w:pPr>
              <w:rPr>
                <w:sz w:val="12"/>
                <w:szCs w:val="12"/>
              </w:rPr>
            </w:pPr>
          </w:p>
        </w:tc>
        <w:tc>
          <w:tcPr>
            <w:tcW w:w="120" w:type="dxa"/>
            <w:shd w:val="clear" w:color="auto" w:fill="CCEEFF"/>
            <w:vAlign w:val="bottom"/>
          </w:tcPr>
          <w:p w:rsidR="004A0011" w:rsidRDefault="004A0011">
            <w:pPr>
              <w:rPr>
                <w:sz w:val="12"/>
                <w:szCs w:val="12"/>
              </w:rPr>
            </w:pPr>
          </w:p>
        </w:tc>
        <w:tc>
          <w:tcPr>
            <w:tcW w:w="2080" w:type="dxa"/>
            <w:shd w:val="clear" w:color="auto" w:fill="CCEEFF"/>
            <w:vAlign w:val="bottom"/>
          </w:tcPr>
          <w:p w:rsidR="004A0011" w:rsidRDefault="00D538EF">
            <w:pPr>
              <w:ind w:right="1"/>
              <w:jc w:val="right"/>
              <w:rPr>
                <w:sz w:val="20"/>
                <w:szCs w:val="20"/>
              </w:rPr>
            </w:pPr>
            <w:r>
              <w:rPr>
                <w:rFonts w:eastAsia="Times New Roman"/>
                <w:sz w:val="12"/>
                <w:szCs w:val="12"/>
              </w:rPr>
              <w:t>23.6</w:t>
            </w:r>
          </w:p>
        </w:tc>
        <w:tc>
          <w:tcPr>
            <w:tcW w:w="0" w:type="dxa"/>
            <w:vAlign w:val="bottom"/>
          </w:tcPr>
          <w:p w:rsidR="004A0011" w:rsidRDefault="004A0011">
            <w:pPr>
              <w:rPr>
                <w:sz w:val="1"/>
                <w:szCs w:val="1"/>
              </w:rPr>
            </w:pPr>
          </w:p>
        </w:tc>
      </w:tr>
      <w:tr w:rsidR="004A0011">
        <w:trPr>
          <w:trHeight w:val="171"/>
        </w:trPr>
        <w:tc>
          <w:tcPr>
            <w:tcW w:w="6480" w:type="dxa"/>
            <w:vAlign w:val="bottom"/>
          </w:tcPr>
          <w:p w:rsidR="004A0011" w:rsidRDefault="004A0011">
            <w:pPr>
              <w:rPr>
                <w:sz w:val="14"/>
                <w:szCs w:val="14"/>
              </w:rPr>
            </w:pPr>
          </w:p>
        </w:tc>
        <w:tc>
          <w:tcPr>
            <w:tcW w:w="1760" w:type="dxa"/>
            <w:vAlign w:val="bottom"/>
          </w:tcPr>
          <w:p w:rsidR="004A0011" w:rsidRDefault="004A0011">
            <w:pPr>
              <w:rPr>
                <w:sz w:val="14"/>
                <w:szCs w:val="14"/>
              </w:rPr>
            </w:pPr>
          </w:p>
        </w:tc>
        <w:tc>
          <w:tcPr>
            <w:tcW w:w="440" w:type="dxa"/>
            <w:vAlign w:val="bottom"/>
          </w:tcPr>
          <w:p w:rsidR="004A0011" w:rsidRDefault="004A0011">
            <w:pPr>
              <w:rPr>
                <w:sz w:val="14"/>
                <w:szCs w:val="14"/>
              </w:rPr>
            </w:pPr>
          </w:p>
        </w:tc>
        <w:tc>
          <w:tcPr>
            <w:tcW w:w="340" w:type="dxa"/>
            <w:vAlign w:val="bottom"/>
          </w:tcPr>
          <w:p w:rsidR="004A0011" w:rsidRDefault="004A0011">
            <w:pPr>
              <w:rPr>
                <w:sz w:val="14"/>
                <w:szCs w:val="14"/>
              </w:rPr>
            </w:pPr>
          </w:p>
        </w:tc>
        <w:tc>
          <w:tcPr>
            <w:tcW w:w="120" w:type="dxa"/>
            <w:vAlign w:val="bottom"/>
          </w:tcPr>
          <w:p w:rsidR="004A0011" w:rsidRDefault="004A0011">
            <w:pPr>
              <w:rPr>
                <w:sz w:val="14"/>
                <w:szCs w:val="14"/>
              </w:rPr>
            </w:pPr>
          </w:p>
        </w:tc>
        <w:tc>
          <w:tcPr>
            <w:tcW w:w="2080" w:type="dxa"/>
            <w:vAlign w:val="bottom"/>
          </w:tcPr>
          <w:p w:rsidR="004A0011" w:rsidRDefault="004A0011">
            <w:pPr>
              <w:rPr>
                <w:sz w:val="14"/>
                <w:szCs w:val="14"/>
              </w:rPr>
            </w:pPr>
          </w:p>
        </w:tc>
        <w:tc>
          <w:tcPr>
            <w:tcW w:w="0" w:type="dxa"/>
            <w:vAlign w:val="bottom"/>
          </w:tcPr>
          <w:p w:rsidR="004A0011" w:rsidRDefault="004A0011">
            <w:pPr>
              <w:rPr>
                <w:sz w:val="1"/>
                <w:szCs w:val="1"/>
              </w:rPr>
            </w:pPr>
          </w:p>
        </w:tc>
      </w:tr>
      <w:tr w:rsidR="004A0011">
        <w:trPr>
          <w:trHeight w:val="153"/>
        </w:trPr>
        <w:tc>
          <w:tcPr>
            <w:tcW w:w="6480" w:type="dxa"/>
            <w:shd w:val="clear" w:color="auto" w:fill="CCEEFF"/>
            <w:vAlign w:val="bottom"/>
          </w:tcPr>
          <w:p w:rsidR="004A0011" w:rsidRDefault="00D538EF">
            <w:pPr>
              <w:rPr>
                <w:sz w:val="20"/>
                <w:szCs w:val="20"/>
              </w:rPr>
            </w:pPr>
            <w:r>
              <w:rPr>
                <w:rFonts w:eastAsia="Times New Roman"/>
                <w:b/>
                <w:bCs/>
                <w:sz w:val="12"/>
                <w:szCs w:val="12"/>
              </w:rPr>
              <w:t>Adjustments:</w:t>
            </w:r>
          </w:p>
        </w:tc>
        <w:tc>
          <w:tcPr>
            <w:tcW w:w="1760" w:type="dxa"/>
            <w:shd w:val="clear" w:color="auto" w:fill="CCEEFF"/>
            <w:vAlign w:val="bottom"/>
          </w:tcPr>
          <w:p w:rsidR="004A0011" w:rsidRDefault="004A0011">
            <w:pPr>
              <w:rPr>
                <w:sz w:val="13"/>
                <w:szCs w:val="13"/>
              </w:rPr>
            </w:pPr>
          </w:p>
        </w:tc>
        <w:tc>
          <w:tcPr>
            <w:tcW w:w="440" w:type="dxa"/>
            <w:shd w:val="clear" w:color="auto" w:fill="CCEEFF"/>
            <w:vAlign w:val="bottom"/>
          </w:tcPr>
          <w:p w:rsidR="004A0011" w:rsidRDefault="004A0011">
            <w:pPr>
              <w:rPr>
                <w:sz w:val="13"/>
                <w:szCs w:val="13"/>
              </w:rPr>
            </w:pPr>
          </w:p>
        </w:tc>
        <w:tc>
          <w:tcPr>
            <w:tcW w:w="340" w:type="dxa"/>
            <w:shd w:val="clear" w:color="auto" w:fill="CCEEFF"/>
            <w:vAlign w:val="bottom"/>
          </w:tcPr>
          <w:p w:rsidR="004A0011" w:rsidRDefault="004A0011">
            <w:pPr>
              <w:rPr>
                <w:sz w:val="13"/>
                <w:szCs w:val="13"/>
              </w:rPr>
            </w:pPr>
          </w:p>
        </w:tc>
        <w:tc>
          <w:tcPr>
            <w:tcW w:w="120" w:type="dxa"/>
            <w:shd w:val="clear" w:color="auto" w:fill="CCEEFF"/>
            <w:vAlign w:val="bottom"/>
          </w:tcPr>
          <w:p w:rsidR="004A0011" w:rsidRDefault="004A0011">
            <w:pPr>
              <w:rPr>
                <w:sz w:val="13"/>
                <w:szCs w:val="13"/>
              </w:rPr>
            </w:pPr>
          </w:p>
        </w:tc>
        <w:tc>
          <w:tcPr>
            <w:tcW w:w="2080" w:type="dxa"/>
            <w:shd w:val="clear" w:color="auto" w:fill="CCEEFF"/>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53"/>
        </w:trPr>
        <w:tc>
          <w:tcPr>
            <w:tcW w:w="6480" w:type="dxa"/>
            <w:vAlign w:val="bottom"/>
          </w:tcPr>
          <w:p w:rsidR="004A0011" w:rsidRDefault="00D538EF">
            <w:pPr>
              <w:ind w:left="160"/>
              <w:rPr>
                <w:sz w:val="20"/>
                <w:szCs w:val="20"/>
              </w:rPr>
            </w:pPr>
            <w:r>
              <w:rPr>
                <w:rFonts w:eastAsia="Times New Roman"/>
                <w:sz w:val="12"/>
                <w:szCs w:val="12"/>
              </w:rPr>
              <w:t>Separation costs after the IPO</w:t>
            </w:r>
          </w:p>
        </w:tc>
        <w:tc>
          <w:tcPr>
            <w:tcW w:w="1760" w:type="dxa"/>
            <w:vAlign w:val="bottom"/>
          </w:tcPr>
          <w:p w:rsidR="004A0011" w:rsidRDefault="004A0011">
            <w:pPr>
              <w:rPr>
                <w:sz w:val="13"/>
                <w:szCs w:val="13"/>
              </w:rPr>
            </w:pPr>
          </w:p>
        </w:tc>
        <w:tc>
          <w:tcPr>
            <w:tcW w:w="780" w:type="dxa"/>
            <w:gridSpan w:val="2"/>
            <w:vAlign w:val="bottom"/>
          </w:tcPr>
          <w:p w:rsidR="004A0011" w:rsidRDefault="00D538EF">
            <w:pPr>
              <w:ind w:right="400"/>
              <w:jc w:val="right"/>
              <w:rPr>
                <w:sz w:val="20"/>
                <w:szCs w:val="20"/>
              </w:rPr>
            </w:pPr>
            <w:r>
              <w:rPr>
                <w:rFonts w:eastAsia="Times New Roman"/>
                <w:sz w:val="11"/>
                <w:szCs w:val="11"/>
              </w:rPr>
              <w:t>—</w:t>
            </w:r>
          </w:p>
        </w:tc>
        <w:tc>
          <w:tcPr>
            <w:tcW w:w="120" w:type="dxa"/>
            <w:vAlign w:val="bottom"/>
          </w:tcPr>
          <w:p w:rsidR="004A0011" w:rsidRDefault="004A0011">
            <w:pPr>
              <w:rPr>
                <w:sz w:val="13"/>
                <w:szCs w:val="13"/>
              </w:rPr>
            </w:pPr>
          </w:p>
        </w:tc>
        <w:tc>
          <w:tcPr>
            <w:tcW w:w="2080" w:type="dxa"/>
            <w:vAlign w:val="bottom"/>
          </w:tcPr>
          <w:p w:rsidR="004A0011" w:rsidRDefault="00D538EF">
            <w:pPr>
              <w:ind w:right="1"/>
              <w:jc w:val="right"/>
              <w:rPr>
                <w:sz w:val="20"/>
                <w:szCs w:val="20"/>
              </w:rPr>
            </w:pPr>
            <w:r>
              <w:rPr>
                <w:rFonts w:eastAsia="Times New Roman"/>
                <w:sz w:val="12"/>
                <w:szCs w:val="12"/>
              </w:rPr>
              <w:t>0.8</w:t>
            </w:r>
          </w:p>
        </w:tc>
        <w:tc>
          <w:tcPr>
            <w:tcW w:w="0" w:type="dxa"/>
            <w:vAlign w:val="bottom"/>
          </w:tcPr>
          <w:p w:rsidR="004A0011" w:rsidRDefault="004A0011">
            <w:pPr>
              <w:rPr>
                <w:sz w:val="1"/>
                <w:szCs w:val="1"/>
              </w:rPr>
            </w:pPr>
          </w:p>
        </w:tc>
      </w:tr>
      <w:tr w:rsidR="004A0011">
        <w:trPr>
          <w:trHeight w:val="153"/>
        </w:trPr>
        <w:tc>
          <w:tcPr>
            <w:tcW w:w="6480" w:type="dxa"/>
            <w:shd w:val="clear" w:color="auto" w:fill="CCEEFF"/>
            <w:vAlign w:val="bottom"/>
          </w:tcPr>
          <w:p w:rsidR="004A0011" w:rsidRDefault="00D538EF">
            <w:pPr>
              <w:ind w:left="160"/>
              <w:rPr>
                <w:sz w:val="20"/>
                <w:szCs w:val="20"/>
              </w:rPr>
            </w:pPr>
            <w:r>
              <w:rPr>
                <w:rFonts w:eastAsia="Times New Roman"/>
                <w:sz w:val="12"/>
                <w:szCs w:val="12"/>
              </w:rPr>
              <w:t>Foreign currency gain on intercompany loans</w:t>
            </w:r>
          </w:p>
        </w:tc>
        <w:tc>
          <w:tcPr>
            <w:tcW w:w="1760" w:type="dxa"/>
            <w:tcBorders>
              <w:bottom w:val="single" w:sz="8" w:space="0" w:color="auto"/>
            </w:tcBorders>
            <w:shd w:val="clear" w:color="auto" w:fill="CCEEFF"/>
            <w:vAlign w:val="bottom"/>
          </w:tcPr>
          <w:p w:rsidR="004A0011" w:rsidRDefault="004A0011">
            <w:pPr>
              <w:rPr>
                <w:sz w:val="13"/>
                <w:szCs w:val="13"/>
              </w:rPr>
            </w:pPr>
          </w:p>
        </w:tc>
        <w:tc>
          <w:tcPr>
            <w:tcW w:w="44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(0.3)</w:t>
            </w:r>
          </w:p>
        </w:tc>
        <w:tc>
          <w:tcPr>
            <w:tcW w:w="340" w:type="dxa"/>
            <w:shd w:val="clear" w:color="auto" w:fill="CCEEFF"/>
            <w:vAlign w:val="bottom"/>
          </w:tcPr>
          <w:p w:rsidR="004A0011" w:rsidRDefault="004A0011">
            <w:pPr>
              <w:rPr>
                <w:sz w:val="13"/>
                <w:szCs w:val="13"/>
              </w:rPr>
            </w:pPr>
          </w:p>
        </w:tc>
        <w:tc>
          <w:tcPr>
            <w:tcW w:w="120" w:type="dxa"/>
            <w:tcBorders>
              <w:bottom w:val="single" w:sz="8" w:space="0" w:color="auto"/>
            </w:tcBorders>
            <w:shd w:val="clear" w:color="auto" w:fill="CCEEFF"/>
            <w:vAlign w:val="bottom"/>
          </w:tcPr>
          <w:p w:rsidR="004A0011" w:rsidRDefault="004A0011">
            <w:pPr>
              <w:rPr>
                <w:sz w:val="13"/>
                <w:szCs w:val="13"/>
              </w:rPr>
            </w:pPr>
          </w:p>
        </w:tc>
        <w:tc>
          <w:tcPr>
            <w:tcW w:w="208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(0.5)</w:t>
            </w:r>
          </w:p>
        </w:tc>
        <w:tc>
          <w:tcPr>
            <w:tcW w:w="0" w:type="dxa"/>
            <w:vAlign w:val="bottom"/>
          </w:tcPr>
          <w:p w:rsidR="004A0011" w:rsidRDefault="004A0011">
            <w:pPr>
              <w:rPr>
                <w:sz w:val="1"/>
                <w:szCs w:val="1"/>
              </w:rPr>
            </w:pPr>
          </w:p>
        </w:tc>
      </w:tr>
      <w:tr w:rsidR="004A0011">
        <w:trPr>
          <w:trHeight w:val="142"/>
        </w:trPr>
        <w:tc>
          <w:tcPr>
            <w:tcW w:w="6480" w:type="dxa"/>
            <w:vAlign w:val="bottom"/>
          </w:tcPr>
          <w:p w:rsidR="004A0011" w:rsidRDefault="00D538EF">
            <w:pPr>
              <w:ind w:left="160"/>
              <w:rPr>
                <w:sz w:val="20"/>
                <w:szCs w:val="20"/>
              </w:rPr>
            </w:pPr>
            <w:r>
              <w:rPr>
                <w:rFonts w:eastAsia="Times New Roman"/>
                <w:b/>
                <w:bCs/>
                <w:sz w:val="12"/>
                <w:szCs w:val="12"/>
              </w:rPr>
              <w:t>Total Net Adjustments</w:t>
            </w:r>
          </w:p>
        </w:tc>
        <w:tc>
          <w:tcPr>
            <w:tcW w:w="1760" w:type="dxa"/>
            <w:vAlign w:val="bottom"/>
          </w:tcPr>
          <w:p w:rsidR="004A0011" w:rsidRDefault="004A0011">
            <w:pPr>
              <w:rPr>
                <w:sz w:val="12"/>
                <w:szCs w:val="12"/>
              </w:rPr>
            </w:pPr>
          </w:p>
        </w:tc>
        <w:tc>
          <w:tcPr>
            <w:tcW w:w="440" w:type="dxa"/>
            <w:vAlign w:val="bottom"/>
          </w:tcPr>
          <w:p w:rsidR="004A0011" w:rsidRDefault="00D538EF">
            <w:pPr>
              <w:jc w:val="right"/>
              <w:rPr>
                <w:sz w:val="20"/>
                <w:szCs w:val="20"/>
              </w:rPr>
            </w:pPr>
            <w:r>
              <w:rPr>
                <w:rFonts w:eastAsia="Times New Roman"/>
                <w:sz w:val="12"/>
                <w:szCs w:val="12"/>
              </w:rPr>
              <w:t>(0.3)</w:t>
            </w:r>
          </w:p>
        </w:tc>
        <w:tc>
          <w:tcPr>
            <w:tcW w:w="340" w:type="dxa"/>
            <w:vAlign w:val="bottom"/>
          </w:tcPr>
          <w:p w:rsidR="004A0011" w:rsidRDefault="004A0011">
            <w:pPr>
              <w:rPr>
                <w:sz w:val="12"/>
                <w:szCs w:val="12"/>
              </w:rPr>
            </w:pPr>
          </w:p>
        </w:tc>
        <w:tc>
          <w:tcPr>
            <w:tcW w:w="120" w:type="dxa"/>
            <w:vAlign w:val="bottom"/>
          </w:tcPr>
          <w:p w:rsidR="004A0011" w:rsidRDefault="004A0011">
            <w:pPr>
              <w:rPr>
                <w:sz w:val="12"/>
                <w:szCs w:val="12"/>
              </w:rPr>
            </w:pPr>
          </w:p>
        </w:tc>
        <w:tc>
          <w:tcPr>
            <w:tcW w:w="2080" w:type="dxa"/>
            <w:vAlign w:val="bottom"/>
          </w:tcPr>
          <w:p w:rsidR="004A0011" w:rsidRDefault="00D538EF">
            <w:pPr>
              <w:ind w:right="1"/>
              <w:jc w:val="right"/>
              <w:rPr>
                <w:sz w:val="20"/>
                <w:szCs w:val="20"/>
              </w:rPr>
            </w:pPr>
            <w:r>
              <w:rPr>
                <w:rFonts w:eastAsia="Times New Roman"/>
                <w:sz w:val="12"/>
                <w:szCs w:val="12"/>
              </w:rPr>
              <w:t>0.3</w:t>
            </w:r>
          </w:p>
        </w:tc>
        <w:tc>
          <w:tcPr>
            <w:tcW w:w="0" w:type="dxa"/>
            <w:vAlign w:val="bottom"/>
          </w:tcPr>
          <w:p w:rsidR="004A0011" w:rsidRDefault="004A0011">
            <w:pPr>
              <w:rPr>
                <w:sz w:val="1"/>
                <w:szCs w:val="1"/>
              </w:rPr>
            </w:pPr>
          </w:p>
        </w:tc>
      </w:tr>
      <w:tr w:rsidR="004A0011">
        <w:trPr>
          <w:trHeight w:val="153"/>
        </w:trPr>
        <w:tc>
          <w:tcPr>
            <w:tcW w:w="6480" w:type="dxa"/>
            <w:shd w:val="clear" w:color="auto" w:fill="CCEEFF"/>
            <w:vAlign w:val="bottom"/>
          </w:tcPr>
          <w:p w:rsidR="004A0011" w:rsidRDefault="00D538EF">
            <w:pPr>
              <w:spacing w:line="153" w:lineRule="exact"/>
              <w:rPr>
                <w:sz w:val="20"/>
                <w:szCs w:val="20"/>
              </w:rPr>
            </w:pPr>
            <w:r>
              <w:rPr>
                <w:rFonts w:eastAsia="Times New Roman"/>
                <w:sz w:val="12"/>
                <w:szCs w:val="12"/>
              </w:rPr>
              <w:t xml:space="preserve">Income tax effect on adjustments </w:t>
            </w:r>
            <w:r>
              <w:rPr>
                <w:rFonts w:eastAsia="Times New Roman"/>
                <w:sz w:val="15"/>
                <w:szCs w:val="15"/>
                <w:vertAlign w:val="superscript"/>
              </w:rPr>
              <w:t>(1)</w:t>
            </w:r>
          </w:p>
        </w:tc>
        <w:tc>
          <w:tcPr>
            <w:tcW w:w="1760" w:type="dxa"/>
            <w:shd w:val="clear" w:color="auto" w:fill="CCEEFF"/>
            <w:vAlign w:val="bottom"/>
          </w:tcPr>
          <w:p w:rsidR="004A0011" w:rsidRDefault="004A0011">
            <w:pPr>
              <w:rPr>
                <w:sz w:val="13"/>
                <w:szCs w:val="13"/>
              </w:rPr>
            </w:pPr>
          </w:p>
        </w:tc>
        <w:tc>
          <w:tcPr>
            <w:tcW w:w="780" w:type="dxa"/>
            <w:gridSpan w:val="2"/>
            <w:shd w:val="clear" w:color="auto" w:fill="CCEEFF"/>
            <w:vAlign w:val="bottom"/>
          </w:tcPr>
          <w:p w:rsidR="004A0011" w:rsidRDefault="00D538EF">
            <w:pPr>
              <w:ind w:right="400"/>
              <w:jc w:val="right"/>
              <w:rPr>
                <w:sz w:val="20"/>
                <w:szCs w:val="20"/>
              </w:rPr>
            </w:pPr>
            <w:r>
              <w:rPr>
                <w:rFonts w:eastAsia="Times New Roman"/>
                <w:sz w:val="11"/>
                <w:szCs w:val="11"/>
              </w:rPr>
              <w:t>—</w:t>
            </w:r>
          </w:p>
        </w:tc>
        <w:tc>
          <w:tcPr>
            <w:tcW w:w="120" w:type="dxa"/>
            <w:shd w:val="clear" w:color="auto" w:fill="CCEEFF"/>
            <w:vAlign w:val="bottom"/>
          </w:tcPr>
          <w:p w:rsidR="004A0011" w:rsidRDefault="004A0011">
            <w:pPr>
              <w:rPr>
                <w:sz w:val="13"/>
                <w:szCs w:val="13"/>
              </w:rPr>
            </w:pPr>
          </w:p>
        </w:tc>
        <w:tc>
          <w:tcPr>
            <w:tcW w:w="2080" w:type="dxa"/>
            <w:shd w:val="clear" w:color="auto" w:fill="CCEEFF"/>
            <w:vAlign w:val="bottom"/>
          </w:tcPr>
          <w:p w:rsidR="004A0011" w:rsidRDefault="00D538EF">
            <w:pPr>
              <w:ind w:right="1"/>
              <w:jc w:val="right"/>
              <w:rPr>
                <w:sz w:val="20"/>
                <w:szCs w:val="20"/>
              </w:rPr>
            </w:pPr>
            <w:r>
              <w:rPr>
                <w:rFonts w:eastAsia="Times New Roman"/>
                <w:sz w:val="11"/>
                <w:szCs w:val="11"/>
              </w:rPr>
              <w:t>—</w:t>
            </w:r>
          </w:p>
        </w:tc>
        <w:tc>
          <w:tcPr>
            <w:tcW w:w="0" w:type="dxa"/>
            <w:vAlign w:val="bottom"/>
          </w:tcPr>
          <w:p w:rsidR="004A0011" w:rsidRDefault="004A0011">
            <w:pPr>
              <w:rPr>
                <w:sz w:val="1"/>
                <w:szCs w:val="1"/>
              </w:rPr>
            </w:pPr>
          </w:p>
        </w:tc>
      </w:tr>
      <w:tr w:rsidR="004A0011">
        <w:trPr>
          <w:trHeight w:val="142"/>
        </w:trPr>
        <w:tc>
          <w:tcPr>
            <w:tcW w:w="6480" w:type="dxa"/>
            <w:vAlign w:val="bottom"/>
          </w:tcPr>
          <w:p w:rsidR="004A0011" w:rsidRDefault="00D538EF">
            <w:pPr>
              <w:rPr>
                <w:sz w:val="20"/>
                <w:szCs w:val="20"/>
              </w:rPr>
            </w:pPr>
            <w:r>
              <w:rPr>
                <w:rFonts w:eastAsia="Times New Roman"/>
                <w:b/>
                <w:bCs/>
                <w:sz w:val="12"/>
                <w:szCs w:val="12"/>
              </w:rPr>
              <w:t>Adjusted Net Earnings Available to Class A Common Stockholders</w:t>
            </w:r>
          </w:p>
        </w:tc>
        <w:tc>
          <w:tcPr>
            <w:tcW w:w="1760" w:type="dxa"/>
            <w:tcBorders>
              <w:top w:val="single" w:sz="8" w:space="0" w:color="auto"/>
              <w:bottom w:val="single" w:sz="8" w:space="0" w:color="auto"/>
            </w:tcBorders>
            <w:vAlign w:val="bottom"/>
          </w:tcPr>
          <w:p w:rsidR="004A0011" w:rsidRDefault="00D538EF">
            <w:pPr>
              <w:ind w:right="1646"/>
              <w:jc w:val="right"/>
              <w:rPr>
                <w:sz w:val="20"/>
                <w:szCs w:val="20"/>
              </w:rPr>
            </w:pPr>
            <w:r>
              <w:rPr>
                <w:rFonts w:eastAsia="Times New Roman"/>
                <w:w w:val="71"/>
                <w:sz w:val="11"/>
                <w:szCs w:val="11"/>
              </w:rPr>
              <w:t>$</w:t>
            </w:r>
          </w:p>
        </w:tc>
        <w:tc>
          <w:tcPr>
            <w:tcW w:w="440" w:type="dxa"/>
            <w:tcBorders>
              <w:top w:val="single" w:sz="8" w:space="0" w:color="auto"/>
              <w:bottom w:val="single" w:sz="8" w:space="0" w:color="auto"/>
            </w:tcBorders>
            <w:vAlign w:val="bottom"/>
          </w:tcPr>
          <w:p w:rsidR="004A0011" w:rsidRDefault="00D538EF">
            <w:pPr>
              <w:ind w:right="2"/>
              <w:jc w:val="right"/>
              <w:rPr>
                <w:sz w:val="20"/>
                <w:szCs w:val="20"/>
              </w:rPr>
            </w:pPr>
            <w:r>
              <w:rPr>
                <w:rFonts w:eastAsia="Times New Roman"/>
                <w:sz w:val="12"/>
                <w:szCs w:val="12"/>
              </w:rPr>
              <w:t>9.8</w:t>
            </w:r>
          </w:p>
        </w:tc>
        <w:tc>
          <w:tcPr>
            <w:tcW w:w="340" w:type="dxa"/>
            <w:vAlign w:val="bottom"/>
          </w:tcPr>
          <w:p w:rsidR="004A0011" w:rsidRDefault="004A0011">
            <w:pPr>
              <w:rPr>
                <w:sz w:val="12"/>
                <w:szCs w:val="12"/>
              </w:rPr>
            </w:pPr>
          </w:p>
        </w:tc>
        <w:tc>
          <w:tcPr>
            <w:tcW w:w="120" w:type="dxa"/>
            <w:tcBorders>
              <w:top w:val="single" w:sz="8" w:space="0" w:color="auto"/>
              <w:bottom w:val="single" w:sz="8" w:space="0" w:color="auto"/>
            </w:tcBorders>
            <w:vAlign w:val="bottom"/>
          </w:tcPr>
          <w:p w:rsidR="004A0011" w:rsidRDefault="00D538EF">
            <w:pPr>
              <w:ind w:right="6"/>
              <w:jc w:val="right"/>
              <w:rPr>
                <w:sz w:val="20"/>
                <w:szCs w:val="20"/>
              </w:rPr>
            </w:pPr>
            <w:r>
              <w:rPr>
                <w:rFonts w:eastAsia="Times New Roman"/>
                <w:w w:val="71"/>
                <w:sz w:val="11"/>
                <w:szCs w:val="11"/>
              </w:rPr>
              <w:t>$</w:t>
            </w:r>
          </w:p>
        </w:tc>
        <w:tc>
          <w:tcPr>
            <w:tcW w:w="2080" w:type="dxa"/>
            <w:tcBorders>
              <w:top w:val="single" w:sz="8" w:space="0" w:color="auto"/>
              <w:bottom w:val="single" w:sz="8" w:space="0" w:color="auto"/>
            </w:tcBorders>
            <w:vAlign w:val="bottom"/>
          </w:tcPr>
          <w:p w:rsidR="004A0011" w:rsidRDefault="00D538EF">
            <w:pPr>
              <w:ind w:right="1"/>
              <w:jc w:val="right"/>
              <w:rPr>
                <w:sz w:val="20"/>
                <w:szCs w:val="20"/>
              </w:rPr>
            </w:pPr>
            <w:r>
              <w:rPr>
                <w:rFonts w:eastAsia="Times New Roman"/>
                <w:sz w:val="12"/>
                <w:szCs w:val="12"/>
              </w:rPr>
              <w:t>23.9</w:t>
            </w:r>
          </w:p>
        </w:tc>
        <w:tc>
          <w:tcPr>
            <w:tcW w:w="0" w:type="dxa"/>
            <w:vAlign w:val="bottom"/>
          </w:tcPr>
          <w:p w:rsidR="004A0011" w:rsidRDefault="004A0011">
            <w:pPr>
              <w:rPr>
                <w:sz w:val="1"/>
                <w:szCs w:val="1"/>
              </w:rPr>
            </w:pPr>
          </w:p>
        </w:tc>
      </w:tr>
      <w:tr w:rsidR="004A0011">
        <w:trPr>
          <w:trHeight w:val="20"/>
        </w:trPr>
        <w:tc>
          <w:tcPr>
            <w:tcW w:w="6480" w:type="dxa"/>
            <w:vAlign w:val="bottom"/>
          </w:tcPr>
          <w:p w:rsidR="004A0011" w:rsidRDefault="004A0011">
            <w:pPr>
              <w:spacing w:line="20" w:lineRule="exact"/>
              <w:rPr>
                <w:sz w:val="1"/>
                <w:szCs w:val="1"/>
              </w:rPr>
            </w:pPr>
          </w:p>
        </w:tc>
        <w:tc>
          <w:tcPr>
            <w:tcW w:w="1760" w:type="dxa"/>
            <w:tcBorders>
              <w:bottom w:val="single" w:sz="8" w:space="0" w:color="auto"/>
            </w:tcBorders>
            <w:vAlign w:val="bottom"/>
          </w:tcPr>
          <w:p w:rsidR="004A0011" w:rsidRDefault="004A0011">
            <w:pPr>
              <w:spacing w:line="20" w:lineRule="exact"/>
              <w:rPr>
                <w:sz w:val="1"/>
                <w:szCs w:val="1"/>
              </w:rPr>
            </w:pPr>
          </w:p>
        </w:tc>
        <w:tc>
          <w:tcPr>
            <w:tcW w:w="440" w:type="dxa"/>
            <w:tcBorders>
              <w:bottom w:val="single" w:sz="8" w:space="0" w:color="auto"/>
            </w:tcBorders>
            <w:vAlign w:val="bottom"/>
          </w:tcPr>
          <w:p w:rsidR="004A0011" w:rsidRDefault="004A0011">
            <w:pPr>
              <w:spacing w:line="20" w:lineRule="exact"/>
              <w:rPr>
                <w:sz w:val="1"/>
                <w:szCs w:val="1"/>
              </w:rPr>
            </w:pPr>
          </w:p>
        </w:tc>
        <w:tc>
          <w:tcPr>
            <w:tcW w:w="340" w:type="dxa"/>
            <w:vAlign w:val="bottom"/>
          </w:tcPr>
          <w:p w:rsidR="004A0011" w:rsidRDefault="004A0011">
            <w:pPr>
              <w:spacing w:line="20" w:lineRule="exact"/>
              <w:rPr>
                <w:sz w:val="1"/>
                <w:szCs w:val="1"/>
              </w:rPr>
            </w:pPr>
          </w:p>
        </w:tc>
        <w:tc>
          <w:tcPr>
            <w:tcW w:w="120" w:type="dxa"/>
            <w:tcBorders>
              <w:bottom w:val="single" w:sz="8" w:space="0" w:color="auto"/>
            </w:tcBorders>
            <w:vAlign w:val="bottom"/>
          </w:tcPr>
          <w:p w:rsidR="004A0011" w:rsidRDefault="004A0011">
            <w:pPr>
              <w:spacing w:line="20" w:lineRule="exact"/>
              <w:rPr>
                <w:sz w:val="1"/>
                <w:szCs w:val="1"/>
              </w:rPr>
            </w:pPr>
          </w:p>
        </w:tc>
        <w:tc>
          <w:tcPr>
            <w:tcW w:w="2080" w:type="dxa"/>
            <w:tcBorders>
              <w:bottom w:val="single" w:sz="8" w:space="0" w:color="auto"/>
            </w:tcBorders>
            <w:vAlign w:val="bottom"/>
          </w:tcPr>
          <w:p w:rsidR="004A0011" w:rsidRDefault="004A0011">
            <w:pPr>
              <w:spacing w:line="20" w:lineRule="exact"/>
              <w:rPr>
                <w:sz w:val="1"/>
                <w:szCs w:val="1"/>
              </w:rPr>
            </w:pPr>
          </w:p>
        </w:tc>
        <w:tc>
          <w:tcPr>
            <w:tcW w:w="0" w:type="dxa"/>
            <w:vAlign w:val="bottom"/>
          </w:tcPr>
          <w:p w:rsidR="004A0011" w:rsidRDefault="004A0011">
            <w:pPr>
              <w:spacing w:line="20" w:lineRule="exact"/>
              <w:rPr>
                <w:sz w:val="1"/>
                <w:szCs w:val="1"/>
              </w:rPr>
            </w:pPr>
          </w:p>
        </w:tc>
      </w:tr>
    </w:tbl>
    <w:p w:rsidR="004A0011" w:rsidRDefault="004A0011">
      <w:pPr>
        <w:spacing w:line="160" w:lineRule="exact"/>
        <w:rPr>
          <w:sz w:val="20"/>
          <w:szCs w:val="20"/>
        </w:rPr>
      </w:pPr>
    </w:p>
    <w:p w:rsidR="004A0011" w:rsidRDefault="00D538EF">
      <w:pPr>
        <w:numPr>
          <w:ilvl w:val="0"/>
          <w:numId w:val="9"/>
        </w:numPr>
        <w:tabs>
          <w:tab w:val="left" w:pos="141"/>
        </w:tabs>
        <w:spacing w:line="244" w:lineRule="auto"/>
        <w:ind w:left="20" w:right="340" w:firstLine="9"/>
        <w:rPr>
          <w:rFonts w:eastAsia="Times New Roman"/>
          <w:sz w:val="14"/>
          <w:szCs w:val="14"/>
          <w:vertAlign w:val="superscript"/>
        </w:rPr>
      </w:pPr>
      <w:r>
        <w:rPr>
          <w:rFonts w:eastAsia="Times New Roman"/>
          <w:sz w:val="11"/>
          <w:szCs w:val="11"/>
        </w:rPr>
        <w:t xml:space="preserve">For both periods, the income tax effect for separation costs was calculated using a rate of 0.0% as the amounts are </w:t>
      </w:r>
      <w:r>
        <w:rPr>
          <w:rFonts w:eastAsia="Times New Roman"/>
          <w:sz w:val="11"/>
          <w:szCs w:val="11"/>
        </w:rPr>
        <w:t>primarily non-deductible separation costs for income tax purposes. For both periods, the income tax effect on foreign currency gain on intercompany loans was calculated using a rate of 7.0%, which represents the effective income tax rate on BellRing’s 28.8</w:t>
      </w:r>
      <w:r>
        <w:rPr>
          <w:rFonts w:eastAsia="Times New Roman"/>
          <w:sz w:val="11"/>
          <w:szCs w:val="11"/>
        </w:rPr>
        <w:t>% distributive share.</w:t>
      </w:r>
    </w:p>
    <w:p w:rsidR="004A0011" w:rsidRDefault="004A0011">
      <w:pPr>
        <w:spacing w:line="391" w:lineRule="exact"/>
        <w:rPr>
          <w:sz w:val="20"/>
          <w:szCs w:val="20"/>
        </w:rPr>
      </w:pPr>
    </w:p>
    <w:p w:rsidR="004A0011" w:rsidRDefault="00D538EF">
      <w:pPr>
        <w:jc w:val="center"/>
        <w:rPr>
          <w:sz w:val="20"/>
          <w:szCs w:val="20"/>
        </w:rPr>
      </w:pPr>
      <w:r>
        <w:rPr>
          <w:rFonts w:eastAsia="Times New Roman"/>
          <w:b/>
          <w:bCs/>
          <w:sz w:val="11"/>
          <w:szCs w:val="11"/>
        </w:rPr>
        <w:t>RECONCILIATION OF DILUTED EARNINGS PER SHARE OF CLASS A COMMON STOCK</w:t>
      </w:r>
    </w:p>
    <w:p w:rsidR="004A0011" w:rsidRDefault="004A0011">
      <w:pPr>
        <w:spacing w:line="14" w:lineRule="exact"/>
        <w:rPr>
          <w:sz w:val="20"/>
          <w:szCs w:val="20"/>
        </w:rPr>
      </w:pPr>
    </w:p>
    <w:p w:rsidR="004A0011" w:rsidRDefault="00D538EF">
      <w:pPr>
        <w:jc w:val="center"/>
        <w:rPr>
          <w:sz w:val="20"/>
          <w:szCs w:val="20"/>
        </w:rPr>
      </w:pPr>
      <w:r>
        <w:rPr>
          <w:rFonts w:eastAsia="Times New Roman"/>
          <w:b/>
          <w:bCs/>
          <w:sz w:val="11"/>
          <w:szCs w:val="11"/>
        </w:rPr>
        <w:t>TO ADJUSTED DILUTED EARNINGS PER SHARE OF CLASS A COMMON STOCK (Unaudited)</w:t>
      </w:r>
    </w:p>
    <w:tbl>
      <w:tblPr>
        <w:tblW w:w="0" w:type="auto"/>
        <w:tblLayout w:type="fixed"/>
        <w:tblCellMar>
          <w:left w:w="0" w:type="dxa"/>
          <w:right w:w="0" w:type="dxa"/>
        </w:tblCellMar>
        <w:tblLook w:val="04A0" w:firstRow="1" w:lastRow="0" w:firstColumn="1" w:lastColumn="0" w:noHBand="0" w:noVBand="1"/>
      </w:tblPr>
      <w:tblGrid>
        <w:gridCol w:w="6520"/>
        <w:gridCol w:w="1740"/>
        <w:gridCol w:w="460"/>
        <w:gridCol w:w="340"/>
        <w:gridCol w:w="120"/>
        <w:gridCol w:w="2060"/>
        <w:gridCol w:w="20"/>
      </w:tblGrid>
      <w:tr w:rsidR="004A0011">
        <w:trPr>
          <w:trHeight w:val="123"/>
        </w:trPr>
        <w:tc>
          <w:tcPr>
            <w:tcW w:w="6520" w:type="dxa"/>
            <w:vAlign w:val="bottom"/>
          </w:tcPr>
          <w:p w:rsidR="004A0011" w:rsidRDefault="004A0011">
            <w:pPr>
              <w:rPr>
                <w:sz w:val="10"/>
                <w:szCs w:val="10"/>
              </w:rPr>
            </w:pPr>
          </w:p>
        </w:tc>
        <w:tc>
          <w:tcPr>
            <w:tcW w:w="1740" w:type="dxa"/>
            <w:vAlign w:val="bottom"/>
          </w:tcPr>
          <w:p w:rsidR="004A0011" w:rsidRDefault="00D538EF">
            <w:pPr>
              <w:spacing w:line="123" w:lineRule="exact"/>
              <w:ind w:right="106"/>
              <w:jc w:val="right"/>
              <w:rPr>
                <w:sz w:val="20"/>
                <w:szCs w:val="20"/>
              </w:rPr>
            </w:pPr>
            <w:r>
              <w:rPr>
                <w:rFonts w:eastAsia="Times New Roman"/>
                <w:b/>
                <w:bCs/>
                <w:sz w:val="11"/>
                <w:szCs w:val="11"/>
              </w:rPr>
              <w:t>Three Months Ended</w:t>
            </w:r>
          </w:p>
        </w:tc>
        <w:tc>
          <w:tcPr>
            <w:tcW w:w="460" w:type="dxa"/>
            <w:vAlign w:val="bottom"/>
          </w:tcPr>
          <w:p w:rsidR="004A0011" w:rsidRDefault="004A0011">
            <w:pPr>
              <w:rPr>
                <w:sz w:val="10"/>
                <w:szCs w:val="10"/>
              </w:rPr>
            </w:pPr>
          </w:p>
        </w:tc>
        <w:tc>
          <w:tcPr>
            <w:tcW w:w="340" w:type="dxa"/>
            <w:vAlign w:val="bottom"/>
          </w:tcPr>
          <w:p w:rsidR="004A0011" w:rsidRDefault="004A0011">
            <w:pPr>
              <w:rPr>
                <w:sz w:val="10"/>
                <w:szCs w:val="10"/>
              </w:rPr>
            </w:pPr>
          </w:p>
        </w:tc>
        <w:tc>
          <w:tcPr>
            <w:tcW w:w="120" w:type="dxa"/>
            <w:vAlign w:val="bottom"/>
          </w:tcPr>
          <w:p w:rsidR="004A0011" w:rsidRDefault="004A0011">
            <w:pPr>
              <w:rPr>
                <w:sz w:val="10"/>
                <w:szCs w:val="10"/>
              </w:rPr>
            </w:pPr>
          </w:p>
        </w:tc>
        <w:tc>
          <w:tcPr>
            <w:tcW w:w="2060" w:type="dxa"/>
            <w:vMerge w:val="restart"/>
            <w:vAlign w:val="bottom"/>
          </w:tcPr>
          <w:p w:rsidR="004A0011" w:rsidRDefault="00D538EF">
            <w:pPr>
              <w:ind w:right="121"/>
              <w:jc w:val="right"/>
              <w:rPr>
                <w:sz w:val="20"/>
                <w:szCs w:val="20"/>
              </w:rPr>
            </w:pPr>
            <w:r>
              <w:rPr>
                <w:rFonts w:eastAsia="Times New Roman"/>
                <w:b/>
                <w:bCs/>
                <w:w w:val="99"/>
                <w:sz w:val="11"/>
                <w:szCs w:val="11"/>
              </w:rPr>
              <w:t>October 21, 2019 to September 30, 2020</w:t>
            </w:r>
          </w:p>
        </w:tc>
        <w:tc>
          <w:tcPr>
            <w:tcW w:w="0" w:type="dxa"/>
            <w:vAlign w:val="bottom"/>
          </w:tcPr>
          <w:p w:rsidR="004A0011" w:rsidRDefault="004A0011">
            <w:pPr>
              <w:rPr>
                <w:sz w:val="1"/>
                <w:szCs w:val="1"/>
              </w:rPr>
            </w:pPr>
          </w:p>
        </w:tc>
      </w:tr>
      <w:tr w:rsidR="004A0011">
        <w:trPr>
          <w:trHeight w:val="143"/>
        </w:trPr>
        <w:tc>
          <w:tcPr>
            <w:tcW w:w="6520" w:type="dxa"/>
            <w:tcBorders>
              <w:bottom w:val="single" w:sz="8" w:space="0" w:color="CCEEFF"/>
            </w:tcBorders>
            <w:vAlign w:val="bottom"/>
          </w:tcPr>
          <w:p w:rsidR="004A0011" w:rsidRDefault="004A0011">
            <w:pPr>
              <w:rPr>
                <w:sz w:val="12"/>
                <w:szCs w:val="12"/>
              </w:rPr>
            </w:pPr>
          </w:p>
        </w:tc>
        <w:tc>
          <w:tcPr>
            <w:tcW w:w="1740" w:type="dxa"/>
            <w:tcBorders>
              <w:bottom w:val="single" w:sz="8" w:space="0" w:color="auto"/>
            </w:tcBorders>
            <w:vAlign w:val="bottom"/>
          </w:tcPr>
          <w:p w:rsidR="004A0011" w:rsidRDefault="00D538EF">
            <w:pPr>
              <w:ind w:right="146"/>
              <w:jc w:val="right"/>
              <w:rPr>
                <w:sz w:val="20"/>
                <w:szCs w:val="20"/>
              </w:rPr>
            </w:pPr>
            <w:r>
              <w:rPr>
                <w:rFonts w:eastAsia="Times New Roman"/>
                <w:b/>
                <w:bCs/>
                <w:sz w:val="11"/>
                <w:szCs w:val="11"/>
              </w:rPr>
              <w:t>September 30, 2020</w:t>
            </w:r>
          </w:p>
        </w:tc>
        <w:tc>
          <w:tcPr>
            <w:tcW w:w="460" w:type="dxa"/>
            <w:tcBorders>
              <w:bottom w:val="single" w:sz="8" w:space="0" w:color="auto"/>
            </w:tcBorders>
            <w:vAlign w:val="bottom"/>
          </w:tcPr>
          <w:p w:rsidR="004A0011" w:rsidRDefault="004A0011">
            <w:pPr>
              <w:rPr>
                <w:sz w:val="12"/>
                <w:szCs w:val="12"/>
              </w:rPr>
            </w:pPr>
          </w:p>
        </w:tc>
        <w:tc>
          <w:tcPr>
            <w:tcW w:w="340" w:type="dxa"/>
            <w:tcBorders>
              <w:bottom w:val="single" w:sz="8" w:space="0" w:color="CCEEFF"/>
            </w:tcBorders>
            <w:vAlign w:val="bottom"/>
          </w:tcPr>
          <w:p w:rsidR="004A0011" w:rsidRDefault="004A0011">
            <w:pPr>
              <w:rPr>
                <w:sz w:val="12"/>
                <w:szCs w:val="12"/>
              </w:rPr>
            </w:pPr>
          </w:p>
        </w:tc>
        <w:tc>
          <w:tcPr>
            <w:tcW w:w="120" w:type="dxa"/>
            <w:tcBorders>
              <w:bottom w:val="single" w:sz="8" w:space="0" w:color="auto"/>
            </w:tcBorders>
            <w:vAlign w:val="bottom"/>
          </w:tcPr>
          <w:p w:rsidR="004A0011" w:rsidRDefault="004A0011">
            <w:pPr>
              <w:rPr>
                <w:sz w:val="12"/>
                <w:szCs w:val="12"/>
              </w:rPr>
            </w:pPr>
          </w:p>
        </w:tc>
        <w:tc>
          <w:tcPr>
            <w:tcW w:w="2060" w:type="dxa"/>
            <w:vMerge/>
            <w:tcBorders>
              <w:bottom w:val="single" w:sz="8" w:space="0" w:color="auto"/>
            </w:tcBorders>
            <w:vAlign w:val="bottom"/>
          </w:tcPr>
          <w:p w:rsidR="004A0011" w:rsidRDefault="004A0011">
            <w:pPr>
              <w:rPr>
                <w:sz w:val="12"/>
                <w:szCs w:val="12"/>
              </w:rPr>
            </w:pPr>
          </w:p>
        </w:tc>
        <w:tc>
          <w:tcPr>
            <w:tcW w:w="0" w:type="dxa"/>
            <w:vAlign w:val="bottom"/>
          </w:tcPr>
          <w:p w:rsidR="004A0011" w:rsidRDefault="004A0011">
            <w:pPr>
              <w:rPr>
                <w:sz w:val="1"/>
                <w:szCs w:val="1"/>
              </w:rPr>
            </w:pPr>
          </w:p>
        </w:tc>
      </w:tr>
      <w:tr w:rsidR="004A0011">
        <w:trPr>
          <w:trHeight w:val="143"/>
        </w:trPr>
        <w:tc>
          <w:tcPr>
            <w:tcW w:w="6520" w:type="dxa"/>
            <w:shd w:val="clear" w:color="auto" w:fill="CCEEFF"/>
            <w:vAlign w:val="bottom"/>
          </w:tcPr>
          <w:p w:rsidR="004A0011" w:rsidRDefault="00D538EF">
            <w:pPr>
              <w:ind w:left="20"/>
              <w:rPr>
                <w:sz w:val="20"/>
                <w:szCs w:val="20"/>
              </w:rPr>
            </w:pPr>
            <w:r>
              <w:rPr>
                <w:rFonts w:eastAsia="Times New Roman"/>
                <w:b/>
                <w:bCs/>
                <w:sz w:val="12"/>
                <w:szCs w:val="12"/>
              </w:rPr>
              <w:t>Diluted Earnings per share of Class A Common Stock</w:t>
            </w:r>
          </w:p>
        </w:tc>
        <w:tc>
          <w:tcPr>
            <w:tcW w:w="1740" w:type="dxa"/>
            <w:shd w:val="clear" w:color="auto" w:fill="CCEEFF"/>
            <w:vAlign w:val="bottom"/>
          </w:tcPr>
          <w:p w:rsidR="004A0011" w:rsidRDefault="00D538EF">
            <w:pPr>
              <w:ind w:right="1626"/>
              <w:jc w:val="right"/>
              <w:rPr>
                <w:sz w:val="20"/>
                <w:szCs w:val="20"/>
              </w:rPr>
            </w:pPr>
            <w:r>
              <w:rPr>
                <w:rFonts w:eastAsia="Times New Roman"/>
                <w:w w:val="71"/>
                <w:sz w:val="11"/>
                <w:szCs w:val="11"/>
              </w:rPr>
              <w:t>$</w:t>
            </w:r>
          </w:p>
        </w:tc>
        <w:tc>
          <w:tcPr>
            <w:tcW w:w="460" w:type="dxa"/>
            <w:shd w:val="clear" w:color="auto" w:fill="CCEEFF"/>
            <w:vAlign w:val="bottom"/>
          </w:tcPr>
          <w:p w:rsidR="004A0011" w:rsidRDefault="00D538EF">
            <w:pPr>
              <w:jc w:val="right"/>
              <w:rPr>
                <w:sz w:val="20"/>
                <w:szCs w:val="20"/>
              </w:rPr>
            </w:pPr>
            <w:r>
              <w:rPr>
                <w:rFonts w:eastAsia="Times New Roman"/>
                <w:sz w:val="12"/>
                <w:szCs w:val="12"/>
              </w:rPr>
              <w:t>0.26</w:t>
            </w:r>
          </w:p>
        </w:tc>
        <w:tc>
          <w:tcPr>
            <w:tcW w:w="340" w:type="dxa"/>
            <w:shd w:val="clear" w:color="auto" w:fill="CCEEFF"/>
            <w:vAlign w:val="bottom"/>
          </w:tcPr>
          <w:p w:rsidR="004A0011" w:rsidRDefault="004A0011">
            <w:pPr>
              <w:rPr>
                <w:sz w:val="12"/>
                <w:szCs w:val="12"/>
              </w:rPr>
            </w:pPr>
          </w:p>
        </w:tc>
        <w:tc>
          <w:tcPr>
            <w:tcW w:w="120" w:type="dxa"/>
            <w:shd w:val="clear" w:color="auto" w:fill="CCEEFF"/>
            <w:vAlign w:val="bottom"/>
          </w:tcPr>
          <w:p w:rsidR="004A0011" w:rsidRDefault="00D538EF">
            <w:pPr>
              <w:ind w:right="6"/>
              <w:jc w:val="right"/>
              <w:rPr>
                <w:sz w:val="20"/>
                <w:szCs w:val="20"/>
              </w:rPr>
            </w:pPr>
            <w:r>
              <w:rPr>
                <w:rFonts w:eastAsia="Times New Roman"/>
                <w:w w:val="71"/>
                <w:sz w:val="11"/>
                <w:szCs w:val="11"/>
              </w:rPr>
              <w:t>$</w:t>
            </w:r>
          </w:p>
        </w:tc>
        <w:tc>
          <w:tcPr>
            <w:tcW w:w="2060" w:type="dxa"/>
            <w:shd w:val="clear" w:color="auto" w:fill="CCEEFF"/>
            <w:vAlign w:val="bottom"/>
          </w:tcPr>
          <w:p w:rsidR="004A0011" w:rsidRDefault="00D538EF">
            <w:pPr>
              <w:jc w:val="right"/>
              <w:rPr>
                <w:sz w:val="20"/>
                <w:szCs w:val="20"/>
              </w:rPr>
            </w:pPr>
            <w:r>
              <w:rPr>
                <w:rFonts w:eastAsia="Times New Roman"/>
                <w:sz w:val="12"/>
                <w:szCs w:val="12"/>
              </w:rPr>
              <w:t>0.60</w:t>
            </w:r>
          </w:p>
        </w:tc>
        <w:tc>
          <w:tcPr>
            <w:tcW w:w="0" w:type="dxa"/>
            <w:vAlign w:val="bottom"/>
          </w:tcPr>
          <w:p w:rsidR="004A0011" w:rsidRDefault="004A0011">
            <w:pPr>
              <w:rPr>
                <w:sz w:val="1"/>
                <w:szCs w:val="1"/>
              </w:rPr>
            </w:pPr>
          </w:p>
        </w:tc>
      </w:tr>
      <w:tr w:rsidR="004A0011">
        <w:trPr>
          <w:trHeight w:val="171"/>
        </w:trPr>
        <w:tc>
          <w:tcPr>
            <w:tcW w:w="6520" w:type="dxa"/>
            <w:vAlign w:val="bottom"/>
          </w:tcPr>
          <w:p w:rsidR="004A0011" w:rsidRDefault="004A0011">
            <w:pPr>
              <w:rPr>
                <w:sz w:val="14"/>
                <w:szCs w:val="14"/>
              </w:rPr>
            </w:pPr>
          </w:p>
        </w:tc>
        <w:tc>
          <w:tcPr>
            <w:tcW w:w="1740" w:type="dxa"/>
            <w:vAlign w:val="bottom"/>
          </w:tcPr>
          <w:p w:rsidR="004A0011" w:rsidRDefault="004A0011">
            <w:pPr>
              <w:rPr>
                <w:sz w:val="14"/>
                <w:szCs w:val="14"/>
              </w:rPr>
            </w:pPr>
          </w:p>
        </w:tc>
        <w:tc>
          <w:tcPr>
            <w:tcW w:w="460" w:type="dxa"/>
            <w:vAlign w:val="bottom"/>
          </w:tcPr>
          <w:p w:rsidR="004A0011" w:rsidRDefault="004A0011">
            <w:pPr>
              <w:rPr>
                <w:sz w:val="14"/>
                <w:szCs w:val="14"/>
              </w:rPr>
            </w:pPr>
          </w:p>
        </w:tc>
        <w:tc>
          <w:tcPr>
            <w:tcW w:w="340" w:type="dxa"/>
            <w:vAlign w:val="bottom"/>
          </w:tcPr>
          <w:p w:rsidR="004A0011" w:rsidRDefault="004A0011">
            <w:pPr>
              <w:rPr>
                <w:sz w:val="14"/>
                <w:szCs w:val="14"/>
              </w:rPr>
            </w:pPr>
          </w:p>
        </w:tc>
        <w:tc>
          <w:tcPr>
            <w:tcW w:w="120" w:type="dxa"/>
            <w:vAlign w:val="bottom"/>
          </w:tcPr>
          <w:p w:rsidR="004A0011" w:rsidRDefault="004A0011">
            <w:pPr>
              <w:rPr>
                <w:sz w:val="14"/>
                <w:szCs w:val="14"/>
              </w:rPr>
            </w:pPr>
          </w:p>
        </w:tc>
        <w:tc>
          <w:tcPr>
            <w:tcW w:w="2060" w:type="dxa"/>
            <w:vAlign w:val="bottom"/>
          </w:tcPr>
          <w:p w:rsidR="004A0011" w:rsidRDefault="004A0011">
            <w:pPr>
              <w:rPr>
                <w:sz w:val="14"/>
                <w:szCs w:val="14"/>
              </w:rPr>
            </w:pPr>
          </w:p>
        </w:tc>
        <w:tc>
          <w:tcPr>
            <w:tcW w:w="0" w:type="dxa"/>
            <w:vAlign w:val="bottom"/>
          </w:tcPr>
          <w:p w:rsidR="004A0011" w:rsidRDefault="004A0011">
            <w:pPr>
              <w:rPr>
                <w:sz w:val="1"/>
                <w:szCs w:val="1"/>
              </w:rPr>
            </w:pPr>
          </w:p>
        </w:tc>
      </w:tr>
      <w:tr w:rsidR="004A0011">
        <w:trPr>
          <w:trHeight w:val="153"/>
        </w:trPr>
        <w:tc>
          <w:tcPr>
            <w:tcW w:w="6520" w:type="dxa"/>
            <w:shd w:val="clear" w:color="auto" w:fill="CCEEFF"/>
            <w:vAlign w:val="bottom"/>
          </w:tcPr>
          <w:p w:rsidR="004A0011" w:rsidRDefault="00D538EF">
            <w:pPr>
              <w:ind w:left="20"/>
              <w:rPr>
                <w:sz w:val="20"/>
                <w:szCs w:val="20"/>
              </w:rPr>
            </w:pPr>
            <w:r>
              <w:rPr>
                <w:rFonts w:eastAsia="Times New Roman"/>
                <w:b/>
                <w:bCs/>
                <w:sz w:val="12"/>
                <w:szCs w:val="12"/>
              </w:rPr>
              <w:t>Adjustments:</w:t>
            </w:r>
          </w:p>
        </w:tc>
        <w:tc>
          <w:tcPr>
            <w:tcW w:w="1740" w:type="dxa"/>
            <w:shd w:val="clear" w:color="auto" w:fill="CCEEFF"/>
            <w:vAlign w:val="bottom"/>
          </w:tcPr>
          <w:p w:rsidR="004A0011" w:rsidRDefault="004A0011">
            <w:pPr>
              <w:rPr>
                <w:sz w:val="13"/>
                <w:szCs w:val="13"/>
              </w:rPr>
            </w:pPr>
          </w:p>
        </w:tc>
        <w:tc>
          <w:tcPr>
            <w:tcW w:w="460" w:type="dxa"/>
            <w:shd w:val="clear" w:color="auto" w:fill="CCEEFF"/>
            <w:vAlign w:val="bottom"/>
          </w:tcPr>
          <w:p w:rsidR="004A0011" w:rsidRDefault="004A0011">
            <w:pPr>
              <w:rPr>
                <w:sz w:val="13"/>
                <w:szCs w:val="13"/>
              </w:rPr>
            </w:pPr>
          </w:p>
        </w:tc>
        <w:tc>
          <w:tcPr>
            <w:tcW w:w="340" w:type="dxa"/>
            <w:shd w:val="clear" w:color="auto" w:fill="CCEEFF"/>
            <w:vAlign w:val="bottom"/>
          </w:tcPr>
          <w:p w:rsidR="004A0011" w:rsidRDefault="004A0011">
            <w:pPr>
              <w:rPr>
                <w:sz w:val="13"/>
                <w:szCs w:val="13"/>
              </w:rPr>
            </w:pPr>
          </w:p>
        </w:tc>
        <w:tc>
          <w:tcPr>
            <w:tcW w:w="120" w:type="dxa"/>
            <w:shd w:val="clear" w:color="auto" w:fill="CCEEFF"/>
            <w:vAlign w:val="bottom"/>
          </w:tcPr>
          <w:p w:rsidR="004A0011" w:rsidRDefault="004A0011">
            <w:pPr>
              <w:rPr>
                <w:sz w:val="13"/>
                <w:szCs w:val="13"/>
              </w:rPr>
            </w:pPr>
          </w:p>
        </w:tc>
        <w:tc>
          <w:tcPr>
            <w:tcW w:w="2060" w:type="dxa"/>
            <w:shd w:val="clear" w:color="auto" w:fill="CCEEFF"/>
            <w:vAlign w:val="bottom"/>
          </w:tcPr>
          <w:p w:rsidR="004A0011" w:rsidRDefault="004A0011">
            <w:pPr>
              <w:rPr>
                <w:sz w:val="13"/>
                <w:szCs w:val="13"/>
              </w:rPr>
            </w:pPr>
          </w:p>
        </w:tc>
        <w:tc>
          <w:tcPr>
            <w:tcW w:w="0" w:type="dxa"/>
            <w:vAlign w:val="bottom"/>
          </w:tcPr>
          <w:p w:rsidR="004A0011" w:rsidRDefault="004A0011">
            <w:pPr>
              <w:rPr>
                <w:sz w:val="1"/>
                <w:szCs w:val="1"/>
              </w:rPr>
            </w:pPr>
          </w:p>
        </w:tc>
      </w:tr>
      <w:tr w:rsidR="004A0011">
        <w:trPr>
          <w:trHeight w:val="153"/>
        </w:trPr>
        <w:tc>
          <w:tcPr>
            <w:tcW w:w="6520" w:type="dxa"/>
            <w:vAlign w:val="bottom"/>
          </w:tcPr>
          <w:p w:rsidR="004A0011" w:rsidRDefault="00D538EF">
            <w:pPr>
              <w:ind w:left="200"/>
              <w:rPr>
                <w:sz w:val="20"/>
                <w:szCs w:val="20"/>
              </w:rPr>
            </w:pPr>
            <w:r>
              <w:rPr>
                <w:rFonts w:eastAsia="Times New Roman"/>
                <w:sz w:val="12"/>
                <w:szCs w:val="12"/>
              </w:rPr>
              <w:t>Separation costs after the IPO</w:t>
            </w:r>
          </w:p>
        </w:tc>
        <w:tc>
          <w:tcPr>
            <w:tcW w:w="1740" w:type="dxa"/>
            <w:vAlign w:val="bottom"/>
          </w:tcPr>
          <w:p w:rsidR="004A0011" w:rsidRDefault="004A0011">
            <w:pPr>
              <w:rPr>
                <w:sz w:val="13"/>
                <w:szCs w:val="13"/>
              </w:rPr>
            </w:pPr>
          </w:p>
        </w:tc>
        <w:tc>
          <w:tcPr>
            <w:tcW w:w="800" w:type="dxa"/>
            <w:gridSpan w:val="2"/>
            <w:vAlign w:val="bottom"/>
          </w:tcPr>
          <w:p w:rsidR="004A0011" w:rsidRDefault="00D538EF">
            <w:pPr>
              <w:ind w:right="400"/>
              <w:jc w:val="right"/>
              <w:rPr>
                <w:sz w:val="20"/>
                <w:szCs w:val="20"/>
              </w:rPr>
            </w:pPr>
            <w:r>
              <w:rPr>
                <w:rFonts w:eastAsia="Times New Roman"/>
                <w:sz w:val="12"/>
                <w:szCs w:val="12"/>
              </w:rPr>
              <w:t>—</w:t>
            </w:r>
          </w:p>
        </w:tc>
        <w:tc>
          <w:tcPr>
            <w:tcW w:w="120" w:type="dxa"/>
            <w:vAlign w:val="bottom"/>
          </w:tcPr>
          <w:p w:rsidR="004A0011" w:rsidRDefault="004A0011">
            <w:pPr>
              <w:rPr>
                <w:sz w:val="13"/>
                <w:szCs w:val="13"/>
              </w:rPr>
            </w:pPr>
          </w:p>
        </w:tc>
        <w:tc>
          <w:tcPr>
            <w:tcW w:w="2060" w:type="dxa"/>
            <w:vAlign w:val="bottom"/>
          </w:tcPr>
          <w:p w:rsidR="004A0011" w:rsidRDefault="00D538EF">
            <w:pPr>
              <w:jc w:val="right"/>
              <w:rPr>
                <w:sz w:val="20"/>
                <w:szCs w:val="20"/>
              </w:rPr>
            </w:pPr>
            <w:r>
              <w:rPr>
                <w:rFonts w:eastAsia="Times New Roman"/>
                <w:sz w:val="12"/>
                <w:szCs w:val="12"/>
              </w:rPr>
              <w:t>0.02</w:t>
            </w:r>
          </w:p>
        </w:tc>
        <w:tc>
          <w:tcPr>
            <w:tcW w:w="0" w:type="dxa"/>
            <w:vAlign w:val="bottom"/>
          </w:tcPr>
          <w:p w:rsidR="004A0011" w:rsidRDefault="004A0011">
            <w:pPr>
              <w:rPr>
                <w:sz w:val="1"/>
                <w:szCs w:val="1"/>
              </w:rPr>
            </w:pPr>
          </w:p>
        </w:tc>
      </w:tr>
      <w:tr w:rsidR="004A0011">
        <w:trPr>
          <w:trHeight w:val="153"/>
        </w:trPr>
        <w:tc>
          <w:tcPr>
            <w:tcW w:w="6520" w:type="dxa"/>
            <w:shd w:val="clear" w:color="auto" w:fill="CCEEFF"/>
            <w:vAlign w:val="bottom"/>
          </w:tcPr>
          <w:p w:rsidR="004A0011" w:rsidRDefault="00D538EF">
            <w:pPr>
              <w:ind w:left="200"/>
              <w:rPr>
                <w:sz w:val="20"/>
                <w:szCs w:val="20"/>
              </w:rPr>
            </w:pPr>
            <w:r>
              <w:rPr>
                <w:rFonts w:eastAsia="Times New Roman"/>
                <w:sz w:val="12"/>
                <w:szCs w:val="12"/>
              </w:rPr>
              <w:t>Foreign currency gain on intercompany loans</w:t>
            </w:r>
          </w:p>
        </w:tc>
        <w:tc>
          <w:tcPr>
            <w:tcW w:w="1740" w:type="dxa"/>
            <w:tcBorders>
              <w:bottom w:val="single" w:sz="8" w:space="0" w:color="auto"/>
            </w:tcBorders>
            <w:shd w:val="clear" w:color="auto" w:fill="CCEEFF"/>
            <w:vAlign w:val="bottom"/>
          </w:tcPr>
          <w:p w:rsidR="004A0011" w:rsidRDefault="004A0011">
            <w:pPr>
              <w:rPr>
                <w:sz w:val="13"/>
                <w:szCs w:val="13"/>
              </w:rPr>
            </w:pPr>
          </w:p>
        </w:tc>
        <w:tc>
          <w:tcPr>
            <w:tcW w:w="4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(0.01)</w:t>
            </w:r>
          </w:p>
        </w:tc>
        <w:tc>
          <w:tcPr>
            <w:tcW w:w="340" w:type="dxa"/>
            <w:shd w:val="clear" w:color="auto" w:fill="CCEEFF"/>
            <w:vAlign w:val="bottom"/>
          </w:tcPr>
          <w:p w:rsidR="004A0011" w:rsidRDefault="004A0011">
            <w:pPr>
              <w:rPr>
                <w:sz w:val="13"/>
                <w:szCs w:val="13"/>
              </w:rPr>
            </w:pPr>
          </w:p>
        </w:tc>
        <w:tc>
          <w:tcPr>
            <w:tcW w:w="120" w:type="dxa"/>
            <w:tcBorders>
              <w:bottom w:val="single" w:sz="8" w:space="0" w:color="auto"/>
            </w:tcBorders>
            <w:shd w:val="clear" w:color="auto" w:fill="CCEEFF"/>
            <w:vAlign w:val="bottom"/>
          </w:tcPr>
          <w:p w:rsidR="004A0011" w:rsidRDefault="004A0011">
            <w:pPr>
              <w:rPr>
                <w:sz w:val="13"/>
                <w:szCs w:val="13"/>
              </w:rPr>
            </w:pPr>
          </w:p>
        </w:tc>
        <w:tc>
          <w:tcPr>
            <w:tcW w:w="20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(0.01)</w:t>
            </w:r>
          </w:p>
        </w:tc>
        <w:tc>
          <w:tcPr>
            <w:tcW w:w="0" w:type="dxa"/>
            <w:vAlign w:val="bottom"/>
          </w:tcPr>
          <w:p w:rsidR="004A0011" w:rsidRDefault="004A0011">
            <w:pPr>
              <w:rPr>
                <w:sz w:val="1"/>
                <w:szCs w:val="1"/>
              </w:rPr>
            </w:pPr>
          </w:p>
        </w:tc>
      </w:tr>
      <w:tr w:rsidR="004A0011">
        <w:trPr>
          <w:trHeight w:val="142"/>
        </w:trPr>
        <w:tc>
          <w:tcPr>
            <w:tcW w:w="6520" w:type="dxa"/>
            <w:vAlign w:val="bottom"/>
          </w:tcPr>
          <w:p w:rsidR="004A0011" w:rsidRDefault="00D538EF">
            <w:pPr>
              <w:ind w:left="200"/>
              <w:rPr>
                <w:sz w:val="20"/>
                <w:szCs w:val="20"/>
              </w:rPr>
            </w:pPr>
            <w:r>
              <w:rPr>
                <w:rFonts w:eastAsia="Times New Roman"/>
                <w:b/>
                <w:bCs/>
                <w:sz w:val="12"/>
                <w:szCs w:val="12"/>
              </w:rPr>
              <w:t>Total Net Adjustments</w:t>
            </w:r>
          </w:p>
        </w:tc>
        <w:tc>
          <w:tcPr>
            <w:tcW w:w="1740" w:type="dxa"/>
            <w:vAlign w:val="bottom"/>
          </w:tcPr>
          <w:p w:rsidR="004A0011" w:rsidRDefault="004A0011">
            <w:pPr>
              <w:rPr>
                <w:sz w:val="12"/>
                <w:szCs w:val="12"/>
              </w:rPr>
            </w:pPr>
          </w:p>
        </w:tc>
        <w:tc>
          <w:tcPr>
            <w:tcW w:w="460" w:type="dxa"/>
            <w:vAlign w:val="bottom"/>
          </w:tcPr>
          <w:p w:rsidR="004A0011" w:rsidRDefault="00D538EF">
            <w:pPr>
              <w:jc w:val="right"/>
              <w:rPr>
                <w:sz w:val="20"/>
                <w:szCs w:val="20"/>
              </w:rPr>
            </w:pPr>
            <w:r>
              <w:rPr>
                <w:rFonts w:eastAsia="Times New Roman"/>
                <w:sz w:val="12"/>
                <w:szCs w:val="12"/>
              </w:rPr>
              <w:t>(0.01)</w:t>
            </w:r>
          </w:p>
        </w:tc>
        <w:tc>
          <w:tcPr>
            <w:tcW w:w="340" w:type="dxa"/>
            <w:vAlign w:val="bottom"/>
          </w:tcPr>
          <w:p w:rsidR="004A0011" w:rsidRDefault="004A0011">
            <w:pPr>
              <w:rPr>
                <w:sz w:val="12"/>
                <w:szCs w:val="12"/>
              </w:rPr>
            </w:pPr>
          </w:p>
        </w:tc>
        <w:tc>
          <w:tcPr>
            <w:tcW w:w="120" w:type="dxa"/>
            <w:vAlign w:val="bottom"/>
          </w:tcPr>
          <w:p w:rsidR="004A0011" w:rsidRDefault="004A0011">
            <w:pPr>
              <w:rPr>
                <w:sz w:val="12"/>
                <w:szCs w:val="12"/>
              </w:rPr>
            </w:pPr>
          </w:p>
        </w:tc>
        <w:tc>
          <w:tcPr>
            <w:tcW w:w="2060" w:type="dxa"/>
            <w:vAlign w:val="bottom"/>
          </w:tcPr>
          <w:p w:rsidR="004A0011" w:rsidRDefault="00D538EF">
            <w:pPr>
              <w:jc w:val="right"/>
              <w:rPr>
                <w:sz w:val="20"/>
                <w:szCs w:val="20"/>
              </w:rPr>
            </w:pPr>
            <w:r>
              <w:rPr>
                <w:rFonts w:eastAsia="Times New Roman"/>
                <w:sz w:val="12"/>
                <w:szCs w:val="12"/>
              </w:rPr>
              <w:t>0.01</w:t>
            </w:r>
          </w:p>
        </w:tc>
        <w:tc>
          <w:tcPr>
            <w:tcW w:w="0" w:type="dxa"/>
            <w:vAlign w:val="bottom"/>
          </w:tcPr>
          <w:p w:rsidR="004A0011" w:rsidRDefault="004A0011">
            <w:pPr>
              <w:rPr>
                <w:sz w:val="1"/>
                <w:szCs w:val="1"/>
              </w:rPr>
            </w:pPr>
          </w:p>
        </w:tc>
      </w:tr>
      <w:tr w:rsidR="004A0011">
        <w:trPr>
          <w:trHeight w:val="153"/>
        </w:trPr>
        <w:tc>
          <w:tcPr>
            <w:tcW w:w="6520" w:type="dxa"/>
            <w:shd w:val="clear" w:color="auto" w:fill="CCEEFF"/>
            <w:vAlign w:val="bottom"/>
          </w:tcPr>
          <w:p w:rsidR="004A0011" w:rsidRDefault="00D538EF">
            <w:pPr>
              <w:spacing w:line="153" w:lineRule="exact"/>
              <w:ind w:left="20"/>
              <w:rPr>
                <w:sz w:val="20"/>
                <w:szCs w:val="20"/>
              </w:rPr>
            </w:pPr>
            <w:r>
              <w:rPr>
                <w:rFonts w:eastAsia="Times New Roman"/>
                <w:sz w:val="12"/>
                <w:szCs w:val="12"/>
              </w:rPr>
              <w:t xml:space="preserve">Income tax effect on adjustments </w:t>
            </w:r>
            <w:r>
              <w:rPr>
                <w:rFonts w:eastAsia="Times New Roman"/>
                <w:sz w:val="15"/>
                <w:szCs w:val="15"/>
                <w:vertAlign w:val="superscript"/>
              </w:rPr>
              <w:t>(1)</w:t>
            </w:r>
          </w:p>
        </w:tc>
        <w:tc>
          <w:tcPr>
            <w:tcW w:w="1740" w:type="dxa"/>
            <w:shd w:val="clear" w:color="auto" w:fill="CCEEFF"/>
            <w:vAlign w:val="bottom"/>
          </w:tcPr>
          <w:p w:rsidR="004A0011" w:rsidRDefault="004A0011">
            <w:pPr>
              <w:rPr>
                <w:sz w:val="13"/>
                <w:szCs w:val="13"/>
              </w:rPr>
            </w:pPr>
          </w:p>
        </w:tc>
        <w:tc>
          <w:tcPr>
            <w:tcW w:w="800" w:type="dxa"/>
            <w:gridSpan w:val="2"/>
            <w:shd w:val="clear" w:color="auto" w:fill="CCEEFF"/>
            <w:vAlign w:val="bottom"/>
          </w:tcPr>
          <w:p w:rsidR="004A0011" w:rsidRDefault="00D538EF">
            <w:pPr>
              <w:ind w:right="400"/>
              <w:jc w:val="right"/>
              <w:rPr>
                <w:sz w:val="20"/>
                <w:szCs w:val="20"/>
              </w:rPr>
            </w:pPr>
            <w:r>
              <w:rPr>
                <w:rFonts w:eastAsia="Times New Roman"/>
                <w:sz w:val="12"/>
                <w:szCs w:val="12"/>
              </w:rPr>
              <w:t>—</w:t>
            </w:r>
          </w:p>
        </w:tc>
        <w:tc>
          <w:tcPr>
            <w:tcW w:w="120" w:type="dxa"/>
            <w:shd w:val="clear" w:color="auto" w:fill="CCEEFF"/>
            <w:vAlign w:val="bottom"/>
          </w:tcPr>
          <w:p w:rsidR="004A0011" w:rsidRDefault="004A0011">
            <w:pPr>
              <w:rPr>
                <w:sz w:val="13"/>
                <w:szCs w:val="13"/>
              </w:rPr>
            </w:pPr>
          </w:p>
        </w:tc>
        <w:tc>
          <w:tcPr>
            <w:tcW w:w="2060" w:type="dxa"/>
            <w:shd w:val="clear" w:color="auto" w:fill="CCEEFF"/>
            <w:vAlign w:val="bottom"/>
          </w:tcPr>
          <w:p w:rsidR="004A0011" w:rsidRDefault="00D538EF">
            <w:pPr>
              <w:jc w:val="right"/>
              <w:rPr>
                <w:sz w:val="20"/>
                <w:szCs w:val="20"/>
              </w:rPr>
            </w:pPr>
            <w:r>
              <w:rPr>
                <w:rFonts w:eastAsia="Times New Roman"/>
                <w:sz w:val="12"/>
                <w:szCs w:val="12"/>
              </w:rPr>
              <w:t>—</w:t>
            </w:r>
          </w:p>
        </w:tc>
        <w:tc>
          <w:tcPr>
            <w:tcW w:w="0" w:type="dxa"/>
            <w:vAlign w:val="bottom"/>
          </w:tcPr>
          <w:p w:rsidR="004A0011" w:rsidRDefault="004A0011">
            <w:pPr>
              <w:rPr>
                <w:sz w:val="1"/>
                <w:szCs w:val="1"/>
              </w:rPr>
            </w:pPr>
          </w:p>
        </w:tc>
      </w:tr>
      <w:tr w:rsidR="004A0011">
        <w:trPr>
          <w:trHeight w:val="124"/>
        </w:trPr>
        <w:tc>
          <w:tcPr>
            <w:tcW w:w="6520" w:type="dxa"/>
            <w:vAlign w:val="bottom"/>
          </w:tcPr>
          <w:p w:rsidR="004A0011" w:rsidRDefault="00D538EF">
            <w:pPr>
              <w:spacing w:line="124" w:lineRule="exact"/>
              <w:ind w:left="20"/>
              <w:rPr>
                <w:sz w:val="20"/>
                <w:szCs w:val="20"/>
              </w:rPr>
            </w:pPr>
            <w:r>
              <w:rPr>
                <w:rFonts w:eastAsia="Times New Roman"/>
                <w:b/>
                <w:bCs/>
                <w:sz w:val="12"/>
                <w:szCs w:val="12"/>
              </w:rPr>
              <w:t>Adjusted Diluted Earnings per share of Class A Common Stock</w:t>
            </w:r>
          </w:p>
        </w:tc>
        <w:tc>
          <w:tcPr>
            <w:tcW w:w="1740" w:type="dxa"/>
            <w:tcBorders>
              <w:top w:val="single" w:sz="8" w:space="0" w:color="auto"/>
              <w:bottom w:val="single" w:sz="8" w:space="0" w:color="auto"/>
            </w:tcBorders>
            <w:vAlign w:val="bottom"/>
          </w:tcPr>
          <w:p w:rsidR="004A0011" w:rsidRDefault="00D538EF">
            <w:pPr>
              <w:spacing w:line="124" w:lineRule="exact"/>
              <w:ind w:right="1626"/>
              <w:jc w:val="right"/>
              <w:rPr>
                <w:sz w:val="20"/>
                <w:szCs w:val="20"/>
              </w:rPr>
            </w:pPr>
            <w:r>
              <w:rPr>
                <w:rFonts w:eastAsia="Times New Roman"/>
                <w:w w:val="71"/>
                <w:sz w:val="11"/>
                <w:szCs w:val="11"/>
              </w:rPr>
              <w:t>$</w:t>
            </w:r>
          </w:p>
        </w:tc>
        <w:tc>
          <w:tcPr>
            <w:tcW w:w="460" w:type="dxa"/>
            <w:tcBorders>
              <w:top w:val="single" w:sz="8" w:space="0" w:color="auto"/>
              <w:bottom w:val="single" w:sz="8" w:space="0" w:color="auto"/>
            </w:tcBorders>
            <w:vAlign w:val="bottom"/>
          </w:tcPr>
          <w:p w:rsidR="004A0011" w:rsidRDefault="00D538EF">
            <w:pPr>
              <w:spacing w:line="124" w:lineRule="exact"/>
              <w:jc w:val="right"/>
              <w:rPr>
                <w:sz w:val="20"/>
                <w:szCs w:val="20"/>
              </w:rPr>
            </w:pPr>
            <w:r>
              <w:rPr>
                <w:rFonts w:eastAsia="Times New Roman"/>
                <w:sz w:val="12"/>
                <w:szCs w:val="12"/>
              </w:rPr>
              <w:t>0.25</w:t>
            </w:r>
          </w:p>
        </w:tc>
        <w:tc>
          <w:tcPr>
            <w:tcW w:w="340" w:type="dxa"/>
            <w:vAlign w:val="bottom"/>
          </w:tcPr>
          <w:p w:rsidR="004A0011" w:rsidRDefault="004A0011">
            <w:pPr>
              <w:rPr>
                <w:sz w:val="10"/>
                <w:szCs w:val="10"/>
              </w:rPr>
            </w:pPr>
          </w:p>
        </w:tc>
        <w:tc>
          <w:tcPr>
            <w:tcW w:w="120" w:type="dxa"/>
            <w:tcBorders>
              <w:top w:val="single" w:sz="8" w:space="0" w:color="auto"/>
              <w:bottom w:val="single" w:sz="8" w:space="0" w:color="auto"/>
            </w:tcBorders>
            <w:vAlign w:val="bottom"/>
          </w:tcPr>
          <w:p w:rsidR="004A0011" w:rsidRDefault="00D538EF">
            <w:pPr>
              <w:spacing w:line="124" w:lineRule="exact"/>
              <w:ind w:right="6"/>
              <w:jc w:val="right"/>
              <w:rPr>
                <w:sz w:val="20"/>
                <w:szCs w:val="20"/>
              </w:rPr>
            </w:pPr>
            <w:r>
              <w:rPr>
                <w:rFonts w:eastAsia="Times New Roman"/>
                <w:w w:val="71"/>
                <w:sz w:val="11"/>
                <w:szCs w:val="11"/>
              </w:rPr>
              <w:t>$</w:t>
            </w:r>
          </w:p>
        </w:tc>
        <w:tc>
          <w:tcPr>
            <w:tcW w:w="2060" w:type="dxa"/>
            <w:tcBorders>
              <w:top w:val="single" w:sz="8" w:space="0" w:color="auto"/>
              <w:bottom w:val="single" w:sz="8" w:space="0" w:color="auto"/>
            </w:tcBorders>
            <w:vAlign w:val="bottom"/>
          </w:tcPr>
          <w:p w:rsidR="004A0011" w:rsidRDefault="00D538EF">
            <w:pPr>
              <w:spacing w:line="124" w:lineRule="exact"/>
              <w:jc w:val="right"/>
              <w:rPr>
                <w:sz w:val="20"/>
                <w:szCs w:val="20"/>
              </w:rPr>
            </w:pPr>
            <w:r>
              <w:rPr>
                <w:rFonts w:eastAsia="Times New Roman"/>
                <w:sz w:val="12"/>
                <w:szCs w:val="12"/>
              </w:rPr>
              <w:t>0.61</w:t>
            </w:r>
          </w:p>
        </w:tc>
        <w:tc>
          <w:tcPr>
            <w:tcW w:w="0" w:type="dxa"/>
            <w:vAlign w:val="bottom"/>
          </w:tcPr>
          <w:p w:rsidR="004A0011" w:rsidRDefault="004A0011">
            <w:pPr>
              <w:rPr>
                <w:sz w:val="1"/>
                <w:szCs w:val="1"/>
              </w:rPr>
            </w:pPr>
          </w:p>
        </w:tc>
      </w:tr>
      <w:tr w:rsidR="004A0011">
        <w:trPr>
          <w:trHeight w:val="20"/>
        </w:trPr>
        <w:tc>
          <w:tcPr>
            <w:tcW w:w="6520" w:type="dxa"/>
            <w:vAlign w:val="bottom"/>
          </w:tcPr>
          <w:p w:rsidR="004A0011" w:rsidRDefault="004A0011">
            <w:pPr>
              <w:spacing w:line="20" w:lineRule="exact"/>
              <w:rPr>
                <w:sz w:val="1"/>
                <w:szCs w:val="1"/>
              </w:rPr>
            </w:pPr>
          </w:p>
        </w:tc>
        <w:tc>
          <w:tcPr>
            <w:tcW w:w="1740" w:type="dxa"/>
            <w:tcBorders>
              <w:bottom w:val="single" w:sz="8" w:space="0" w:color="auto"/>
            </w:tcBorders>
            <w:vAlign w:val="bottom"/>
          </w:tcPr>
          <w:p w:rsidR="004A0011" w:rsidRDefault="004A0011">
            <w:pPr>
              <w:spacing w:line="20" w:lineRule="exact"/>
              <w:rPr>
                <w:sz w:val="1"/>
                <w:szCs w:val="1"/>
              </w:rPr>
            </w:pPr>
          </w:p>
        </w:tc>
        <w:tc>
          <w:tcPr>
            <w:tcW w:w="460" w:type="dxa"/>
            <w:tcBorders>
              <w:bottom w:val="single" w:sz="8" w:space="0" w:color="auto"/>
            </w:tcBorders>
            <w:vAlign w:val="bottom"/>
          </w:tcPr>
          <w:p w:rsidR="004A0011" w:rsidRDefault="004A0011">
            <w:pPr>
              <w:spacing w:line="20" w:lineRule="exact"/>
              <w:rPr>
                <w:sz w:val="1"/>
                <w:szCs w:val="1"/>
              </w:rPr>
            </w:pPr>
          </w:p>
        </w:tc>
        <w:tc>
          <w:tcPr>
            <w:tcW w:w="340" w:type="dxa"/>
            <w:vAlign w:val="bottom"/>
          </w:tcPr>
          <w:p w:rsidR="004A0011" w:rsidRDefault="004A0011">
            <w:pPr>
              <w:spacing w:line="20" w:lineRule="exact"/>
              <w:rPr>
                <w:sz w:val="1"/>
                <w:szCs w:val="1"/>
              </w:rPr>
            </w:pPr>
          </w:p>
        </w:tc>
        <w:tc>
          <w:tcPr>
            <w:tcW w:w="120" w:type="dxa"/>
            <w:tcBorders>
              <w:bottom w:val="single" w:sz="8" w:space="0" w:color="auto"/>
            </w:tcBorders>
            <w:vAlign w:val="bottom"/>
          </w:tcPr>
          <w:p w:rsidR="004A0011" w:rsidRDefault="004A0011">
            <w:pPr>
              <w:spacing w:line="20" w:lineRule="exact"/>
              <w:rPr>
                <w:sz w:val="1"/>
                <w:szCs w:val="1"/>
              </w:rPr>
            </w:pPr>
          </w:p>
        </w:tc>
        <w:tc>
          <w:tcPr>
            <w:tcW w:w="2060" w:type="dxa"/>
            <w:tcBorders>
              <w:bottom w:val="single" w:sz="8" w:space="0" w:color="auto"/>
            </w:tcBorders>
            <w:vAlign w:val="bottom"/>
          </w:tcPr>
          <w:p w:rsidR="004A0011" w:rsidRDefault="004A0011">
            <w:pPr>
              <w:spacing w:line="20" w:lineRule="exact"/>
              <w:rPr>
                <w:sz w:val="1"/>
                <w:szCs w:val="1"/>
              </w:rPr>
            </w:pPr>
          </w:p>
        </w:tc>
        <w:tc>
          <w:tcPr>
            <w:tcW w:w="0" w:type="dxa"/>
            <w:vAlign w:val="bottom"/>
          </w:tcPr>
          <w:p w:rsidR="004A0011" w:rsidRDefault="004A0011">
            <w:pPr>
              <w:spacing w:line="20" w:lineRule="exact"/>
              <w:rPr>
                <w:sz w:val="1"/>
                <w:szCs w:val="1"/>
              </w:rPr>
            </w:pPr>
          </w:p>
        </w:tc>
      </w:tr>
    </w:tbl>
    <w:p w:rsidR="004A0011" w:rsidRDefault="004A0011">
      <w:pPr>
        <w:spacing w:line="151" w:lineRule="exact"/>
        <w:rPr>
          <w:sz w:val="20"/>
          <w:szCs w:val="20"/>
        </w:rPr>
      </w:pPr>
    </w:p>
    <w:p w:rsidR="004A0011" w:rsidRDefault="00D538EF">
      <w:pPr>
        <w:numPr>
          <w:ilvl w:val="0"/>
          <w:numId w:val="10"/>
        </w:numPr>
        <w:tabs>
          <w:tab w:val="left" w:pos="141"/>
        </w:tabs>
        <w:spacing w:line="202" w:lineRule="auto"/>
        <w:ind w:left="20" w:right="360" w:hanging="9"/>
        <w:rPr>
          <w:rFonts w:eastAsia="Times New Roman"/>
          <w:sz w:val="16"/>
          <w:szCs w:val="16"/>
          <w:vertAlign w:val="superscript"/>
        </w:rPr>
      </w:pPr>
      <w:r>
        <w:rPr>
          <w:rFonts w:eastAsia="Times New Roman"/>
          <w:sz w:val="12"/>
          <w:szCs w:val="12"/>
        </w:rPr>
        <w:t xml:space="preserve">For both periods, the income tax effect for separation costs was calculated using a rate of 0.0% as the amounts are </w:t>
      </w:r>
      <w:r>
        <w:rPr>
          <w:rFonts w:eastAsia="Times New Roman"/>
          <w:sz w:val="12"/>
          <w:szCs w:val="12"/>
        </w:rPr>
        <w:t>primarily non-deductible separation costs for income tax purposes. For both periods, the income tax effect on foreign currency gain on intercompany loans was calculated using a rate of 7.0%, which represents the effective income tax rate on BellRing’s 28.8</w:t>
      </w:r>
      <w:r>
        <w:rPr>
          <w:rFonts w:eastAsia="Times New Roman"/>
          <w:sz w:val="12"/>
          <w:szCs w:val="12"/>
        </w:rPr>
        <w:t>% distributive share.</w:t>
      </w: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353" w:lineRule="exact"/>
        <w:rPr>
          <w:sz w:val="20"/>
          <w:szCs w:val="20"/>
        </w:rPr>
      </w:pPr>
    </w:p>
    <w:p w:rsidR="004A0011" w:rsidRDefault="00D538EF">
      <w:pPr>
        <w:jc w:val="center"/>
        <w:rPr>
          <w:sz w:val="20"/>
          <w:szCs w:val="20"/>
        </w:rPr>
      </w:pPr>
      <w:r>
        <w:rPr>
          <w:rFonts w:eastAsia="Times New Roman"/>
          <w:sz w:val="12"/>
          <w:szCs w:val="12"/>
        </w:rPr>
        <w:t>9</w:t>
      </w:r>
    </w:p>
    <w:p w:rsidR="004A0011" w:rsidRDefault="004A0011">
      <w:pPr>
        <w:sectPr w:rsidR="004A0011">
          <w:pgSz w:w="11900" w:h="16838"/>
          <w:pgMar w:top="641" w:right="339" w:bottom="1440" w:left="320" w:header="0" w:footer="0" w:gutter="0"/>
          <w:cols w:space="720" w:equalWidth="0">
            <w:col w:w="11240"/>
          </w:cols>
        </w:sectPr>
      </w:pPr>
    </w:p>
    <w:p w:rsidR="004A0011" w:rsidRDefault="00D538EF">
      <w:pPr>
        <w:ind w:right="20"/>
        <w:jc w:val="center"/>
        <w:rPr>
          <w:sz w:val="20"/>
          <w:szCs w:val="20"/>
        </w:rPr>
      </w:pPr>
      <w:bookmarkStart w:id="13" w:name="page13"/>
      <w:bookmarkEnd w:id="13"/>
      <w:r>
        <w:rPr>
          <w:rFonts w:eastAsia="Times New Roman"/>
          <w:b/>
          <w:bCs/>
          <w:sz w:val="11"/>
          <w:szCs w:val="11"/>
        </w:rPr>
        <w:lastRenderedPageBreak/>
        <w:t>RECONCILIATION OF NET EARNINGS AVAILABLE TO CLASS A COMMON STOCKHOLDERS</w:t>
      </w:r>
    </w:p>
    <w:p w:rsidR="004A0011" w:rsidRDefault="004A0011">
      <w:pPr>
        <w:spacing w:line="13" w:lineRule="exact"/>
        <w:rPr>
          <w:sz w:val="20"/>
          <w:szCs w:val="20"/>
        </w:rPr>
      </w:pPr>
    </w:p>
    <w:p w:rsidR="004A0011" w:rsidRDefault="00D538EF">
      <w:pPr>
        <w:ind w:right="20"/>
        <w:jc w:val="center"/>
        <w:rPr>
          <w:sz w:val="20"/>
          <w:szCs w:val="20"/>
        </w:rPr>
      </w:pPr>
      <w:r>
        <w:rPr>
          <w:rFonts w:eastAsia="Times New Roman"/>
          <w:b/>
          <w:bCs/>
          <w:sz w:val="11"/>
          <w:szCs w:val="11"/>
        </w:rPr>
        <w:t>TO ADJUSTED EBITDA (Unaudited)</w:t>
      </w:r>
    </w:p>
    <w:p w:rsidR="004A0011" w:rsidRDefault="00D538EF">
      <w:pPr>
        <w:ind w:right="20"/>
        <w:jc w:val="center"/>
        <w:rPr>
          <w:sz w:val="20"/>
          <w:szCs w:val="20"/>
        </w:rPr>
      </w:pPr>
      <w:r>
        <w:rPr>
          <w:rFonts w:eastAsia="Times New Roman"/>
          <w:b/>
          <w:bCs/>
          <w:sz w:val="11"/>
          <w:szCs w:val="11"/>
        </w:rPr>
        <w:t>(in millions)</w:t>
      </w:r>
    </w:p>
    <w:tbl>
      <w:tblPr>
        <w:tblW w:w="0" w:type="auto"/>
        <w:tblLayout w:type="fixed"/>
        <w:tblCellMar>
          <w:left w:w="0" w:type="dxa"/>
          <w:right w:w="0" w:type="dxa"/>
        </w:tblCellMar>
        <w:tblLook w:val="04A0" w:firstRow="1" w:lastRow="0" w:firstColumn="1" w:lastColumn="0" w:noHBand="0" w:noVBand="1"/>
      </w:tblPr>
      <w:tblGrid>
        <w:gridCol w:w="3520"/>
        <w:gridCol w:w="2660"/>
        <w:gridCol w:w="300"/>
        <w:gridCol w:w="360"/>
        <w:gridCol w:w="240"/>
        <w:gridCol w:w="160"/>
        <w:gridCol w:w="220"/>
        <w:gridCol w:w="680"/>
        <w:gridCol w:w="380"/>
        <w:gridCol w:w="160"/>
        <w:gridCol w:w="180"/>
        <w:gridCol w:w="160"/>
        <w:gridCol w:w="480"/>
        <w:gridCol w:w="320"/>
        <w:gridCol w:w="100"/>
        <w:gridCol w:w="220"/>
        <w:gridCol w:w="420"/>
        <w:gridCol w:w="660"/>
      </w:tblGrid>
      <w:tr w:rsidR="004A0011">
        <w:trPr>
          <w:trHeight w:val="123"/>
        </w:trPr>
        <w:tc>
          <w:tcPr>
            <w:tcW w:w="3520" w:type="dxa"/>
            <w:vAlign w:val="bottom"/>
          </w:tcPr>
          <w:p w:rsidR="004A0011" w:rsidRDefault="004A0011">
            <w:pPr>
              <w:rPr>
                <w:sz w:val="10"/>
                <w:szCs w:val="10"/>
              </w:rPr>
            </w:pPr>
          </w:p>
        </w:tc>
        <w:tc>
          <w:tcPr>
            <w:tcW w:w="2660" w:type="dxa"/>
            <w:vAlign w:val="bottom"/>
          </w:tcPr>
          <w:p w:rsidR="004A0011" w:rsidRDefault="004A0011">
            <w:pPr>
              <w:rPr>
                <w:sz w:val="10"/>
                <w:szCs w:val="10"/>
              </w:rPr>
            </w:pPr>
          </w:p>
        </w:tc>
        <w:tc>
          <w:tcPr>
            <w:tcW w:w="300" w:type="dxa"/>
            <w:vAlign w:val="bottom"/>
          </w:tcPr>
          <w:p w:rsidR="004A0011" w:rsidRDefault="004A0011">
            <w:pPr>
              <w:rPr>
                <w:sz w:val="10"/>
                <w:szCs w:val="10"/>
              </w:rPr>
            </w:pPr>
          </w:p>
        </w:tc>
        <w:tc>
          <w:tcPr>
            <w:tcW w:w="360" w:type="dxa"/>
            <w:vAlign w:val="bottom"/>
          </w:tcPr>
          <w:p w:rsidR="004A0011" w:rsidRDefault="004A0011">
            <w:pPr>
              <w:rPr>
                <w:sz w:val="10"/>
                <w:szCs w:val="10"/>
              </w:rPr>
            </w:pPr>
          </w:p>
        </w:tc>
        <w:tc>
          <w:tcPr>
            <w:tcW w:w="1300" w:type="dxa"/>
            <w:gridSpan w:val="4"/>
            <w:vAlign w:val="bottom"/>
          </w:tcPr>
          <w:p w:rsidR="004A0011" w:rsidRDefault="00D538EF">
            <w:pPr>
              <w:spacing w:line="123" w:lineRule="exact"/>
              <w:ind w:right="240"/>
              <w:jc w:val="right"/>
              <w:rPr>
                <w:sz w:val="20"/>
                <w:szCs w:val="20"/>
              </w:rPr>
            </w:pPr>
            <w:r>
              <w:rPr>
                <w:rFonts w:eastAsia="Times New Roman"/>
                <w:b/>
                <w:bCs/>
                <w:w w:val="97"/>
                <w:sz w:val="11"/>
                <w:szCs w:val="11"/>
              </w:rPr>
              <w:t>Three Months Ended</w:t>
            </w:r>
          </w:p>
        </w:tc>
        <w:tc>
          <w:tcPr>
            <w:tcW w:w="3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1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480" w:type="dxa"/>
            <w:vAlign w:val="bottom"/>
          </w:tcPr>
          <w:p w:rsidR="004A0011" w:rsidRDefault="004A0011">
            <w:pPr>
              <w:rPr>
                <w:sz w:val="10"/>
                <w:szCs w:val="10"/>
              </w:rPr>
            </w:pPr>
          </w:p>
        </w:tc>
        <w:tc>
          <w:tcPr>
            <w:tcW w:w="1060" w:type="dxa"/>
            <w:gridSpan w:val="4"/>
            <w:vAlign w:val="bottom"/>
          </w:tcPr>
          <w:p w:rsidR="004A0011" w:rsidRDefault="00D538EF">
            <w:pPr>
              <w:spacing w:line="123" w:lineRule="exact"/>
              <w:ind w:right="200"/>
              <w:jc w:val="right"/>
              <w:rPr>
                <w:sz w:val="20"/>
                <w:szCs w:val="20"/>
              </w:rPr>
            </w:pPr>
            <w:r>
              <w:rPr>
                <w:rFonts w:eastAsia="Times New Roman"/>
                <w:b/>
                <w:bCs/>
                <w:sz w:val="11"/>
                <w:szCs w:val="11"/>
              </w:rPr>
              <w:t>Year Ended</w:t>
            </w:r>
          </w:p>
        </w:tc>
        <w:tc>
          <w:tcPr>
            <w:tcW w:w="660" w:type="dxa"/>
            <w:vAlign w:val="bottom"/>
          </w:tcPr>
          <w:p w:rsidR="004A0011" w:rsidRDefault="004A0011">
            <w:pPr>
              <w:rPr>
                <w:sz w:val="10"/>
                <w:szCs w:val="10"/>
              </w:rPr>
            </w:pPr>
          </w:p>
        </w:tc>
      </w:tr>
      <w:tr w:rsidR="004A0011">
        <w:trPr>
          <w:trHeight w:val="143"/>
        </w:trPr>
        <w:tc>
          <w:tcPr>
            <w:tcW w:w="3520" w:type="dxa"/>
            <w:vAlign w:val="bottom"/>
          </w:tcPr>
          <w:p w:rsidR="004A0011" w:rsidRDefault="004A0011">
            <w:pPr>
              <w:rPr>
                <w:sz w:val="12"/>
                <w:szCs w:val="12"/>
              </w:rPr>
            </w:pPr>
          </w:p>
        </w:tc>
        <w:tc>
          <w:tcPr>
            <w:tcW w:w="2660" w:type="dxa"/>
            <w:vAlign w:val="bottom"/>
          </w:tcPr>
          <w:p w:rsidR="004A0011" w:rsidRDefault="004A0011">
            <w:pPr>
              <w:rPr>
                <w:sz w:val="12"/>
                <w:szCs w:val="12"/>
              </w:rPr>
            </w:pPr>
          </w:p>
        </w:tc>
        <w:tc>
          <w:tcPr>
            <w:tcW w:w="300" w:type="dxa"/>
            <w:tcBorders>
              <w:bottom w:val="single" w:sz="8" w:space="0" w:color="auto"/>
            </w:tcBorders>
            <w:vAlign w:val="bottom"/>
          </w:tcPr>
          <w:p w:rsidR="004A0011" w:rsidRDefault="004A0011">
            <w:pPr>
              <w:rPr>
                <w:sz w:val="12"/>
                <w:szCs w:val="12"/>
              </w:rPr>
            </w:pPr>
          </w:p>
        </w:tc>
        <w:tc>
          <w:tcPr>
            <w:tcW w:w="360" w:type="dxa"/>
            <w:tcBorders>
              <w:bottom w:val="single" w:sz="8" w:space="0" w:color="auto"/>
            </w:tcBorders>
            <w:vAlign w:val="bottom"/>
          </w:tcPr>
          <w:p w:rsidR="004A0011" w:rsidRDefault="004A0011">
            <w:pPr>
              <w:rPr>
                <w:sz w:val="12"/>
                <w:szCs w:val="12"/>
              </w:rPr>
            </w:pPr>
          </w:p>
        </w:tc>
        <w:tc>
          <w:tcPr>
            <w:tcW w:w="1300" w:type="dxa"/>
            <w:gridSpan w:val="4"/>
            <w:tcBorders>
              <w:bottom w:val="single" w:sz="8" w:space="0" w:color="auto"/>
            </w:tcBorders>
            <w:vAlign w:val="bottom"/>
          </w:tcPr>
          <w:p w:rsidR="004A0011" w:rsidRDefault="00D538EF">
            <w:pPr>
              <w:ind w:right="400"/>
              <w:jc w:val="right"/>
              <w:rPr>
                <w:sz w:val="20"/>
                <w:szCs w:val="20"/>
              </w:rPr>
            </w:pPr>
            <w:r>
              <w:rPr>
                <w:rFonts w:eastAsia="Times New Roman"/>
                <w:b/>
                <w:bCs/>
                <w:sz w:val="11"/>
                <w:szCs w:val="11"/>
              </w:rPr>
              <w:t>September 30,</w:t>
            </w:r>
          </w:p>
        </w:tc>
        <w:tc>
          <w:tcPr>
            <w:tcW w:w="380" w:type="dxa"/>
            <w:tcBorders>
              <w:bottom w:val="single" w:sz="8" w:space="0" w:color="auto"/>
            </w:tcBorders>
            <w:vAlign w:val="bottom"/>
          </w:tcPr>
          <w:p w:rsidR="004A0011" w:rsidRDefault="004A0011">
            <w:pPr>
              <w:rPr>
                <w:sz w:val="12"/>
                <w:szCs w:val="12"/>
              </w:rPr>
            </w:pPr>
          </w:p>
        </w:tc>
        <w:tc>
          <w:tcPr>
            <w:tcW w:w="160" w:type="dxa"/>
            <w:vAlign w:val="bottom"/>
          </w:tcPr>
          <w:p w:rsidR="004A0011" w:rsidRDefault="004A0011">
            <w:pPr>
              <w:rPr>
                <w:sz w:val="12"/>
                <w:szCs w:val="12"/>
              </w:rPr>
            </w:pPr>
          </w:p>
        </w:tc>
        <w:tc>
          <w:tcPr>
            <w:tcW w:w="180" w:type="dxa"/>
            <w:vAlign w:val="bottom"/>
          </w:tcPr>
          <w:p w:rsidR="004A0011" w:rsidRDefault="004A0011">
            <w:pPr>
              <w:rPr>
                <w:sz w:val="12"/>
                <w:szCs w:val="12"/>
              </w:rPr>
            </w:pPr>
          </w:p>
        </w:tc>
        <w:tc>
          <w:tcPr>
            <w:tcW w:w="160" w:type="dxa"/>
            <w:tcBorders>
              <w:bottom w:val="single" w:sz="8" w:space="0" w:color="auto"/>
            </w:tcBorders>
            <w:vAlign w:val="bottom"/>
          </w:tcPr>
          <w:p w:rsidR="004A0011" w:rsidRDefault="004A0011">
            <w:pPr>
              <w:rPr>
                <w:sz w:val="12"/>
                <w:szCs w:val="12"/>
              </w:rPr>
            </w:pPr>
          </w:p>
        </w:tc>
        <w:tc>
          <w:tcPr>
            <w:tcW w:w="480" w:type="dxa"/>
            <w:tcBorders>
              <w:bottom w:val="single" w:sz="8" w:space="0" w:color="auto"/>
            </w:tcBorders>
            <w:vAlign w:val="bottom"/>
          </w:tcPr>
          <w:p w:rsidR="004A0011" w:rsidRDefault="004A0011">
            <w:pPr>
              <w:rPr>
                <w:sz w:val="12"/>
                <w:szCs w:val="12"/>
              </w:rPr>
            </w:pPr>
          </w:p>
        </w:tc>
        <w:tc>
          <w:tcPr>
            <w:tcW w:w="1060" w:type="dxa"/>
            <w:gridSpan w:val="4"/>
            <w:tcBorders>
              <w:bottom w:val="single" w:sz="8" w:space="0" w:color="auto"/>
            </w:tcBorders>
            <w:vAlign w:val="bottom"/>
          </w:tcPr>
          <w:p w:rsidR="004A0011" w:rsidRDefault="00D538EF">
            <w:pPr>
              <w:ind w:right="140"/>
              <w:jc w:val="right"/>
              <w:rPr>
                <w:sz w:val="20"/>
                <w:szCs w:val="20"/>
              </w:rPr>
            </w:pPr>
            <w:r>
              <w:rPr>
                <w:rFonts w:eastAsia="Times New Roman"/>
                <w:b/>
                <w:bCs/>
                <w:sz w:val="11"/>
                <w:szCs w:val="11"/>
              </w:rPr>
              <w:t>September 30,</w:t>
            </w:r>
          </w:p>
        </w:tc>
        <w:tc>
          <w:tcPr>
            <w:tcW w:w="660" w:type="dxa"/>
            <w:tcBorders>
              <w:bottom w:val="single" w:sz="8" w:space="0" w:color="auto"/>
            </w:tcBorders>
            <w:vAlign w:val="bottom"/>
          </w:tcPr>
          <w:p w:rsidR="004A0011" w:rsidRDefault="004A0011">
            <w:pPr>
              <w:rPr>
                <w:sz w:val="12"/>
                <w:szCs w:val="12"/>
              </w:rPr>
            </w:pPr>
          </w:p>
        </w:tc>
      </w:tr>
      <w:tr w:rsidR="004A0011">
        <w:trPr>
          <w:trHeight w:val="133"/>
        </w:trPr>
        <w:tc>
          <w:tcPr>
            <w:tcW w:w="3520" w:type="dxa"/>
            <w:vAlign w:val="bottom"/>
          </w:tcPr>
          <w:p w:rsidR="004A0011" w:rsidRDefault="004A0011">
            <w:pPr>
              <w:rPr>
                <w:sz w:val="11"/>
                <w:szCs w:val="11"/>
              </w:rPr>
            </w:pPr>
          </w:p>
        </w:tc>
        <w:tc>
          <w:tcPr>
            <w:tcW w:w="2660" w:type="dxa"/>
            <w:vAlign w:val="bottom"/>
          </w:tcPr>
          <w:p w:rsidR="004A0011" w:rsidRDefault="004A0011">
            <w:pPr>
              <w:rPr>
                <w:sz w:val="11"/>
                <w:szCs w:val="11"/>
              </w:rPr>
            </w:pPr>
          </w:p>
        </w:tc>
        <w:tc>
          <w:tcPr>
            <w:tcW w:w="660" w:type="dxa"/>
            <w:gridSpan w:val="2"/>
            <w:vAlign w:val="bottom"/>
          </w:tcPr>
          <w:p w:rsidR="004A0011" w:rsidRDefault="00D538EF">
            <w:pPr>
              <w:jc w:val="right"/>
              <w:rPr>
                <w:sz w:val="20"/>
                <w:szCs w:val="20"/>
              </w:rPr>
            </w:pPr>
            <w:r>
              <w:rPr>
                <w:rFonts w:eastAsia="Times New Roman"/>
                <w:b/>
                <w:bCs/>
                <w:sz w:val="11"/>
                <w:szCs w:val="11"/>
              </w:rPr>
              <w:t>2020</w:t>
            </w:r>
          </w:p>
        </w:tc>
        <w:tc>
          <w:tcPr>
            <w:tcW w:w="240" w:type="dxa"/>
            <w:vAlign w:val="bottom"/>
          </w:tcPr>
          <w:p w:rsidR="004A0011" w:rsidRDefault="004A0011">
            <w:pPr>
              <w:rPr>
                <w:sz w:val="11"/>
                <w:szCs w:val="11"/>
              </w:rPr>
            </w:pPr>
          </w:p>
        </w:tc>
        <w:tc>
          <w:tcPr>
            <w:tcW w:w="1060" w:type="dxa"/>
            <w:gridSpan w:val="3"/>
            <w:vAlign w:val="bottom"/>
          </w:tcPr>
          <w:p w:rsidR="004A0011" w:rsidRDefault="00D538EF">
            <w:pPr>
              <w:jc w:val="right"/>
              <w:rPr>
                <w:sz w:val="20"/>
                <w:szCs w:val="20"/>
              </w:rPr>
            </w:pPr>
            <w:r>
              <w:rPr>
                <w:rFonts w:eastAsia="Times New Roman"/>
                <w:b/>
                <w:bCs/>
                <w:sz w:val="11"/>
                <w:szCs w:val="11"/>
              </w:rPr>
              <w:t>2019</w:t>
            </w:r>
          </w:p>
        </w:tc>
        <w:tc>
          <w:tcPr>
            <w:tcW w:w="380" w:type="dxa"/>
            <w:vAlign w:val="bottom"/>
          </w:tcPr>
          <w:p w:rsidR="004A0011" w:rsidRDefault="004A0011">
            <w:pPr>
              <w:rPr>
                <w:sz w:val="11"/>
                <w:szCs w:val="11"/>
              </w:rPr>
            </w:pPr>
          </w:p>
        </w:tc>
        <w:tc>
          <w:tcPr>
            <w:tcW w:w="160" w:type="dxa"/>
            <w:vAlign w:val="bottom"/>
          </w:tcPr>
          <w:p w:rsidR="004A0011" w:rsidRDefault="004A0011">
            <w:pPr>
              <w:rPr>
                <w:sz w:val="11"/>
                <w:szCs w:val="11"/>
              </w:rPr>
            </w:pPr>
          </w:p>
        </w:tc>
        <w:tc>
          <w:tcPr>
            <w:tcW w:w="180" w:type="dxa"/>
            <w:vAlign w:val="bottom"/>
          </w:tcPr>
          <w:p w:rsidR="004A0011" w:rsidRDefault="004A0011">
            <w:pPr>
              <w:rPr>
                <w:sz w:val="11"/>
                <w:szCs w:val="11"/>
              </w:rPr>
            </w:pPr>
          </w:p>
        </w:tc>
        <w:tc>
          <w:tcPr>
            <w:tcW w:w="640" w:type="dxa"/>
            <w:gridSpan w:val="2"/>
            <w:vAlign w:val="bottom"/>
          </w:tcPr>
          <w:p w:rsidR="004A0011" w:rsidRDefault="00D538EF">
            <w:pPr>
              <w:jc w:val="right"/>
              <w:rPr>
                <w:sz w:val="20"/>
                <w:szCs w:val="20"/>
              </w:rPr>
            </w:pPr>
            <w:r>
              <w:rPr>
                <w:rFonts w:eastAsia="Times New Roman"/>
                <w:b/>
                <w:bCs/>
                <w:sz w:val="11"/>
                <w:szCs w:val="11"/>
              </w:rPr>
              <w:t>2020</w:t>
            </w:r>
          </w:p>
        </w:tc>
        <w:tc>
          <w:tcPr>
            <w:tcW w:w="320" w:type="dxa"/>
            <w:vAlign w:val="bottom"/>
          </w:tcPr>
          <w:p w:rsidR="004A0011" w:rsidRDefault="004A0011">
            <w:pPr>
              <w:rPr>
                <w:sz w:val="11"/>
                <w:szCs w:val="11"/>
              </w:rPr>
            </w:pPr>
          </w:p>
        </w:tc>
        <w:tc>
          <w:tcPr>
            <w:tcW w:w="100" w:type="dxa"/>
            <w:vAlign w:val="bottom"/>
          </w:tcPr>
          <w:p w:rsidR="004A0011" w:rsidRDefault="004A0011">
            <w:pPr>
              <w:rPr>
                <w:sz w:val="11"/>
                <w:szCs w:val="11"/>
              </w:rPr>
            </w:pPr>
          </w:p>
        </w:tc>
        <w:tc>
          <w:tcPr>
            <w:tcW w:w="220" w:type="dxa"/>
            <w:vAlign w:val="bottom"/>
          </w:tcPr>
          <w:p w:rsidR="004A0011" w:rsidRDefault="004A0011">
            <w:pPr>
              <w:rPr>
                <w:sz w:val="11"/>
                <w:szCs w:val="11"/>
              </w:rPr>
            </w:pPr>
          </w:p>
        </w:tc>
        <w:tc>
          <w:tcPr>
            <w:tcW w:w="420" w:type="dxa"/>
            <w:vAlign w:val="bottom"/>
          </w:tcPr>
          <w:p w:rsidR="004A0011" w:rsidRDefault="004A0011">
            <w:pPr>
              <w:rPr>
                <w:sz w:val="11"/>
                <w:szCs w:val="11"/>
              </w:rPr>
            </w:pPr>
          </w:p>
        </w:tc>
        <w:tc>
          <w:tcPr>
            <w:tcW w:w="660" w:type="dxa"/>
            <w:vAlign w:val="bottom"/>
          </w:tcPr>
          <w:p w:rsidR="004A0011" w:rsidRDefault="00D538EF">
            <w:pPr>
              <w:ind w:right="380"/>
              <w:jc w:val="right"/>
              <w:rPr>
                <w:sz w:val="20"/>
                <w:szCs w:val="20"/>
              </w:rPr>
            </w:pPr>
            <w:r>
              <w:rPr>
                <w:rFonts w:eastAsia="Times New Roman"/>
                <w:b/>
                <w:bCs/>
                <w:w w:val="90"/>
                <w:sz w:val="11"/>
                <w:szCs w:val="11"/>
              </w:rPr>
              <w:t>2019</w:t>
            </w:r>
          </w:p>
        </w:tc>
      </w:tr>
      <w:tr w:rsidR="004A0011">
        <w:trPr>
          <w:trHeight w:val="143"/>
        </w:trPr>
        <w:tc>
          <w:tcPr>
            <w:tcW w:w="3520" w:type="dxa"/>
            <w:tcBorders>
              <w:top w:val="single" w:sz="8" w:space="0" w:color="CCEEFF"/>
            </w:tcBorders>
            <w:shd w:val="clear" w:color="auto" w:fill="CCEEFF"/>
            <w:vAlign w:val="bottom"/>
          </w:tcPr>
          <w:p w:rsidR="004A0011" w:rsidRDefault="00D538EF">
            <w:pPr>
              <w:rPr>
                <w:sz w:val="20"/>
                <w:szCs w:val="20"/>
              </w:rPr>
            </w:pPr>
            <w:r>
              <w:rPr>
                <w:rFonts w:eastAsia="Times New Roman"/>
                <w:b/>
                <w:bCs/>
                <w:sz w:val="12"/>
                <w:szCs w:val="12"/>
              </w:rPr>
              <w:t>Net Earnings Available to Class A Common Stockholders</w:t>
            </w:r>
          </w:p>
        </w:tc>
        <w:tc>
          <w:tcPr>
            <w:tcW w:w="2660" w:type="dxa"/>
            <w:tcBorders>
              <w:top w:val="single" w:sz="8" w:space="0" w:color="CCEEFF"/>
            </w:tcBorders>
            <w:shd w:val="clear" w:color="auto" w:fill="CCEEFF"/>
            <w:vAlign w:val="bottom"/>
          </w:tcPr>
          <w:p w:rsidR="004A0011" w:rsidRDefault="004A0011">
            <w:pPr>
              <w:rPr>
                <w:sz w:val="12"/>
                <w:szCs w:val="12"/>
              </w:rPr>
            </w:pPr>
          </w:p>
        </w:tc>
        <w:tc>
          <w:tcPr>
            <w:tcW w:w="300" w:type="dxa"/>
            <w:tcBorders>
              <w:top w:val="single" w:sz="8" w:space="0" w:color="auto"/>
            </w:tcBorders>
            <w:shd w:val="clear" w:color="auto" w:fill="CCEEFF"/>
            <w:vAlign w:val="bottom"/>
          </w:tcPr>
          <w:p w:rsidR="004A0011" w:rsidRDefault="00D538EF">
            <w:pPr>
              <w:ind w:right="186"/>
              <w:jc w:val="right"/>
              <w:rPr>
                <w:sz w:val="20"/>
                <w:szCs w:val="20"/>
              </w:rPr>
            </w:pPr>
            <w:r>
              <w:rPr>
                <w:rFonts w:eastAsia="Times New Roman"/>
                <w:w w:val="71"/>
                <w:sz w:val="11"/>
                <w:szCs w:val="11"/>
              </w:rPr>
              <w:t>$</w:t>
            </w:r>
          </w:p>
        </w:tc>
        <w:tc>
          <w:tcPr>
            <w:tcW w:w="360" w:type="dxa"/>
            <w:tcBorders>
              <w:top w:val="single" w:sz="8" w:space="0" w:color="auto"/>
            </w:tcBorders>
            <w:shd w:val="clear" w:color="auto" w:fill="CCEEFF"/>
            <w:vAlign w:val="bottom"/>
          </w:tcPr>
          <w:p w:rsidR="004A0011" w:rsidRDefault="004A0011">
            <w:pPr>
              <w:rPr>
                <w:sz w:val="12"/>
                <w:szCs w:val="12"/>
              </w:rPr>
            </w:pPr>
          </w:p>
        </w:tc>
        <w:tc>
          <w:tcPr>
            <w:tcW w:w="240" w:type="dxa"/>
            <w:tcBorders>
              <w:top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10.0</w:t>
            </w:r>
          </w:p>
        </w:tc>
        <w:tc>
          <w:tcPr>
            <w:tcW w:w="160" w:type="dxa"/>
            <w:tcBorders>
              <w:top w:val="single" w:sz="8" w:space="0" w:color="auto"/>
            </w:tcBorders>
            <w:shd w:val="clear" w:color="auto" w:fill="CCEEFF"/>
            <w:vAlign w:val="bottom"/>
          </w:tcPr>
          <w:p w:rsidR="004A0011" w:rsidRDefault="004A0011">
            <w:pPr>
              <w:rPr>
                <w:sz w:val="12"/>
                <w:szCs w:val="12"/>
              </w:rPr>
            </w:pPr>
          </w:p>
        </w:tc>
        <w:tc>
          <w:tcPr>
            <w:tcW w:w="220" w:type="dxa"/>
            <w:tcBorders>
              <w:top w:val="single" w:sz="8" w:space="0" w:color="CCEEFF"/>
            </w:tcBorders>
            <w:shd w:val="clear" w:color="auto" w:fill="CCEEFF"/>
            <w:vAlign w:val="bottom"/>
          </w:tcPr>
          <w:p w:rsidR="004A0011" w:rsidRDefault="004A0011">
            <w:pPr>
              <w:rPr>
                <w:sz w:val="12"/>
                <w:szCs w:val="12"/>
              </w:rPr>
            </w:pPr>
          </w:p>
        </w:tc>
        <w:tc>
          <w:tcPr>
            <w:tcW w:w="680" w:type="dxa"/>
            <w:tcBorders>
              <w:top w:val="single" w:sz="8" w:space="0" w:color="auto"/>
            </w:tcBorders>
            <w:shd w:val="clear" w:color="auto" w:fill="CCEEFF"/>
            <w:vAlign w:val="bottom"/>
          </w:tcPr>
          <w:p w:rsidR="004A0011" w:rsidRDefault="00D538EF">
            <w:pPr>
              <w:ind w:right="540"/>
              <w:jc w:val="right"/>
              <w:rPr>
                <w:sz w:val="20"/>
                <w:szCs w:val="20"/>
              </w:rPr>
            </w:pPr>
            <w:r>
              <w:rPr>
                <w:rFonts w:eastAsia="Times New Roman"/>
                <w:w w:val="99"/>
                <w:sz w:val="12"/>
                <w:szCs w:val="12"/>
              </w:rPr>
              <w:t>$</w:t>
            </w:r>
          </w:p>
        </w:tc>
        <w:tc>
          <w:tcPr>
            <w:tcW w:w="380" w:type="dxa"/>
            <w:tcBorders>
              <w:top w:val="single" w:sz="8" w:space="0" w:color="auto"/>
            </w:tcBorders>
            <w:shd w:val="clear" w:color="auto" w:fill="CCEEFF"/>
            <w:vAlign w:val="bottom"/>
          </w:tcPr>
          <w:p w:rsidR="004A0011" w:rsidRDefault="00D538EF">
            <w:pPr>
              <w:ind w:right="80"/>
              <w:jc w:val="right"/>
              <w:rPr>
                <w:sz w:val="20"/>
                <w:szCs w:val="20"/>
              </w:rPr>
            </w:pPr>
            <w:r>
              <w:rPr>
                <w:rFonts w:eastAsia="Times New Roman"/>
                <w:sz w:val="12"/>
                <w:szCs w:val="12"/>
              </w:rPr>
              <w:t>—</w:t>
            </w:r>
          </w:p>
        </w:tc>
        <w:tc>
          <w:tcPr>
            <w:tcW w:w="160" w:type="dxa"/>
            <w:tcBorders>
              <w:top w:val="single" w:sz="8" w:space="0" w:color="CCEEFF"/>
            </w:tcBorders>
            <w:shd w:val="clear" w:color="auto" w:fill="CCEEFF"/>
            <w:vAlign w:val="bottom"/>
          </w:tcPr>
          <w:p w:rsidR="004A0011" w:rsidRDefault="004A0011">
            <w:pPr>
              <w:rPr>
                <w:sz w:val="12"/>
                <w:szCs w:val="12"/>
              </w:rPr>
            </w:pPr>
          </w:p>
        </w:tc>
        <w:tc>
          <w:tcPr>
            <w:tcW w:w="180" w:type="dxa"/>
            <w:tcBorders>
              <w:top w:val="single" w:sz="8" w:space="0" w:color="CCEEFF"/>
            </w:tcBorders>
            <w:shd w:val="clear" w:color="auto" w:fill="CCEEFF"/>
            <w:vAlign w:val="bottom"/>
          </w:tcPr>
          <w:p w:rsidR="004A0011" w:rsidRDefault="004A0011">
            <w:pPr>
              <w:rPr>
                <w:sz w:val="12"/>
                <w:szCs w:val="12"/>
              </w:rPr>
            </w:pPr>
          </w:p>
        </w:tc>
        <w:tc>
          <w:tcPr>
            <w:tcW w:w="160" w:type="dxa"/>
            <w:tcBorders>
              <w:top w:val="single" w:sz="8" w:space="0" w:color="auto"/>
            </w:tcBorders>
            <w:shd w:val="clear" w:color="auto" w:fill="CCEEFF"/>
            <w:vAlign w:val="bottom"/>
          </w:tcPr>
          <w:p w:rsidR="004A0011" w:rsidRDefault="00D538EF">
            <w:pPr>
              <w:ind w:right="46"/>
              <w:jc w:val="right"/>
              <w:rPr>
                <w:sz w:val="20"/>
                <w:szCs w:val="20"/>
              </w:rPr>
            </w:pPr>
            <w:r>
              <w:rPr>
                <w:rFonts w:eastAsia="Times New Roman"/>
                <w:w w:val="71"/>
                <w:sz w:val="11"/>
                <w:szCs w:val="11"/>
              </w:rPr>
              <w:t>$</w:t>
            </w:r>
          </w:p>
        </w:tc>
        <w:tc>
          <w:tcPr>
            <w:tcW w:w="480" w:type="dxa"/>
            <w:tcBorders>
              <w:top w:val="single" w:sz="8" w:space="0" w:color="auto"/>
            </w:tcBorders>
            <w:shd w:val="clear" w:color="auto" w:fill="CCEEFF"/>
            <w:vAlign w:val="bottom"/>
          </w:tcPr>
          <w:p w:rsidR="004A0011" w:rsidRDefault="004A0011">
            <w:pPr>
              <w:rPr>
                <w:sz w:val="12"/>
                <w:szCs w:val="12"/>
              </w:rPr>
            </w:pPr>
          </w:p>
        </w:tc>
        <w:tc>
          <w:tcPr>
            <w:tcW w:w="320" w:type="dxa"/>
            <w:tcBorders>
              <w:top w:val="single" w:sz="8" w:space="0" w:color="auto"/>
            </w:tcBorders>
            <w:shd w:val="clear" w:color="auto" w:fill="CCEEFF"/>
            <w:vAlign w:val="bottom"/>
          </w:tcPr>
          <w:p w:rsidR="004A0011" w:rsidRDefault="00D538EF">
            <w:pPr>
              <w:ind w:right="1"/>
              <w:jc w:val="right"/>
              <w:rPr>
                <w:sz w:val="20"/>
                <w:szCs w:val="20"/>
              </w:rPr>
            </w:pPr>
            <w:r>
              <w:rPr>
                <w:rFonts w:eastAsia="Times New Roman"/>
                <w:sz w:val="12"/>
                <w:szCs w:val="12"/>
              </w:rPr>
              <w:t>23.5</w:t>
            </w:r>
          </w:p>
        </w:tc>
        <w:tc>
          <w:tcPr>
            <w:tcW w:w="100" w:type="dxa"/>
            <w:tcBorders>
              <w:top w:val="single" w:sz="8" w:space="0" w:color="auto"/>
            </w:tcBorders>
            <w:shd w:val="clear" w:color="auto" w:fill="CCEEFF"/>
            <w:vAlign w:val="bottom"/>
          </w:tcPr>
          <w:p w:rsidR="004A0011" w:rsidRDefault="004A0011">
            <w:pPr>
              <w:rPr>
                <w:sz w:val="12"/>
                <w:szCs w:val="12"/>
              </w:rPr>
            </w:pPr>
          </w:p>
        </w:tc>
        <w:tc>
          <w:tcPr>
            <w:tcW w:w="220" w:type="dxa"/>
            <w:tcBorders>
              <w:top w:val="single" w:sz="8" w:space="0" w:color="CCEEFF"/>
            </w:tcBorders>
            <w:shd w:val="clear" w:color="auto" w:fill="CCEEFF"/>
            <w:vAlign w:val="bottom"/>
          </w:tcPr>
          <w:p w:rsidR="004A0011" w:rsidRDefault="004A0011">
            <w:pPr>
              <w:rPr>
                <w:sz w:val="12"/>
                <w:szCs w:val="12"/>
              </w:rPr>
            </w:pPr>
          </w:p>
        </w:tc>
        <w:tc>
          <w:tcPr>
            <w:tcW w:w="420" w:type="dxa"/>
            <w:tcBorders>
              <w:top w:val="single" w:sz="8" w:space="0" w:color="auto"/>
            </w:tcBorders>
            <w:shd w:val="clear" w:color="auto" w:fill="CCEEFF"/>
            <w:vAlign w:val="bottom"/>
          </w:tcPr>
          <w:p w:rsidR="004A0011" w:rsidRDefault="00D538EF">
            <w:pPr>
              <w:ind w:right="280"/>
              <w:jc w:val="right"/>
              <w:rPr>
                <w:sz w:val="20"/>
                <w:szCs w:val="20"/>
              </w:rPr>
            </w:pPr>
            <w:r>
              <w:rPr>
                <w:rFonts w:eastAsia="Times New Roman"/>
                <w:w w:val="99"/>
                <w:sz w:val="12"/>
                <w:szCs w:val="12"/>
              </w:rPr>
              <w:t>$</w:t>
            </w:r>
          </w:p>
        </w:tc>
        <w:tc>
          <w:tcPr>
            <w:tcW w:w="660" w:type="dxa"/>
            <w:tcBorders>
              <w:top w:val="single" w:sz="8" w:space="0" w:color="auto"/>
            </w:tcBorders>
            <w:shd w:val="clear" w:color="auto" w:fill="CCEEFF"/>
            <w:vAlign w:val="bottom"/>
          </w:tcPr>
          <w:p w:rsidR="004A0011" w:rsidRDefault="00D538EF">
            <w:pPr>
              <w:ind w:right="100"/>
              <w:jc w:val="right"/>
              <w:rPr>
                <w:sz w:val="20"/>
                <w:szCs w:val="20"/>
              </w:rPr>
            </w:pPr>
            <w:r>
              <w:rPr>
                <w:rFonts w:eastAsia="Times New Roman"/>
                <w:sz w:val="12"/>
                <w:szCs w:val="12"/>
              </w:rPr>
              <w:t>—</w:t>
            </w:r>
          </w:p>
        </w:tc>
      </w:tr>
      <w:tr w:rsidR="004A0011">
        <w:trPr>
          <w:trHeight w:val="153"/>
        </w:trPr>
        <w:tc>
          <w:tcPr>
            <w:tcW w:w="3520" w:type="dxa"/>
            <w:vAlign w:val="bottom"/>
          </w:tcPr>
          <w:p w:rsidR="004A0011" w:rsidRDefault="00D538EF">
            <w:pPr>
              <w:rPr>
                <w:sz w:val="20"/>
                <w:szCs w:val="20"/>
              </w:rPr>
            </w:pPr>
            <w:r>
              <w:rPr>
                <w:rFonts w:eastAsia="Times New Roman"/>
                <w:sz w:val="12"/>
                <w:szCs w:val="12"/>
              </w:rPr>
              <w:t>Income t</w:t>
            </w:r>
            <w:r>
              <w:rPr>
                <w:rFonts w:eastAsia="Times New Roman"/>
                <w:sz w:val="12"/>
                <w:szCs w:val="12"/>
              </w:rPr>
              <w:t>ax expense</w:t>
            </w:r>
          </w:p>
        </w:tc>
        <w:tc>
          <w:tcPr>
            <w:tcW w:w="2660" w:type="dxa"/>
            <w:vAlign w:val="bottom"/>
          </w:tcPr>
          <w:p w:rsidR="004A0011" w:rsidRDefault="004A0011">
            <w:pPr>
              <w:rPr>
                <w:sz w:val="13"/>
                <w:szCs w:val="13"/>
              </w:rPr>
            </w:pPr>
          </w:p>
        </w:tc>
        <w:tc>
          <w:tcPr>
            <w:tcW w:w="30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240" w:type="dxa"/>
            <w:vAlign w:val="bottom"/>
          </w:tcPr>
          <w:p w:rsidR="004A0011" w:rsidRDefault="00D538EF">
            <w:pPr>
              <w:jc w:val="right"/>
              <w:rPr>
                <w:sz w:val="20"/>
                <w:szCs w:val="20"/>
              </w:rPr>
            </w:pPr>
            <w:r>
              <w:rPr>
                <w:rFonts w:eastAsia="Times New Roman"/>
                <w:sz w:val="12"/>
                <w:szCs w:val="12"/>
              </w:rPr>
              <w:t>—</w:t>
            </w:r>
          </w:p>
        </w:tc>
        <w:tc>
          <w:tcPr>
            <w:tcW w:w="16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680" w:type="dxa"/>
            <w:vAlign w:val="bottom"/>
          </w:tcPr>
          <w:p w:rsidR="004A0011" w:rsidRDefault="004A0011">
            <w:pPr>
              <w:rPr>
                <w:sz w:val="13"/>
                <w:szCs w:val="13"/>
              </w:rPr>
            </w:pPr>
          </w:p>
        </w:tc>
        <w:tc>
          <w:tcPr>
            <w:tcW w:w="380" w:type="dxa"/>
            <w:vAlign w:val="bottom"/>
          </w:tcPr>
          <w:p w:rsidR="004A0011" w:rsidRDefault="00D538EF">
            <w:pPr>
              <w:ind w:right="80"/>
              <w:jc w:val="right"/>
              <w:rPr>
                <w:sz w:val="20"/>
                <w:szCs w:val="20"/>
              </w:rPr>
            </w:pPr>
            <w:r>
              <w:rPr>
                <w:rFonts w:eastAsia="Times New Roman"/>
                <w:sz w:val="12"/>
                <w:szCs w:val="12"/>
              </w:rPr>
              <w:t>9.3</w:t>
            </w:r>
          </w:p>
        </w:tc>
        <w:tc>
          <w:tcPr>
            <w:tcW w:w="160" w:type="dxa"/>
            <w:vAlign w:val="bottom"/>
          </w:tcPr>
          <w:p w:rsidR="004A0011" w:rsidRDefault="004A0011">
            <w:pPr>
              <w:rPr>
                <w:sz w:val="13"/>
                <w:szCs w:val="13"/>
              </w:rPr>
            </w:pPr>
          </w:p>
        </w:tc>
        <w:tc>
          <w:tcPr>
            <w:tcW w:w="180" w:type="dxa"/>
            <w:vAlign w:val="bottom"/>
          </w:tcPr>
          <w:p w:rsidR="004A0011" w:rsidRDefault="004A0011">
            <w:pPr>
              <w:rPr>
                <w:sz w:val="13"/>
                <w:szCs w:val="13"/>
              </w:rPr>
            </w:pPr>
          </w:p>
        </w:tc>
        <w:tc>
          <w:tcPr>
            <w:tcW w:w="160" w:type="dxa"/>
            <w:vAlign w:val="bottom"/>
          </w:tcPr>
          <w:p w:rsidR="004A0011" w:rsidRDefault="004A0011">
            <w:pPr>
              <w:rPr>
                <w:sz w:val="13"/>
                <w:szCs w:val="13"/>
              </w:rPr>
            </w:pPr>
          </w:p>
        </w:tc>
        <w:tc>
          <w:tcPr>
            <w:tcW w:w="480" w:type="dxa"/>
            <w:vAlign w:val="bottom"/>
          </w:tcPr>
          <w:p w:rsidR="004A0011" w:rsidRDefault="004A0011">
            <w:pPr>
              <w:rPr>
                <w:sz w:val="13"/>
                <w:szCs w:val="13"/>
              </w:rPr>
            </w:pPr>
          </w:p>
        </w:tc>
        <w:tc>
          <w:tcPr>
            <w:tcW w:w="320" w:type="dxa"/>
            <w:vAlign w:val="bottom"/>
          </w:tcPr>
          <w:p w:rsidR="004A0011" w:rsidRDefault="00D538EF">
            <w:pPr>
              <w:ind w:right="1"/>
              <w:jc w:val="right"/>
              <w:rPr>
                <w:sz w:val="20"/>
                <w:szCs w:val="20"/>
              </w:rPr>
            </w:pPr>
            <w:r>
              <w:rPr>
                <w:rFonts w:eastAsia="Times New Roman"/>
                <w:sz w:val="12"/>
                <w:szCs w:val="12"/>
              </w:rPr>
              <w:t>9.2</w:t>
            </w:r>
          </w:p>
        </w:tc>
        <w:tc>
          <w:tcPr>
            <w:tcW w:w="10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420" w:type="dxa"/>
            <w:vAlign w:val="bottom"/>
          </w:tcPr>
          <w:p w:rsidR="004A0011" w:rsidRDefault="004A0011">
            <w:pPr>
              <w:rPr>
                <w:sz w:val="13"/>
                <w:szCs w:val="13"/>
              </w:rPr>
            </w:pPr>
          </w:p>
        </w:tc>
        <w:tc>
          <w:tcPr>
            <w:tcW w:w="660" w:type="dxa"/>
            <w:vAlign w:val="bottom"/>
          </w:tcPr>
          <w:p w:rsidR="004A0011" w:rsidRDefault="00D538EF">
            <w:pPr>
              <w:ind w:right="100"/>
              <w:jc w:val="right"/>
              <w:rPr>
                <w:sz w:val="20"/>
                <w:szCs w:val="20"/>
              </w:rPr>
            </w:pPr>
            <w:r>
              <w:rPr>
                <w:rFonts w:eastAsia="Times New Roman"/>
                <w:sz w:val="12"/>
                <w:szCs w:val="12"/>
              </w:rPr>
              <w:t>39.4</w:t>
            </w:r>
          </w:p>
        </w:tc>
      </w:tr>
      <w:tr w:rsidR="004A0011">
        <w:trPr>
          <w:trHeight w:val="153"/>
        </w:trPr>
        <w:tc>
          <w:tcPr>
            <w:tcW w:w="3520" w:type="dxa"/>
            <w:shd w:val="clear" w:color="auto" w:fill="CCEEFF"/>
            <w:vAlign w:val="bottom"/>
          </w:tcPr>
          <w:p w:rsidR="004A0011" w:rsidRDefault="00D538EF">
            <w:pPr>
              <w:rPr>
                <w:sz w:val="20"/>
                <w:szCs w:val="20"/>
              </w:rPr>
            </w:pPr>
            <w:r>
              <w:rPr>
                <w:rFonts w:eastAsia="Times New Roman"/>
                <w:sz w:val="12"/>
                <w:szCs w:val="12"/>
              </w:rPr>
              <w:t>Interest expense, net</w:t>
            </w:r>
          </w:p>
        </w:tc>
        <w:tc>
          <w:tcPr>
            <w:tcW w:w="2660" w:type="dxa"/>
            <w:shd w:val="clear" w:color="auto" w:fill="CCEEFF"/>
            <w:vAlign w:val="bottom"/>
          </w:tcPr>
          <w:p w:rsidR="004A0011" w:rsidRDefault="004A0011">
            <w:pPr>
              <w:rPr>
                <w:sz w:val="13"/>
                <w:szCs w:val="13"/>
              </w:rPr>
            </w:pPr>
          </w:p>
        </w:tc>
        <w:tc>
          <w:tcPr>
            <w:tcW w:w="30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240" w:type="dxa"/>
            <w:shd w:val="clear" w:color="auto" w:fill="CCEEFF"/>
            <w:vAlign w:val="bottom"/>
          </w:tcPr>
          <w:p w:rsidR="004A0011" w:rsidRDefault="00D538EF">
            <w:pPr>
              <w:jc w:val="right"/>
              <w:rPr>
                <w:sz w:val="20"/>
                <w:szCs w:val="20"/>
              </w:rPr>
            </w:pPr>
            <w:r>
              <w:rPr>
                <w:rFonts w:eastAsia="Times New Roman"/>
                <w:sz w:val="12"/>
                <w:szCs w:val="12"/>
              </w:rPr>
              <w:t>13.5</w:t>
            </w:r>
          </w:p>
        </w:tc>
        <w:tc>
          <w:tcPr>
            <w:tcW w:w="16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680" w:type="dxa"/>
            <w:shd w:val="clear" w:color="auto" w:fill="CCEEFF"/>
            <w:vAlign w:val="bottom"/>
          </w:tcPr>
          <w:p w:rsidR="004A0011" w:rsidRDefault="004A0011">
            <w:pPr>
              <w:rPr>
                <w:sz w:val="13"/>
                <w:szCs w:val="13"/>
              </w:rPr>
            </w:pPr>
          </w:p>
        </w:tc>
        <w:tc>
          <w:tcPr>
            <w:tcW w:w="720" w:type="dxa"/>
            <w:gridSpan w:val="3"/>
            <w:shd w:val="clear" w:color="auto" w:fill="CCEEFF"/>
            <w:vAlign w:val="bottom"/>
          </w:tcPr>
          <w:p w:rsidR="004A0011" w:rsidRDefault="00D538EF">
            <w:pPr>
              <w:ind w:right="480"/>
              <w:jc w:val="right"/>
              <w:rPr>
                <w:sz w:val="20"/>
                <w:szCs w:val="20"/>
              </w:rPr>
            </w:pPr>
            <w:r>
              <w:rPr>
                <w:rFonts w:eastAsia="Times New Roman"/>
                <w:sz w:val="12"/>
                <w:szCs w:val="12"/>
              </w:rPr>
              <w:t>—</w:t>
            </w:r>
          </w:p>
        </w:tc>
        <w:tc>
          <w:tcPr>
            <w:tcW w:w="160" w:type="dxa"/>
            <w:shd w:val="clear" w:color="auto" w:fill="CCEEFF"/>
            <w:vAlign w:val="bottom"/>
          </w:tcPr>
          <w:p w:rsidR="004A0011" w:rsidRDefault="004A0011">
            <w:pPr>
              <w:rPr>
                <w:sz w:val="13"/>
                <w:szCs w:val="13"/>
              </w:rPr>
            </w:pPr>
          </w:p>
        </w:tc>
        <w:tc>
          <w:tcPr>
            <w:tcW w:w="48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D538EF">
            <w:pPr>
              <w:ind w:right="1"/>
              <w:jc w:val="right"/>
              <w:rPr>
                <w:sz w:val="20"/>
                <w:szCs w:val="20"/>
              </w:rPr>
            </w:pPr>
            <w:r>
              <w:rPr>
                <w:rFonts w:eastAsia="Times New Roman"/>
                <w:sz w:val="12"/>
                <w:szCs w:val="12"/>
              </w:rPr>
              <w:t>54.7</w:t>
            </w:r>
          </w:p>
        </w:tc>
        <w:tc>
          <w:tcPr>
            <w:tcW w:w="10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420" w:type="dxa"/>
            <w:shd w:val="clear" w:color="auto" w:fill="CCEEFF"/>
            <w:vAlign w:val="bottom"/>
          </w:tcPr>
          <w:p w:rsidR="004A0011" w:rsidRDefault="004A0011">
            <w:pPr>
              <w:rPr>
                <w:sz w:val="13"/>
                <w:szCs w:val="13"/>
              </w:rPr>
            </w:pPr>
          </w:p>
        </w:tc>
        <w:tc>
          <w:tcPr>
            <w:tcW w:w="660" w:type="dxa"/>
            <w:shd w:val="clear" w:color="auto" w:fill="CCEEFF"/>
            <w:vAlign w:val="bottom"/>
          </w:tcPr>
          <w:p w:rsidR="004A0011" w:rsidRDefault="00D538EF">
            <w:pPr>
              <w:ind w:right="100"/>
              <w:jc w:val="right"/>
              <w:rPr>
                <w:sz w:val="20"/>
                <w:szCs w:val="20"/>
              </w:rPr>
            </w:pPr>
            <w:r>
              <w:rPr>
                <w:rFonts w:eastAsia="Times New Roman"/>
                <w:sz w:val="12"/>
                <w:szCs w:val="12"/>
              </w:rPr>
              <w:t>—</w:t>
            </w:r>
          </w:p>
        </w:tc>
      </w:tr>
      <w:tr w:rsidR="004A0011">
        <w:trPr>
          <w:trHeight w:val="153"/>
        </w:trPr>
        <w:tc>
          <w:tcPr>
            <w:tcW w:w="3520" w:type="dxa"/>
            <w:vAlign w:val="bottom"/>
          </w:tcPr>
          <w:p w:rsidR="004A0011" w:rsidRDefault="00D538EF">
            <w:pPr>
              <w:rPr>
                <w:sz w:val="20"/>
                <w:szCs w:val="20"/>
              </w:rPr>
            </w:pPr>
            <w:r>
              <w:rPr>
                <w:rFonts w:eastAsia="Times New Roman"/>
                <w:sz w:val="12"/>
                <w:szCs w:val="12"/>
              </w:rPr>
              <w:t>Depreciation and amortization</w:t>
            </w:r>
          </w:p>
        </w:tc>
        <w:tc>
          <w:tcPr>
            <w:tcW w:w="2660" w:type="dxa"/>
            <w:vAlign w:val="bottom"/>
          </w:tcPr>
          <w:p w:rsidR="004A0011" w:rsidRDefault="004A0011">
            <w:pPr>
              <w:rPr>
                <w:sz w:val="13"/>
                <w:szCs w:val="13"/>
              </w:rPr>
            </w:pPr>
          </w:p>
        </w:tc>
        <w:tc>
          <w:tcPr>
            <w:tcW w:w="30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240" w:type="dxa"/>
            <w:vAlign w:val="bottom"/>
          </w:tcPr>
          <w:p w:rsidR="004A0011" w:rsidRDefault="00D538EF">
            <w:pPr>
              <w:jc w:val="right"/>
              <w:rPr>
                <w:sz w:val="20"/>
                <w:szCs w:val="20"/>
              </w:rPr>
            </w:pPr>
            <w:r>
              <w:rPr>
                <w:rFonts w:eastAsia="Times New Roman"/>
                <w:sz w:val="12"/>
                <w:szCs w:val="12"/>
              </w:rPr>
              <w:t>6.3</w:t>
            </w:r>
          </w:p>
        </w:tc>
        <w:tc>
          <w:tcPr>
            <w:tcW w:w="16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680" w:type="dxa"/>
            <w:vAlign w:val="bottom"/>
          </w:tcPr>
          <w:p w:rsidR="004A0011" w:rsidRDefault="004A0011">
            <w:pPr>
              <w:rPr>
                <w:sz w:val="13"/>
                <w:szCs w:val="13"/>
              </w:rPr>
            </w:pPr>
          </w:p>
        </w:tc>
        <w:tc>
          <w:tcPr>
            <w:tcW w:w="380" w:type="dxa"/>
            <w:vAlign w:val="bottom"/>
          </w:tcPr>
          <w:p w:rsidR="004A0011" w:rsidRDefault="00D538EF">
            <w:pPr>
              <w:ind w:right="80"/>
              <w:jc w:val="right"/>
              <w:rPr>
                <w:sz w:val="20"/>
                <w:szCs w:val="20"/>
              </w:rPr>
            </w:pPr>
            <w:r>
              <w:rPr>
                <w:rFonts w:eastAsia="Times New Roman"/>
                <w:sz w:val="12"/>
                <w:szCs w:val="12"/>
              </w:rPr>
              <w:t>6.3</w:t>
            </w:r>
          </w:p>
        </w:tc>
        <w:tc>
          <w:tcPr>
            <w:tcW w:w="160" w:type="dxa"/>
            <w:vAlign w:val="bottom"/>
          </w:tcPr>
          <w:p w:rsidR="004A0011" w:rsidRDefault="004A0011">
            <w:pPr>
              <w:rPr>
                <w:sz w:val="13"/>
                <w:szCs w:val="13"/>
              </w:rPr>
            </w:pPr>
          </w:p>
        </w:tc>
        <w:tc>
          <w:tcPr>
            <w:tcW w:w="180" w:type="dxa"/>
            <w:vAlign w:val="bottom"/>
          </w:tcPr>
          <w:p w:rsidR="004A0011" w:rsidRDefault="004A0011">
            <w:pPr>
              <w:rPr>
                <w:sz w:val="13"/>
                <w:szCs w:val="13"/>
              </w:rPr>
            </w:pPr>
          </w:p>
        </w:tc>
        <w:tc>
          <w:tcPr>
            <w:tcW w:w="160" w:type="dxa"/>
            <w:vAlign w:val="bottom"/>
          </w:tcPr>
          <w:p w:rsidR="004A0011" w:rsidRDefault="004A0011">
            <w:pPr>
              <w:rPr>
                <w:sz w:val="13"/>
                <w:szCs w:val="13"/>
              </w:rPr>
            </w:pPr>
          </w:p>
        </w:tc>
        <w:tc>
          <w:tcPr>
            <w:tcW w:w="480" w:type="dxa"/>
            <w:vAlign w:val="bottom"/>
          </w:tcPr>
          <w:p w:rsidR="004A0011" w:rsidRDefault="004A0011">
            <w:pPr>
              <w:rPr>
                <w:sz w:val="13"/>
                <w:szCs w:val="13"/>
              </w:rPr>
            </w:pPr>
          </w:p>
        </w:tc>
        <w:tc>
          <w:tcPr>
            <w:tcW w:w="320" w:type="dxa"/>
            <w:vAlign w:val="bottom"/>
          </w:tcPr>
          <w:p w:rsidR="004A0011" w:rsidRDefault="00D538EF">
            <w:pPr>
              <w:ind w:right="1"/>
              <w:jc w:val="right"/>
              <w:rPr>
                <w:sz w:val="20"/>
                <w:szCs w:val="20"/>
              </w:rPr>
            </w:pPr>
            <w:r>
              <w:rPr>
                <w:rFonts w:eastAsia="Times New Roman"/>
                <w:sz w:val="12"/>
                <w:szCs w:val="12"/>
              </w:rPr>
              <w:t>25.3</w:t>
            </w:r>
          </w:p>
        </w:tc>
        <w:tc>
          <w:tcPr>
            <w:tcW w:w="10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420" w:type="dxa"/>
            <w:vAlign w:val="bottom"/>
          </w:tcPr>
          <w:p w:rsidR="004A0011" w:rsidRDefault="004A0011">
            <w:pPr>
              <w:rPr>
                <w:sz w:val="13"/>
                <w:szCs w:val="13"/>
              </w:rPr>
            </w:pPr>
          </w:p>
        </w:tc>
        <w:tc>
          <w:tcPr>
            <w:tcW w:w="660" w:type="dxa"/>
            <w:vAlign w:val="bottom"/>
          </w:tcPr>
          <w:p w:rsidR="004A0011" w:rsidRDefault="00D538EF">
            <w:pPr>
              <w:ind w:right="100"/>
              <w:jc w:val="right"/>
              <w:rPr>
                <w:sz w:val="20"/>
                <w:szCs w:val="20"/>
              </w:rPr>
            </w:pPr>
            <w:r>
              <w:rPr>
                <w:rFonts w:eastAsia="Times New Roman"/>
                <w:sz w:val="12"/>
                <w:szCs w:val="12"/>
              </w:rPr>
              <w:t>25.3</w:t>
            </w:r>
          </w:p>
        </w:tc>
      </w:tr>
      <w:tr w:rsidR="004A0011">
        <w:trPr>
          <w:trHeight w:val="153"/>
        </w:trPr>
        <w:tc>
          <w:tcPr>
            <w:tcW w:w="3520" w:type="dxa"/>
            <w:shd w:val="clear" w:color="auto" w:fill="CCEEFF"/>
            <w:vAlign w:val="bottom"/>
          </w:tcPr>
          <w:p w:rsidR="004A0011" w:rsidRDefault="00D538EF">
            <w:pPr>
              <w:rPr>
                <w:sz w:val="20"/>
                <w:szCs w:val="20"/>
              </w:rPr>
            </w:pPr>
            <w:r>
              <w:rPr>
                <w:rFonts w:eastAsia="Times New Roman"/>
                <w:sz w:val="12"/>
                <w:szCs w:val="12"/>
              </w:rPr>
              <w:t>NCI adjustment</w:t>
            </w:r>
          </w:p>
        </w:tc>
        <w:tc>
          <w:tcPr>
            <w:tcW w:w="2660" w:type="dxa"/>
            <w:shd w:val="clear" w:color="auto" w:fill="CCEEFF"/>
            <w:vAlign w:val="bottom"/>
          </w:tcPr>
          <w:p w:rsidR="004A0011" w:rsidRDefault="004A0011">
            <w:pPr>
              <w:rPr>
                <w:sz w:val="13"/>
                <w:szCs w:val="13"/>
              </w:rPr>
            </w:pPr>
          </w:p>
        </w:tc>
        <w:tc>
          <w:tcPr>
            <w:tcW w:w="30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240" w:type="dxa"/>
            <w:shd w:val="clear" w:color="auto" w:fill="CCEEFF"/>
            <w:vAlign w:val="bottom"/>
          </w:tcPr>
          <w:p w:rsidR="004A0011" w:rsidRDefault="00D538EF">
            <w:pPr>
              <w:jc w:val="right"/>
              <w:rPr>
                <w:sz w:val="20"/>
                <w:szCs w:val="20"/>
              </w:rPr>
            </w:pPr>
            <w:r>
              <w:rPr>
                <w:rFonts w:eastAsia="Times New Roman"/>
                <w:sz w:val="12"/>
                <w:szCs w:val="12"/>
              </w:rPr>
              <w:t>25.5</w:t>
            </w:r>
          </w:p>
        </w:tc>
        <w:tc>
          <w:tcPr>
            <w:tcW w:w="16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680" w:type="dxa"/>
            <w:shd w:val="clear" w:color="auto" w:fill="CCEEFF"/>
            <w:vAlign w:val="bottom"/>
          </w:tcPr>
          <w:p w:rsidR="004A0011" w:rsidRDefault="004A0011">
            <w:pPr>
              <w:rPr>
                <w:sz w:val="13"/>
                <w:szCs w:val="13"/>
              </w:rPr>
            </w:pPr>
          </w:p>
        </w:tc>
        <w:tc>
          <w:tcPr>
            <w:tcW w:w="380" w:type="dxa"/>
            <w:shd w:val="clear" w:color="auto" w:fill="CCEEFF"/>
            <w:vAlign w:val="bottom"/>
          </w:tcPr>
          <w:p w:rsidR="004A0011" w:rsidRDefault="00D538EF">
            <w:pPr>
              <w:ind w:right="80"/>
              <w:jc w:val="right"/>
              <w:rPr>
                <w:sz w:val="20"/>
                <w:szCs w:val="20"/>
              </w:rPr>
            </w:pPr>
            <w:r>
              <w:rPr>
                <w:rFonts w:eastAsia="Times New Roman"/>
                <w:sz w:val="12"/>
                <w:szCs w:val="12"/>
              </w:rPr>
              <w:t>26.7</w:t>
            </w:r>
          </w:p>
        </w:tc>
        <w:tc>
          <w:tcPr>
            <w:tcW w:w="160" w:type="dxa"/>
            <w:shd w:val="clear" w:color="auto" w:fill="CCEEFF"/>
            <w:vAlign w:val="bottom"/>
          </w:tcPr>
          <w:p w:rsidR="004A0011" w:rsidRDefault="004A0011">
            <w:pPr>
              <w:rPr>
                <w:sz w:val="13"/>
                <w:szCs w:val="13"/>
              </w:rPr>
            </w:pPr>
          </w:p>
        </w:tc>
        <w:tc>
          <w:tcPr>
            <w:tcW w:w="180" w:type="dxa"/>
            <w:shd w:val="clear" w:color="auto" w:fill="CCEEFF"/>
            <w:vAlign w:val="bottom"/>
          </w:tcPr>
          <w:p w:rsidR="004A0011" w:rsidRDefault="004A0011">
            <w:pPr>
              <w:rPr>
                <w:sz w:val="13"/>
                <w:szCs w:val="13"/>
              </w:rPr>
            </w:pPr>
          </w:p>
        </w:tc>
        <w:tc>
          <w:tcPr>
            <w:tcW w:w="160" w:type="dxa"/>
            <w:shd w:val="clear" w:color="auto" w:fill="CCEEFF"/>
            <w:vAlign w:val="bottom"/>
          </w:tcPr>
          <w:p w:rsidR="004A0011" w:rsidRDefault="004A0011">
            <w:pPr>
              <w:rPr>
                <w:sz w:val="13"/>
                <w:szCs w:val="13"/>
              </w:rPr>
            </w:pPr>
          </w:p>
        </w:tc>
        <w:tc>
          <w:tcPr>
            <w:tcW w:w="48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D538EF">
            <w:pPr>
              <w:ind w:right="1"/>
              <w:jc w:val="right"/>
              <w:rPr>
                <w:sz w:val="20"/>
                <w:szCs w:val="20"/>
              </w:rPr>
            </w:pPr>
            <w:r>
              <w:rPr>
                <w:rFonts w:eastAsia="Times New Roman"/>
                <w:sz w:val="12"/>
                <w:szCs w:val="12"/>
              </w:rPr>
              <w:t>76.6</w:t>
            </w:r>
          </w:p>
        </w:tc>
        <w:tc>
          <w:tcPr>
            <w:tcW w:w="10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420" w:type="dxa"/>
            <w:shd w:val="clear" w:color="auto" w:fill="CCEEFF"/>
            <w:vAlign w:val="bottom"/>
          </w:tcPr>
          <w:p w:rsidR="004A0011" w:rsidRDefault="004A0011">
            <w:pPr>
              <w:rPr>
                <w:sz w:val="13"/>
                <w:szCs w:val="13"/>
              </w:rPr>
            </w:pPr>
          </w:p>
        </w:tc>
        <w:tc>
          <w:tcPr>
            <w:tcW w:w="660" w:type="dxa"/>
            <w:shd w:val="clear" w:color="auto" w:fill="CCEEFF"/>
            <w:vAlign w:val="bottom"/>
          </w:tcPr>
          <w:p w:rsidR="004A0011" w:rsidRDefault="00D538EF">
            <w:pPr>
              <w:ind w:right="100"/>
              <w:jc w:val="right"/>
              <w:rPr>
                <w:sz w:val="20"/>
                <w:szCs w:val="20"/>
              </w:rPr>
            </w:pPr>
            <w:r>
              <w:rPr>
                <w:rFonts w:eastAsia="Times New Roman"/>
                <w:sz w:val="12"/>
                <w:szCs w:val="12"/>
              </w:rPr>
              <w:t>123.1</w:t>
            </w:r>
          </w:p>
        </w:tc>
      </w:tr>
      <w:tr w:rsidR="004A0011">
        <w:trPr>
          <w:trHeight w:val="153"/>
        </w:trPr>
        <w:tc>
          <w:tcPr>
            <w:tcW w:w="3520" w:type="dxa"/>
            <w:vAlign w:val="bottom"/>
          </w:tcPr>
          <w:p w:rsidR="004A0011" w:rsidRDefault="00D538EF">
            <w:pPr>
              <w:rPr>
                <w:sz w:val="20"/>
                <w:szCs w:val="20"/>
              </w:rPr>
            </w:pPr>
            <w:r>
              <w:rPr>
                <w:rFonts w:eastAsia="Times New Roman"/>
                <w:sz w:val="12"/>
                <w:szCs w:val="12"/>
              </w:rPr>
              <w:t>Stock-based compensation</w:t>
            </w:r>
          </w:p>
        </w:tc>
        <w:tc>
          <w:tcPr>
            <w:tcW w:w="2660" w:type="dxa"/>
            <w:vAlign w:val="bottom"/>
          </w:tcPr>
          <w:p w:rsidR="004A0011" w:rsidRDefault="004A0011">
            <w:pPr>
              <w:rPr>
                <w:sz w:val="13"/>
                <w:szCs w:val="13"/>
              </w:rPr>
            </w:pPr>
          </w:p>
        </w:tc>
        <w:tc>
          <w:tcPr>
            <w:tcW w:w="30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240" w:type="dxa"/>
            <w:vAlign w:val="bottom"/>
          </w:tcPr>
          <w:p w:rsidR="004A0011" w:rsidRDefault="00D538EF">
            <w:pPr>
              <w:jc w:val="right"/>
              <w:rPr>
                <w:sz w:val="20"/>
                <w:szCs w:val="20"/>
              </w:rPr>
            </w:pPr>
            <w:r>
              <w:rPr>
                <w:rFonts w:eastAsia="Times New Roman"/>
                <w:sz w:val="12"/>
                <w:szCs w:val="12"/>
              </w:rPr>
              <w:t>1.7</w:t>
            </w:r>
          </w:p>
        </w:tc>
        <w:tc>
          <w:tcPr>
            <w:tcW w:w="16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680" w:type="dxa"/>
            <w:vAlign w:val="bottom"/>
          </w:tcPr>
          <w:p w:rsidR="004A0011" w:rsidRDefault="004A0011">
            <w:pPr>
              <w:rPr>
                <w:sz w:val="13"/>
                <w:szCs w:val="13"/>
              </w:rPr>
            </w:pPr>
          </w:p>
        </w:tc>
        <w:tc>
          <w:tcPr>
            <w:tcW w:w="380" w:type="dxa"/>
            <w:vAlign w:val="bottom"/>
          </w:tcPr>
          <w:p w:rsidR="004A0011" w:rsidRDefault="00D538EF">
            <w:pPr>
              <w:ind w:right="80"/>
              <w:jc w:val="right"/>
              <w:rPr>
                <w:sz w:val="20"/>
                <w:szCs w:val="20"/>
              </w:rPr>
            </w:pPr>
            <w:r>
              <w:rPr>
                <w:rFonts w:eastAsia="Times New Roman"/>
                <w:sz w:val="12"/>
                <w:szCs w:val="12"/>
              </w:rPr>
              <w:t>1.3</w:t>
            </w:r>
          </w:p>
        </w:tc>
        <w:tc>
          <w:tcPr>
            <w:tcW w:w="160" w:type="dxa"/>
            <w:vAlign w:val="bottom"/>
          </w:tcPr>
          <w:p w:rsidR="004A0011" w:rsidRDefault="004A0011">
            <w:pPr>
              <w:rPr>
                <w:sz w:val="13"/>
                <w:szCs w:val="13"/>
              </w:rPr>
            </w:pPr>
          </w:p>
        </w:tc>
        <w:tc>
          <w:tcPr>
            <w:tcW w:w="180" w:type="dxa"/>
            <w:vAlign w:val="bottom"/>
          </w:tcPr>
          <w:p w:rsidR="004A0011" w:rsidRDefault="004A0011">
            <w:pPr>
              <w:rPr>
                <w:sz w:val="13"/>
                <w:szCs w:val="13"/>
              </w:rPr>
            </w:pPr>
          </w:p>
        </w:tc>
        <w:tc>
          <w:tcPr>
            <w:tcW w:w="160" w:type="dxa"/>
            <w:vAlign w:val="bottom"/>
          </w:tcPr>
          <w:p w:rsidR="004A0011" w:rsidRDefault="004A0011">
            <w:pPr>
              <w:rPr>
                <w:sz w:val="13"/>
                <w:szCs w:val="13"/>
              </w:rPr>
            </w:pPr>
          </w:p>
        </w:tc>
        <w:tc>
          <w:tcPr>
            <w:tcW w:w="480" w:type="dxa"/>
            <w:vAlign w:val="bottom"/>
          </w:tcPr>
          <w:p w:rsidR="004A0011" w:rsidRDefault="004A0011">
            <w:pPr>
              <w:rPr>
                <w:sz w:val="13"/>
                <w:szCs w:val="13"/>
              </w:rPr>
            </w:pPr>
          </w:p>
        </w:tc>
        <w:tc>
          <w:tcPr>
            <w:tcW w:w="320" w:type="dxa"/>
            <w:vAlign w:val="bottom"/>
          </w:tcPr>
          <w:p w:rsidR="004A0011" w:rsidRDefault="00D538EF">
            <w:pPr>
              <w:ind w:right="1"/>
              <w:jc w:val="right"/>
              <w:rPr>
                <w:sz w:val="20"/>
                <w:szCs w:val="20"/>
              </w:rPr>
            </w:pPr>
            <w:r>
              <w:rPr>
                <w:rFonts w:eastAsia="Times New Roman"/>
                <w:sz w:val="12"/>
                <w:szCs w:val="12"/>
              </w:rPr>
              <w:t>6.5</w:t>
            </w:r>
          </w:p>
        </w:tc>
        <w:tc>
          <w:tcPr>
            <w:tcW w:w="10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420" w:type="dxa"/>
            <w:vAlign w:val="bottom"/>
          </w:tcPr>
          <w:p w:rsidR="004A0011" w:rsidRDefault="004A0011">
            <w:pPr>
              <w:rPr>
                <w:sz w:val="13"/>
                <w:szCs w:val="13"/>
              </w:rPr>
            </w:pPr>
          </w:p>
        </w:tc>
        <w:tc>
          <w:tcPr>
            <w:tcW w:w="660" w:type="dxa"/>
            <w:vAlign w:val="bottom"/>
          </w:tcPr>
          <w:p w:rsidR="004A0011" w:rsidRDefault="00D538EF">
            <w:pPr>
              <w:ind w:right="100"/>
              <w:jc w:val="right"/>
              <w:rPr>
                <w:sz w:val="20"/>
                <w:szCs w:val="20"/>
              </w:rPr>
            </w:pPr>
            <w:r>
              <w:rPr>
                <w:rFonts w:eastAsia="Times New Roman"/>
                <w:sz w:val="12"/>
                <w:szCs w:val="12"/>
              </w:rPr>
              <w:t>3.6</w:t>
            </w:r>
          </w:p>
        </w:tc>
      </w:tr>
      <w:tr w:rsidR="004A0011">
        <w:trPr>
          <w:trHeight w:val="153"/>
        </w:trPr>
        <w:tc>
          <w:tcPr>
            <w:tcW w:w="3520" w:type="dxa"/>
            <w:shd w:val="clear" w:color="auto" w:fill="CCEEFF"/>
            <w:vAlign w:val="bottom"/>
          </w:tcPr>
          <w:p w:rsidR="004A0011" w:rsidRDefault="00D538EF">
            <w:pPr>
              <w:rPr>
                <w:sz w:val="20"/>
                <w:szCs w:val="20"/>
              </w:rPr>
            </w:pPr>
            <w:r>
              <w:rPr>
                <w:rFonts w:eastAsia="Times New Roman"/>
                <w:sz w:val="12"/>
                <w:szCs w:val="12"/>
              </w:rPr>
              <w:t>Separation costs</w:t>
            </w:r>
          </w:p>
        </w:tc>
        <w:tc>
          <w:tcPr>
            <w:tcW w:w="2660" w:type="dxa"/>
            <w:shd w:val="clear" w:color="auto" w:fill="CCEEFF"/>
            <w:vAlign w:val="bottom"/>
          </w:tcPr>
          <w:p w:rsidR="004A0011" w:rsidRDefault="004A0011">
            <w:pPr>
              <w:rPr>
                <w:sz w:val="13"/>
                <w:szCs w:val="13"/>
              </w:rPr>
            </w:pPr>
          </w:p>
        </w:tc>
        <w:tc>
          <w:tcPr>
            <w:tcW w:w="300" w:type="dxa"/>
            <w:shd w:val="clear" w:color="auto" w:fill="CCEEFF"/>
            <w:vAlign w:val="bottom"/>
          </w:tcPr>
          <w:p w:rsidR="004A0011" w:rsidRDefault="004A0011">
            <w:pPr>
              <w:rPr>
                <w:sz w:val="13"/>
                <w:szCs w:val="13"/>
              </w:rPr>
            </w:pPr>
          </w:p>
        </w:tc>
        <w:tc>
          <w:tcPr>
            <w:tcW w:w="360" w:type="dxa"/>
            <w:shd w:val="clear" w:color="auto" w:fill="CCEEFF"/>
            <w:vAlign w:val="bottom"/>
          </w:tcPr>
          <w:p w:rsidR="004A0011" w:rsidRDefault="004A0011">
            <w:pPr>
              <w:rPr>
                <w:sz w:val="13"/>
                <w:szCs w:val="13"/>
              </w:rPr>
            </w:pPr>
          </w:p>
        </w:tc>
        <w:tc>
          <w:tcPr>
            <w:tcW w:w="240" w:type="dxa"/>
            <w:shd w:val="clear" w:color="auto" w:fill="CCEEFF"/>
            <w:vAlign w:val="bottom"/>
          </w:tcPr>
          <w:p w:rsidR="004A0011" w:rsidRDefault="00D538EF">
            <w:pPr>
              <w:jc w:val="right"/>
              <w:rPr>
                <w:sz w:val="20"/>
                <w:szCs w:val="20"/>
              </w:rPr>
            </w:pPr>
            <w:r>
              <w:rPr>
                <w:rFonts w:eastAsia="Times New Roman"/>
                <w:sz w:val="12"/>
                <w:szCs w:val="12"/>
              </w:rPr>
              <w:t>—</w:t>
            </w:r>
          </w:p>
        </w:tc>
        <w:tc>
          <w:tcPr>
            <w:tcW w:w="16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680" w:type="dxa"/>
            <w:shd w:val="clear" w:color="auto" w:fill="CCEEFF"/>
            <w:vAlign w:val="bottom"/>
          </w:tcPr>
          <w:p w:rsidR="004A0011" w:rsidRDefault="004A0011">
            <w:pPr>
              <w:rPr>
                <w:sz w:val="13"/>
                <w:szCs w:val="13"/>
              </w:rPr>
            </w:pPr>
          </w:p>
        </w:tc>
        <w:tc>
          <w:tcPr>
            <w:tcW w:w="380" w:type="dxa"/>
            <w:shd w:val="clear" w:color="auto" w:fill="CCEEFF"/>
            <w:vAlign w:val="bottom"/>
          </w:tcPr>
          <w:p w:rsidR="004A0011" w:rsidRDefault="00D538EF">
            <w:pPr>
              <w:ind w:right="80"/>
              <w:jc w:val="right"/>
              <w:rPr>
                <w:sz w:val="20"/>
                <w:szCs w:val="20"/>
              </w:rPr>
            </w:pPr>
            <w:r>
              <w:rPr>
                <w:rFonts w:eastAsia="Times New Roman"/>
                <w:sz w:val="12"/>
                <w:szCs w:val="12"/>
              </w:rPr>
              <w:t>2.7</w:t>
            </w:r>
          </w:p>
        </w:tc>
        <w:tc>
          <w:tcPr>
            <w:tcW w:w="160" w:type="dxa"/>
            <w:shd w:val="clear" w:color="auto" w:fill="CCEEFF"/>
            <w:vAlign w:val="bottom"/>
          </w:tcPr>
          <w:p w:rsidR="004A0011" w:rsidRDefault="004A0011">
            <w:pPr>
              <w:rPr>
                <w:sz w:val="13"/>
                <w:szCs w:val="13"/>
              </w:rPr>
            </w:pPr>
          </w:p>
        </w:tc>
        <w:tc>
          <w:tcPr>
            <w:tcW w:w="180" w:type="dxa"/>
            <w:shd w:val="clear" w:color="auto" w:fill="CCEEFF"/>
            <w:vAlign w:val="bottom"/>
          </w:tcPr>
          <w:p w:rsidR="004A0011" w:rsidRDefault="004A0011">
            <w:pPr>
              <w:rPr>
                <w:sz w:val="13"/>
                <w:szCs w:val="13"/>
              </w:rPr>
            </w:pPr>
          </w:p>
        </w:tc>
        <w:tc>
          <w:tcPr>
            <w:tcW w:w="160" w:type="dxa"/>
            <w:shd w:val="clear" w:color="auto" w:fill="CCEEFF"/>
            <w:vAlign w:val="bottom"/>
          </w:tcPr>
          <w:p w:rsidR="004A0011" w:rsidRDefault="004A0011">
            <w:pPr>
              <w:rPr>
                <w:sz w:val="13"/>
                <w:szCs w:val="13"/>
              </w:rPr>
            </w:pPr>
          </w:p>
        </w:tc>
        <w:tc>
          <w:tcPr>
            <w:tcW w:w="480" w:type="dxa"/>
            <w:shd w:val="clear" w:color="auto" w:fill="CCEEFF"/>
            <w:vAlign w:val="bottom"/>
          </w:tcPr>
          <w:p w:rsidR="004A0011" w:rsidRDefault="004A0011">
            <w:pPr>
              <w:rPr>
                <w:sz w:val="13"/>
                <w:szCs w:val="13"/>
              </w:rPr>
            </w:pPr>
          </w:p>
        </w:tc>
        <w:tc>
          <w:tcPr>
            <w:tcW w:w="320" w:type="dxa"/>
            <w:shd w:val="clear" w:color="auto" w:fill="CCEEFF"/>
            <w:vAlign w:val="bottom"/>
          </w:tcPr>
          <w:p w:rsidR="004A0011" w:rsidRDefault="00D538EF">
            <w:pPr>
              <w:ind w:right="1"/>
              <w:jc w:val="right"/>
              <w:rPr>
                <w:sz w:val="20"/>
                <w:szCs w:val="20"/>
              </w:rPr>
            </w:pPr>
            <w:r>
              <w:rPr>
                <w:rFonts w:eastAsia="Times New Roman"/>
                <w:sz w:val="12"/>
                <w:szCs w:val="12"/>
              </w:rPr>
              <w:t>1.9</w:t>
            </w:r>
          </w:p>
        </w:tc>
        <w:tc>
          <w:tcPr>
            <w:tcW w:w="100" w:type="dxa"/>
            <w:shd w:val="clear" w:color="auto" w:fill="CCEEFF"/>
            <w:vAlign w:val="bottom"/>
          </w:tcPr>
          <w:p w:rsidR="004A0011" w:rsidRDefault="004A0011">
            <w:pPr>
              <w:rPr>
                <w:sz w:val="13"/>
                <w:szCs w:val="13"/>
              </w:rPr>
            </w:pPr>
          </w:p>
        </w:tc>
        <w:tc>
          <w:tcPr>
            <w:tcW w:w="220" w:type="dxa"/>
            <w:shd w:val="clear" w:color="auto" w:fill="CCEEFF"/>
            <w:vAlign w:val="bottom"/>
          </w:tcPr>
          <w:p w:rsidR="004A0011" w:rsidRDefault="004A0011">
            <w:pPr>
              <w:rPr>
                <w:sz w:val="13"/>
                <w:szCs w:val="13"/>
              </w:rPr>
            </w:pPr>
          </w:p>
        </w:tc>
        <w:tc>
          <w:tcPr>
            <w:tcW w:w="420" w:type="dxa"/>
            <w:shd w:val="clear" w:color="auto" w:fill="CCEEFF"/>
            <w:vAlign w:val="bottom"/>
          </w:tcPr>
          <w:p w:rsidR="004A0011" w:rsidRDefault="004A0011">
            <w:pPr>
              <w:rPr>
                <w:sz w:val="13"/>
                <w:szCs w:val="13"/>
              </w:rPr>
            </w:pPr>
          </w:p>
        </w:tc>
        <w:tc>
          <w:tcPr>
            <w:tcW w:w="660" w:type="dxa"/>
            <w:shd w:val="clear" w:color="auto" w:fill="CCEEFF"/>
            <w:vAlign w:val="bottom"/>
          </w:tcPr>
          <w:p w:rsidR="004A0011" w:rsidRDefault="00D538EF">
            <w:pPr>
              <w:ind w:right="100"/>
              <w:jc w:val="right"/>
              <w:rPr>
                <w:sz w:val="20"/>
                <w:szCs w:val="20"/>
              </w:rPr>
            </w:pPr>
            <w:r>
              <w:rPr>
                <w:rFonts w:eastAsia="Times New Roman"/>
                <w:sz w:val="12"/>
                <w:szCs w:val="12"/>
              </w:rPr>
              <w:t>6.7</w:t>
            </w:r>
          </w:p>
        </w:tc>
      </w:tr>
      <w:tr w:rsidR="004A0011">
        <w:trPr>
          <w:trHeight w:val="153"/>
        </w:trPr>
        <w:tc>
          <w:tcPr>
            <w:tcW w:w="3520" w:type="dxa"/>
            <w:vAlign w:val="bottom"/>
          </w:tcPr>
          <w:p w:rsidR="004A0011" w:rsidRDefault="00D538EF">
            <w:pPr>
              <w:rPr>
                <w:sz w:val="20"/>
                <w:szCs w:val="20"/>
              </w:rPr>
            </w:pPr>
            <w:r>
              <w:rPr>
                <w:rFonts w:eastAsia="Times New Roman"/>
                <w:sz w:val="12"/>
                <w:szCs w:val="12"/>
              </w:rPr>
              <w:t>Foreign currency gain on intercompany loans</w:t>
            </w:r>
          </w:p>
        </w:tc>
        <w:tc>
          <w:tcPr>
            <w:tcW w:w="2660" w:type="dxa"/>
            <w:vAlign w:val="bottom"/>
          </w:tcPr>
          <w:p w:rsidR="004A0011" w:rsidRDefault="004A0011">
            <w:pPr>
              <w:rPr>
                <w:sz w:val="13"/>
                <w:szCs w:val="13"/>
              </w:rPr>
            </w:pPr>
          </w:p>
        </w:tc>
        <w:tc>
          <w:tcPr>
            <w:tcW w:w="300" w:type="dxa"/>
            <w:vAlign w:val="bottom"/>
          </w:tcPr>
          <w:p w:rsidR="004A0011" w:rsidRDefault="004A0011">
            <w:pPr>
              <w:rPr>
                <w:sz w:val="13"/>
                <w:szCs w:val="13"/>
              </w:rPr>
            </w:pPr>
          </w:p>
        </w:tc>
        <w:tc>
          <w:tcPr>
            <w:tcW w:w="360" w:type="dxa"/>
            <w:vAlign w:val="bottom"/>
          </w:tcPr>
          <w:p w:rsidR="004A0011" w:rsidRDefault="004A0011">
            <w:pPr>
              <w:rPr>
                <w:sz w:val="13"/>
                <w:szCs w:val="13"/>
              </w:rPr>
            </w:pPr>
          </w:p>
        </w:tc>
        <w:tc>
          <w:tcPr>
            <w:tcW w:w="400" w:type="dxa"/>
            <w:gridSpan w:val="2"/>
            <w:vAlign w:val="bottom"/>
          </w:tcPr>
          <w:p w:rsidR="004A0011" w:rsidRDefault="00D538EF">
            <w:pPr>
              <w:ind w:right="66"/>
              <w:jc w:val="right"/>
              <w:rPr>
                <w:sz w:val="20"/>
                <w:szCs w:val="20"/>
              </w:rPr>
            </w:pPr>
            <w:r>
              <w:rPr>
                <w:rFonts w:eastAsia="Times New Roman"/>
                <w:sz w:val="12"/>
                <w:szCs w:val="12"/>
              </w:rPr>
              <w:t>(0.3)</w:t>
            </w:r>
          </w:p>
        </w:tc>
        <w:tc>
          <w:tcPr>
            <w:tcW w:w="220" w:type="dxa"/>
            <w:vAlign w:val="bottom"/>
          </w:tcPr>
          <w:p w:rsidR="004A0011" w:rsidRDefault="004A0011">
            <w:pPr>
              <w:rPr>
                <w:sz w:val="13"/>
                <w:szCs w:val="13"/>
              </w:rPr>
            </w:pPr>
          </w:p>
        </w:tc>
        <w:tc>
          <w:tcPr>
            <w:tcW w:w="680" w:type="dxa"/>
            <w:vAlign w:val="bottom"/>
          </w:tcPr>
          <w:p w:rsidR="004A0011" w:rsidRDefault="004A0011">
            <w:pPr>
              <w:rPr>
                <w:sz w:val="13"/>
                <w:szCs w:val="13"/>
              </w:rPr>
            </w:pPr>
          </w:p>
        </w:tc>
        <w:tc>
          <w:tcPr>
            <w:tcW w:w="720" w:type="dxa"/>
            <w:gridSpan w:val="3"/>
            <w:vAlign w:val="bottom"/>
          </w:tcPr>
          <w:p w:rsidR="004A0011" w:rsidRDefault="00D538EF">
            <w:pPr>
              <w:ind w:right="480"/>
              <w:jc w:val="right"/>
              <w:rPr>
                <w:sz w:val="20"/>
                <w:szCs w:val="20"/>
              </w:rPr>
            </w:pPr>
            <w:r>
              <w:rPr>
                <w:rFonts w:eastAsia="Times New Roman"/>
                <w:sz w:val="12"/>
                <w:szCs w:val="12"/>
              </w:rPr>
              <w:t>—</w:t>
            </w:r>
          </w:p>
        </w:tc>
        <w:tc>
          <w:tcPr>
            <w:tcW w:w="160" w:type="dxa"/>
            <w:vAlign w:val="bottom"/>
          </w:tcPr>
          <w:p w:rsidR="004A0011" w:rsidRDefault="004A0011">
            <w:pPr>
              <w:rPr>
                <w:sz w:val="13"/>
                <w:szCs w:val="13"/>
              </w:rPr>
            </w:pPr>
          </w:p>
        </w:tc>
        <w:tc>
          <w:tcPr>
            <w:tcW w:w="480" w:type="dxa"/>
            <w:vAlign w:val="bottom"/>
          </w:tcPr>
          <w:p w:rsidR="004A0011" w:rsidRDefault="004A0011">
            <w:pPr>
              <w:rPr>
                <w:sz w:val="13"/>
                <w:szCs w:val="13"/>
              </w:rPr>
            </w:pPr>
          </w:p>
        </w:tc>
        <w:tc>
          <w:tcPr>
            <w:tcW w:w="320" w:type="dxa"/>
            <w:vAlign w:val="bottom"/>
          </w:tcPr>
          <w:p w:rsidR="004A0011" w:rsidRDefault="00D538EF">
            <w:pPr>
              <w:jc w:val="right"/>
              <w:rPr>
                <w:sz w:val="20"/>
                <w:szCs w:val="20"/>
              </w:rPr>
            </w:pPr>
            <w:r>
              <w:rPr>
                <w:rFonts w:eastAsia="Times New Roman"/>
                <w:sz w:val="12"/>
                <w:szCs w:val="12"/>
              </w:rPr>
              <w:t>(0.5)</w:t>
            </w:r>
          </w:p>
        </w:tc>
        <w:tc>
          <w:tcPr>
            <w:tcW w:w="100" w:type="dxa"/>
            <w:vAlign w:val="bottom"/>
          </w:tcPr>
          <w:p w:rsidR="004A0011" w:rsidRDefault="004A0011">
            <w:pPr>
              <w:rPr>
                <w:sz w:val="13"/>
                <w:szCs w:val="13"/>
              </w:rPr>
            </w:pPr>
          </w:p>
        </w:tc>
        <w:tc>
          <w:tcPr>
            <w:tcW w:w="220" w:type="dxa"/>
            <w:vAlign w:val="bottom"/>
          </w:tcPr>
          <w:p w:rsidR="004A0011" w:rsidRDefault="004A0011">
            <w:pPr>
              <w:rPr>
                <w:sz w:val="13"/>
                <w:szCs w:val="13"/>
              </w:rPr>
            </w:pPr>
          </w:p>
        </w:tc>
        <w:tc>
          <w:tcPr>
            <w:tcW w:w="420" w:type="dxa"/>
            <w:vAlign w:val="bottom"/>
          </w:tcPr>
          <w:p w:rsidR="004A0011" w:rsidRDefault="004A0011">
            <w:pPr>
              <w:rPr>
                <w:sz w:val="13"/>
                <w:szCs w:val="13"/>
              </w:rPr>
            </w:pPr>
          </w:p>
        </w:tc>
        <w:tc>
          <w:tcPr>
            <w:tcW w:w="660" w:type="dxa"/>
            <w:vAlign w:val="bottom"/>
          </w:tcPr>
          <w:p w:rsidR="004A0011" w:rsidRDefault="00D538EF">
            <w:pPr>
              <w:ind w:right="100"/>
              <w:jc w:val="right"/>
              <w:rPr>
                <w:sz w:val="20"/>
                <w:szCs w:val="20"/>
              </w:rPr>
            </w:pPr>
            <w:r>
              <w:rPr>
                <w:rFonts w:eastAsia="Times New Roman"/>
                <w:sz w:val="12"/>
                <w:szCs w:val="12"/>
              </w:rPr>
              <w:t>—</w:t>
            </w:r>
          </w:p>
        </w:tc>
      </w:tr>
      <w:tr w:rsidR="004A0011">
        <w:trPr>
          <w:trHeight w:val="162"/>
        </w:trPr>
        <w:tc>
          <w:tcPr>
            <w:tcW w:w="3520" w:type="dxa"/>
            <w:tcBorders>
              <w:top w:val="single" w:sz="8" w:space="0" w:color="CCEEFF"/>
              <w:bottom w:val="single" w:sz="8" w:space="0" w:color="CCEEFF"/>
            </w:tcBorders>
            <w:shd w:val="clear" w:color="auto" w:fill="CCEEFF"/>
            <w:vAlign w:val="bottom"/>
          </w:tcPr>
          <w:p w:rsidR="004A0011" w:rsidRDefault="00D538EF">
            <w:pPr>
              <w:rPr>
                <w:sz w:val="20"/>
                <w:szCs w:val="20"/>
              </w:rPr>
            </w:pPr>
            <w:r>
              <w:rPr>
                <w:rFonts w:eastAsia="Times New Roman"/>
                <w:b/>
                <w:bCs/>
                <w:sz w:val="12"/>
                <w:szCs w:val="12"/>
              </w:rPr>
              <w:t>Adjusted EBITDA</w:t>
            </w:r>
          </w:p>
        </w:tc>
        <w:tc>
          <w:tcPr>
            <w:tcW w:w="2660" w:type="dxa"/>
            <w:tcBorders>
              <w:top w:val="single" w:sz="8" w:space="0" w:color="CCEEFF"/>
              <w:bottom w:val="single" w:sz="8" w:space="0" w:color="CCEEFF"/>
            </w:tcBorders>
            <w:shd w:val="clear" w:color="auto" w:fill="CCEEFF"/>
            <w:vAlign w:val="bottom"/>
          </w:tcPr>
          <w:p w:rsidR="004A0011" w:rsidRDefault="004A0011">
            <w:pPr>
              <w:rPr>
                <w:sz w:val="14"/>
                <w:szCs w:val="14"/>
              </w:rPr>
            </w:pPr>
          </w:p>
        </w:tc>
        <w:tc>
          <w:tcPr>
            <w:tcW w:w="300" w:type="dxa"/>
            <w:tcBorders>
              <w:top w:val="single" w:sz="8" w:space="0" w:color="auto"/>
              <w:bottom w:val="single" w:sz="8" w:space="0" w:color="auto"/>
            </w:tcBorders>
            <w:shd w:val="clear" w:color="auto" w:fill="CCEEFF"/>
            <w:vAlign w:val="bottom"/>
          </w:tcPr>
          <w:p w:rsidR="004A0011" w:rsidRDefault="00D538EF">
            <w:pPr>
              <w:ind w:right="186"/>
              <w:jc w:val="right"/>
              <w:rPr>
                <w:sz w:val="20"/>
                <w:szCs w:val="20"/>
              </w:rPr>
            </w:pPr>
            <w:r>
              <w:rPr>
                <w:rFonts w:eastAsia="Times New Roman"/>
                <w:w w:val="71"/>
                <w:sz w:val="11"/>
                <w:szCs w:val="11"/>
              </w:rPr>
              <w:t>$</w:t>
            </w:r>
          </w:p>
        </w:tc>
        <w:tc>
          <w:tcPr>
            <w:tcW w:w="360" w:type="dxa"/>
            <w:tcBorders>
              <w:top w:val="single" w:sz="8" w:space="0" w:color="auto"/>
              <w:bottom w:val="single" w:sz="8" w:space="0" w:color="auto"/>
            </w:tcBorders>
            <w:shd w:val="clear" w:color="auto" w:fill="CCEEFF"/>
            <w:vAlign w:val="bottom"/>
          </w:tcPr>
          <w:p w:rsidR="004A0011" w:rsidRDefault="004A0011">
            <w:pPr>
              <w:rPr>
                <w:sz w:val="14"/>
                <w:szCs w:val="14"/>
              </w:rPr>
            </w:pPr>
          </w:p>
        </w:tc>
        <w:tc>
          <w:tcPr>
            <w:tcW w:w="240" w:type="dxa"/>
            <w:tcBorders>
              <w:top w:val="single" w:sz="8" w:space="0" w:color="auto"/>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56.7</w:t>
            </w:r>
          </w:p>
        </w:tc>
        <w:tc>
          <w:tcPr>
            <w:tcW w:w="160" w:type="dxa"/>
            <w:tcBorders>
              <w:top w:val="single" w:sz="8" w:space="0" w:color="auto"/>
              <w:bottom w:val="single" w:sz="8" w:space="0" w:color="auto"/>
            </w:tcBorders>
            <w:shd w:val="clear" w:color="auto" w:fill="CCEEFF"/>
            <w:vAlign w:val="bottom"/>
          </w:tcPr>
          <w:p w:rsidR="004A0011" w:rsidRDefault="004A0011">
            <w:pPr>
              <w:rPr>
                <w:sz w:val="14"/>
                <w:szCs w:val="14"/>
              </w:rPr>
            </w:pPr>
          </w:p>
        </w:tc>
        <w:tc>
          <w:tcPr>
            <w:tcW w:w="220" w:type="dxa"/>
            <w:tcBorders>
              <w:top w:val="single" w:sz="8" w:space="0" w:color="CCEEFF"/>
              <w:bottom w:val="single" w:sz="8" w:space="0" w:color="CCEEFF"/>
            </w:tcBorders>
            <w:shd w:val="clear" w:color="auto" w:fill="CCEEFF"/>
            <w:vAlign w:val="bottom"/>
          </w:tcPr>
          <w:p w:rsidR="004A0011" w:rsidRDefault="004A0011">
            <w:pPr>
              <w:rPr>
                <w:sz w:val="14"/>
                <w:szCs w:val="14"/>
              </w:rPr>
            </w:pPr>
          </w:p>
        </w:tc>
        <w:tc>
          <w:tcPr>
            <w:tcW w:w="680" w:type="dxa"/>
            <w:tcBorders>
              <w:top w:val="single" w:sz="8" w:space="0" w:color="auto"/>
              <w:bottom w:val="single" w:sz="8" w:space="0" w:color="auto"/>
            </w:tcBorders>
            <w:shd w:val="clear" w:color="auto" w:fill="CCEEFF"/>
            <w:vAlign w:val="bottom"/>
          </w:tcPr>
          <w:p w:rsidR="004A0011" w:rsidRDefault="00D538EF">
            <w:pPr>
              <w:ind w:right="540"/>
              <w:jc w:val="right"/>
              <w:rPr>
                <w:sz w:val="20"/>
                <w:szCs w:val="20"/>
              </w:rPr>
            </w:pPr>
            <w:r>
              <w:rPr>
                <w:rFonts w:eastAsia="Times New Roman"/>
                <w:w w:val="99"/>
                <w:sz w:val="12"/>
                <w:szCs w:val="12"/>
              </w:rPr>
              <w:t>$</w:t>
            </w:r>
          </w:p>
        </w:tc>
        <w:tc>
          <w:tcPr>
            <w:tcW w:w="380" w:type="dxa"/>
            <w:tcBorders>
              <w:top w:val="single" w:sz="8" w:space="0" w:color="auto"/>
              <w:bottom w:val="single" w:sz="8" w:space="0" w:color="auto"/>
            </w:tcBorders>
            <w:shd w:val="clear" w:color="auto" w:fill="CCEEFF"/>
            <w:vAlign w:val="bottom"/>
          </w:tcPr>
          <w:p w:rsidR="004A0011" w:rsidRDefault="00D538EF">
            <w:pPr>
              <w:ind w:right="80"/>
              <w:jc w:val="right"/>
              <w:rPr>
                <w:sz w:val="20"/>
                <w:szCs w:val="20"/>
              </w:rPr>
            </w:pPr>
            <w:r>
              <w:rPr>
                <w:rFonts w:eastAsia="Times New Roman"/>
                <w:sz w:val="12"/>
                <w:szCs w:val="12"/>
              </w:rPr>
              <w:t>46.3</w:t>
            </w:r>
          </w:p>
        </w:tc>
        <w:tc>
          <w:tcPr>
            <w:tcW w:w="160" w:type="dxa"/>
            <w:tcBorders>
              <w:top w:val="single" w:sz="8" w:space="0" w:color="CCEEFF"/>
              <w:bottom w:val="single" w:sz="8" w:space="0" w:color="CCEEFF"/>
            </w:tcBorders>
            <w:shd w:val="clear" w:color="auto" w:fill="CCEEFF"/>
            <w:vAlign w:val="bottom"/>
          </w:tcPr>
          <w:p w:rsidR="004A0011" w:rsidRDefault="004A0011">
            <w:pPr>
              <w:rPr>
                <w:sz w:val="14"/>
                <w:szCs w:val="14"/>
              </w:rPr>
            </w:pPr>
          </w:p>
        </w:tc>
        <w:tc>
          <w:tcPr>
            <w:tcW w:w="180" w:type="dxa"/>
            <w:tcBorders>
              <w:top w:val="single" w:sz="8" w:space="0" w:color="CCEEFF"/>
              <w:bottom w:val="single" w:sz="8" w:space="0" w:color="CCEEFF"/>
            </w:tcBorders>
            <w:shd w:val="clear" w:color="auto" w:fill="CCEEFF"/>
            <w:vAlign w:val="bottom"/>
          </w:tcPr>
          <w:p w:rsidR="004A0011" w:rsidRDefault="004A0011">
            <w:pPr>
              <w:rPr>
                <w:sz w:val="14"/>
                <w:szCs w:val="14"/>
              </w:rPr>
            </w:pPr>
          </w:p>
        </w:tc>
        <w:tc>
          <w:tcPr>
            <w:tcW w:w="160" w:type="dxa"/>
            <w:tcBorders>
              <w:top w:val="single" w:sz="8" w:space="0" w:color="auto"/>
              <w:bottom w:val="single" w:sz="8" w:space="0" w:color="auto"/>
            </w:tcBorders>
            <w:shd w:val="clear" w:color="auto" w:fill="CCEEFF"/>
            <w:vAlign w:val="bottom"/>
          </w:tcPr>
          <w:p w:rsidR="004A0011" w:rsidRDefault="00D538EF">
            <w:pPr>
              <w:ind w:right="46"/>
              <w:jc w:val="right"/>
              <w:rPr>
                <w:sz w:val="20"/>
                <w:szCs w:val="20"/>
              </w:rPr>
            </w:pPr>
            <w:r>
              <w:rPr>
                <w:rFonts w:eastAsia="Times New Roman"/>
                <w:w w:val="71"/>
                <w:sz w:val="11"/>
                <w:szCs w:val="11"/>
              </w:rPr>
              <w:t>$</w:t>
            </w:r>
          </w:p>
        </w:tc>
        <w:tc>
          <w:tcPr>
            <w:tcW w:w="480" w:type="dxa"/>
            <w:tcBorders>
              <w:top w:val="single" w:sz="8" w:space="0" w:color="auto"/>
              <w:bottom w:val="single" w:sz="8" w:space="0" w:color="auto"/>
            </w:tcBorders>
            <w:shd w:val="clear" w:color="auto" w:fill="CCEEFF"/>
            <w:vAlign w:val="bottom"/>
          </w:tcPr>
          <w:p w:rsidR="004A0011" w:rsidRDefault="004A0011">
            <w:pPr>
              <w:rPr>
                <w:sz w:val="14"/>
                <w:szCs w:val="14"/>
              </w:rPr>
            </w:pPr>
          </w:p>
        </w:tc>
        <w:tc>
          <w:tcPr>
            <w:tcW w:w="320" w:type="dxa"/>
            <w:tcBorders>
              <w:top w:val="single" w:sz="8" w:space="0" w:color="auto"/>
              <w:bottom w:val="single" w:sz="8" w:space="0" w:color="auto"/>
            </w:tcBorders>
            <w:shd w:val="clear" w:color="auto" w:fill="CCEEFF"/>
            <w:vAlign w:val="bottom"/>
          </w:tcPr>
          <w:p w:rsidR="004A0011" w:rsidRDefault="00D538EF">
            <w:pPr>
              <w:ind w:right="1"/>
              <w:jc w:val="right"/>
              <w:rPr>
                <w:sz w:val="20"/>
                <w:szCs w:val="20"/>
              </w:rPr>
            </w:pPr>
            <w:r>
              <w:rPr>
                <w:rFonts w:eastAsia="Times New Roman"/>
                <w:w w:val="88"/>
                <w:sz w:val="12"/>
                <w:szCs w:val="12"/>
              </w:rPr>
              <w:t>197.2</w:t>
            </w:r>
          </w:p>
        </w:tc>
        <w:tc>
          <w:tcPr>
            <w:tcW w:w="100" w:type="dxa"/>
            <w:tcBorders>
              <w:top w:val="single" w:sz="8" w:space="0" w:color="auto"/>
              <w:bottom w:val="single" w:sz="8" w:space="0" w:color="auto"/>
            </w:tcBorders>
            <w:shd w:val="clear" w:color="auto" w:fill="CCEEFF"/>
            <w:vAlign w:val="bottom"/>
          </w:tcPr>
          <w:p w:rsidR="004A0011" w:rsidRDefault="004A0011">
            <w:pPr>
              <w:rPr>
                <w:sz w:val="14"/>
                <w:szCs w:val="14"/>
              </w:rPr>
            </w:pPr>
          </w:p>
        </w:tc>
        <w:tc>
          <w:tcPr>
            <w:tcW w:w="220" w:type="dxa"/>
            <w:tcBorders>
              <w:top w:val="single" w:sz="8" w:space="0" w:color="CCEEFF"/>
              <w:bottom w:val="single" w:sz="8" w:space="0" w:color="CCEEFF"/>
            </w:tcBorders>
            <w:shd w:val="clear" w:color="auto" w:fill="CCEEFF"/>
            <w:vAlign w:val="bottom"/>
          </w:tcPr>
          <w:p w:rsidR="004A0011" w:rsidRDefault="004A0011">
            <w:pPr>
              <w:rPr>
                <w:sz w:val="14"/>
                <w:szCs w:val="14"/>
              </w:rPr>
            </w:pPr>
          </w:p>
        </w:tc>
        <w:tc>
          <w:tcPr>
            <w:tcW w:w="420" w:type="dxa"/>
            <w:tcBorders>
              <w:top w:val="single" w:sz="8" w:space="0" w:color="auto"/>
              <w:bottom w:val="single" w:sz="8" w:space="0" w:color="auto"/>
            </w:tcBorders>
            <w:shd w:val="clear" w:color="auto" w:fill="CCEEFF"/>
            <w:vAlign w:val="bottom"/>
          </w:tcPr>
          <w:p w:rsidR="004A0011" w:rsidRDefault="00D538EF">
            <w:pPr>
              <w:ind w:right="280"/>
              <w:jc w:val="right"/>
              <w:rPr>
                <w:sz w:val="20"/>
                <w:szCs w:val="20"/>
              </w:rPr>
            </w:pPr>
            <w:r>
              <w:rPr>
                <w:rFonts w:eastAsia="Times New Roman"/>
                <w:w w:val="99"/>
                <w:sz w:val="12"/>
                <w:szCs w:val="12"/>
              </w:rPr>
              <w:t>$</w:t>
            </w:r>
          </w:p>
        </w:tc>
        <w:tc>
          <w:tcPr>
            <w:tcW w:w="660" w:type="dxa"/>
            <w:tcBorders>
              <w:top w:val="single" w:sz="8" w:space="0" w:color="auto"/>
              <w:bottom w:val="single" w:sz="8" w:space="0" w:color="auto"/>
            </w:tcBorders>
            <w:shd w:val="clear" w:color="auto" w:fill="CCEEFF"/>
            <w:vAlign w:val="bottom"/>
          </w:tcPr>
          <w:p w:rsidR="004A0011" w:rsidRDefault="00D538EF">
            <w:pPr>
              <w:ind w:right="100"/>
              <w:jc w:val="right"/>
              <w:rPr>
                <w:sz w:val="20"/>
                <w:szCs w:val="20"/>
              </w:rPr>
            </w:pPr>
            <w:r>
              <w:rPr>
                <w:rFonts w:eastAsia="Times New Roman"/>
                <w:sz w:val="12"/>
                <w:szCs w:val="12"/>
              </w:rPr>
              <w:t>198.1</w:t>
            </w:r>
          </w:p>
        </w:tc>
      </w:tr>
      <w:tr w:rsidR="004A0011">
        <w:trPr>
          <w:trHeight w:val="149"/>
        </w:trPr>
        <w:tc>
          <w:tcPr>
            <w:tcW w:w="3520" w:type="dxa"/>
            <w:vAlign w:val="bottom"/>
          </w:tcPr>
          <w:p w:rsidR="004A0011" w:rsidRDefault="00D538EF">
            <w:pPr>
              <w:rPr>
                <w:sz w:val="20"/>
                <w:szCs w:val="20"/>
              </w:rPr>
            </w:pPr>
            <w:r>
              <w:rPr>
                <w:rFonts w:eastAsia="Times New Roman"/>
                <w:b/>
                <w:bCs/>
                <w:sz w:val="12"/>
                <w:szCs w:val="12"/>
              </w:rPr>
              <w:t>Adjusted</w:t>
            </w:r>
            <w:r>
              <w:rPr>
                <w:rFonts w:eastAsia="Times New Roman"/>
                <w:b/>
                <w:bCs/>
                <w:sz w:val="12"/>
                <w:szCs w:val="12"/>
              </w:rPr>
              <w:t xml:space="preserve"> EBITDA as a percentage of Net Sales</w:t>
            </w:r>
          </w:p>
        </w:tc>
        <w:tc>
          <w:tcPr>
            <w:tcW w:w="2660" w:type="dxa"/>
            <w:vAlign w:val="bottom"/>
          </w:tcPr>
          <w:p w:rsidR="004A0011" w:rsidRDefault="004A0011">
            <w:pPr>
              <w:rPr>
                <w:sz w:val="12"/>
                <w:szCs w:val="12"/>
              </w:rPr>
            </w:pPr>
          </w:p>
        </w:tc>
        <w:tc>
          <w:tcPr>
            <w:tcW w:w="300" w:type="dxa"/>
            <w:tcBorders>
              <w:bottom w:val="single" w:sz="8" w:space="0" w:color="auto"/>
            </w:tcBorders>
            <w:vAlign w:val="bottom"/>
          </w:tcPr>
          <w:p w:rsidR="004A0011" w:rsidRDefault="004A0011">
            <w:pPr>
              <w:rPr>
                <w:sz w:val="12"/>
                <w:szCs w:val="12"/>
              </w:rPr>
            </w:pPr>
          </w:p>
        </w:tc>
        <w:tc>
          <w:tcPr>
            <w:tcW w:w="360" w:type="dxa"/>
            <w:tcBorders>
              <w:bottom w:val="single" w:sz="8" w:space="0" w:color="auto"/>
            </w:tcBorders>
            <w:vAlign w:val="bottom"/>
          </w:tcPr>
          <w:p w:rsidR="004A0011" w:rsidRDefault="004A0011">
            <w:pPr>
              <w:rPr>
                <w:sz w:val="12"/>
                <w:szCs w:val="12"/>
              </w:rPr>
            </w:pPr>
          </w:p>
        </w:tc>
        <w:tc>
          <w:tcPr>
            <w:tcW w:w="400" w:type="dxa"/>
            <w:gridSpan w:val="2"/>
            <w:tcBorders>
              <w:bottom w:val="single" w:sz="8" w:space="0" w:color="auto"/>
            </w:tcBorders>
            <w:vAlign w:val="bottom"/>
          </w:tcPr>
          <w:p w:rsidR="004A0011" w:rsidRDefault="00D538EF">
            <w:pPr>
              <w:jc w:val="right"/>
              <w:rPr>
                <w:sz w:val="20"/>
                <w:szCs w:val="20"/>
              </w:rPr>
            </w:pPr>
            <w:r>
              <w:rPr>
                <w:rFonts w:eastAsia="Times New Roman"/>
                <w:sz w:val="12"/>
                <w:szCs w:val="12"/>
              </w:rPr>
              <w:t>20.1 %</w:t>
            </w:r>
          </w:p>
        </w:tc>
        <w:tc>
          <w:tcPr>
            <w:tcW w:w="220" w:type="dxa"/>
            <w:vAlign w:val="bottom"/>
          </w:tcPr>
          <w:p w:rsidR="004A0011" w:rsidRDefault="004A0011">
            <w:pPr>
              <w:rPr>
                <w:sz w:val="12"/>
                <w:szCs w:val="12"/>
              </w:rPr>
            </w:pPr>
          </w:p>
        </w:tc>
        <w:tc>
          <w:tcPr>
            <w:tcW w:w="680" w:type="dxa"/>
            <w:tcBorders>
              <w:bottom w:val="single" w:sz="8" w:space="0" w:color="auto"/>
            </w:tcBorders>
            <w:vAlign w:val="bottom"/>
          </w:tcPr>
          <w:p w:rsidR="004A0011" w:rsidRDefault="004A0011">
            <w:pPr>
              <w:rPr>
                <w:sz w:val="12"/>
                <w:szCs w:val="12"/>
              </w:rPr>
            </w:pPr>
          </w:p>
        </w:tc>
        <w:tc>
          <w:tcPr>
            <w:tcW w:w="380" w:type="dxa"/>
            <w:tcBorders>
              <w:bottom w:val="single" w:sz="8" w:space="0" w:color="auto"/>
            </w:tcBorders>
            <w:vAlign w:val="bottom"/>
          </w:tcPr>
          <w:p w:rsidR="004A0011" w:rsidRDefault="00D538EF">
            <w:pPr>
              <w:jc w:val="right"/>
              <w:rPr>
                <w:sz w:val="20"/>
                <w:szCs w:val="20"/>
              </w:rPr>
            </w:pPr>
            <w:r>
              <w:rPr>
                <w:rFonts w:eastAsia="Times New Roman"/>
                <w:w w:val="99"/>
                <w:sz w:val="12"/>
                <w:szCs w:val="12"/>
              </w:rPr>
              <w:t>21.6 %</w:t>
            </w:r>
          </w:p>
        </w:tc>
        <w:tc>
          <w:tcPr>
            <w:tcW w:w="160" w:type="dxa"/>
            <w:vAlign w:val="bottom"/>
          </w:tcPr>
          <w:p w:rsidR="004A0011" w:rsidRDefault="004A0011">
            <w:pPr>
              <w:rPr>
                <w:sz w:val="12"/>
                <w:szCs w:val="12"/>
              </w:rPr>
            </w:pPr>
          </w:p>
        </w:tc>
        <w:tc>
          <w:tcPr>
            <w:tcW w:w="180" w:type="dxa"/>
            <w:vAlign w:val="bottom"/>
          </w:tcPr>
          <w:p w:rsidR="004A0011" w:rsidRDefault="004A0011">
            <w:pPr>
              <w:rPr>
                <w:sz w:val="12"/>
                <w:szCs w:val="12"/>
              </w:rPr>
            </w:pPr>
          </w:p>
        </w:tc>
        <w:tc>
          <w:tcPr>
            <w:tcW w:w="160" w:type="dxa"/>
            <w:tcBorders>
              <w:bottom w:val="single" w:sz="8" w:space="0" w:color="auto"/>
            </w:tcBorders>
            <w:vAlign w:val="bottom"/>
          </w:tcPr>
          <w:p w:rsidR="004A0011" w:rsidRDefault="004A0011">
            <w:pPr>
              <w:rPr>
                <w:sz w:val="12"/>
                <w:szCs w:val="12"/>
              </w:rPr>
            </w:pPr>
          </w:p>
        </w:tc>
        <w:tc>
          <w:tcPr>
            <w:tcW w:w="480" w:type="dxa"/>
            <w:tcBorders>
              <w:bottom w:val="single" w:sz="8" w:space="0" w:color="auto"/>
            </w:tcBorders>
            <w:vAlign w:val="bottom"/>
          </w:tcPr>
          <w:p w:rsidR="004A0011" w:rsidRDefault="004A0011">
            <w:pPr>
              <w:rPr>
                <w:sz w:val="12"/>
                <w:szCs w:val="12"/>
              </w:rPr>
            </w:pPr>
          </w:p>
        </w:tc>
        <w:tc>
          <w:tcPr>
            <w:tcW w:w="420" w:type="dxa"/>
            <w:gridSpan w:val="2"/>
            <w:tcBorders>
              <w:bottom w:val="single" w:sz="8" w:space="0" w:color="auto"/>
            </w:tcBorders>
            <w:vAlign w:val="bottom"/>
          </w:tcPr>
          <w:p w:rsidR="004A0011" w:rsidRDefault="00D538EF">
            <w:pPr>
              <w:jc w:val="right"/>
              <w:rPr>
                <w:sz w:val="20"/>
                <w:szCs w:val="20"/>
              </w:rPr>
            </w:pPr>
            <w:r>
              <w:rPr>
                <w:rFonts w:eastAsia="Times New Roman"/>
                <w:sz w:val="12"/>
                <w:szCs w:val="12"/>
              </w:rPr>
              <w:t>20.0 %</w:t>
            </w:r>
          </w:p>
        </w:tc>
        <w:tc>
          <w:tcPr>
            <w:tcW w:w="220" w:type="dxa"/>
            <w:vAlign w:val="bottom"/>
          </w:tcPr>
          <w:p w:rsidR="004A0011" w:rsidRDefault="004A0011">
            <w:pPr>
              <w:rPr>
                <w:sz w:val="12"/>
                <w:szCs w:val="12"/>
              </w:rPr>
            </w:pPr>
          </w:p>
        </w:tc>
        <w:tc>
          <w:tcPr>
            <w:tcW w:w="420" w:type="dxa"/>
            <w:tcBorders>
              <w:bottom w:val="single" w:sz="8" w:space="0" w:color="auto"/>
            </w:tcBorders>
            <w:vAlign w:val="bottom"/>
          </w:tcPr>
          <w:p w:rsidR="004A0011" w:rsidRDefault="004A0011">
            <w:pPr>
              <w:rPr>
                <w:sz w:val="12"/>
                <w:szCs w:val="12"/>
              </w:rPr>
            </w:pPr>
          </w:p>
        </w:tc>
        <w:tc>
          <w:tcPr>
            <w:tcW w:w="660" w:type="dxa"/>
            <w:tcBorders>
              <w:bottom w:val="single" w:sz="8" w:space="0" w:color="auto"/>
            </w:tcBorders>
            <w:vAlign w:val="bottom"/>
          </w:tcPr>
          <w:p w:rsidR="004A0011" w:rsidRDefault="00D538EF">
            <w:pPr>
              <w:jc w:val="right"/>
              <w:rPr>
                <w:sz w:val="20"/>
                <w:szCs w:val="20"/>
              </w:rPr>
            </w:pPr>
            <w:r>
              <w:rPr>
                <w:rFonts w:eastAsia="Times New Roman"/>
                <w:sz w:val="12"/>
                <w:szCs w:val="12"/>
              </w:rPr>
              <w:t>23.2 %</w:t>
            </w:r>
          </w:p>
        </w:tc>
      </w:tr>
      <w:tr w:rsidR="004A0011">
        <w:trPr>
          <w:trHeight w:val="20"/>
        </w:trPr>
        <w:tc>
          <w:tcPr>
            <w:tcW w:w="3520" w:type="dxa"/>
            <w:vAlign w:val="bottom"/>
          </w:tcPr>
          <w:p w:rsidR="004A0011" w:rsidRDefault="004A0011">
            <w:pPr>
              <w:spacing w:line="20" w:lineRule="exact"/>
              <w:rPr>
                <w:sz w:val="1"/>
                <w:szCs w:val="1"/>
              </w:rPr>
            </w:pPr>
          </w:p>
        </w:tc>
        <w:tc>
          <w:tcPr>
            <w:tcW w:w="2660" w:type="dxa"/>
            <w:vAlign w:val="bottom"/>
          </w:tcPr>
          <w:p w:rsidR="004A0011" w:rsidRDefault="004A0011">
            <w:pPr>
              <w:spacing w:line="20" w:lineRule="exact"/>
              <w:rPr>
                <w:sz w:val="1"/>
                <w:szCs w:val="1"/>
              </w:rPr>
            </w:pPr>
          </w:p>
        </w:tc>
        <w:tc>
          <w:tcPr>
            <w:tcW w:w="300" w:type="dxa"/>
            <w:tcBorders>
              <w:bottom w:val="single" w:sz="8" w:space="0" w:color="auto"/>
            </w:tcBorders>
            <w:vAlign w:val="bottom"/>
          </w:tcPr>
          <w:p w:rsidR="004A0011" w:rsidRDefault="004A0011">
            <w:pPr>
              <w:spacing w:line="20" w:lineRule="exact"/>
              <w:rPr>
                <w:sz w:val="1"/>
                <w:szCs w:val="1"/>
              </w:rPr>
            </w:pPr>
          </w:p>
        </w:tc>
        <w:tc>
          <w:tcPr>
            <w:tcW w:w="760" w:type="dxa"/>
            <w:gridSpan w:val="3"/>
            <w:tcBorders>
              <w:bottom w:val="single" w:sz="8" w:space="0" w:color="auto"/>
            </w:tcBorders>
            <w:vAlign w:val="bottom"/>
          </w:tcPr>
          <w:p w:rsidR="004A0011" w:rsidRDefault="004A0011">
            <w:pPr>
              <w:spacing w:line="20" w:lineRule="exact"/>
              <w:rPr>
                <w:sz w:val="1"/>
                <w:szCs w:val="1"/>
              </w:rPr>
            </w:pPr>
          </w:p>
        </w:tc>
        <w:tc>
          <w:tcPr>
            <w:tcW w:w="220" w:type="dxa"/>
            <w:vAlign w:val="bottom"/>
          </w:tcPr>
          <w:p w:rsidR="004A0011" w:rsidRDefault="004A0011">
            <w:pPr>
              <w:spacing w:line="20" w:lineRule="exact"/>
              <w:rPr>
                <w:sz w:val="1"/>
                <w:szCs w:val="1"/>
              </w:rPr>
            </w:pPr>
          </w:p>
        </w:tc>
        <w:tc>
          <w:tcPr>
            <w:tcW w:w="680" w:type="dxa"/>
            <w:tcBorders>
              <w:bottom w:val="single" w:sz="8" w:space="0" w:color="auto"/>
            </w:tcBorders>
            <w:vAlign w:val="bottom"/>
          </w:tcPr>
          <w:p w:rsidR="004A0011" w:rsidRDefault="004A0011">
            <w:pPr>
              <w:spacing w:line="20" w:lineRule="exact"/>
              <w:rPr>
                <w:sz w:val="1"/>
                <w:szCs w:val="1"/>
              </w:rPr>
            </w:pPr>
          </w:p>
        </w:tc>
        <w:tc>
          <w:tcPr>
            <w:tcW w:w="380" w:type="dxa"/>
            <w:tcBorders>
              <w:bottom w:val="single" w:sz="8" w:space="0" w:color="auto"/>
            </w:tcBorders>
            <w:vAlign w:val="bottom"/>
          </w:tcPr>
          <w:p w:rsidR="004A0011" w:rsidRDefault="004A0011">
            <w:pPr>
              <w:spacing w:line="20" w:lineRule="exact"/>
              <w:rPr>
                <w:sz w:val="1"/>
                <w:szCs w:val="1"/>
              </w:rPr>
            </w:pPr>
          </w:p>
        </w:tc>
        <w:tc>
          <w:tcPr>
            <w:tcW w:w="160" w:type="dxa"/>
            <w:vAlign w:val="bottom"/>
          </w:tcPr>
          <w:p w:rsidR="004A0011" w:rsidRDefault="004A0011">
            <w:pPr>
              <w:spacing w:line="20" w:lineRule="exact"/>
              <w:rPr>
                <w:sz w:val="1"/>
                <w:szCs w:val="1"/>
              </w:rPr>
            </w:pPr>
          </w:p>
        </w:tc>
        <w:tc>
          <w:tcPr>
            <w:tcW w:w="180" w:type="dxa"/>
            <w:vAlign w:val="bottom"/>
          </w:tcPr>
          <w:p w:rsidR="004A0011" w:rsidRDefault="004A0011">
            <w:pPr>
              <w:spacing w:line="20" w:lineRule="exact"/>
              <w:rPr>
                <w:sz w:val="1"/>
                <w:szCs w:val="1"/>
              </w:rPr>
            </w:pPr>
          </w:p>
        </w:tc>
        <w:tc>
          <w:tcPr>
            <w:tcW w:w="160" w:type="dxa"/>
            <w:tcBorders>
              <w:bottom w:val="single" w:sz="8" w:space="0" w:color="auto"/>
            </w:tcBorders>
            <w:vAlign w:val="bottom"/>
          </w:tcPr>
          <w:p w:rsidR="004A0011" w:rsidRDefault="004A0011">
            <w:pPr>
              <w:spacing w:line="20" w:lineRule="exact"/>
              <w:rPr>
                <w:sz w:val="1"/>
                <w:szCs w:val="1"/>
              </w:rPr>
            </w:pPr>
          </w:p>
        </w:tc>
        <w:tc>
          <w:tcPr>
            <w:tcW w:w="480" w:type="dxa"/>
            <w:tcBorders>
              <w:bottom w:val="single" w:sz="8" w:space="0" w:color="auto"/>
            </w:tcBorders>
            <w:vAlign w:val="bottom"/>
          </w:tcPr>
          <w:p w:rsidR="004A0011" w:rsidRDefault="004A0011">
            <w:pPr>
              <w:spacing w:line="20" w:lineRule="exact"/>
              <w:rPr>
                <w:sz w:val="1"/>
                <w:szCs w:val="1"/>
              </w:rPr>
            </w:pPr>
          </w:p>
        </w:tc>
        <w:tc>
          <w:tcPr>
            <w:tcW w:w="320" w:type="dxa"/>
            <w:tcBorders>
              <w:bottom w:val="single" w:sz="8" w:space="0" w:color="auto"/>
            </w:tcBorders>
            <w:vAlign w:val="bottom"/>
          </w:tcPr>
          <w:p w:rsidR="004A0011" w:rsidRDefault="004A0011">
            <w:pPr>
              <w:spacing w:line="20" w:lineRule="exact"/>
              <w:rPr>
                <w:sz w:val="1"/>
                <w:szCs w:val="1"/>
              </w:rPr>
            </w:pPr>
          </w:p>
        </w:tc>
        <w:tc>
          <w:tcPr>
            <w:tcW w:w="100" w:type="dxa"/>
            <w:tcBorders>
              <w:bottom w:val="single" w:sz="8" w:space="0" w:color="auto"/>
            </w:tcBorders>
            <w:vAlign w:val="bottom"/>
          </w:tcPr>
          <w:p w:rsidR="004A0011" w:rsidRDefault="004A0011">
            <w:pPr>
              <w:spacing w:line="20" w:lineRule="exact"/>
              <w:rPr>
                <w:sz w:val="1"/>
                <w:szCs w:val="1"/>
              </w:rPr>
            </w:pPr>
          </w:p>
        </w:tc>
        <w:tc>
          <w:tcPr>
            <w:tcW w:w="220" w:type="dxa"/>
            <w:vAlign w:val="bottom"/>
          </w:tcPr>
          <w:p w:rsidR="004A0011" w:rsidRDefault="004A0011">
            <w:pPr>
              <w:spacing w:line="20" w:lineRule="exact"/>
              <w:rPr>
                <w:sz w:val="1"/>
                <w:szCs w:val="1"/>
              </w:rPr>
            </w:pPr>
          </w:p>
        </w:tc>
        <w:tc>
          <w:tcPr>
            <w:tcW w:w="420" w:type="dxa"/>
            <w:tcBorders>
              <w:bottom w:val="single" w:sz="8" w:space="0" w:color="auto"/>
            </w:tcBorders>
            <w:vAlign w:val="bottom"/>
          </w:tcPr>
          <w:p w:rsidR="004A0011" w:rsidRDefault="004A0011">
            <w:pPr>
              <w:spacing w:line="20" w:lineRule="exact"/>
              <w:rPr>
                <w:sz w:val="1"/>
                <w:szCs w:val="1"/>
              </w:rPr>
            </w:pPr>
          </w:p>
        </w:tc>
        <w:tc>
          <w:tcPr>
            <w:tcW w:w="660" w:type="dxa"/>
            <w:tcBorders>
              <w:bottom w:val="single" w:sz="8" w:space="0" w:color="auto"/>
            </w:tcBorders>
            <w:vAlign w:val="bottom"/>
          </w:tcPr>
          <w:p w:rsidR="004A0011" w:rsidRDefault="004A0011">
            <w:pPr>
              <w:spacing w:line="20" w:lineRule="exact"/>
              <w:rPr>
                <w:sz w:val="1"/>
                <w:szCs w:val="1"/>
              </w:rPr>
            </w:pPr>
          </w:p>
        </w:tc>
      </w:tr>
      <w:tr w:rsidR="004A0011">
        <w:trPr>
          <w:trHeight w:val="433"/>
        </w:trPr>
        <w:tc>
          <w:tcPr>
            <w:tcW w:w="3520" w:type="dxa"/>
            <w:vAlign w:val="bottom"/>
          </w:tcPr>
          <w:p w:rsidR="004A0011" w:rsidRDefault="004A0011">
            <w:pPr>
              <w:rPr>
                <w:sz w:val="24"/>
                <w:szCs w:val="24"/>
              </w:rPr>
            </w:pPr>
          </w:p>
        </w:tc>
        <w:tc>
          <w:tcPr>
            <w:tcW w:w="4620" w:type="dxa"/>
            <w:gridSpan w:val="7"/>
            <w:vAlign w:val="bottom"/>
          </w:tcPr>
          <w:p w:rsidR="004A0011" w:rsidRDefault="00D538EF">
            <w:pPr>
              <w:ind w:right="400"/>
              <w:jc w:val="center"/>
              <w:rPr>
                <w:sz w:val="20"/>
                <w:szCs w:val="20"/>
              </w:rPr>
            </w:pPr>
            <w:r>
              <w:rPr>
                <w:rFonts w:eastAsia="Times New Roman"/>
                <w:b/>
                <w:bCs/>
                <w:w w:val="97"/>
                <w:sz w:val="11"/>
                <w:szCs w:val="11"/>
              </w:rPr>
              <w:t>RECONCILIATION OF ADJUSTED EBITDA, AS REPORTED BY BELLRING,</w:t>
            </w:r>
          </w:p>
        </w:tc>
        <w:tc>
          <w:tcPr>
            <w:tcW w:w="380" w:type="dxa"/>
            <w:vAlign w:val="bottom"/>
          </w:tcPr>
          <w:p w:rsidR="004A0011" w:rsidRDefault="004A0011">
            <w:pPr>
              <w:rPr>
                <w:sz w:val="24"/>
                <w:szCs w:val="24"/>
              </w:rPr>
            </w:pPr>
          </w:p>
        </w:tc>
        <w:tc>
          <w:tcPr>
            <w:tcW w:w="160" w:type="dxa"/>
            <w:vAlign w:val="bottom"/>
          </w:tcPr>
          <w:p w:rsidR="004A0011" w:rsidRDefault="004A0011">
            <w:pPr>
              <w:rPr>
                <w:sz w:val="24"/>
                <w:szCs w:val="24"/>
              </w:rPr>
            </w:pPr>
          </w:p>
        </w:tc>
        <w:tc>
          <w:tcPr>
            <w:tcW w:w="180" w:type="dxa"/>
            <w:vAlign w:val="bottom"/>
          </w:tcPr>
          <w:p w:rsidR="004A0011" w:rsidRDefault="004A0011">
            <w:pPr>
              <w:rPr>
                <w:sz w:val="24"/>
                <w:szCs w:val="24"/>
              </w:rPr>
            </w:pPr>
          </w:p>
        </w:tc>
        <w:tc>
          <w:tcPr>
            <w:tcW w:w="160" w:type="dxa"/>
            <w:vAlign w:val="bottom"/>
          </w:tcPr>
          <w:p w:rsidR="004A0011" w:rsidRDefault="004A0011">
            <w:pPr>
              <w:rPr>
                <w:sz w:val="24"/>
                <w:szCs w:val="24"/>
              </w:rPr>
            </w:pPr>
          </w:p>
        </w:tc>
        <w:tc>
          <w:tcPr>
            <w:tcW w:w="480" w:type="dxa"/>
            <w:vAlign w:val="bottom"/>
          </w:tcPr>
          <w:p w:rsidR="004A0011" w:rsidRDefault="004A0011">
            <w:pPr>
              <w:rPr>
                <w:sz w:val="24"/>
                <w:szCs w:val="24"/>
              </w:rPr>
            </w:pPr>
          </w:p>
        </w:tc>
        <w:tc>
          <w:tcPr>
            <w:tcW w:w="320" w:type="dxa"/>
            <w:vAlign w:val="bottom"/>
          </w:tcPr>
          <w:p w:rsidR="004A0011" w:rsidRDefault="004A0011">
            <w:pPr>
              <w:rPr>
                <w:sz w:val="24"/>
                <w:szCs w:val="24"/>
              </w:rPr>
            </w:pPr>
          </w:p>
        </w:tc>
        <w:tc>
          <w:tcPr>
            <w:tcW w:w="100" w:type="dxa"/>
            <w:vAlign w:val="bottom"/>
          </w:tcPr>
          <w:p w:rsidR="004A0011" w:rsidRDefault="004A0011">
            <w:pPr>
              <w:rPr>
                <w:sz w:val="24"/>
                <w:szCs w:val="24"/>
              </w:rPr>
            </w:pPr>
          </w:p>
        </w:tc>
        <w:tc>
          <w:tcPr>
            <w:tcW w:w="220" w:type="dxa"/>
            <w:vAlign w:val="bottom"/>
          </w:tcPr>
          <w:p w:rsidR="004A0011" w:rsidRDefault="004A0011">
            <w:pPr>
              <w:rPr>
                <w:sz w:val="24"/>
                <w:szCs w:val="24"/>
              </w:rPr>
            </w:pPr>
          </w:p>
        </w:tc>
        <w:tc>
          <w:tcPr>
            <w:tcW w:w="420" w:type="dxa"/>
            <w:vAlign w:val="bottom"/>
          </w:tcPr>
          <w:p w:rsidR="004A0011" w:rsidRDefault="004A0011">
            <w:pPr>
              <w:rPr>
                <w:sz w:val="24"/>
                <w:szCs w:val="24"/>
              </w:rPr>
            </w:pPr>
          </w:p>
        </w:tc>
        <w:tc>
          <w:tcPr>
            <w:tcW w:w="660" w:type="dxa"/>
            <w:vAlign w:val="bottom"/>
          </w:tcPr>
          <w:p w:rsidR="004A0011" w:rsidRDefault="004A0011">
            <w:pPr>
              <w:rPr>
                <w:sz w:val="24"/>
                <w:szCs w:val="24"/>
              </w:rPr>
            </w:pPr>
          </w:p>
        </w:tc>
      </w:tr>
      <w:tr w:rsidR="004A0011">
        <w:trPr>
          <w:trHeight w:val="126"/>
        </w:trPr>
        <w:tc>
          <w:tcPr>
            <w:tcW w:w="8140" w:type="dxa"/>
            <w:gridSpan w:val="8"/>
            <w:vAlign w:val="bottom"/>
          </w:tcPr>
          <w:p w:rsidR="004A0011" w:rsidRDefault="00D538EF">
            <w:pPr>
              <w:ind w:left="3000"/>
              <w:jc w:val="center"/>
              <w:rPr>
                <w:sz w:val="20"/>
                <w:szCs w:val="20"/>
              </w:rPr>
            </w:pPr>
            <w:r>
              <w:rPr>
                <w:rFonts w:eastAsia="Times New Roman"/>
                <w:b/>
                <w:bCs/>
                <w:w w:val="98"/>
                <w:sz w:val="11"/>
                <w:szCs w:val="11"/>
              </w:rPr>
              <w:t>TO BELLRING BRANDS SEGMENT ADJUSTED EBITDA, AS REPORTED BY POST (Unaudited)</w:t>
            </w:r>
          </w:p>
        </w:tc>
        <w:tc>
          <w:tcPr>
            <w:tcW w:w="3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1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480" w:type="dxa"/>
            <w:vAlign w:val="bottom"/>
          </w:tcPr>
          <w:p w:rsidR="004A0011" w:rsidRDefault="004A0011">
            <w:pPr>
              <w:rPr>
                <w:sz w:val="10"/>
                <w:szCs w:val="10"/>
              </w:rPr>
            </w:pPr>
          </w:p>
        </w:tc>
        <w:tc>
          <w:tcPr>
            <w:tcW w:w="320" w:type="dxa"/>
            <w:vAlign w:val="bottom"/>
          </w:tcPr>
          <w:p w:rsidR="004A0011" w:rsidRDefault="004A0011">
            <w:pPr>
              <w:rPr>
                <w:sz w:val="10"/>
                <w:szCs w:val="10"/>
              </w:rPr>
            </w:pPr>
          </w:p>
        </w:tc>
        <w:tc>
          <w:tcPr>
            <w:tcW w:w="100" w:type="dxa"/>
            <w:vAlign w:val="bottom"/>
          </w:tcPr>
          <w:p w:rsidR="004A0011" w:rsidRDefault="004A0011">
            <w:pPr>
              <w:rPr>
                <w:sz w:val="10"/>
                <w:szCs w:val="10"/>
              </w:rPr>
            </w:pPr>
          </w:p>
        </w:tc>
        <w:tc>
          <w:tcPr>
            <w:tcW w:w="220" w:type="dxa"/>
            <w:vAlign w:val="bottom"/>
          </w:tcPr>
          <w:p w:rsidR="004A0011" w:rsidRDefault="004A0011">
            <w:pPr>
              <w:rPr>
                <w:sz w:val="10"/>
                <w:szCs w:val="10"/>
              </w:rPr>
            </w:pPr>
          </w:p>
        </w:tc>
        <w:tc>
          <w:tcPr>
            <w:tcW w:w="420" w:type="dxa"/>
            <w:vAlign w:val="bottom"/>
          </w:tcPr>
          <w:p w:rsidR="004A0011" w:rsidRDefault="004A0011">
            <w:pPr>
              <w:rPr>
                <w:sz w:val="10"/>
                <w:szCs w:val="10"/>
              </w:rPr>
            </w:pPr>
          </w:p>
        </w:tc>
        <w:tc>
          <w:tcPr>
            <w:tcW w:w="660" w:type="dxa"/>
            <w:vAlign w:val="bottom"/>
          </w:tcPr>
          <w:p w:rsidR="004A0011" w:rsidRDefault="004A0011">
            <w:pPr>
              <w:rPr>
                <w:sz w:val="10"/>
                <w:szCs w:val="10"/>
              </w:rPr>
            </w:pPr>
          </w:p>
        </w:tc>
      </w:tr>
      <w:tr w:rsidR="004A0011">
        <w:trPr>
          <w:trHeight w:val="142"/>
        </w:trPr>
        <w:tc>
          <w:tcPr>
            <w:tcW w:w="3520" w:type="dxa"/>
            <w:vAlign w:val="bottom"/>
          </w:tcPr>
          <w:p w:rsidR="004A0011" w:rsidRDefault="004A0011">
            <w:pPr>
              <w:rPr>
                <w:sz w:val="12"/>
                <w:szCs w:val="12"/>
              </w:rPr>
            </w:pPr>
          </w:p>
        </w:tc>
        <w:tc>
          <w:tcPr>
            <w:tcW w:w="3320" w:type="dxa"/>
            <w:gridSpan w:val="3"/>
            <w:vAlign w:val="bottom"/>
          </w:tcPr>
          <w:p w:rsidR="004A0011" w:rsidRDefault="00D538EF">
            <w:pPr>
              <w:ind w:left="786"/>
              <w:jc w:val="center"/>
              <w:rPr>
                <w:sz w:val="20"/>
                <w:szCs w:val="20"/>
              </w:rPr>
            </w:pPr>
            <w:r>
              <w:rPr>
                <w:rFonts w:eastAsia="Times New Roman"/>
                <w:b/>
                <w:bCs/>
                <w:w w:val="98"/>
                <w:sz w:val="11"/>
                <w:szCs w:val="11"/>
              </w:rPr>
              <w:t>(in millions)</w:t>
            </w:r>
          </w:p>
        </w:tc>
        <w:tc>
          <w:tcPr>
            <w:tcW w:w="240" w:type="dxa"/>
            <w:vAlign w:val="bottom"/>
          </w:tcPr>
          <w:p w:rsidR="004A0011" w:rsidRDefault="004A0011">
            <w:pPr>
              <w:rPr>
                <w:sz w:val="12"/>
                <w:szCs w:val="12"/>
              </w:rPr>
            </w:pPr>
          </w:p>
        </w:tc>
        <w:tc>
          <w:tcPr>
            <w:tcW w:w="160" w:type="dxa"/>
            <w:vAlign w:val="bottom"/>
          </w:tcPr>
          <w:p w:rsidR="004A0011" w:rsidRDefault="004A0011">
            <w:pPr>
              <w:rPr>
                <w:sz w:val="12"/>
                <w:szCs w:val="12"/>
              </w:rPr>
            </w:pPr>
          </w:p>
        </w:tc>
        <w:tc>
          <w:tcPr>
            <w:tcW w:w="220" w:type="dxa"/>
            <w:vAlign w:val="bottom"/>
          </w:tcPr>
          <w:p w:rsidR="004A0011" w:rsidRDefault="004A0011">
            <w:pPr>
              <w:rPr>
                <w:sz w:val="12"/>
                <w:szCs w:val="12"/>
              </w:rPr>
            </w:pPr>
          </w:p>
        </w:tc>
        <w:tc>
          <w:tcPr>
            <w:tcW w:w="680" w:type="dxa"/>
            <w:vAlign w:val="bottom"/>
          </w:tcPr>
          <w:p w:rsidR="004A0011" w:rsidRDefault="004A0011">
            <w:pPr>
              <w:rPr>
                <w:sz w:val="12"/>
                <w:szCs w:val="12"/>
              </w:rPr>
            </w:pPr>
          </w:p>
        </w:tc>
        <w:tc>
          <w:tcPr>
            <w:tcW w:w="380" w:type="dxa"/>
            <w:vAlign w:val="bottom"/>
          </w:tcPr>
          <w:p w:rsidR="004A0011" w:rsidRDefault="004A0011">
            <w:pPr>
              <w:rPr>
                <w:sz w:val="12"/>
                <w:szCs w:val="12"/>
              </w:rPr>
            </w:pPr>
          </w:p>
        </w:tc>
        <w:tc>
          <w:tcPr>
            <w:tcW w:w="160" w:type="dxa"/>
            <w:vAlign w:val="bottom"/>
          </w:tcPr>
          <w:p w:rsidR="004A0011" w:rsidRDefault="004A0011">
            <w:pPr>
              <w:rPr>
                <w:sz w:val="12"/>
                <w:szCs w:val="12"/>
              </w:rPr>
            </w:pPr>
          </w:p>
        </w:tc>
        <w:tc>
          <w:tcPr>
            <w:tcW w:w="180" w:type="dxa"/>
            <w:vAlign w:val="bottom"/>
          </w:tcPr>
          <w:p w:rsidR="004A0011" w:rsidRDefault="004A0011">
            <w:pPr>
              <w:rPr>
                <w:sz w:val="12"/>
                <w:szCs w:val="12"/>
              </w:rPr>
            </w:pPr>
          </w:p>
        </w:tc>
        <w:tc>
          <w:tcPr>
            <w:tcW w:w="160" w:type="dxa"/>
            <w:vAlign w:val="bottom"/>
          </w:tcPr>
          <w:p w:rsidR="004A0011" w:rsidRDefault="004A0011">
            <w:pPr>
              <w:rPr>
                <w:sz w:val="12"/>
                <w:szCs w:val="12"/>
              </w:rPr>
            </w:pPr>
          </w:p>
        </w:tc>
        <w:tc>
          <w:tcPr>
            <w:tcW w:w="480" w:type="dxa"/>
            <w:vAlign w:val="bottom"/>
          </w:tcPr>
          <w:p w:rsidR="004A0011" w:rsidRDefault="004A0011">
            <w:pPr>
              <w:rPr>
                <w:sz w:val="12"/>
                <w:szCs w:val="12"/>
              </w:rPr>
            </w:pPr>
          </w:p>
        </w:tc>
        <w:tc>
          <w:tcPr>
            <w:tcW w:w="320" w:type="dxa"/>
            <w:vAlign w:val="bottom"/>
          </w:tcPr>
          <w:p w:rsidR="004A0011" w:rsidRDefault="004A0011">
            <w:pPr>
              <w:rPr>
                <w:sz w:val="12"/>
                <w:szCs w:val="12"/>
              </w:rPr>
            </w:pPr>
          </w:p>
        </w:tc>
        <w:tc>
          <w:tcPr>
            <w:tcW w:w="100" w:type="dxa"/>
            <w:vAlign w:val="bottom"/>
          </w:tcPr>
          <w:p w:rsidR="004A0011" w:rsidRDefault="004A0011">
            <w:pPr>
              <w:rPr>
                <w:sz w:val="12"/>
                <w:szCs w:val="12"/>
              </w:rPr>
            </w:pPr>
          </w:p>
        </w:tc>
        <w:tc>
          <w:tcPr>
            <w:tcW w:w="220" w:type="dxa"/>
            <w:vAlign w:val="bottom"/>
          </w:tcPr>
          <w:p w:rsidR="004A0011" w:rsidRDefault="004A0011">
            <w:pPr>
              <w:rPr>
                <w:sz w:val="12"/>
                <w:szCs w:val="12"/>
              </w:rPr>
            </w:pPr>
          </w:p>
        </w:tc>
        <w:tc>
          <w:tcPr>
            <w:tcW w:w="420" w:type="dxa"/>
            <w:vAlign w:val="bottom"/>
          </w:tcPr>
          <w:p w:rsidR="004A0011" w:rsidRDefault="004A0011">
            <w:pPr>
              <w:rPr>
                <w:sz w:val="12"/>
                <w:szCs w:val="12"/>
              </w:rPr>
            </w:pPr>
          </w:p>
        </w:tc>
        <w:tc>
          <w:tcPr>
            <w:tcW w:w="660" w:type="dxa"/>
            <w:vAlign w:val="bottom"/>
          </w:tcPr>
          <w:p w:rsidR="004A0011" w:rsidRDefault="004A0011">
            <w:pPr>
              <w:rPr>
                <w:sz w:val="12"/>
                <w:szCs w:val="12"/>
              </w:rPr>
            </w:pPr>
          </w:p>
        </w:tc>
      </w:tr>
      <w:tr w:rsidR="004A0011">
        <w:trPr>
          <w:trHeight w:val="121"/>
        </w:trPr>
        <w:tc>
          <w:tcPr>
            <w:tcW w:w="3520" w:type="dxa"/>
            <w:vAlign w:val="bottom"/>
          </w:tcPr>
          <w:p w:rsidR="004A0011" w:rsidRDefault="004A0011">
            <w:pPr>
              <w:rPr>
                <w:sz w:val="10"/>
                <w:szCs w:val="10"/>
              </w:rPr>
            </w:pPr>
          </w:p>
        </w:tc>
        <w:tc>
          <w:tcPr>
            <w:tcW w:w="2660" w:type="dxa"/>
            <w:vAlign w:val="bottom"/>
          </w:tcPr>
          <w:p w:rsidR="004A0011" w:rsidRDefault="004A0011">
            <w:pPr>
              <w:rPr>
                <w:sz w:val="10"/>
                <w:szCs w:val="10"/>
              </w:rPr>
            </w:pPr>
          </w:p>
        </w:tc>
        <w:tc>
          <w:tcPr>
            <w:tcW w:w="300" w:type="dxa"/>
            <w:vAlign w:val="bottom"/>
          </w:tcPr>
          <w:p w:rsidR="004A0011" w:rsidRDefault="004A0011">
            <w:pPr>
              <w:rPr>
                <w:sz w:val="10"/>
                <w:szCs w:val="10"/>
              </w:rPr>
            </w:pPr>
          </w:p>
        </w:tc>
        <w:tc>
          <w:tcPr>
            <w:tcW w:w="360" w:type="dxa"/>
            <w:vAlign w:val="bottom"/>
          </w:tcPr>
          <w:p w:rsidR="004A0011" w:rsidRDefault="004A0011">
            <w:pPr>
              <w:rPr>
                <w:sz w:val="10"/>
                <w:szCs w:val="10"/>
              </w:rPr>
            </w:pPr>
          </w:p>
        </w:tc>
        <w:tc>
          <w:tcPr>
            <w:tcW w:w="240" w:type="dxa"/>
            <w:vAlign w:val="bottom"/>
          </w:tcPr>
          <w:p w:rsidR="004A0011" w:rsidRDefault="004A0011">
            <w:pPr>
              <w:rPr>
                <w:sz w:val="10"/>
                <w:szCs w:val="10"/>
              </w:rPr>
            </w:pPr>
          </w:p>
        </w:tc>
        <w:tc>
          <w:tcPr>
            <w:tcW w:w="1060" w:type="dxa"/>
            <w:gridSpan w:val="3"/>
            <w:vAlign w:val="bottom"/>
          </w:tcPr>
          <w:p w:rsidR="004A0011" w:rsidRDefault="00D538EF">
            <w:pPr>
              <w:spacing w:line="121" w:lineRule="exact"/>
              <w:ind w:right="20"/>
              <w:jc w:val="right"/>
              <w:rPr>
                <w:sz w:val="20"/>
                <w:szCs w:val="20"/>
              </w:rPr>
            </w:pPr>
            <w:r>
              <w:rPr>
                <w:rFonts w:eastAsia="Times New Roman"/>
                <w:b/>
                <w:bCs/>
                <w:w w:val="95"/>
                <w:sz w:val="11"/>
                <w:szCs w:val="11"/>
              </w:rPr>
              <w:t>Three Months Ended</w:t>
            </w:r>
          </w:p>
        </w:tc>
        <w:tc>
          <w:tcPr>
            <w:tcW w:w="3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180" w:type="dxa"/>
            <w:vAlign w:val="bottom"/>
          </w:tcPr>
          <w:p w:rsidR="004A0011" w:rsidRDefault="004A0011">
            <w:pPr>
              <w:rPr>
                <w:sz w:val="10"/>
                <w:szCs w:val="10"/>
              </w:rPr>
            </w:pPr>
          </w:p>
        </w:tc>
        <w:tc>
          <w:tcPr>
            <w:tcW w:w="160" w:type="dxa"/>
            <w:vAlign w:val="bottom"/>
          </w:tcPr>
          <w:p w:rsidR="004A0011" w:rsidRDefault="004A0011">
            <w:pPr>
              <w:rPr>
                <w:sz w:val="10"/>
                <w:szCs w:val="10"/>
              </w:rPr>
            </w:pPr>
          </w:p>
        </w:tc>
        <w:tc>
          <w:tcPr>
            <w:tcW w:w="480" w:type="dxa"/>
            <w:vAlign w:val="bottom"/>
          </w:tcPr>
          <w:p w:rsidR="004A0011" w:rsidRDefault="004A0011">
            <w:pPr>
              <w:rPr>
                <w:sz w:val="10"/>
                <w:szCs w:val="10"/>
              </w:rPr>
            </w:pPr>
          </w:p>
        </w:tc>
        <w:tc>
          <w:tcPr>
            <w:tcW w:w="320" w:type="dxa"/>
            <w:vAlign w:val="bottom"/>
          </w:tcPr>
          <w:p w:rsidR="004A0011" w:rsidRDefault="004A0011">
            <w:pPr>
              <w:rPr>
                <w:sz w:val="10"/>
                <w:szCs w:val="10"/>
              </w:rPr>
            </w:pPr>
          </w:p>
        </w:tc>
        <w:tc>
          <w:tcPr>
            <w:tcW w:w="740" w:type="dxa"/>
            <w:gridSpan w:val="3"/>
            <w:vAlign w:val="bottom"/>
          </w:tcPr>
          <w:p w:rsidR="004A0011" w:rsidRDefault="00D538EF">
            <w:pPr>
              <w:spacing w:line="121" w:lineRule="exact"/>
              <w:ind w:right="120"/>
              <w:jc w:val="right"/>
              <w:rPr>
                <w:sz w:val="20"/>
                <w:szCs w:val="20"/>
              </w:rPr>
            </w:pPr>
            <w:r>
              <w:rPr>
                <w:rFonts w:eastAsia="Times New Roman"/>
                <w:b/>
                <w:bCs/>
                <w:w w:val="95"/>
                <w:sz w:val="11"/>
                <w:szCs w:val="11"/>
              </w:rPr>
              <w:t>Year Ended</w:t>
            </w:r>
          </w:p>
        </w:tc>
        <w:tc>
          <w:tcPr>
            <w:tcW w:w="660" w:type="dxa"/>
            <w:vAlign w:val="bottom"/>
          </w:tcPr>
          <w:p w:rsidR="004A0011" w:rsidRDefault="004A0011">
            <w:pPr>
              <w:rPr>
                <w:sz w:val="10"/>
                <w:szCs w:val="10"/>
              </w:rPr>
            </w:pPr>
          </w:p>
        </w:tc>
      </w:tr>
      <w:tr w:rsidR="004A0011">
        <w:trPr>
          <w:trHeight w:val="143"/>
        </w:trPr>
        <w:tc>
          <w:tcPr>
            <w:tcW w:w="3520" w:type="dxa"/>
            <w:tcBorders>
              <w:bottom w:val="single" w:sz="8" w:space="0" w:color="CCEEFF"/>
            </w:tcBorders>
            <w:vAlign w:val="bottom"/>
          </w:tcPr>
          <w:p w:rsidR="004A0011" w:rsidRDefault="004A0011">
            <w:pPr>
              <w:rPr>
                <w:sz w:val="12"/>
                <w:szCs w:val="12"/>
              </w:rPr>
            </w:pPr>
          </w:p>
        </w:tc>
        <w:tc>
          <w:tcPr>
            <w:tcW w:w="2660" w:type="dxa"/>
            <w:tcBorders>
              <w:bottom w:val="single" w:sz="8" w:space="0" w:color="CCEEFF"/>
            </w:tcBorders>
            <w:vAlign w:val="bottom"/>
          </w:tcPr>
          <w:p w:rsidR="004A0011" w:rsidRDefault="004A0011">
            <w:pPr>
              <w:rPr>
                <w:sz w:val="12"/>
                <w:szCs w:val="12"/>
              </w:rPr>
            </w:pPr>
          </w:p>
        </w:tc>
        <w:tc>
          <w:tcPr>
            <w:tcW w:w="300" w:type="dxa"/>
            <w:tcBorders>
              <w:bottom w:val="single" w:sz="8" w:space="0" w:color="CCEEFF"/>
            </w:tcBorders>
            <w:vAlign w:val="bottom"/>
          </w:tcPr>
          <w:p w:rsidR="004A0011" w:rsidRDefault="004A0011">
            <w:pPr>
              <w:rPr>
                <w:sz w:val="12"/>
                <w:szCs w:val="12"/>
              </w:rPr>
            </w:pPr>
          </w:p>
        </w:tc>
        <w:tc>
          <w:tcPr>
            <w:tcW w:w="360" w:type="dxa"/>
            <w:tcBorders>
              <w:bottom w:val="single" w:sz="8" w:space="0" w:color="auto"/>
            </w:tcBorders>
            <w:vAlign w:val="bottom"/>
          </w:tcPr>
          <w:p w:rsidR="004A0011" w:rsidRDefault="004A0011">
            <w:pPr>
              <w:rPr>
                <w:sz w:val="12"/>
                <w:szCs w:val="12"/>
              </w:rPr>
            </w:pPr>
          </w:p>
        </w:tc>
        <w:tc>
          <w:tcPr>
            <w:tcW w:w="240" w:type="dxa"/>
            <w:tcBorders>
              <w:bottom w:val="single" w:sz="8" w:space="0" w:color="auto"/>
            </w:tcBorders>
            <w:vAlign w:val="bottom"/>
          </w:tcPr>
          <w:p w:rsidR="004A0011" w:rsidRDefault="004A0011">
            <w:pPr>
              <w:rPr>
                <w:sz w:val="12"/>
                <w:szCs w:val="12"/>
              </w:rPr>
            </w:pPr>
          </w:p>
        </w:tc>
        <w:tc>
          <w:tcPr>
            <w:tcW w:w="1060" w:type="dxa"/>
            <w:gridSpan w:val="3"/>
            <w:tcBorders>
              <w:bottom w:val="single" w:sz="8" w:space="0" w:color="auto"/>
            </w:tcBorders>
            <w:vAlign w:val="bottom"/>
          </w:tcPr>
          <w:p w:rsidR="004A0011" w:rsidRDefault="00D538EF">
            <w:pPr>
              <w:ind w:right="60"/>
              <w:jc w:val="right"/>
              <w:rPr>
                <w:sz w:val="20"/>
                <w:szCs w:val="20"/>
              </w:rPr>
            </w:pPr>
            <w:r>
              <w:rPr>
                <w:rFonts w:eastAsia="Times New Roman"/>
                <w:b/>
                <w:bCs/>
                <w:w w:val="99"/>
                <w:sz w:val="11"/>
                <w:szCs w:val="11"/>
              </w:rPr>
              <w:t>September 30, 2019</w:t>
            </w:r>
          </w:p>
        </w:tc>
        <w:tc>
          <w:tcPr>
            <w:tcW w:w="380" w:type="dxa"/>
            <w:tcBorders>
              <w:bottom w:val="single" w:sz="8" w:space="0" w:color="auto"/>
            </w:tcBorders>
            <w:vAlign w:val="bottom"/>
          </w:tcPr>
          <w:p w:rsidR="004A0011" w:rsidRDefault="004A0011">
            <w:pPr>
              <w:rPr>
                <w:sz w:val="12"/>
                <w:szCs w:val="12"/>
              </w:rPr>
            </w:pPr>
          </w:p>
        </w:tc>
        <w:tc>
          <w:tcPr>
            <w:tcW w:w="160" w:type="dxa"/>
            <w:tcBorders>
              <w:bottom w:val="single" w:sz="8" w:space="0" w:color="auto"/>
            </w:tcBorders>
            <w:vAlign w:val="bottom"/>
          </w:tcPr>
          <w:p w:rsidR="004A0011" w:rsidRDefault="004A0011">
            <w:pPr>
              <w:rPr>
                <w:sz w:val="12"/>
                <w:szCs w:val="12"/>
              </w:rPr>
            </w:pPr>
          </w:p>
        </w:tc>
        <w:tc>
          <w:tcPr>
            <w:tcW w:w="180" w:type="dxa"/>
            <w:tcBorders>
              <w:bottom w:val="single" w:sz="8" w:space="0" w:color="CCEEFF"/>
            </w:tcBorders>
            <w:vAlign w:val="bottom"/>
          </w:tcPr>
          <w:p w:rsidR="004A0011" w:rsidRDefault="004A0011">
            <w:pPr>
              <w:rPr>
                <w:sz w:val="12"/>
                <w:szCs w:val="12"/>
              </w:rPr>
            </w:pPr>
          </w:p>
        </w:tc>
        <w:tc>
          <w:tcPr>
            <w:tcW w:w="160" w:type="dxa"/>
            <w:tcBorders>
              <w:bottom w:val="single" w:sz="8" w:space="0" w:color="CCEEFF"/>
            </w:tcBorders>
            <w:vAlign w:val="bottom"/>
          </w:tcPr>
          <w:p w:rsidR="004A0011" w:rsidRDefault="004A0011">
            <w:pPr>
              <w:rPr>
                <w:sz w:val="12"/>
                <w:szCs w:val="12"/>
              </w:rPr>
            </w:pPr>
          </w:p>
        </w:tc>
        <w:tc>
          <w:tcPr>
            <w:tcW w:w="480" w:type="dxa"/>
            <w:tcBorders>
              <w:bottom w:val="single" w:sz="8" w:space="0" w:color="auto"/>
            </w:tcBorders>
            <w:vAlign w:val="bottom"/>
          </w:tcPr>
          <w:p w:rsidR="004A0011" w:rsidRDefault="004A0011">
            <w:pPr>
              <w:rPr>
                <w:sz w:val="12"/>
                <w:szCs w:val="12"/>
              </w:rPr>
            </w:pPr>
          </w:p>
        </w:tc>
        <w:tc>
          <w:tcPr>
            <w:tcW w:w="1060" w:type="dxa"/>
            <w:gridSpan w:val="4"/>
            <w:tcBorders>
              <w:bottom w:val="single" w:sz="8" w:space="0" w:color="auto"/>
            </w:tcBorders>
            <w:vAlign w:val="bottom"/>
          </w:tcPr>
          <w:p w:rsidR="004A0011" w:rsidRDefault="00D538EF">
            <w:pPr>
              <w:jc w:val="right"/>
              <w:rPr>
                <w:sz w:val="20"/>
                <w:szCs w:val="20"/>
              </w:rPr>
            </w:pPr>
            <w:r>
              <w:rPr>
                <w:rFonts w:eastAsia="Times New Roman"/>
                <w:b/>
                <w:bCs/>
                <w:sz w:val="11"/>
                <w:szCs w:val="11"/>
              </w:rPr>
              <w:t>September 30, 2019</w:t>
            </w:r>
          </w:p>
        </w:tc>
        <w:tc>
          <w:tcPr>
            <w:tcW w:w="660" w:type="dxa"/>
            <w:tcBorders>
              <w:bottom w:val="single" w:sz="8" w:space="0" w:color="auto"/>
            </w:tcBorders>
            <w:vAlign w:val="bottom"/>
          </w:tcPr>
          <w:p w:rsidR="004A0011" w:rsidRDefault="004A0011">
            <w:pPr>
              <w:rPr>
                <w:sz w:val="12"/>
                <w:szCs w:val="12"/>
              </w:rPr>
            </w:pPr>
          </w:p>
        </w:tc>
      </w:tr>
      <w:tr w:rsidR="004A0011">
        <w:trPr>
          <w:trHeight w:val="143"/>
        </w:trPr>
        <w:tc>
          <w:tcPr>
            <w:tcW w:w="3520" w:type="dxa"/>
            <w:shd w:val="clear" w:color="auto" w:fill="CCEEFF"/>
            <w:vAlign w:val="bottom"/>
          </w:tcPr>
          <w:p w:rsidR="004A0011" w:rsidRDefault="00D538EF">
            <w:pPr>
              <w:rPr>
                <w:sz w:val="20"/>
                <w:szCs w:val="20"/>
              </w:rPr>
            </w:pPr>
            <w:r>
              <w:rPr>
                <w:rFonts w:eastAsia="Times New Roman"/>
                <w:b/>
                <w:bCs/>
                <w:sz w:val="12"/>
                <w:szCs w:val="12"/>
              </w:rPr>
              <w:t>Adjusted EBITDA, as reported by BellRing</w:t>
            </w:r>
          </w:p>
        </w:tc>
        <w:tc>
          <w:tcPr>
            <w:tcW w:w="2960" w:type="dxa"/>
            <w:gridSpan w:val="2"/>
            <w:shd w:val="clear" w:color="auto" w:fill="CCEEFF"/>
            <w:vAlign w:val="bottom"/>
          </w:tcPr>
          <w:p w:rsidR="004A0011" w:rsidRDefault="004A0011">
            <w:pPr>
              <w:rPr>
                <w:sz w:val="12"/>
                <w:szCs w:val="12"/>
              </w:rPr>
            </w:pPr>
          </w:p>
        </w:tc>
        <w:tc>
          <w:tcPr>
            <w:tcW w:w="360" w:type="dxa"/>
            <w:shd w:val="clear" w:color="auto" w:fill="CCEEFF"/>
            <w:vAlign w:val="bottom"/>
          </w:tcPr>
          <w:p w:rsidR="004A0011" w:rsidRDefault="00D538EF">
            <w:pPr>
              <w:ind w:right="246"/>
              <w:jc w:val="right"/>
              <w:rPr>
                <w:sz w:val="20"/>
                <w:szCs w:val="20"/>
              </w:rPr>
            </w:pPr>
            <w:r>
              <w:rPr>
                <w:rFonts w:eastAsia="Times New Roman"/>
                <w:w w:val="71"/>
                <w:sz w:val="11"/>
                <w:szCs w:val="11"/>
              </w:rPr>
              <w:t>$</w:t>
            </w:r>
          </w:p>
        </w:tc>
        <w:tc>
          <w:tcPr>
            <w:tcW w:w="240" w:type="dxa"/>
            <w:shd w:val="clear" w:color="auto" w:fill="CCEEFF"/>
            <w:vAlign w:val="bottom"/>
          </w:tcPr>
          <w:p w:rsidR="004A0011" w:rsidRDefault="004A0011">
            <w:pPr>
              <w:rPr>
                <w:sz w:val="12"/>
                <w:szCs w:val="12"/>
              </w:rPr>
            </w:pPr>
          </w:p>
        </w:tc>
        <w:tc>
          <w:tcPr>
            <w:tcW w:w="160" w:type="dxa"/>
            <w:shd w:val="clear" w:color="auto" w:fill="CCEEFF"/>
            <w:vAlign w:val="bottom"/>
          </w:tcPr>
          <w:p w:rsidR="004A0011" w:rsidRDefault="004A0011">
            <w:pPr>
              <w:rPr>
                <w:sz w:val="12"/>
                <w:szCs w:val="12"/>
              </w:rPr>
            </w:pPr>
          </w:p>
        </w:tc>
        <w:tc>
          <w:tcPr>
            <w:tcW w:w="220" w:type="dxa"/>
            <w:shd w:val="clear" w:color="auto" w:fill="CCEEFF"/>
            <w:vAlign w:val="bottom"/>
          </w:tcPr>
          <w:p w:rsidR="004A0011" w:rsidRDefault="004A0011">
            <w:pPr>
              <w:rPr>
                <w:sz w:val="12"/>
                <w:szCs w:val="12"/>
              </w:rPr>
            </w:pPr>
          </w:p>
        </w:tc>
        <w:tc>
          <w:tcPr>
            <w:tcW w:w="680" w:type="dxa"/>
            <w:shd w:val="clear" w:color="auto" w:fill="CCEEFF"/>
            <w:vAlign w:val="bottom"/>
          </w:tcPr>
          <w:p w:rsidR="004A0011" w:rsidRDefault="004A0011">
            <w:pPr>
              <w:rPr>
                <w:sz w:val="12"/>
                <w:szCs w:val="12"/>
              </w:rPr>
            </w:pPr>
          </w:p>
        </w:tc>
        <w:tc>
          <w:tcPr>
            <w:tcW w:w="540" w:type="dxa"/>
            <w:gridSpan w:val="2"/>
            <w:shd w:val="clear" w:color="auto" w:fill="CCEEFF"/>
            <w:vAlign w:val="bottom"/>
          </w:tcPr>
          <w:p w:rsidR="004A0011" w:rsidRDefault="00D538EF">
            <w:pPr>
              <w:ind w:right="60"/>
              <w:jc w:val="right"/>
              <w:rPr>
                <w:sz w:val="20"/>
                <w:szCs w:val="20"/>
              </w:rPr>
            </w:pPr>
            <w:r>
              <w:rPr>
                <w:rFonts w:eastAsia="Times New Roman"/>
                <w:sz w:val="12"/>
                <w:szCs w:val="12"/>
              </w:rPr>
              <w:t>46.3</w:t>
            </w:r>
          </w:p>
        </w:tc>
        <w:tc>
          <w:tcPr>
            <w:tcW w:w="180" w:type="dxa"/>
            <w:shd w:val="clear" w:color="auto" w:fill="CCEEFF"/>
            <w:vAlign w:val="bottom"/>
          </w:tcPr>
          <w:p w:rsidR="004A0011" w:rsidRDefault="004A0011">
            <w:pPr>
              <w:rPr>
                <w:sz w:val="12"/>
                <w:szCs w:val="12"/>
              </w:rPr>
            </w:pPr>
          </w:p>
        </w:tc>
        <w:tc>
          <w:tcPr>
            <w:tcW w:w="160" w:type="dxa"/>
            <w:shd w:val="clear" w:color="auto" w:fill="CCEEFF"/>
            <w:vAlign w:val="bottom"/>
          </w:tcPr>
          <w:p w:rsidR="004A0011" w:rsidRDefault="004A0011">
            <w:pPr>
              <w:rPr>
                <w:sz w:val="12"/>
                <w:szCs w:val="12"/>
              </w:rPr>
            </w:pPr>
          </w:p>
        </w:tc>
        <w:tc>
          <w:tcPr>
            <w:tcW w:w="480" w:type="dxa"/>
            <w:shd w:val="clear" w:color="auto" w:fill="CCEEFF"/>
            <w:vAlign w:val="bottom"/>
          </w:tcPr>
          <w:p w:rsidR="004A0011" w:rsidRDefault="00D538EF">
            <w:pPr>
              <w:ind w:right="366"/>
              <w:jc w:val="right"/>
              <w:rPr>
                <w:sz w:val="20"/>
                <w:szCs w:val="20"/>
              </w:rPr>
            </w:pPr>
            <w:r>
              <w:rPr>
                <w:rFonts w:eastAsia="Times New Roman"/>
                <w:w w:val="71"/>
                <w:sz w:val="11"/>
                <w:szCs w:val="11"/>
              </w:rPr>
              <w:t>$</w:t>
            </w:r>
          </w:p>
        </w:tc>
        <w:tc>
          <w:tcPr>
            <w:tcW w:w="320" w:type="dxa"/>
            <w:shd w:val="clear" w:color="auto" w:fill="CCEEFF"/>
            <w:vAlign w:val="bottom"/>
          </w:tcPr>
          <w:p w:rsidR="004A0011" w:rsidRDefault="004A0011">
            <w:pPr>
              <w:rPr>
                <w:sz w:val="12"/>
                <w:szCs w:val="12"/>
              </w:rPr>
            </w:pPr>
          </w:p>
        </w:tc>
        <w:tc>
          <w:tcPr>
            <w:tcW w:w="100" w:type="dxa"/>
            <w:shd w:val="clear" w:color="auto" w:fill="CCEEFF"/>
            <w:vAlign w:val="bottom"/>
          </w:tcPr>
          <w:p w:rsidR="004A0011" w:rsidRDefault="004A0011">
            <w:pPr>
              <w:rPr>
                <w:sz w:val="12"/>
                <w:szCs w:val="12"/>
              </w:rPr>
            </w:pPr>
          </w:p>
        </w:tc>
        <w:tc>
          <w:tcPr>
            <w:tcW w:w="220" w:type="dxa"/>
            <w:shd w:val="clear" w:color="auto" w:fill="CCEEFF"/>
            <w:vAlign w:val="bottom"/>
          </w:tcPr>
          <w:p w:rsidR="004A0011" w:rsidRDefault="004A0011">
            <w:pPr>
              <w:rPr>
                <w:sz w:val="12"/>
                <w:szCs w:val="12"/>
              </w:rPr>
            </w:pPr>
          </w:p>
        </w:tc>
        <w:tc>
          <w:tcPr>
            <w:tcW w:w="420" w:type="dxa"/>
            <w:shd w:val="clear" w:color="auto" w:fill="CCEEFF"/>
            <w:vAlign w:val="bottom"/>
          </w:tcPr>
          <w:p w:rsidR="004A0011" w:rsidRDefault="004A0011">
            <w:pPr>
              <w:rPr>
                <w:sz w:val="12"/>
                <w:szCs w:val="12"/>
              </w:rPr>
            </w:pPr>
          </w:p>
        </w:tc>
        <w:tc>
          <w:tcPr>
            <w:tcW w:w="660" w:type="dxa"/>
            <w:shd w:val="clear" w:color="auto" w:fill="CCEEFF"/>
            <w:vAlign w:val="bottom"/>
          </w:tcPr>
          <w:p w:rsidR="004A0011" w:rsidRDefault="00D538EF">
            <w:pPr>
              <w:jc w:val="right"/>
              <w:rPr>
                <w:sz w:val="20"/>
                <w:szCs w:val="20"/>
              </w:rPr>
            </w:pPr>
            <w:r>
              <w:rPr>
                <w:rFonts w:eastAsia="Times New Roman"/>
                <w:sz w:val="12"/>
                <w:szCs w:val="12"/>
              </w:rPr>
              <w:t>198.1</w:t>
            </w:r>
          </w:p>
        </w:tc>
      </w:tr>
      <w:tr w:rsidR="004A0011">
        <w:trPr>
          <w:trHeight w:val="153"/>
        </w:trPr>
        <w:tc>
          <w:tcPr>
            <w:tcW w:w="3520" w:type="dxa"/>
            <w:tcBorders>
              <w:bottom w:val="single" w:sz="8" w:space="0" w:color="CCEEFF"/>
            </w:tcBorders>
            <w:vAlign w:val="bottom"/>
          </w:tcPr>
          <w:p w:rsidR="004A0011" w:rsidRDefault="00D538EF">
            <w:pPr>
              <w:spacing w:line="153" w:lineRule="exact"/>
              <w:rPr>
                <w:sz w:val="20"/>
                <w:szCs w:val="20"/>
              </w:rPr>
            </w:pPr>
            <w:r>
              <w:rPr>
                <w:rFonts w:eastAsia="Times New Roman"/>
                <w:sz w:val="12"/>
                <w:szCs w:val="12"/>
              </w:rPr>
              <w:t xml:space="preserve">Allocated costs, net of non-GAAP adjustments </w:t>
            </w:r>
            <w:r>
              <w:rPr>
                <w:rFonts w:eastAsia="Times New Roman"/>
                <w:sz w:val="15"/>
                <w:szCs w:val="15"/>
                <w:vertAlign w:val="superscript"/>
              </w:rPr>
              <w:t>(1)</w:t>
            </w:r>
          </w:p>
        </w:tc>
        <w:tc>
          <w:tcPr>
            <w:tcW w:w="2660" w:type="dxa"/>
            <w:tcBorders>
              <w:bottom w:val="single" w:sz="8" w:space="0" w:color="CCEEFF"/>
            </w:tcBorders>
            <w:vAlign w:val="bottom"/>
          </w:tcPr>
          <w:p w:rsidR="004A0011" w:rsidRDefault="004A0011">
            <w:pPr>
              <w:rPr>
                <w:sz w:val="13"/>
                <w:szCs w:val="13"/>
              </w:rPr>
            </w:pPr>
          </w:p>
        </w:tc>
        <w:tc>
          <w:tcPr>
            <w:tcW w:w="300" w:type="dxa"/>
            <w:tcBorders>
              <w:bottom w:val="single" w:sz="8" w:space="0" w:color="CCEEFF"/>
            </w:tcBorders>
            <w:vAlign w:val="bottom"/>
          </w:tcPr>
          <w:p w:rsidR="004A0011" w:rsidRDefault="004A0011">
            <w:pPr>
              <w:rPr>
                <w:sz w:val="13"/>
                <w:szCs w:val="13"/>
              </w:rPr>
            </w:pPr>
          </w:p>
        </w:tc>
        <w:tc>
          <w:tcPr>
            <w:tcW w:w="360" w:type="dxa"/>
            <w:tcBorders>
              <w:bottom w:val="single" w:sz="8" w:space="0" w:color="auto"/>
            </w:tcBorders>
            <w:vAlign w:val="bottom"/>
          </w:tcPr>
          <w:p w:rsidR="004A0011" w:rsidRDefault="004A0011">
            <w:pPr>
              <w:rPr>
                <w:sz w:val="13"/>
                <w:szCs w:val="13"/>
              </w:rPr>
            </w:pPr>
          </w:p>
        </w:tc>
        <w:tc>
          <w:tcPr>
            <w:tcW w:w="240" w:type="dxa"/>
            <w:tcBorders>
              <w:bottom w:val="single" w:sz="8" w:space="0" w:color="auto"/>
            </w:tcBorders>
            <w:vAlign w:val="bottom"/>
          </w:tcPr>
          <w:p w:rsidR="004A0011" w:rsidRDefault="004A0011">
            <w:pPr>
              <w:rPr>
                <w:sz w:val="13"/>
                <w:szCs w:val="13"/>
              </w:rPr>
            </w:pPr>
          </w:p>
        </w:tc>
        <w:tc>
          <w:tcPr>
            <w:tcW w:w="160" w:type="dxa"/>
            <w:tcBorders>
              <w:bottom w:val="single" w:sz="8" w:space="0" w:color="auto"/>
            </w:tcBorders>
            <w:vAlign w:val="bottom"/>
          </w:tcPr>
          <w:p w:rsidR="004A0011" w:rsidRDefault="004A0011">
            <w:pPr>
              <w:rPr>
                <w:sz w:val="13"/>
                <w:szCs w:val="13"/>
              </w:rPr>
            </w:pPr>
          </w:p>
        </w:tc>
        <w:tc>
          <w:tcPr>
            <w:tcW w:w="220" w:type="dxa"/>
            <w:tcBorders>
              <w:bottom w:val="single" w:sz="8" w:space="0" w:color="auto"/>
            </w:tcBorders>
            <w:vAlign w:val="bottom"/>
          </w:tcPr>
          <w:p w:rsidR="004A0011" w:rsidRDefault="004A0011">
            <w:pPr>
              <w:rPr>
                <w:sz w:val="13"/>
                <w:szCs w:val="13"/>
              </w:rPr>
            </w:pPr>
          </w:p>
        </w:tc>
        <w:tc>
          <w:tcPr>
            <w:tcW w:w="680" w:type="dxa"/>
            <w:tcBorders>
              <w:bottom w:val="single" w:sz="8" w:space="0" w:color="auto"/>
            </w:tcBorders>
            <w:vAlign w:val="bottom"/>
          </w:tcPr>
          <w:p w:rsidR="004A0011" w:rsidRDefault="004A0011">
            <w:pPr>
              <w:rPr>
                <w:sz w:val="13"/>
                <w:szCs w:val="13"/>
              </w:rPr>
            </w:pPr>
          </w:p>
        </w:tc>
        <w:tc>
          <w:tcPr>
            <w:tcW w:w="540" w:type="dxa"/>
            <w:gridSpan w:val="2"/>
            <w:tcBorders>
              <w:bottom w:val="single" w:sz="8" w:space="0" w:color="auto"/>
            </w:tcBorders>
            <w:vAlign w:val="bottom"/>
          </w:tcPr>
          <w:p w:rsidR="004A0011" w:rsidRDefault="00D538EF">
            <w:pPr>
              <w:ind w:right="60"/>
              <w:jc w:val="right"/>
              <w:rPr>
                <w:sz w:val="20"/>
                <w:szCs w:val="20"/>
              </w:rPr>
            </w:pPr>
            <w:r>
              <w:rPr>
                <w:rFonts w:eastAsia="Times New Roman"/>
                <w:sz w:val="12"/>
                <w:szCs w:val="12"/>
              </w:rPr>
              <w:t>0.6</w:t>
            </w:r>
          </w:p>
        </w:tc>
        <w:tc>
          <w:tcPr>
            <w:tcW w:w="180" w:type="dxa"/>
            <w:tcBorders>
              <w:bottom w:val="single" w:sz="8" w:space="0" w:color="CCEEFF"/>
            </w:tcBorders>
            <w:vAlign w:val="bottom"/>
          </w:tcPr>
          <w:p w:rsidR="004A0011" w:rsidRDefault="004A0011">
            <w:pPr>
              <w:rPr>
                <w:sz w:val="13"/>
                <w:szCs w:val="13"/>
              </w:rPr>
            </w:pPr>
          </w:p>
        </w:tc>
        <w:tc>
          <w:tcPr>
            <w:tcW w:w="160" w:type="dxa"/>
            <w:tcBorders>
              <w:bottom w:val="single" w:sz="8" w:space="0" w:color="CCEEFF"/>
            </w:tcBorders>
            <w:vAlign w:val="bottom"/>
          </w:tcPr>
          <w:p w:rsidR="004A0011" w:rsidRDefault="004A0011">
            <w:pPr>
              <w:rPr>
                <w:sz w:val="13"/>
                <w:szCs w:val="13"/>
              </w:rPr>
            </w:pPr>
          </w:p>
        </w:tc>
        <w:tc>
          <w:tcPr>
            <w:tcW w:w="480" w:type="dxa"/>
            <w:tcBorders>
              <w:bottom w:val="single" w:sz="8" w:space="0" w:color="auto"/>
            </w:tcBorders>
            <w:vAlign w:val="bottom"/>
          </w:tcPr>
          <w:p w:rsidR="004A0011" w:rsidRDefault="004A0011">
            <w:pPr>
              <w:rPr>
                <w:sz w:val="13"/>
                <w:szCs w:val="13"/>
              </w:rPr>
            </w:pPr>
          </w:p>
        </w:tc>
        <w:tc>
          <w:tcPr>
            <w:tcW w:w="320" w:type="dxa"/>
            <w:tcBorders>
              <w:bottom w:val="single" w:sz="8" w:space="0" w:color="auto"/>
            </w:tcBorders>
            <w:vAlign w:val="bottom"/>
          </w:tcPr>
          <w:p w:rsidR="004A0011" w:rsidRDefault="004A0011">
            <w:pPr>
              <w:rPr>
                <w:sz w:val="13"/>
                <w:szCs w:val="13"/>
              </w:rPr>
            </w:pPr>
          </w:p>
        </w:tc>
        <w:tc>
          <w:tcPr>
            <w:tcW w:w="100" w:type="dxa"/>
            <w:tcBorders>
              <w:bottom w:val="single" w:sz="8" w:space="0" w:color="auto"/>
            </w:tcBorders>
            <w:vAlign w:val="bottom"/>
          </w:tcPr>
          <w:p w:rsidR="004A0011" w:rsidRDefault="004A0011">
            <w:pPr>
              <w:rPr>
                <w:sz w:val="13"/>
                <w:szCs w:val="13"/>
              </w:rPr>
            </w:pPr>
          </w:p>
        </w:tc>
        <w:tc>
          <w:tcPr>
            <w:tcW w:w="220" w:type="dxa"/>
            <w:tcBorders>
              <w:bottom w:val="single" w:sz="8" w:space="0" w:color="auto"/>
            </w:tcBorders>
            <w:vAlign w:val="bottom"/>
          </w:tcPr>
          <w:p w:rsidR="004A0011" w:rsidRDefault="004A0011">
            <w:pPr>
              <w:rPr>
                <w:sz w:val="13"/>
                <w:szCs w:val="13"/>
              </w:rPr>
            </w:pPr>
          </w:p>
        </w:tc>
        <w:tc>
          <w:tcPr>
            <w:tcW w:w="420" w:type="dxa"/>
            <w:tcBorders>
              <w:bottom w:val="single" w:sz="8" w:space="0" w:color="auto"/>
            </w:tcBorders>
            <w:vAlign w:val="bottom"/>
          </w:tcPr>
          <w:p w:rsidR="004A0011" w:rsidRDefault="004A0011">
            <w:pPr>
              <w:rPr>
                <w:sz w:val="13"/>
                <w:szCs w:val="13"/>
              </w:rPr>
            </w:pPr>
          </w:p>
        </w:tc>
        <w:tc>
          <w:tcPr>
            <w:tcW w:w="660" w:type="dxa"/>
            <w:tcBorders>
              <w:bottom w:val="single" w:sz="8" w:space="0" w:color="auto"/>
            </w:tcBorders>
            <w:vAlign w:val="bottom"/>
          </w:tcPr>
          <w:p w:rsidR="004A0011" w:rsidRDefault="00D538EF">
            <w:pPr>
              <w:jc w:val="right"/>
              <w:rPr>
                <w:sz w:val="20"/>
                <w:szCs w:val="20"/>
              </w:rPr>
            </w:pPr>
            <w:r>
              <w:rPr>
                <w:rFonts w:eastAsia="Times New Roman"/>
                <w:sz w:val="12"/>
                <w:szCs w:val="12"/>
              </w:rPr>
              <w:t>2.7</w:t>
            </w:r>
          </w:p>
        </w:tc>
      </w:tr>
      <w:tr w:rsidR="004A0011">
        <w:trPr>
          <w:trHeight w:val="158"/>
        </w:trPr>
        <w:tc>
          <w:tcPr>
            <w:tcW w:w="3520" w:type="dxa"/>
            <w:tcBorders>
              <w:bottom w:val="single" w:sz="8" w:space="0" w:color="CCEEFF"/>
            </w:tcBorders>
            <w:shd w:val="clear" w:color="auto" w:fill="CCEEFF"/>
            <w:vAlign w:val="bottom"/>
          </w:tcPr>
          <w:p w:rsidR="004A0011" w:rsidRDefault="00D538EF">
            <w:pPr>
              <w:rPr>
                <w:sz w:val="20"/>
                <w:szCs w:val="20"/>
              </w:rPr>
            </w:pPr>
            <w:r>
              <w:rPr>
                <w:rFonts w:eastAsia="Times New Roman"/>
                <w:b/>
                <w:bCs/>
                <w:sz w:val="12"/>
                <w:szCs w:val="12"/>
              </w:rPr>
              <w:t>BellRing Brands segment Adjusted EBITDA, as reported by Post</w:t>
            </w:r>
          </w:p>
        </w:tc>
        <w:tc>
          <w:tcPr>
            <w:tcW w:w="2960" w:type="dxa"/>
            <w:gridSpan w:val="2"/>
            <w:tcBorders>
              <w:bottom w:val="single" w:sz="8" w:space="0" w:color="CCEEFF"/>
            </w:tcBorders>
            <w:shd w:val="clear" w:color="auto" w:fill="CCEEFF"/>
            <w:vAlign w:val="bottom"/>
          </w:tcPr>
          <w:p w:rsidR="004A0011" w:rsidRDefault="004A0011">
            <w:pPr>
              <w:rPr>
                <w:sz w:val="13"/>
                <w:szCs w:val="13"/>
              </w:rPr>
            </w:pPr>
          </w:p>
        </w:tc>
        <w:tc>
          <w:tcPr>
            <w:tcW w:w="360" w:type="dxa"/>
            <w:tcBorders>
              <w:bottom w:val="single" w:sz="8" w:space="0" w:color="auto"/>
            </w:tcBorders>
            <w:shd w:val="clear" w:color="auto" w:fill="CCEEFF"/>
            <w:vAlign w:val="bottom"/>
          </w:tcPr>
          <w:p w:rsidR="004A0011" w:rsidRDefault="00D538EF">
            <w:pPr>
              <w:ind w:right="246"/>
              <w:jc w:val="right"/>
              <w:rPr>
                <w:sz w:val="20"/>
                <w:szCs w:val="20"/>
              </w:rPr>
            </w:pPr>
            <w:r>
              <w:rPr>
                <w:rFonts w:eastAsia="Times New Roman"/>
                <w:w w:val="71"/>
                <w:sz w:val="11"/>
                <w:szCs w:val="11"/>
              </w:rPr>
              <w:t>$</w:t>
            </w:r>
          </w:p>
        </w:tc>
        <w:tc>
          <w:tcPr>
            <w:tcW w:w="240" w:type="dxa"/>
            <w:tcBorders>
              <w:bottom w:val="single" w:sz="8" w:space="0" w:color="auto"/>
            </w:tcBorders>
            <w:shd w:val="clear" w:color="auto" w:fill="CCEEFF"/>
            <w:vAlign w:val="bottom"/>
          </w:tcPr>
          <w:p w:rsidR="004A0011" w:rsidRDefault="004A0011">
            <w:pPr>
              <w:rPr>
                <w:sz w:val="13"/>
                <w:szCs w:val="13"/>
              </w:rPr>
            </w:pPr>
          </w:p>
        </w:tc>
        <w:tc>
          <w:tcPr>
            <w:tcW w:w="160" w:type="dxa"/>
            <w:tcBorders>
              <w:bottom w:val="single" w:sz="8" w:space="0" w:color="auto"/>
            </w:tcBorders>
            <w:shd w:val="clear" w:color="auto" w:fill="CCEEFF"/>
            <w:vAlign w:val="bottom"/>
          </w:tcPr>
          <w:p w:rsidR="004A0011" w:rsidRDefault="004A0011">
            <w:pPr>
              <w:rPr>
                <w:sz w:val="13"/>
                <w:szCs w:val="13"/>
              </w:rPr>
            </w:pPr>
          </w:p>
        </w:tc>
        <w:tc>
          <w:tcPr>
            <w:tcW w:w="220" w:type="dxa"/>
            <w:tcBorders>
              <w:bottom w:val="single" w:sz="8" w:space="0" w:color="auto"/>
            </w:tcBorders>
            <w:shd w:val="clear" w:color="auto" w:fill="CCEEFF"/>
            <w:vAlign w:val="bottom"/>
          </w:tcPr>
          <w:p w:rsidR="004A0011" w:rsidRDefault="004A0011">
            <w:pPr>
              <w:rPr>
                <w:sz w:val="13"/>
                <w:szCs w:val="13"/>
              </w:rPr>
            </w:pPr>
          </w:p>
        </w:tc>
        <w:tc>
          <w:tcPr>
            <w:tcW w:w="680" w:type="dxa"/>
            <w:tcBorders>
              <w:bottom w:val="single" w:sz="8" w:space="0" w:color="auto"/>
            </w:tcBorders>
            <w:shd w:val="clear" w:color="auto" w:fill="CCEEFF"/>
            <w:vAlign w:val="bottom"/>
          </w:tcPr>
          <w:p w:rsidR="004A0011" w:rsidRDefault="004A0011">
            <w:pPr>
              <w:rPr>
                <w:sz w:val="13"/>
                <w:szCs w:val="13"/>
              </w:rPr>
            </w:pPr>
          </w:p>
        </w:tc>
        <w:tc>
          <w:tcPr>
            <w:tcW w:w="540" w:type="dxa"/>
            <w:gridSpan w:val="2"/>
            <w:tcBorders>
              <w:bottom w:val="single" w:sz="8" w:space="0" w:color="auto"/>
            </w:tcBorders>
            <w:shd w:val="clear" w:color="auto" w:fill="CCEEFF"/>
            <w:vAlign w:val="bottom"/>
          </w:tcPr>
          <w:p w:rsidR="004A0011" w:rsidRDefault="00D538EF">
            <w:pPr>
              <w:ind w:right="60"/>
              <w:jc w:val="right"/>
              <w:rPr>
                <w:sz w:val="20"/>
                <w:szCs w:val="20"/>
              </w:rPr>
            </w:pPr>
            <w:r>
              <w:rPr>
                <w:rFonts w:eastAsia="Times New Roman"/>
                <w:sz w:val="12"/>
                <w:szCs w:val="12"/>
              </w:rPr>
              <w:t>46.9</w:t>
            </w:r>
          </w:p>
        </w:tc>
        <w:tc>
          <w:tcPr>
            <w:tcW w:w="180" w:type="dxa"/>
            <w:tcBorders>
              <w:bottom w:val="single" w:sz="8" w:space="0" w:color="CCEEFF"/>
            </w:tcBorders>
            <w:shd w:val="clear" w:color="auto" w:fill="CCEEFF"/>
            <w:vAlign w:val="bottom"/>
          </w:tcPr>
          <w:p w:rsidR="004A0011" w:rsidRDefault="004A0011">
            <w:pPr>
              <w:rPr>
                <w:sz w:val="13"/>
                <w:szCs w:val="13"/>
              </w:rPr>
            </w:pPr>
          </w:p>
        </w:tc>
        <w:tc>
          <w:tcPr>
            <w:tcW w:w="160" w:type="dxa"/>
            <w:tcBorders>
              <w:bottom w:val="single" w:sz="8" w:space="0" w:color="CCEEFF"/>
            </w:tcBorders>
            <w:shd w:val="clear" w:color="auto" w:fill="CCEEFF"/>
            <w:vAlign w:val="bottom"/>
          </w:tcPr>
          <w:p w:rsidR="004A0011" w:rsidRDefault="004A0011">
            <w:pPr>
              <w:rPr>
                <w:sz w:val="13"/>
                <w:szCs w:val="13"/>
              </w:rPr>
            </w:pPr>
          </w:p>
        </w:tc>
        <w:tc>
          <w:tcPr>
            <w:tcW w:w="480" w:type="dxa"/>
            <w:tcBorders>
              <w:bottom w:val="single" w:sz="8" w:space="0" w:color="auto"/>
            </w:tcBorders>
            <w:shd w:val="clear" w:color="auto" w:fill="CCEEFF"/>
            <w:vAlign w:val="bottom"/>
          </w:tcPr>
          <w:p w:rsidR="004A0011" w:rsidRDefault="00D538EF">
            <w:pPr>
              <w:ind w:right="366"/>
              <w:jc w:val="right"/>
              <w:rPr>
                <w:sz w:val="20"/>
                <w:szCs w:val="20"/>
              </w:rPr>
            </w:pPr>
            <w:r>
              <w:rPr>
                <w:rFonts w:eastAsia="Times New Roman"/>
                <w:w w:val="71"/>
                <w:sz w:val="11"/>
                <w:szCs w:val="11"/>
              </w:rPr>
              <w:t>$</w:t>
            </w:r>
          </w:p>
        </w:tc>
        <w:tc>
          <w:tcPr>
            <w:tcW w:w="320" w:type="dxa"/>
            <w:tcBorders>
              <w:bottom w:val="single" w:sz="8" w:space="0" w:color="auto"/>
            </w:tcBorders>
            <w:shd w:val="clear" w:color="auto" w:fill="CCEEFF"/>
            <w:vAlign w:val="bottom"/>
          </w:tcPr>
          <w:p w:rsidR="004A0011" w:rsidRDefault="004A0011">
            <w:pPr>
              <w:rPr>
                <w:sz w:val="13"/>
                <w:szCs w:val="13"/>
              </w:rPr>
            </w:pPr>
          </w:p>
        </w:tc>
        <w:tc>
          <w:tcPr>
            <w:tcW w:w="100" w:type="dxa"/>
            <w:tcBorders>
              <w:bottom w:val="single" w:sz="8" w:space="0" w:color="auto"/>
            </w:tcBorders>
            <w:shd w:val="clear" w:color="auto" w:fill="CCEEFF"/>
            <w:vAlign w:val="bottom"/>
          </w:tcPr>
          <w:p w:rsidR="004A0011" w:rsidRDefault="004A0011">
            <w:pPr>
              <w:rPr>
                <w:sz w:val="13"/>
                <w:szCs w:val="13"/>
              </w:rPr>
            </w:pPr>
          </w:p>
        </w:tc>
        <w:tc>
          <w:tcPr>
            <w:tcW w:w="220" w:type="dxa"/>
            <w:tcBorders>
              <w:bottom w:val="single" w:sz="8" w:space="0" w:color="auto"/>
            </w:tcBorders>
            <w:shd w:val="clear" w:color="auto" w:fill="CCEEFF"/>
            <w:vAlign w:val="bottom"/>
          </w:tcPr>
          <w:p w:rsidR="004A0011" w:rsidRDefault="004A0011">
            <w:pPr>
              <w:rPr>
                <w:sz w:val="13"/>
                <w:szCs w:val="13"/>
              </w:rPr>
            </w:pPr>
          </w:p>
        </w:tc>
        <w:tc>
          <w:tcPr>
            <w:tcW w:w="420" w:type="dxa"/>
            <w:tcBorders>
              <w:bottom w:val="single" w:sz="8" w:space="0" w:color="auto"/>
            </w:tcBorders>
            <w:shd w:val="clear" w:color="auto" w:fill="CCEEFF"/>
            <w:vAlign w:val="bottom"/>
          </w:tcPr>
          <w:p w:rsidR="004A0011" w:rsidRDefault="004A0011">
            <w:pPr>
              <w:rPr>
                <w:sz w:val="13"/>
                <w:szCs w:val="13"/>
              </w:rPr>
            </w:pPr>
          </w:p>
        </w:tc>
        <w:tc>
          <w:tcPr>
            <w:tcW w:w="660" w:type="dxa"/>
            <w:tcBorders>
              <w:bottom w:val="single" w:sz="8" w:space="0" w:color="auto"/>
            </w:tcBorders>
            <w:shd w:val="clear" w:color="auto" w:fill="CCEEFF"/>
            <w:vAlign w:val="bottom"/>
          </w:tcPr>
          <w:p w:rsidR="004A0011" w:rsidRDefault="00D538EF">
            <w:pPr>
              <w:jc w:val="right"/>
              <w:rPr>
                <w:sz w:val="20"/>
                <w:szCs w:val="20"/>
              </w:rPr>
            </w:pPr>
            <w:r>
              <w:rPr>
                <w:rFonts w:eastAsia="Times New Roman"/>
                <w:sz w:val="12"/>
                <w:szCs w:val="12"/>
              </w:rPr>
              <w:t>200.8</w:t>
            </w:r>
          </w:p>
        </w:tc>
      </w:tr>
    </w:tbl>
    <w:p w:rsidR="004A0011" w:rsidRDefault="004A0011">
      <w:pPr>
        <w:spacing w:line="160" w:lineRule="exact"/>
        <w:rPr>
          <w:sz w:val="20"/>
          <w:szCs w:val="20"/>
        </w:rPr>
      </w:pPr>
    </w:p>
    <w:p w:rsidR="004A0011" w:rsidRDefault="00D538EF">
      <w:pPr>
        <w:numPr>
          <w:ilvl w:val="0"/>
          <w:numId w:val="11"/>
        </w:numPr>
        <w:tabs>
          <w:tab w:val="left" w:pos="121"/>
        </w:tabs>
        <w:spacing w:line="225" w:lineRule="auto"/>
        <w:ind w:right="40" w:firstLine="9"/>
        <w:rPr>
          <w:rFonts w:eastAsia="Times New Roman"/>
          <w:sz w:val="14"/>
          <w:szCs w:val="14"/>
          <w:vertAlign w:val="superscript"/>
        </w:rPr>
      </w:pPr>
      <w:r>
        <w:rPr>
          <w:rFonts w:eastAsia="Times New Roman"/>
          <w:sz w:val="11"/>
          <w:szCs w:val="11"/>
        </w:rPr>
        <w:t xml:space="preserve">Allocated costs are general and administrative costs that are attributable to BellRing and </w:t>
      </w:r>
      <w:r>
        <w:rPr>
          <w:rFonts w:eastAsia="Times New Roman"/>
          <w:sz w:val="11"/>
          <w:szCs w:val="11"/>
        </w:rPr>
        <w:t>have been allocated by Post to BellRing. BellRing includes these costs in its SG&amp;A expenses and Operating Profit measures in its Consolidated Statements of Operations. Post classifies these costs as unallocated corporate expenses, which are reported by Pos</w:t>
      </w:r>
      <w:r>
        <w:rPr>
          <w:rFonts w:eastAsia="Times New Roman"/>
          <w:sz w:val="11"/>
          <w:szCs w:val="11"/>
        </w:rPr>
        <w:t>t in general corporate expenses and other. In the above presentation, these costs are shown on a net basis, as they exclude certain items which have been treated as adjustments for the calculation of Adjusted EBITDA as described earlier in this release und</w:t>
      </w:r>
      <w:r>
        <w:rPr>
          <w:rFonts w:eastAsia="Times New Roman"/>
          <w:sz w:val="11"/>
          <w:szCs w:val="11"/>
        </w:rPr>
        <w:t>er “Explanation and Reconciliation of Non-GAAP Measures.”</w:t>
      </w: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200" w:lineRule="exact"/>
        <w:rPr>
          <w:sz w:val="20"/>
          <w:szCs w:val="20"/>
        </w:rPr>
      </w:pPr>
    </w:p>
    <w:p w:rsidR="004A0011" w:rsidRDefault="004A0011">
      <w:pPr>
        <w:spacing w:line="317" w:lineRule="exact"/>
        <w:rPr>
          <w:sz w:val="20"/>
          <w:szCs w:val="20"/>
        </w:rPr>
      </w:pPr>
    </w:p>
    <w:p w:rsidR="004A0011" w:rsidRDefault="00D538EF">
      <w:pPr>
        <w:ind w:right="20"/>
        <w:jc w:val="center"/>
        <w:rPr>
          <w:sz w:val="20"/>
          <w:szCs w:val="20"/>
        </w:rPr>
      </w:pPr>
      <w:r>
        <w:rPr>
          <w:rFonts w:eastAsia="Times New Roman"/>
          <w:sz w:val="12"/>
          <w:szCs w:val="12"/>
        </w:rPr>
        <w:t>10</w:t>
      </w:r>
    </w:p>
    <w:p w:rsidR="004A0011" w:rsidRDefault="004A0011">
      <w:pPr>
        <w:sectPr w:rsidR="004A0011">
          <w:pgSz w:w="11900" w:h="16838"/>
          <w:pgMar w:top="749" w:right="339" w:bottom="1440" w:left="340" w:header="0" w:footer="0" w:gutter="0"/>
          <w:cols w:space="720" w:equalWidth="0">
            <w:col w:w="11220"/>
          </w:cols>
        </w:sectPr>
      </w:pPr>
    </w:p>
    <w:p w:rsidR="004A0011" w:rsidRDefault="00D538EF">
      <w:pPr>
        <w:jc w:val="center"/>
        <w:rPr>
          <w:sz w:val="20"/>
          <w:szCs w:val="20"/>
        </w:rPr>
      </w:pPr>
      <w:bookmarkStart w:id="14" w:name="page14"/>
      <w:bookmarkEnd w:id="14"/>
      <w:r>
        <w:rPr>
          <w:noProof/>
          <w:sz w:val="20"/>
          <w:szCs w:val="20"/>
        </w:rPr>
        <w:lastRenderedPageBreak/>
        <w:drawing>
          <wp:anchor distT="0" distB="0" distL="114300" distR="114300" simplePos="0" relativeHeight="251655680" behindDoc="1" locked="0" layoutInCell="0" allowOverlap="1">
            <wp:simplePos x="0" y="0"/>
            <wp:positionH relativeFrom="page">
              <wp:posOffset>273050</wp:posOffset>
            </wp:positionH>
            <wp:positionV relativeFrom="page">
              <wp:posOffset>271780</wp:posOffset>
            </wp:positionV>
            <wp:extent cx="7130415" cy="3781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15" w:name="page15"/>
      <w:bookmarkEnd w:id="15"/>
      <w:r>
        <w:rPr>
          <w:noProof/>
          <w:sz w:val="20"/>
          <w:szCs w:val="20"/>
        </w:rPr>
        <w:lastRenderedPageBreak/>
        <w:drawing>
          <wp:anchor distT="0" distB="0" distL="114300" distR="114300" simplePos="0" relativeHeight="251656704" behindDoc="1" locked="0" layoutInCell="0" allowOverlap="1">
            <wp:simplePos x="0" y="0"/>
            <wp:positionH relativeFrom="page">
              <wp:posOffset>273050</wp:posOffset>
            </wp:positionH>
            <wp:positionV relativeFrom="page">
              <wp:posOffset>374650</wp:posOffset>
            </wp:positionV>
            <wp:extent cx="7130415" cy="37871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blip>
                    <a:srcRect/>
                    <a:stretch>
                      <a:fillRect/>
                    </a:stretch>
                  </pic:blipFill>
                  <pic:spPr bwMode="auto">
                    <a:xfrm>
                      <a:off x="0" y="0"/>
                      <a:ext cx="7130415" cy="3787140"/>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16" w:name="page16"/>
      <w:bookmarkEnd w:id="16"/>
      <w:r>
        <w:rPr>
          <w:noProof/>
          <w:sz w:val="20"/>
          <w:szCs w:val="20"/>
        </w:rPr>
        <w:lastRenderedPageBreak/>
        <w:drawing>
          <wp:anchor distT="0" distB="0" distL="114300" distR="114300" simplePos="0" relativeHeight="251657728" behindDoc="1" locked="0" layoutInCell="0" allowOverlap="1">
            <wp:simplePos x="0" y="0"/>
            <wp:positionH relativeFrom="page">
              <wp:posOffset>273050</wp:posOffset>
            </wp:positionH>
            <wp:positionV relativeFrom="page">
              <wp:posOffset>374650</wp:posOffset>
            </wp:positionV>
            <wp:extent cx="7130415" cy="37871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blip>
                    <a:srcRect/>
                    <a:stretch>
                      <a:fillRect/>
                    </a:stretch>
                  </pic:blipFill>
                  <pic:spPr bwMode="auto">
                    <a:xfrm>
                      <a:off x="0" y="0"/>
                      <a:ext cx="7130415" cy="3787140"/>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17" w:name="page17"/>
      <w:bookmarkEnd w:id="17"/>
      <w:r>
        <w:rPr>
          <w:noProof/>
          <w:sz w:val="20"/>
          <w:szCs w:val="20"/>
        </w:rPr>
        <w:lastRenderedPageBreak/>
        <w:drawing>
          <wp:anchor distT="0" distB="0" distL="114300" distR="114300" simplePos="0" relativeHeight="251658752" behindDoc="1" locked="0" layoutInCell="0" allowOverlap="1">
            <wp:simplePos x="0" y="0"/>
            <wp:positionH relativeFrom="page">
              <wp:posOffset>273050</wp:posOffset>
            </wp:positionH>
            <wp:positionV relativeFrom="page">
              <wp:posOffset>374650</wp:posOffset>
            </wp:positionV>
            <wp:extent cx="7130415" cy="378714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blip>
                    <a:srcRect/>
                    <a:stretch>
                      <a:fillRect/>
                    </a:stretch>
                  </pic:blipFill>
                  <pic:spPr bwMode="auto">
                    <a:xfrm>
                      <a:off x="0" y="0"/>
                      <a:ext cx="7130415" cy="3787140"/>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18" w:name="page18"/>
      <w:bookmarkEnd w:id="18"/>
      <w:r>
        <w:rPr>
          <w:noProof/>
          <w:sz w:val="20"/>
          <w:szCs w:val="20"/>
        </w:rPr>
        <w:lastRenderedPageBreak/>
        <w:drawing>
          <wp:anchor distT="0" distB="0" distL="114300" distR="114300" simplePos="0" relativeHeight="251659776"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19" w:name="page19"/>
      <w:bookmarkEnd w:id="19"/>
      <w:r>
        <w:rPr>
          <w:noProof/>
          <w:sz w:val="20"/>
          <w:szCs w:val="20"/>
        </w:rPr>
        <w:lastRenderedPageBreak/>
        <w:drawing>
          <wp:anchor distT="0" distB="0" distL="114300" distR="114300" simplePos="0" relativeHeight="251660800"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0" w:name="page20"/>
      <w:bookmarkEnd w:id="20"/>
      <w:r>
        <w:rPr>
          <w:noProof/>
          <w:sz w:val="20"/>
          <w:szCs w:val="20"/>
        </w:rPr>
        <w:lastRenderedPageBreak/>
        <w:drawing>
          <wp:anchor distT="0" distB="0" distL="114300" distR="114300" simplePos="0" relativeHeight="251661824"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1" w:name="page21"/>
      <w:bookmarkEnd w:id="21"/>
      <w:r>
        <w:rPr>
          <w:noProof/>
          <w:sz w:val="20"/>
          <w:szCs w:val="20"/>
        </w:rPr>
        <w:lastRenderedPageBreak/>
        <w:drawing>
          <wp:anchor distT="0" distB="0" distL="114300" distR="114300" simplePos="0" relativeHeight="251662848"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2" w:name="page22"/>
      <w:bookmarkEnd w:id="22"/>
      <w:r>
        <w:rPr>
          <w:noProof/>
          <w:sz w:val="20"/>
          <w:szCs w:val="20"/>
        </w:rPr>
        <w:lastRenderedPageBreak/>
        <w:drawing>
          <wp:anchor distT="0" distB="0" distL="114300" distR="114300" simplePos="0" relativeHeight="251663872"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3" w:name="page23"/>
      <w:bookmarkEnd w:id="23"/>
      <w:r>
        <w:rPr>
          <w:noProof/>
          <w:sz w:val="20"/>
          <w:szCs w:val="20"/>
        </w:rPr>
        <w:lastRenderedPageBreak/>
        <w:drawing>
          <wp:anchor distT="0" distB="0" distL="114300" distR="114300" simplePos="0" relativeHeight="251664896"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4" w:name="page24"/>
      <w:bookmarkEnd w:id="24"/>
      <w:r>
        <w:rPr>
          <w:noProof/>
          <w:sz w:val="20"/>
          <w:szCs w:val="20"/>
        </w:rPr>
        <w:lastRenderedPageBreak/>
        <w:drawing>
          <wp:anchor distT="0" distB="0" distL="114300" distR="114300" simplePos="0" relativeHeight="251665920"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5" w:name="page25"/>
      <w:bookmarkEnd w:id="25"/>
      <w:r>
        <w:rPr>
          <w:noProof/>
          <w:sz w:val="20"/>
          <w:szCs w:val="20"/>
        </w:rPr>
        <w:lastRenderedPageBreak/>
        <w:drawing>
          <wp:anchor distT="0" distB="0" distL="114300" distR="114300" simplePos="0" relativeHeight="251666944"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6" w:name="page26"/>
      <w:bookmarkEnd w:id="26"/>
      <w:r>
        <w:rPr>
          <w:noProof/>
          <w:sz w:val="20"/>
          <w:szCs w:val="20"/>
        </w:rPr>
        <w:lastRenderedPageBreak/>
        <w:drawing>
          <wp:anchor distT="0" distB="0" distL="114300" distR="114300" simplePos="0" relativeHeight="251667968" behindDoc="1" locked="0" layoutInCell="0" allowOverlap="1">
            <wp:simplePos x="0" y="0"/>
            <wp:positionH relativeFrom="page">
              <wp:posOffset>273050</wp:posOffset>
            </wp:positionH>
            <wp:positionV relativeFrom="page">
              <wp:posOffset>374650</wp:posOffset>
            </wp:positionV>
            <wp:extent cx="7130415" cy="37814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blip>
                    <a:srcRect/>
                    <a:stretch>
                      <a:fillRect/>
                    </a:stretch>
                  </pic:blipFill>
                  <pic:spPr bwMode="auto">
                    <a:xfrm>
                      <a:off x="0" y="0"/>
                      <a:ext cx="7130415" cy="3781425"/>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4A0011" w:rsidRDefault="00D538EF">
      <w:pPr>
        <w:jc w:val="center"/>
        <w:rPr>
          <w:sz w:val="20"/>
          <w:szCs w:val="20"/>
        </w:rPr>
      </w:pPr>
      <w:bookmarkStart w:id="27" w:name="page27"/>
      <w:bookmarkEnd w:id="27"/>
      <w:r>
        <w:rPr>
          <w:noProof/>
          <w:sz w:val="20"/>
          <w:szCs w:val="20"/>
        </w:rPr>
        <w:lastRenderedPageBreak/>
        <w:drawing>
          <wp:anchor distT="0" distB="0" distL="114300" distR="114300" simplePos="0" relativeHeight="251668992" behindDoc="1" locked="0" layoutInCell="0" allowOverlap="1">
            <wp:simplePos x="0" y="0"/>
            <wp:positionH relativeFrom="page">
              <wp:posOffset>273050</wp:posOffset>
            </wp:positionH>
            <wp:positionV relativeFrom="page">
              <wp:posOffset>374650</wp:posOffset>
            </wp:positionV>
            <wp:extent cx="7130415" cy="37757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blip>
                    <a:srcRect/>
                    <a:stretch>
                      <a:fillRect/>
                    </a:stretch>
                  </pic:blipFill>
                  <pic:spPr bwMode="auto">
                    <a:xfrm>
                      <a:off x="0" y="0"/>
                      <a:ext cx="7130415" cy="3775710"/>
                    </a:xfrm>
                    <a:prstGeom prst="rect">
                      <a:avLst/>
                    </a:prstGeom>
                    <a:noFill/>
                  </pic:spPr>
                </pic:pic>
              </a:graphicData>
            </a:graphic>
          </wp:anchor>
        </w:drawing>
      </w:r>
    </w:p>
    <w:p w:rsidR="004A0011" w:rsidRDefault="004A0011">
      <w:pPr>
        <w:sectPr w:rsidR="004A0011">
          <w:pgSz w:w="11900" w:h="16838"/>
          <w:pgMar w:top="1440" w:right="1440" w:bottom="875" w:left="1440" w:header="0" w:footer="0" w:gutter="0"/>
          <w:cols w:space="0"/>
        </w:sectPr>
      </w:pPr>
    </w:p>
    <w:p w:rsidR="00D538EF" w:rsidRDefault="00D538EF">
      <w:bookmarkStart w:id="28" w:name="page28"/>
      <w:bookmarkEnd w:id="28"/>
    </w:p>
    <w:sectPr w:rsidR="00D538EF">
      <w:pgSz w:w="11900" w:h="16838"/>
      <w:pgMar w:top="1440" w:right="1440" w:bottom="875"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00C8451E"/>
    <w:lvl w:ilvl="0" w:tplc="186C53D0">
      <w:start w:val="1"/>
      <w:numFmt w:val="decimal"/>
      <w:lvlText w:val="(%1)"/>
      <w:lvlJc w:val="left"/>
    </w:lvl>
    <w:lvl w:ilvl="1" w:tplc="B43CD2C2">
      <w:numFmt w:val="decimal"/>
      <w:lvlText w:val=""/>
      <w:lvlJc w:val="left"/>
    </w:lvl>
    <w:lvl w:ilvl="2" w:tplc="088E90A8">
      <w:numFmt w:val="decimal"/>
      <w:lvlText w:val=""/>
      <w:lvlJc w:val="left"/>
    </w:lvl>
    <w:lvl w:ilvl="3" w:tplc="1440342C">
      <w:numFmt w:val="decimal"/>
      <w:lvlText w:val=""/>
      <w:lvlJc w:val="left"/>
    </w:lvl>
    <w:lvl w:ilvl="4" w:tplc="E0A00780">
      <w:numFmt w:val="decimal"/>
      <w:lvlText w:val=""/>
      <w:lvlJc w:val="left"/>
    </w:lvl>
    <w:lvl w:ilvl="5" w:tplc="19D8C7AA">
      <w:numFmt w:val="decimal"/>
      <w:lvlText w:val=""/>
      <w:lvlJc w:val="left"/>
    </w:lvl>
    <w:lvl w:ilvl="6" w:tplc="6C5460F0">
      <w:numFmt w:val="decimal"/>
      <w:lvlText w:val=""/>
      <w:lvlJc w:val="left"/>
    </w:lvl>
    <w:lvl w:ilvl="7" w:tplc="5B8A347A">
      <w:numFmt w:val="decimal"/>
      <w:lvlText w:val=""/>
      <w:lvlJc w:val="left"/>
    </w:lvl>
    <w:lvl w:ilvl="8" w:tplc="B4F81820">
      <w:numFmt w:val="decimal"/>
      <w:lvlText w:val=""/>
      <w:lvlJc w:val="left"/>
    </w:lvl>
  </w:abstractNum>
  <w:abstractNum w:abstractNumId="1" w15:restartNumberingAfterBreak="0">
    <w:nsid w:val="12200854"/>
    <w:multiLevelType w:val="hybridMultilevel"/>
    <w:tmpl w:val="60B8E298"/>
    <w:lvl w:ilvl="0" w:tplc="603AF572">
      <w:start w:val="4"/>
      <w:numFmt w:val="lowerLetter"/>
      <w:lvlText w:val="%1."/>
      <w:lvlJc w:val="left"/>
    </w:lvl>
    <w:lvl w:ilvl="1" w:tplc="E2C2E222">
      <w:numFmt w:val="decimal"/>
      <w:lvlText w:val=""/>
      <w:lvlJc w:val="left"/>
    </w:lvl>
    <w:lvl w:ilvl="2" w:tplc="C8946230">
      <w:numFmt w:val="decimal"/>
      <w:lvlText w:val=""/>
      <w:lvlJc w:val="left"/>
    </w:lvl>
    <w:lvl w:ilvl="3" w:tplc="29D054D4">
      <w:numFmt w:val="decimal"/>
      <w:lvlText w:val=""/>
      <w:lvlJc w:val="left"/>
    </w:lvl>
    <w:lvl w:ilvl="4" w:tplc="9ED28154">
      <w:numFmt w:val="decimal"/>
      <w:lvlText w:val=""/>
      <w:lvlJc w:val="left"/>
    </w:lvl>
    <w:lvl w:ilvl="5" w:tplc="18B89AA2">
      <w:numFmt w:val="decimal"/>
      <w:lvlText w:val=""/>
      <w:lvlJc w:val="left"/>
    </w:lvl>
    <w:lvl w:ilvl="6" w:tplc="AAD42BD6">
      <w:numFmt w:val="decimal"/>
      <w:lvlText w:val=""/>
      <w:lvlJc w:val="left"/>
    </w:lvl>
    <w:lvl w:ilvl="7" w:tplc="312E3EE2">
      <w:numFmt w:val="decimal"/>
      <w:lvlText w:val=""/>
      <w:lvlJc w:val="left"/>
    </w:lvl>
    <w:lvl w:ilvl="8" w:tplc="BB788BD6">
      <w:numFmt w:val="decimal"/>
      <w:lvlText w:val=""/>
      <w:lvlJc w:val="left"/>
    </w:lvl>
  </w:abstractNum>
  <w:abstractNum w:abstractNumId="2" w15:restartNumberingAfterBreak="0">
    <w:nsid w:val="1F16E9E8"/>
    <w:multiLevelType w:val="hybridMultilevel"/>
    <w:tmpl w:val="C2082A9C"/>
    <w:lvl w:ilvl="0" w:tplc="ED6A805A">
      <w:start w:val="1"/>
      <w:numFmt w:val="decimal"/>
      <w:lvlText w:val="(%1)"/>
      <w:lvlJc w:val="left"/>
    </w:lvl>
    <w:lvl w:ilvl="1" w:tplc="5A108B1C">
      <w:numFmt w:val="decimal"/>
      <w:lvlText w:val=""/>
      <w:lvlJc w:val="left"/>
    </w:lvl>
    <w:lvl w:ilvl="2" w:tplc="2B12AD56">
      <w:numFmt w:val="decimal"/>
      <w:lvlText w:val=""/>
      <w:lvlJc w:val="left"/>
    </w:lvl>
    <w:lvl w:ilvl="3" w:tplc="31D2D244">
      <w:numFmt w:val="decimal"/>
      <w:lvlText w:val=""/>
      <w:lvlJc w:val="left"/>
    </w:lvl>
    <w:lvl w:ilvl="4" w:tplc="F96A037C">
      <w:numFmt w:val="decimal"/>
      <w:lvlText w:val=""/>
      <w:lvlJc w:val="left"/>
    </w:lvl>
    <w:lvl w:ilvl="5" w:tplc="F9FA9F4E">
      <w:numFmt w:val="decimal"/>
      <w:lvlText w:val=""/>
      <w:lvlJc w:val="left"/>
    </w:lvl>
    <w:lvl w:ilvl="6" w:tplc="F6A6EE8C">
      <w:numFmt w:val="decimal"/>
      <w:lvlText w:val=""/>
      <w:lvlJc w:val="left"/>
    </w:lvl>
    <w:lvl w:ilvl="7" w:tplc="21F8AAAA">
      <w:numFmt w:val="decimal"/>
      <w:lvlText w:val=""/>
      <w:lvlJc w:val="left"/>
    </w:lvl>
    <w:lvl w:ilvl="8" w:tplc="EA9E2C98">
      <w:numFmt w:val="decimal"/>
      <w:lvlText w:val=""/>
      <w:lvlJc w:val="left"/>
    </w:lvl>
  </w:abstractNum>
  <w:abstractNum w:abstractNumId="3" w15:restartNumberingAfterBreak="0">
    <w:nsid w:val="2EB141F2"/>
    <w:multiLevelType w:val="hybridMultilevel"/>
    <w:tmpl w:val="14EE2FB2"/>
    <w:lvl w:ilvl="0" w:tplc="3F88D380">
      <w:start w:val="1"/>
      <w:numFmt w:val="bullet"/>
      <w:lvlText w:val="•"/>
      <w:lvlJc w:val="left"/>
    </w:lvl>
    <w:lvl w:ilvl="1" w:tplc="62E8FAE2">
      <w:numFmt w:val="decimal"/>
      <w:lvlText w:val=""/>
      <w:lvlJc w:val="left"/>
    </w:lvl>
    <w:lvl w:ilvl="2" w:tplc="543C1DDC">
      <w:numFmt w:val="decimal"/>
      <w:lvlText w:val=""/>
      <w:lvlJc w:val="left"/>
    </w:lvl>
    <w:lvl w:ilvl="3" w:tplc="CC3476DC">
      <w:numFmt w:val="decimal"/>
      <w:lvlText w:val=""/>
      <w:lvlJc w:val="left"/>
    </w:lvl>
    <w:lvl w:ilvl="4" w:tplc="5C08F6AC">
      <w:numFmt w:val="decimal"/>
      <w:lvlText w:val=""/>
      <w:lvlJc w:val="left"/>
    </w:lvl>
    <w:lvl w:ilvl="5" w:tplc="BF443F7E">
      <w:numFmt w:val="decimal"/>
      <w:lvlText w:val=""/>
      <w:lvlJc w:val="left"/>
    </w:lvl>
    <w:lvl w:ilvl="6" w:tplc="561CFFCC">
      <w:numFmt w:val="decimal"/>
      <w:lvlText w:val=""/>
      <w:lvlJc w:val="left"/>
    </w:lvl>
    <w:lvl w:ilvl="7" w:tplc="BBCE6CFE">
      <w:numFmt w:val="decimal"/>
      <w:lvlText w:val=""/>
      <w:lvlJc w:val="left"/>
    </w:lvl>
    <w:lvl w:ilvl="8" w:tplc="E2CA0766">
      <w:numFmt w:val="decimal"/>
      <w:lvlText w:val=""/>
      <w:lvlJc w:val="left"/>
    </w:lvl>
  </w:abstractNum>
  <w:abstractNum w:abstractNumId="4" w15:restartNumberingAfterBreak="0">
    <w:nsid w:val="41B71EFB"/>
    <w:multiLevelType w:val="hybridMultilevel"/>
    <w:tmpl w:val="3D54405C"/>
    <w:lvl w:ilvl="0" w:tplc="5F24524C">
      <w:start w:val="1"/>
      <w:numFmt w:val="bullet"/>
      <w:lvlText w:val="•"/>
      <w:lvlJc w:val="left"/>
    </w:lvl>
    <w:lvl w:ilvl="1" w:tplc="A3F20B64">
      <w:numFmt w:val="decimal"/>
      <w:lvlText w:val=""/>
      <w:lvlJc w:val="left"/>
    </w:lvl>
    <w:lvl w:ilvl="2" w:tplc="66D8ED2A">
      <w:numFmt w:val="decimal"/>
      <w:lvlText w:val=""/>
      <w:lvlJc w:val="left"/>
    </w:lvl>
    <w:lvl w:ilvl="3" w:tplc="FE7438FC">
      <w:numFmt w:val="decimal"/>
      <w:lvlText w:val=""/>
      <w:lvlJc w:val="left"/>
    </w:lvl>
    <w:lvl w:ilvl="4" w:tplc="9460A40C">
      <w:numFmt w:val="decimal"/>
      <w:lvlText w:val=""/>
      <w:lvlJc w:val="left"/>
    </w:lvl>
    <w:lvl w:ilvl="5" w:tplc="E6169B80">
      <w:numFmt w:val="decimal"/>
      <w:lvlText w:val=""/>
      <w:lvlJc w:val="left"/>
    </w:lvl>
    <w:lvl w:ilvl="6" w:tplc="E4202166">
      <w:numFmt w:val="decimal"/>
      <w:lvlText w:val=""/>
      <w:lvlJc w:val="left"/>
    </w:lvl>
    <w:lvl w:ilvl="7" w:tplc="B5F869DC">
      <w:numFmt w:val="decimal"/>
      <w:lvlText w:val=""/>
      <w:lvlJc w:val="left"/>
    </w:lvl>
    <w:lvl w:ilvl="8" w:tplc="A864A0D6">
      <w:numFmt w:val="decimal"/>
      <w:lvlText w:val=""/>
      <w:lvlJc w:val="left"/>
    </w:lvl>
  </w:abstractNum>
  <w:abstractNum w:abstractNumId="5" w15:restartNumberingAfterBreak="0">
    <w:nsid w:val="4DB127F8"/>
    <w:multiLevelType w:val="hybridMultilevel"/>
    <w:tmpl w:val="29C6F41A"/>
    <w:lvl w:ilvl="0" w:tplc="2E6A2322">
      <w:start w:val="1"/>
      <w:numFmt w:val="decimal"/>
      <w:lvlText w:val="(%1)"/>
      <w:lvlJc w:val="left"/>
    </w:lvl>
    <w:lvl w:ilvl="1" w:tplc="512A0A76">
      <w:numFmt w:val="decimal"/>
      <w:lvlText w:val=""/>
      <w:lvlJc w:val="left"/>
    </w:lvl>
    <w:lvl w:ilvl="2" w:tplc="D2884200">
      <w:numFmt w:val="decimal"/>
      <w:lvlText w:val=""/>
      <w:lvlJc w:val="left"/>
    </w:lvl>
    <w:lvl w:ilvl="3" w:tplc="7C16BED4">
      <w:numFmt w:val="decimal"/>
      <w:lvlText w:val=""/>
      <w:lvlJc w:val="left"/>
    </w:lvl>
    <w:lvl w:ilvl="4" w:tplc="7CB4A10E">
      <w:numFmt w:val="decimal"/>
      <w:lvlText w:val=""/>
      <w:lvlJc w:val="left"/>
    </w:lvl>
    <w:lvl w:ilvl="5" w:tplc="009A6FFE">
      <w:numFmt w:val="decimal"/>
      <w:lvlText w:val=""/>
      <w:lvlJc w:val="left"/>
    </w:lvl>
    <w:lvl w:ilvl="6" w:tplc="CDAA77AA">
      <w:numFmt w:val="decimal"/>
      <w:lvlText w:val=""/>
      <w:lvlJc w:val="left"/>
    </w:lvl>
    <w:lvl w:ilvl="7" w:tplc="45BCBC90">
      <w:numFmt w:val="decimal"/>
      <w:lvlText w:val=""/>
      <w:lvlJc w:val="left"/>
    </w:lvl>
    <w:lvl w:ilvl="8" w:tplc="7B40AE16">
      <w:numFmt w:val="decimal"/>
      <w:lvlText w:val=""/>
      <w:lvlJc w:val="left"/>
    </w:lvl>
  </w:abstractNum>
  <w:abstractNum w:abstractNumId="6" w15:restartNumberingAfterBreak="0">
    <w:nsid w:val="507ED7AB"/>
    <w:multiLevelType w:val="hybridMultilevel"/>
    <w:tmpl w:val="764CE7B4"/>
    <w:lvl w:ilvl="0" w:tplc="8202E46E">
      <w:start w:val="1"/>
      <w:numFmt w:val="bullet"/>
      <w:lvlText w:val="☐"/>
      <w:lvlJc w:val="left"/>
    </w:lvl>
    <w:lvl w:ilvl="1" w:tplc="0EF2B38E">
      <w:numFmt w:val="decimal"/>
      <w:lvlText w:val=""/>
      <w:lvlJc w:val="left"/>
    </w:lvl>
    <w:lvl w:ilvl="2" w:tplc="E67E0E34">
      <w:numFmt w:val="decimal"/>
      <w:lvlText w:val=""/>
      <w:lvlJc w:val="left"/>
    </w:lvl>
    <w:lvl w:ilvl="3" w:tplc="4948C1E4">
      <w:numFmt w:val="decimal"/>
      <w:lvlText w:val=""/>
      <w:lvlJc w:val="left"/>
    </w:lvl>
    <w:lvl w:ilvl="4" w:tplc="B8C4CA7A">
      <w:numFmt w:val="decimal"/>
      <w:lvlText w:val=""/>
      <w:lvlJc w:val="left"/>
    </w:lvl>
    <w:lvl w:ilvl="5" w:tplc="5708452E">
      <w:numFmt w:val="decimal"/>
      <w:lvlText w:val=""/>
      <w:lvlJc w:val="left"/>
    </w:lvl>
    <w:lvl w:ilvl="6" w:tplc="4594A722">
      <w:numFmt w:val="decimal"/>
      <w:lvlText w:val=""/>
      <w:lvlJc w:val="left"/>
    </w:lvl>
    <w:lvl w:ilvl="7" w:tplc="51A24608">
      <w:numFmt w:val="decimal"/>
      <w:lvlText w:val=""/>
      <w:lvlJc w:val="left"/>
    </w:lvl>
    <w:lvl w:ilvl="8" w:tplc="225EDCDA">
      <w:numFmt w:val="decimal"/>
      <w:lvlText w:val=""/>
      <w:lvlJc w:val="left"/>
    </w:lvl>
  </w:abstractNum>
  <w:abstractNum w:abstractNumId="7" w15:restartNumberingAfterBreak="0">
    <w:nsid w:val="515F007C"/>
    <w:multiLevelType w:val="hybridMultilevel"/>
    <w:tmpl w:val="62B41256"/>
    <w:lvl w:ilvl="0" w:tplc="AD540248">
      <w:start w:val="1"/>
      <w:numFmt w:val="decimal"/>
      <w:lvlText w:val="(%1)"/>
      <w:lvlJc w:val="left"/>
    </w:lvl>
    <w:lvl w:ilvl="1" w:tplc="D3AADDF0">
      <w:numFmt w:val="decimal"/>
      <w:lvlText w:val=""/>
      <w:lvlJc w:val="left"/>
    </w:lvl>
    <w:lvl w:ilvl="2" w:tplc="C3F4E6BA">
      <w:numFmt w:val="decimal"/>
      <w:lvlText w:val=""/>
      <w:lvlJc w:val="left"/>
    </w:lvl>
    <w:lvl w:ilvl="3" w:tplc="31BC62B4">
      <w:numFmt w:val="decimal"/>
      <w:lvlText w:val=""/>
      <w:lvlJc w:val="left"/>
    </w:lvl>
    <w:lvl w:ilvl="4" w:tplc="1CC4CB24">
      <w:numFmt w:val="decimal"/>
      <w:lvlText w:val=""/>
      <w:lvlJc w:val="left"/>
    </w:lvl>
    <w:lvl w:ilvl="5" w:tplc="D7685B50">
      <w:numFmt w:val="decimal"/>
      <w:lvlText w:val=""/>
      <w:lvlJc w:val="left"/>
    </w:lvl>
    <w:lvl w:ilvl="6" w:tplc="6010C36E">
      <w:numFmt w:val="decimal"/>
      <w:lvlText w:val=""/>
      <w:lvlJc w:val="left"/>
    </w:lvl>
    <w:lvl w:ilvl="7" w:tplc="05561E98">
      <w:numFmt w:val="decimal"/>
      <w:lvlText w:val=""/>
      <w:lvlJc w:val="left"/>
    </w:lvl>
    <w:lvl w:ilvl="8" w:tplc="1F2885D4">
      <w:numFmt w:val="decimal"/>
      <w:lvlText w:val=""/>
      <w:lvlJc w:val="left"/>
    </w:lvl>
  </w:abstractNum>
  <w:abstractNum w:abstractNumId="8" w15:restartNumberingAfterBreak="0">
    <w:nsid w:val="5BD062C2"/>
    <w:multiLevelType w:val="hybridMultilevel"/>
    <w:tmpl w:val="BE0C884C"/>
    <w:lvl w:ilvl="0" w:tplc="4878AAFC">
      <w:start w:val="1"/>
      <w:numFmt w:val="lowerLetter"/>
      <w:lvlText w:val="%1."/>
      <w:lvlJc w:val="left"/>
    </w:lvl>
    <w:lvl w:ilvl="1" w:tplc="340E8D2A">
      <w:numFmt w:val="decimal"/>
      <w:lvlText w:val=""/>
      <w:lvlJc w:val="left"/>
    </w:lvl>
    <w:lvl w:ilvl="2" w:tplc="27986ADE">
      <w:numFmt w:val="decimal"/>
      <w:lvlText w:val=""/>
      <w:lvlJc w:val="left"/>
    </w:lvl>
    <w:lvl w:ilvl="3" w:tplc="3FD2D0C0">
      <w:numFmt w:val="decimal"/>
      <w:lvlText w:val=""/>
      <w:lvlJc w:val="left"/>
    </w:lvl>
    <w:lvl w:ilvl="4" w:tplc="D054E2E4">
      <w:numFmt w:val="decimal"/>
      <w:lvlText w:val=""/>
      <w:lvlJc w:val="left"/>
    </w:lvl>
    <w:lvl w:ilvl="5" w:tplc="E3E46390">
      <w:numFmt w:val="decimal"/>
      <w:lvlText w:val=""/>
      <w:lvlJc w:val="left"/>
    </w:lvl>
    <w:lvl w:ilvl="6" w:tplc="EF682DE4">
      <w:numFmt w:val="decimal"/>
      <w:lvlText w:val=""/>
      <w:lvlJc w:val="left"/>
    </w:lvl>
    <w:lvl w:ilvl="7" w:tplc="03AE98B4">
      <w:numFmt w:val="decimal"/>
      <w:lvlText w:val=""/>
      <w:lvlJc w:val="left"/>
    </w:lvl>
    <w:lvl w:ilvl="8" w:tplc="B0402636">
      <w:numFmt w:val="decimal"/>
      <w:lvlText w:val=""/>
      <w:lvlJc w:val="left"/>
    </w:lvl>
  </w:abstractNum>
  <w:abstractNum w:abstractNumId="9" w15:restartNumberingAfterBreak="0">
    <w:nsid w:val="7545E146"/>
    <w:multiLevelType w:val="hybridMultilevel"/>
    <w:tmpl w:val="B3CE7AAE"/>
    <w:lvl w:ilvl="0" w:tplc="C6065784">
      <w:start w:val="1"/>
      <w:numFmt w:val="bullet"/>
      <w:lvlText w:val="•"/>
      <w:lvlJc w:val="left"/>
    </w:lvl>
    <w:lvl w:ilvl="1" w:tplc="E48A030A">
      <w:numFmt w:val="decimal"/>
      <w:lvlText w:val=""/>
      <w:lvlJc w:val="left"/>
    </w:lvl>
    <w:lvl w:ilvl="2" w:tplc="DF020FAC">
      <w:numFmt w:val="decimal"/>
      <w:lvlText w:val=""/>
      <w:lvlJc w:val="left"/>
    </w:lvl>
    <w:lvl w:ilvl="3" w:tplc="B5502DEE">
      <w:numFmt w:val="decimal"/>
      <w:lvlText w:val=""/>
      <w:lvlJc w:val="left"/>
    </w:lvl>
    <w:lvl w:ilvl="4" w:tplc="775447FA">
      <w:numFmt w:val="decimal"/>
      <w:lvlText w:val=""/>
      <w:lvlJc w:val="left"/>
    </w:lvl>
    <w:lvl w:ilvl="5" w:tplc="D3ACFDAE">
      <w:numFmt w:val="decimal"/>
      <w:lvlText w:val=""/>
      <w:lvlJc w:val="left"/>
    </w:lvl>
    <w:lvl w:ilvl="6" w:tplc="7ECE1B50">
      <w:numFmt w:val="decimal"/>
      <w:lvlText w:val=""/>
      <w:lvlJc w:val="left"/>
    </w:lvl>
    <w:lvl w:ilvl="7" w:tplc="111CD492">
      <w:numFmt w:val="decimal"/>
      <w:lvlText w:val=""/>
      <w:lvlJc w:val="left"/>
    </w:lvl>
    <w:lvl w:ilvl="8" w:tplc="A03A5BF0">
      <w:numFmt w:val="decimal"/>
      <w:lvlText w:val=""/>
      <w:lvlJc w:val="left"/>
    </w:lvl>
  </w:abstractNum>
  <w:abstractNum w:abstractNumId="10" w15:restartNumberingAfterBreak="0">
    <w:nsid w:val="79E2A9E3"/>
    <w:multiLevelType w:val="hybridMultilevel"/>
    <w:tmpl w:val="E3387A38"/>
    <w:lvl w:ilvl="0" w:tplc="53148AE4">
      <w:start w:val="1"/>
      <w:numFmt w:val="bullet"/>
      <w:lvlText w:val="•"/>
      <w:lvlJc w:val="left"/>
    </w:lvl>
    <w:lvl w:ilvl="1" w:tplc="B600B6D2">
      <w:numFmt w:val="decimal"/>
      <w:lvlText w:val=""/>
      <w:lvlJc w:val="left"/>
    </w:lvl>
    <w:lvl w:ilvl="2" w:tplc="0A967230">
      <w:numFmt w:val="decimal"/>
      <w:lvlText w:val=""/>
      <w:lvlJc w:val="left"/>
    </w:lvl>
    <w:lvl w:ilvl="3" w:tplc="31B0BB3E">
      <w:numFmt w:val="decimal"/>
      <w:lvlText w:val=""/>
      <w:lvlJc w:val="left"/>
    </w:lvl>
    <w:lvl w:ilvl="4" w:tplc="E6DAFACE">
      <w:numFmt w:val="decimal"/>
      <w:lvlText w:val=""/>
      <w:lvlJc w:val="left"/>
    </w:lvl>
    <w:lvl w:ilvl="5" w:tplc="5E9C0580">
      <w:numFmt w:val="decimal"/>
      <w:lvlText w:val=""/>
      <w:lvlJc w:val="left"/>
    </w:lvl>
    <w:lvl w:ilvl="6" w:tplc="437AFC90">
      <w:numFmt w:val="decimal"/>
      <w:lvlText w:val=""/>
      <w:lvlJc w:val="left"/>
    </w:lvl>
    <w:lvl w:ilvl="7" w:tplc="C8B095EA">
      <w:numFmt w:val="decimal"/>
      <w:lvlText w:val=""/>
      <w:lvlJc w:val="left"/>
    </w:lvl>
    <w:lvl w:ilvl="8" w:tplc="B50ABAC6">
      <w:numFmt w:val="decimal"/>
      <w:lvlText w:val=""/>
      <w:lvlJc w:val="left"/>
    </w:lvl>
  </w:abstractNum>
  <w:num w:numId="1">
    <w:abstractNumId w:val="6"/>
  </w:num>
  <w:num w:numId="2">
    <w:abstractNumId w:val="3"/>
  </w:num>
  <w:num w:numId="3">
    <w:abstractNumId w:val="4"/>
  </w:num>
  <w:num w:numId="4">
    <w:abstractNumId w:val="10"/>
  </w:num>
  <w:num w:numId="5">
    <w:abstractNumId w:val="9"/>
  </w:num>
  <w:num w:numId="6">
    <w:abstractNumId w:val="7"/>
  </w:num>
  <w:num w:numId="7">
    <w:abstractNumId w:val="8"/>
  </w:num>
  <w:num w:numId="8">
    <w:abstractNumId w:val="1"/>
  </w:num>
  <w:num w:numId="9">
    <w:abstractNumId w:val="5"/>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011"/>
    <w:rsid w:val="004A0011"/>
    <w:rsid w:val="008A4AE6"/>
    <w:rsid w:val="00D5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AACB0C-0781-4C4E-B79F-B5039582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6189</Words>
  <Characters>35281</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Dela cruz, John patrick M.</cp:lastModifiedBy>
  <cp:revision>2</cp:revision>
  <dcterms:created xsi:type="dcterms:W3CDTF">2020-11-20T12:58:00Z</dcterms:created>
  <dcterms:modified xsi:type="dcterms:W3CDTF">2020-11-20T12:58:00Z</dcterms:modified>
</cp:coreProperties>
</file>