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26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62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62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6"/>
          <w:szCs w:val="36"/>
          <w:b w:val="1"/>
          <w:bCs w:val="1"/>
          <w:color w:val="auto"/>
        </w:rPr>
        <w:t>BellRing Brands, Inc.</w:t>
      </w:r>
    </w:p>
    <w:p>
      <w:pPr>
        <w:spacing w:after="0" w:line="1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440" w:right="499" w:bottom="1440" w:gutter="0" w:footer="0" w:header="0"/>
        </w:sectPr>
      </w:pPr>
    </w:p>
    <w:p>
      <w:pPr>
        <w:spacing w:after="0" w:line="4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9"/>
          <w:szCs w:val="19"/>
          <w:b w:val="1"/>
          <w:bCs w:val="1"/>
          <w:color w:val="auto"/>
        </w:rPr>
        <w:t>001-39093</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9"/>
          <w:szCs w:val="19"/>
          <w:b w:val="1"/>
          <w:bCs w:val="1"/>
          <w:color w:val="auto"/>
        </w:rPr>
        <w:t>83-4096323</w:t>
      </w:r>
    </w:p>
    <w:p>
      <w:pPr>
        <w:spacing w:after="0" w:line="44" w:lineRule="exact"/>
        <w:rPr>
          <w:sz w:val="24"/>
          <w:szCs w:val="24"/>
          <w:color w:val="auto"/>
        </w:rPr>
      </w:pPr>
    </w:p>
    <w:p>
      <w:pPr>
        <w:sectPr>
          <w:pgSz w:w="11900" w:h="16838" w:orient="portrait"/>
          <w:cols w:equalWidth="0" w:num="3">
            <w:col w:w="3780" w:space="720"/>
            <w:col w:w="2540" w:space="720"/>
            <w:col w:w="3320"/>
          </w:cols>
          <w:pgMar w:left="320" w:top="1440" w:right="49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220" w:space="720"/>
            <w:col w:w="2340" w:space="720"/>
            <w:col w:w="4080"/>
          </w:cols>
          <w:pgMar w:left="320" w:top="1440" w:right="499" w:bottom="1440" w:gutter="0" w:footer="0" w:header="0"/>
          <w:type w:val="continuous"/>
        </w:sectPr>
      </w:pPr>
    </w:p>
    <w:p>
      <w:pPr>
        <w:spacing w:after="0" w:line="15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9"/>
          <w:szCs w:val="19"/>
          <w:b w:val="1"/>
          <w:bCs w:val="1"/>
          <w:color w:val="auto"/>
        </w:rPr>
        <w:t>2503 S. Hanley Road</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 Louis</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Missouri</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63144</w:t>
      </w:r>
    </w:p>
    <w:p>
      <w:pPr>
        <w:spacing w:after="0" w:line="32" w:lineRule="exact"/>
        <w:rPr>
          <w:sz w:val="24"/>
          <w:szCs w:val="24"/>
          <w:color w:val="auto"/>
        </w:rPr>
      </w:pPr>
    </w:p>
    <w:p>
      <w:pPr>
        <w:sectPr>
          <w:pgSz w:w="11900" w:h="16838" w:orient="portrait"/>
          <w:cols w:equalWidth="0" w:num="4">
            <w:col w:w="3080" w:space="720"/>
            <w:col w:w="940" w:space="720"/>
            <w:col w:w="1800" w:space="720"/>
            <w:col w:w="3100"/>
          </w:cols>
          <w:pgMar w:left="320" w:top="1440" w:right="49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122" w:lineRule="exact"/>
        <w:rPr>
          <w:sz w:val="24"/>
          <w:szCs w:val="24"/>
          <w:color w:val="auto"/>
        </w:rPr>
      </w:pPr>
    </w:p>
    <w:p>
      <w:pPr>
        <w:sectPr>
          <w:pgSz w:w="11900" w:h="16838" w:orient="portrait"/>
          <w:cols w:equalWidth="0" w:num="2">
            <w:col w:w="7120" w:space="720"/>
            <w:col w:w="3240"/>
          </w:cols>
          <w:pgMar w:left="320" w:top="1440"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9"/>
          <w:szCs w:val="19"/>
          <w:b w:val="1"/>
          <w:bCs w:val="1"/>
          <w:color w:val="auto"/>
        </w:rPr>
        <w:t>(314) 644-7600</w:t>
      </w:r>
    </w:p>
    <w:p>
      <w:pPr>
        <w:spacing w:after="0" w:line="1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68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196"/>
        </w:trPr>
        <w:tc>
          <w:tcPr>
            <w:tcW w:w="3720" w:type="dxa"/>
            <w:vAlign w:val="bottom"/>
            <w:gridSpan w:val="3"/>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Class A Common Stock, $0.01 par value per</w:t>
            </w:r>
          </w:p>
        </w:tc>
        <w:tc>
          <w:tcPr>
            <w:tcW w:w="340" w:type="dxa"/>
            <w:vAlign w:val="bottom"/>
          </w:tcPr>
          <w:p>
            <w:pPr>
              <w:spacing w:after="0"/>
              <w:rPr>
                <w:sz w:val="17"/>
                <w:szCs w:val="17"/>
                <w:color w:val="auto"/>
              </w:rPr>
            </w:pPr>
          </w:p>
        </w:tc>
        <w:tc>
          <w:tcPr>
            <w:tcW w:w="1780" w:type="dxa"/>
            <w:vAlign w:val="bottom"/>
            <w:gridSpan w:val="2"/>
          </w:tcPr>
          <w:p>
            <w:pPr>
              <w:jc w:val="center"/>
              <w:ind w:right="4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BRBR</w:t>
            </w:r>
          </w:p>
        </w:tc>
        <w:tc>
          <w:tcPr>
            <w:tcW w:w="400" w:type="dxa"/>
            <w:vAlign w:val="bottom"/>
          </w:tcPr>
          <w:p>
            <w:pPr>
              <w:spacing w:after="0"/>
              <w:rPr>
                <w:sz w:val="17"/>
                <w:szCs w:val="17"/>
                <w:color w:val="auto"/>
              </w:rPr>
            </w:pPr>
          </w:p>
        </w:tc>
        <w:tc>
          <w:tcPr>
            <w:tcW w:w="3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1040" w:type="dxa"/>
            <w:vAlign w:val="bottom"/>
          </w:tcPr>
          <w:p>
            <w:pPr>
              <w:spacing w:after="0"/>
              <w:rPr>
                <w:sz w:val="20"/>
                <w:szCs w:val="20"/>
                <w:color w:val="auto"/>
              </w:rPr>
            </w:pPr>
          </w:p>
        </w:tc>
        <w:tc>
          <w:tcPr>
            <w:tcW w:w="268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81"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219710</wp:posOffset>
            </wp:positionV>
            <wp:extent cx="6026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245110</wp:posOffset>
            </wp:positionV>
            <wp:extent cx="6026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BellRing Brands, Inc. is filing an amendment to its Current Report on Form 8-K filed with the Securities and Exchange Commission on November 12, 2020 (the “Original Filing”) solely for the purpose of correcting the hyperlink to Exhibit 99.1 contained in Item 9.01 of the Original Filing. The full text of the Original Filing is repeated in this Amendment for convenience, but has not been modified from the text of the Original Filing except solely to correct the hyperlink described above.</w:t>
      </w:r>
    </w:p>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On November 12, 2020, the Board of Directors (the “Board”) of BellRing Brands, Inc. (the “Company”) approved, effective November 12, 2020 (the “Effective Date”), a $60 million share repurchase authorization over a two-year period beginning on the Effective Date. Repurchases may be made from time to time in the open market, private purchases, through forward, derivative, alternative, accelerated repurchase or automatic purchase transactions, or otherwise. The authorization does not, however, obligate the Company to acquire any particular amount of shares, and repurchases may be suspended or terminated at any time at the Company’s discretion. A press release announcing the approval of the share repurchase authorization is attached as Exhibit 99.1 to this Current Report on Form 8-K and is incorporated herein by reference. The amount and timing of repurchases are subject to a variety of factors including liquidity, share price, market conditions and legal requirements.</w:t>
      </w:r>
    </w:p>
    <w:p>
      <w:pPr>
        <w:spacing w:after="0" w:line="20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00" w:type="dxa"/>
            <w:vAlign w:val="bottom"/>
          </w:tcPr>
          <w:p>
            <w:pPr>
              <w:spacing w:after="0"/>
              <w:rPr>
                <w:sz w:val="24"/>
                <w:szCs w:val="24"/>
                <w:color w:val="auto"/>
              </w:rPr>
            </w:pPr>
          </w:p>
        </w:tc>
        <w:tc>
          <w:tcPr>
            <w:tcW w:w="9680" w:type="dxa"/>
            <w:vAlign w:val="bottom"/>
            <w:gridSpan w:val="3"/>
          </w:tcPr>
          <w:p>
            <w:pPr>
              <w:ind w:left="70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dated November 12, 2020</w:t>
              </w:r>
            </w:hyperlink>
          </w:p>
        </w:tc>
      </w:tr>
      <w:tr>
        <w:trPr>
          <w:trHeight w:val="234"/>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96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Cover Page Interactive Data File (the cover page iXBRL tags are embedded within the Inline XBRL document)</w:t>
            </w:r>
          </w:p>
        </w:tc>
      </w:tr>
      <w:tr>
        <w:trPr>
          <w:trHeight w:val="3274"/>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17, 2020</w:t>
            </w: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338"/>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(Registrant)</w:t>
            </w:r>
          </w:p>
        </w:tc>
        <w:tc>
          <w:tcPr>
            <w:tcW w:w="4600" w:type="dxa"/>
            <w:vAlign w:val="bottom"/>
          </w:tcPr>
          <w:p>
            <w:pPr>
              <w:spacing w:after="0"/>
              <w:rPr>
                <w:sz w:val="24"/>
                <w:szCs w:val="24"/>
                <w:color w:val="auto"/>
              </w:rPr>
            </w:pPr>
          </w:p>
        </w:tc>
      </w:tr>
      <w:tr>
        <w:trPr>
          <w:trHeight w:val="675"/>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L. Rosenthal</w:t>
            </w:r>
          </w:p>
        </w:tc>
      </w:tr>
      <w:tr>
        <w:trPr>
          <w:trHeight w:val="313"/>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L. Rosenthal</w:t>
            </w:r>
          </w:p>
        </w:tc>
      </w:tr>
      <w:tr>
        <w:trPr>
          <w:trHeight w:val="234"/>
        </w:trPr>
        <w:tc>
          <w:tcPr>
            <w:tcW w:w="3680" w:type="dxa"/>
            <w:vAlign w:val="bottom"/>
          </w:tcPr>
          <w:p>
            <w:pPr>
              <w:spacing w:after="0"/>
              <w:rPr>
                <w:sz w:val="20"/>
                <w:szCs w:val="20"/>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SVP, General Counsel and Secretary</w:t>
            </w:r>
          </w:p>
        </w:tc>
      </w:tr>
    </w:tbl>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499870"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BellRing Brands Announces Share Repurchase Authorization of $60 Million</w:t>
      </w:r>
    </w:p>
    <w:p>
      <w:pPr>
        <w:spacing w:after="0" w:line="28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St. Louis - November 12, 2020 </w:t>
      </w:r>
      <w:r>
        <w:rPr>
          <w:rFonts w:ascii="Times New Roman" w:cs="Times New Roman" w:eastAsia="Times New Roman" w:hAnsi="Times New Roman"/>
          <w:sz w:val="18"/>
          <w:szCs w:val="18"/>
          <w:color w:val="auto"/>
        </w:rPr>
        <w:t>– BellRing Brands, Inc. (NYSE:BRBR) today announced its Board of Directors approved a $60 million share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over the next two years. Repurchases may be made from time to time in the open market, private purchases, through forward, derivative, alternative, accelerated repurchase or automatic purchase transactions, or otherwise. The authorization does not, however, obligate BellRing to acquire any particular amount of shares, and repurchases may be suspended or terminated at any time at BellRing’s discretion. The amount and timing of repurchases are subject to a variety of factors including liquidity, share price, market conditions and legal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Language</w:t>
      </w:r>
    </w:p>
    <w:p>
      <w:pPr>
        <w:spacing w:after="0" w:line="256"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and Section 21E of the Securities Exchange Act of 1934, as amended, are made in this press release.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the repurchases, the rapidly changing situation related to the COVID-19 pandemic and other financial, operational and legal risks and uncertainties detailed from time to time in BellRing’s cautionary statements contained in its filings with the Securities and Exchange Commission. These forward-looking statements represent BellRing’s judgment as of the date of this press release. BellRing disclaims, however, any intent or obligation to update these forward-looking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BellRing Brands, Inc.</w:t>
      </w:r>
    </w:p>
    <w:p>
      <w:pPr>
        <w:spacing w:after="0" w:line="254"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8"/>
          <w:szCs w:val="18"/>
          <w:color w:val="auto"/>
        </w:rPr>
        <w:t xml:space="preserve">BellRing Brands, Inc. is a rapidly growing leader in the global convenient nutrition category. Its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appeal to a broad range of consumers across all major product forms, including ready-to-drink protein shakes, powders and nutrition bars,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Meyer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jennifer.meyer@bellringbrands.com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 644-7665</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2020-11-17T05:18:22Z</dcterms:created>
  <dcterms:modified xsi:type="dcterms:W3CDTF">2020-11-17T05:18:22Z</dcterms:modified>
</cp:coreProperties>
</file>