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ERICKSON THOMAS P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 granted under the BellRing Brands, Inc. 2019 Long-Term Incentive Plan. The restricted stock units vest in equal annual increments over three years subject to the terms of the award agreement.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53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2021-11-15T17:54:25Z</dcterms:created>
  <dcterms:modified xsi:type="dcterms:W3CDTF">2021-11-15T17:54:25Z</dcterms:modified>
</cp:coreProperties>
</file>