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2.png" ContentType="image/pn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327"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372" w:type="dxa"/>
            <w:gridSpan w:val="3"/>
            <w:tcBorders>
              <w:bottom w:val="double" w:sz="8" w:space="0" w:color="000000"/>
            </w:tcBorders>
            <w:shd w:fill="auto" w:val="clear"/>
            <w:tcMar>
              <w:top w:w="0" w:type="dxa"/>
              <w:left w:w="0" w:type="dxa"/>
              <w:right w:w="0" w:type="dxa"/>
            </w:tcMar>
            <w:vAlign w:val="center"/>
          </w:tcPr>
          <w:p>
            <w:pPr>
              <w:pStyle w:val="TableContents"/>
              <w:spacing w:before="75" w:after="30"/>
              <w:rPr/>
            </w:pPr>
            <w:r>
              <w:rPr/>
            </w:r>
          </w:p>
        </w:tc>
      </w:tr>
    </w:tbl>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spacing w:lineRule="auto" w:line="288" w:before="0" w:after="0"/>
        <w:jc w:val="center"/>
        <w:rPr/>
      </w:pPr>
      <w:r>
        <w:rPr>
          <w:rFonts w:ascii="Times New Roman;sans-serif" w:hAnsi="Times New Roman;sans-serif"/>
          <w:b/>
          <w:color w:val="000000"/>
          <w:sz w:val="32"/>
        </w:rPr>
        <w:t>SECURITIES AND EXCHANGE COMMISSION</w:t>
      </w:r>
      <w:r>
        <w:rPr>
          <w:color w:val="000000"/>
        </w:rPr>
        <w:t xml:space="preserve">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spacing w:lineRule="auto" w:line="288" w:before="0" w:after="18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spacing w:lineRule="auto" w:line="288" w:before="0" w:after="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spacing w:lineRule="auto" w:line="312"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May 8, 2023 </w:t>
      </w:r>
    </w:p>
    <w:p>
      <w:pPr>
        <w:pStyle w:val="TextBody"/>
        <w:spacing w:before="0" w:after="60"/>
        <w:jc w:val="center"/>
        <w:rPr/>
      </w:pPr>
      <w:r>
        <w:rPr/>
        <w:drawing>
          <wp:inline distT="0" distB="63500" distL="0" distR="0">
            <wp:extent cx="16668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76300"/>
                    </a:xfrm>
                    <a:prstGeom prst="rect">
                      <a:avLst/>
                    </a:prstGeom>
                  </pic:spPr>
                </pic:pic>
              </a:graphicData>
            </a:graphic>
          </wp:inline>
        </w:drawing>
      </w:r>
    </w:p>
    <w:p>
      <w:pPr>
        <w:pStyle w:val="TextBody"/>
        <w:spacing w:lineRule="auto" w:line="288" w:before="0" w:after="140"/>
        <w:jc w:val="center"/>
        <w:rPr/>
      </w:pPr>
      <w:r>
        <w:rPr>
          <w:rFonts w:ascii="Times New Roman;sans-serif" w:hAnsi="Times New Roman;sans-serif"/>
          <w:b/>
          <w:color w:val="000000"/>
          <w:sz w:val="40"/>
        </w:rPr>
        <w:t>BellRing Brands, Inc.</w:t>
      </w:r>
      <w:r>
        <w:rPr>
          <w:color w:val="000000"/>
        </w:rPr>
        <w:t xml:space="preserv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861" w:type="dxa"/>
        <w:jc w:val="center"/>
        <w:tblInd w:w="0" w:type="dxa"/>
        <w:tblCellMar>
          <w:top w:w="28" w:type="dxa"/>
          <w:left w:w="28" w:type="dxa"/>
          <w:bottom w:w="28" w:type="dxa"/>
          <w:right w:w="28" w:type="dxa"/>
        </w:tblCellMar>
      </w:tblPr>
      <w:tblGrid>
        <w:gridCol w:w="1328"/>
        <w:gridCol w:w="1167"/>
        <w:gridCol w:w="1179"/>
        <w:gridCol w:w="379"/>
        <w:gridCol w:w="379"/>
        <w:gridCol w:w="379"/>
        <w:gridCol w:w="379"/>
        <w:gridCol w:w="379"/>
        <w:gridCol w:w="398"/>
        <w:gridCol w:w="847"/>
        <w:gridCol w:w="847"/>
        <w:gridCol w:w="1200"/>
      </w:tblGrid>
      <w:tr>
        <w:trPr/>
        <w:tc>
          <w:tcPr>
            <w:tcW w:w="132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2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001-39093</w:t>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87-3296749</w:t>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74"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1137"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1156"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2894" w:type="dxa"/>
            <w:gridSpan w:val="3"/>
            <w:tcBorders/>
            <w:shd w:fill="auto" w:val="clear"/>
            <w:tcMar>
              <w:top w:w="0" w:type="dxa"/>
              <w:left w:w="0" w:type="dxa"/>
              <w:bottom w:w="0" w:type="dxa"/>
              <w:right w:w="0" w:type="dxa"/>
            </w:tcMar>
            <w:vAlign w:val="center"/>
          </w:tcPr>
          <w:p>
            <w:pPr>
              <w:pStyle w:val="TableContents"/>
              <w:spacing w:before="75" w:after="30"/>
              <w:rPr/>
            </w:pPr>
            <w:r>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2503 S. Hanley Road</w:t>
            </w:r>
          </w:p>
        </w:tc>
        <w:tc>
          <w:tcPr>
            <w:tcW w:w="11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St. Louis</w:t>
            </w:r>
          </w:p>
        </w:tc>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Missouri</w:t>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63144</w:t>
            </w:r>
          </w:p>
        </w:tc>
      </w:tr>
      <w:tr>
        <w:trPr/>
        <w:tc>
          <w:tcPr>
            <w:tcW w:w="59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312" w:before="120" w:after="18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2"/>
        </w:rPr>
        <w:t>(314) 644-7600</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lineRule="auto" w:line="288" w:before="0" w:after="120"/>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spacing w:lineRule="auto" w:line="288" w:before="0" w:after="120"/>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spacing w:lineRule="auto" w:line="288" w:before="0" w:after="0"/>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83" w:type="dxa"/>
        <w:jc w:val="left"/>
        <w:tblInd w:w="0" w:type="dxa"/>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 per share</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BRBR</w:t>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372" w:type="dxa"/>
            <w:gridSpan w:val="3"/>
            <w:tcBorders>
              <w:bottom w:val="double" w:sz="8" w:space="0" w:color="000000"/>
            </w:tcBorders>
            <w:shd w:fill="auto" w:val="clear"/>
            <w:tcMar>
              <w:top w:w="0" w:type="dxa"/>
              <w:left w:w="0" w:type="dxa"/>
              <w:right w:w="0" w:type="dxa"/>
            </w:tcMar>
            <w:vAlign w:val="center"/>
          </w:tcPr>
          <w:p>
            <w:pPr>
              <w:pStyle w:val="TableContents"/>
              <w:spacing w:before="75" w:after="30"/>
              <w:jc w:val="center"/>
              <w:rPr/>
            </w:pPr>
            <w:r>
              <w:rPr/>
            </w:r>
          </w:p>
        </w:tc>
      </w:tr>
    </w:tbl>
    <w:p>
      <w:pPr>
        <w:pStyle w:val="TextBody"/>
        <w:spacing w:before="12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ind w:left="0" w:right="0" w:hanging="1440"/>
        <w:rPr/>
      </w:pPr>
      <w:r>
        <w:rPr/>
      </w:r>
    </w:p>
    <w:p>
      <w:pPr>
        <w:pStyle w:val="TextBody"/>
        <w:spacing w:lineRule="auto" w:line="312"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 and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2023, BellRing Brands, Inc. (the "Company") issued a press release announcing results for its second fiscal quarter ended March 31, 2023. A copy of the press release is attached hereto as Exhibit 99.1 and incorporated herein by reference.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on May 8, 2023, the Company published to the "Investor Relations" section of its website, www.bellringbrands.com, a supplemental presentation related to results for its second fiscal quarter ended March 31, 2023. A copy of the presentation is attached hereto as Exhibit 99.2 and incorporated herein by reference.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 Exhibits</w:t>
      </w:r>
    </w:p>
    <w:p>
      <w:pPr>
        <w:pStyle w:val="TextBody"/>
        <w:spacing w:before="0" w:after="0"/>
        <w:rPr/>
      </w:pPr>
      <w:r>
        <w:rPr/>
      </w:r>
    </w:p>
    <w:tbl>
      <w:tblPr>
        <w:tblW w:w="10183" w:type="dxa"/>
        <w:jc w:val="left"/>
        <w:tblInd w:w="0" w:type="dxa"/>
        <w:tblCellMar>
          <w:top w:w="28" w:type="dxa"/>
          <w:left w:w="28" w:type="dxa"/>
          <w:bottom w:w="28" w:type="dxa"/>
          <w:right w:w="28" w:type="dxa"/>
        </w:tblCellMar>
      </w:tblPr>
      <w:tblGrid>
        <w:gridCol w:w="385"/>
        <w:gridCol w:w="338"/>
        <w:gridCol w:w="341"/>
        <w:gridCol w:w="2670"/>
        <w:gridCol w:w="2670"/>
        <w:gridCol w:w="3779"/>
      </w:tblGrid>
      <w:tr>
        <w:trPr/>
        <w:tc>
          <w:tcPr>
            <w:tcW w:w="38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2670" w:type="dxa"/>
            <w:tcBorders/>
            <w:shd w:fill="auto" w:val="clear"/>
            <w:vAlign w:val="center"/>
          </w:tcPr>
          <w:p>
            <w:pPr>
              <w:pStyle w:val="TableContents"/>
              <w:spacing w:before="0" w:after="283"/>
              <w:rPr>
                <w:sz w:val="4"/>
                <w:szCs w:val="4"/>
              </w:rPr>
            </w:pPr>
            <w:r>
              <w:rPr>
                <w:sz w:val="4"/>
                <w:szCs w:val="4"/>
              </w:rPr>
            </w:r>
          </w:p>
        </w:tc>
        <w:tc>
          <w:tcPr>
            <w:tcW w:w="2670" w:type="dxa"/>
            <w:tcBorders/>
            <w:shd w:fill="auto" w:val="clear"/>
            <w:vAlign w:val="center"/>
          </w:tcPr>
          <w:p>
            <w:pPr>
              <w:pStyle w:val="TableContents"/>
              <w:spacing w:before="0" w:after="283"/>
              <w:rPr>
                <w:sz w:val="4"/>
                <w:szCs w:val="4"/>
              </w:rPr>
            </w:pPr>
            <w:r>
              <w:rPr>
                <w:sz w:val="4"/>
                <w:szCs w:val="4"/>
              </w:rPr>
            </w:r>
          </w:p>
        </w:tc>
        <w:tc>
          <w:tcPr>
            <w:tcW w:w="3779" w:type="dxa"/>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9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rbrexh991-q22023earningsr.htm">
              <w:r>
                <w:rPr>
                  <w:rStyle w:val="InternetLink"/>
                  <w:rFonts w:ascii="Times New Roman;sans-serif" w:hAnsi="Times New Roman;sans-serif"/>
                  <w:b w:val="false"/>
                  <w:color w:val="0000FF"/>
                  <w:sz w:val="20"/>
                  <w:u w:val="single"/>
                </w:rPr>
                <w:t>Press Release dated May 8, 2023</w:t>
              </w:r>
            </w:hyperlink>
          </w:p>
        </w:tc>
      </w:tr>
      <w:tr>
        <w:trPr/>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rbr2q23supplementalpres.htm">
              <w:r>
                <w:rPr>
                  <w:rStyle w:val="InternetLink"/>
                  <w:rFonts w:ascii="Times New Roman;sans-serif" w:hAnsi="Times New Roman;sans-serif"/>
                  <w:b w:val="false"/>
                  <w:color w:val="0000FF"/>
                  <w:sz w:val="20"/>
                  <w:u w:val="single"/>
                </w:rPr>
                <w:t>Second Fiscal Quarter Ended March 31, 2023 Supplemental Presentation</w:t>
              </w:r>
            </w:hyperlink>
          </w:p>
        </w:tc>
      </w:tr>
      <w:tr>
        <w:trPr/>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iXBRL tags are embedded within the Inline XBRL document)</w:t>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tbl>
      <w:tblPr>
        <w:tblW w:w="4559" w:type="dxa"/>
        <w:jc w:val="left"/>
        <w:tblInd w:w="0" w:type="dxa"/>
        <w:tblCellMar>
          <w:top w:w="28" w:type="dxa"/>
          <w:left w:w="28" w:type="dxa"/>
          <w:bottom w:w="28" w:type="dxa"/>
          <w:right w:w="28" w:type="dxa"/>
        </w:tblCellMar>
      </w:tblPr>
      <w:tblGrid>
        <w:gridCol w:w="591"/>
        <w:gridCol w:w="520"/>
        <w:gridCol w:w="523"/>
        <w:gridCol w:w="305"/>
        <w:gridCol w:w="305"/>
        <w:gridCol w:w="305"/>
        <w:gridCol w:w="585"/>
        <w:gridCol w:w="585"/>
        <w:gridCol w:w="840"/>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BellRing Brands,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34"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915"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2010" w:type="dxa"/>
            <w:gridSpan w:val="3"/>
            <w:tcBorders/>
            <w:shd w:fill="auto" w:val="clear"/>
            <w:tcMar>
              <w:top w:w="0" w:type="dxa"/>
              <w:left w:w="0" w:type="dxa"/>
              <w:bottom w:w="0" w:type="dxa"/>
              <w:right w:w="0" w:type="dxa"/>
            </w:tcMar>
            <w:vAlign w:val="center"/>
          </w:tcPr>
          <w:p>
            <w:pPr>
              <w:pStyle w:val="TableContents"/>
              <w:spacing w:before="75" w:after="30"/>
              <w:rPr/>
            </w:pPr>
            <w:r>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A. Rode</w:t>
            </w:r>
          </w:p>
        </w:tc>
      </w:tr>
      <w:tr>
        <w:trPr/>
        <w:tc>
          <w:tcPr>
            <w:tcW w:w="1634"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A. Rode</w:t>
            </w:r>
          </w:p>
        </w:tc>
      </w:tr>
      <w:tr>
        <w:trPr/>
        <w:tc>
          <w:tcPr>
            <w:tcW w:w="1634" w:type="dxa"/>
            <w:gridSpan w:val="3"/>
            <w:tcBorders/>
            <w:shd w:fill="auto" w:val="clear"/>
            <w:tcMar>
              <w:top w:w="0" w:type="dxa"/>
              <w:left w:w="0" w:type="dxa"/>
              <w:bottom w:w="0" w:type="dxa"/>
              <w:right w:w="0" w:type="dxa"/>
            </w:tcMar>
            <w:vAlign w:val="center"/>
          </w:tcPr>
          <w:p>
            <w:pPr>
              <w:pStyle w:val="TableContents"/>
              <w:spacing w:before="75" w:after="30"/>
              <w:rPr/>
            </w:pPr>
            <w:r>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12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99.1</w:t>
      </w:r>
    </w:p>
    <w:p>
      <w:pPr>
        <w:pStyle w:val="TextBody"/>
        <w:spacing w:before="180" w:after="240"/>
        <w:rPr/>
      </w:pPr>
      <w:r>
        <w:rPr/>
        <w:drawing>
          <wp:inline distT="0" distB="63500" distL="0" distR="0">
            <wp:extent cx="1666875" cy="8001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66875" cy="800100"/>
                    </a:xfrm>
                    <a:prstGeom prst="rect">
                      <a:avLst/>
                    </a:prstGeom>
                  </pic:spPr>
                </pic:pic>
              </a:graphicData>
            </a:graphic>
          </wp:inline>
        </w:drawing>
      </w:r>
    </w:p>
    <w:p>
      <w:pPr>
        <w:pStyle w:val="TextBody"/>
        <w:spacing w:lineRule="auto" w:line="288" w:before="180" w:after="240"/>
        <w:jc w:val="center"/>
        <w:rPr>
          <w:rFonts w:ascii="Times New Roman;sans-serif" w:hAnsi="Times New Roman;sans-serif"/>
          <w:b/>
          <w:color w:val="000000"/>
          <w:sz w:val="28"/>
        </w:rPr>
      </w:pPr>
      <w:r>
        <w:rPr>
          <w:rFonts w:ascii="Times New Roman;sans-serif" w:hAnsi="Times New Roman;sans-serif"/>
          <w:b/>
          <w:color w:val="000000"/>
          <w:sz w:val="28"/>
        </w:rPr>
        <w:t>BellRing Brands Reports Results for the Second Quarter of Fiscal Year 2023; Raises Fiscal Year 2023 Outlook</w:t>
      </w:r>
    </w:p>
    <w:p>
      <w:pPr>
        <w:pStyle w:val="TextBody"/>
        <w:spacing w:lineRule="auto" w:line="288" w:before="0" w:after="0"/>
        <w:rPr/>
      </w:pPr>
      <w:r>
        <w:rPr>
          <w:rFonts w:ascii="Times New Roman;sans-serif" w:hAnsi="Times New Roman;sans-serif"/>
          <w:b/>
          <w:color w:val="000000"/>
          <w:sz w:val="20"/>
        </w:rPr>
        <w:t xml:space="preserve">St. Louis - May 8, 2023 </w:t>
      </w:r>
      <w:r>
        <w:rPr>
          <w:rFonts w:ascii="Times New Roman;sans-serif" w:hAnsi="Times New Roman;sans-serif"/>
          <w:b w:val="false"/>
          <w:color w:val="000000"/>
          <w:sz w:val="20"/>
        </w:rPr>
        <w:t>- BellRing Brands, Inc. (NYSE:BRBR) (“BellRing”), a holding company operating in the global convenient nutrition category, today reported results for the second fiscal quarter ended March 31, 2023.</w:t>
      </w:r>
    </w:p>
    <w:p>
      <w:pPr>
        <w:pStyle w:val="TextBody"/>
        <w:spacing w:lineRule="auto" w:line="288" w:before="180" w:after="120"/>
        <w:rPr>
          <w:rFonts w:ascii="Times New Roman;sans-serif" w:hAnsi="Times New Roman;sans-serif"/>
          <w:b/>
          <w:color w:val="000000"/>
          <w:sz w:val="20"/>
        </w:rPr>
      </w:pPr>
      <w:r>
        <w:rPr>
          <w:rFonts w:ascii="Times New Roman;sans-serif" w:hAnsi="Times New Roman;sans-serif"/>
          <w:b/>
          <w:color w:val="000000"/>
          <w:sz w:val="20"/>
        </w:rPr>
        <w:t>Highlights:</w:t>
      </w:r>
    </w:p>
    <w:p>
      <w:pPr>
        <w:pStyle w:val="TextBody"/>
        <w:spacing w:lineRule="auto" w:line="288" w:before="0" w:after="0"/>
        <w:ind w:left="0" w:right="0" w:hanging="360"/>
        <w:rPr/>
      </w:pPr>
      <w:r>
        <w:rPr>
          <w:color w:val="000000"/>
          <w:highlight w:val="white"/>
        </w:rPr>
        <w:t>•</w:t>
      </w:r>
      <w:r>
        <w:rPr>
          <w:rFonts w:ascii="Times New Roman;sans-serif" w:hAnsi="Times New Roman;sans-serif"/>
          <w:b/>
          <w:color w:val="000000"/>
          <w:sz w:val="20"/>
          <w:highlight w:val="white"/>
        </w:rPr>
        <w:t xml:space="preserve">Second quarter net sales of $385.6 million </w:t>
      </w:r>
    </w:p>
    <w:p>
      <w:pPr>
        <w:pStyle w:val="TextBody"/>
        <w:spacing w:lineRule="auto" w:line="288" w:before="0" w:after="0"/>
        <w:ind w:left="0" w:right="0" w:hanging="360"/>
        <w:rPr/>
      </w:pPr>
      <w:r>
        <w:rPr>
          <w:color w:val="000000"/>
        </w:rPr>
        <w:t>•</w:t>
      </w:r>
      <w:r>
        <w:rPr>
          <w:rFonts w:ascii="Times New Roman;sans-serif" w:hAnsi="Times New Roman;sans-serif"/>
          <w:b/>
          <w:color w:val="000000"/>
          <w:sz w:val="20"/>
        </w:rPr>
        <w:t>Operating profit of $58.0 million; net earnings available to common stockholders of $30.9 million and Adjusted EBITDA* of $68.0 million</w:t>
      </w:r>
    </w:p>
    <w:p>
      <w:pPr>
        <w:pStyle w:val="TextBody"/>
        <w:spacing w:lineRule="auto" w:line="288" w:before="0" w:after="0"/>
        <w:ind w:left="0" w:right="0" w:hanging="360"/>
        <w:rPr/>
      </w:pPr>
      <w:r>
        <w:rPr>
          <w:color w:val="000000"/>
        </w:rPr>
        <w:t>•</w:t>
      </w:r>
      <w:r>
        <w:rPr>
          <w:rFonts w:ascii="Times New Roman;sans-serif" w:hAnsi="Times New Roman;sans-serif"/>
          <w:b/>
          <w:color w:val="000000"/>
          <w:sz w:val="20"/>
        </w:rPr>
        <w:t>Raised fiscal year 2023 net sales guidance to $1.61-$1.66 billion and Adjusted EBITDA* guidance to $320-$335 million</w:t>
      </w:r>
    </w:p>
    <w:p>
      <w:pPr>
        <w:pStyle w:val="TextBody"/>
        <w:spacing w:lineRule="auto" w:line="268" w:before="180" w:after="180"/>
        <w:rPr>
          <w:rFonts w:ascii="Times New Roman;sans-serif" w:hAnsi="Times New Roman;sans-serif"/>
          <w:b w:val="false"/>
          <w:i/>
          <w:color w:val="000000"/>
          <w:sz w:val="16"/>
        </w:rPr>
      </w:pPr>
      <w:r>
        <w:rPr>
          <w:rFonts w:ascii="Times New Roman;sans-serif" w:hAnsi="Times New Roman;sans-serif"/>
          <w:b w:val="false"/>
          <w:i/>
          <w:color w:val="000000"/>
          <w:sz w:val="16"/>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pStyle w:val="TextBody"/>
        <w:spacing w:lineRule="auto" w:line="268" w:before="0" w:after="0"/>
        <w:rPr/>
      </w:pPr>
      <w:r>
        <w:rPr>
          <w:color w:val="000000"/>
          <w:highlight w:val="white"/>
        </w:rPr>
        <w:t>“</w:t>
      </w:r>
      <w:r>
        <w:rPr>
          <w:rFonts w:ascii="Times New Roman;sans-serif" w:hAnsi="Times New Roman;sans-serif"/>
          <w:b w:val="false"/>
          <w:color w:val="000000"/>
          <w:sz w:val="20"/>
          <w:highlight w:val="white"/>
        </w:rPr>
        <w:t xml:space="preserve">We delivered a strong performance this quarter, coming in ahead of our expectations. </w:t>
      </w:r>
      <w:r>
        <w:rPr>
          <w:rFonts w:ascii="Times New Roman;sans-serif" w:hAnsi="Times New Roman;sans-serif"/>
          <w:b w:val="false"/>
          <w:i/>
          <w:color w:val="000000"/>
          <w:sz w:val="20"/>
          <w:highlight w:val="white"/>
        </w:rPr>
        <w:t xml:space="preserve">Premier Protein </w:t>
      </w:r>
      <w:r>
        <w:rPr>
          <w:rFonts w:ascii="Times New Roman;sans-serif" w:hAnsi="Times New Roman;sans-serif"/>
          <w:b w:val="false"/>
          <w:color w:val="000000"/>
          <w:sz w:val="20"/>
          <w:highlight w:val="white"/>
        </w:rPr>
        <w:t xml:space="preserve">and </w:t>
      </w:r>
      <w:r>
        <w:rPr>
          <w:rFonts w:ascii="Times New Roman;sans-serif" w:hAnsi="Times New Roman;sans-serif"/>
          <w:b w:val="false"/>
          <w:i/>
          <w:color w:val="000000"/>
          <w:sz w:val="20"/>
          <w:highlight w:val="white"/>
        </w:rPr>
        <w:t>Dymatize</w:t>
      </w:r>
      <w:r>
        <w:rPr>
          <w:color w:val="000000"/>
          <w:highlight w:val="white"/>
        </w:rPr>
        <w:t xml:space="preserve"> </w:t>
      </w:r>
      <w:r>
        <w:rPr>
          <w:rFonts w:ascii="Times New Roman;sans-serif" w:hAnsi="Times New Roman;sans-serif"/>
          <w:b w:val="false"/>
          <w:color w:val="000000"/>
          <w:sz w:val="20"/>
          <w:highlight w:val="white"/>
        </w:rPr>
        <w:t>saw robust consumption growth, with both gaining share. Encouragingly, both brands gained new households with increased brand investment and continued category tailwinds. Our powder products were remarkably strong this quarter, aided by brand building investments,” said Darcy H. Davenport, President and Chief Executive Officer of BellRing. “Our shake capacity expansions remain on track, enabling significant future growth. Our momentum in the first half gives us greater confidence to deliver our second half expectations and drives our decision to raise our full year outlook.”</w:t>
      </w:r>
    </w:p>
    <w:p>
      <w:pPr>
        <w:pStyle w:val="TextBody"/>
        <w:spacing w:lineRule="auto" w:line="288" w:before="180" w:after="180"/>
        <w:rPr/>
      </w:pPr>
      <w:r>
        <w:rPr>
          <w:rFonts w:ascii="Times New Roman;sans-serif" w:hAnsi="Times New Roman;sans-serif"/>
          <w:b w:val="false"/>
          <w:color w:val="000000"/>
          <w:sz w:val="20"/>
          <w:highlight w:val="white"/>
        </w:rPr>
        <w:t>Dollar consumption of </w:t>
      </w:r>
      <w:r>
        <w:rPr>
          <w:rFonts w:ascii="Times New Roman;sans-serif" w:hAnsi="Times New Roman;sans-serif"/>
          <w:b w:val="false"/>
          <w:i/>
          <w:color w:val="000000"/>
          <w:sz w:val="20"/>
          <w:highlight w:val="white"/>
        </w:rPr>
        <w:t>Premier Protein</w:t>
      </w:r>
      <w:r>
        <w:rPr>
          <w:color w:val="000000"/>
          <w:highlight w:val="white"/>
        </w:rPr>
        <w:t> </w:t>
      </w:r>
      <w:r>
        <w:rPr>
          <w:rFonts w:ascii="Times New Roman;sans-serif" w:hAnsi="Times New Roman;sans-serif"/>
          <w:b w:val="false"/>
          <w:color w:val="000000"/>
          <w:sz w:val="20"/>
          <w:highlight w:val="white"/>
        </w:rPr>
        <w:t xml:space="preserve">ready-to-drink (“RTD”) shakes and </w:t>
      </w:r>
      <w:r>
        <w:rPr>
          <w:rFonts w:ascii="Times New Roman;sans-serif" w:hAnsi="Times New Roman;sans-serif"/>
          <w:b w:val="false"/>
          <w:i/>
          <w:color w:val="000000"/>
          <w:sz w:val="20"/>
          <w:highlight w:val="white"/>
        </w:rPr>
        <w:t>Dymatize</w:t>
      </w:r>
      <w:r>
        <w:rPr>
          <w:color w:val="000000"/>
          <w:highlight w:val="white"/>
        </w:rPr>
        <w:t> </w:t>
      </w:r>
      <w:r>
        <w:rPr>
          <w:rFonts w:ascii="Times New Roman;sans-serif" w:hAnsi="Times New Roman;sans-serif"/>
          <w:b w:val="false"/>
          <w:color w:val="000000"/>
          <w:sz w:val="20"/>
          <w:highlight w:val="white"/>
        </w:rPr>
        <w:t xml:space="preserve">United States (“U.S.”) powder products increased 21.9% and 38.3%, respectively, in the 13-week period ended April 2, 2023, as compared to the same period in 2022 (inclusive of IRI Multi Outlet including Convenience and management estimates of untracked channels). </w:t>
      </w:r>
    </w:p>
    <w:p>
      <w:pPr>
        <w:pStyle w:val="TextBody"/>
        <w:spacing w:lineRule="auto" w:line="288" w:before="18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Second Quarter Operating Results</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sales were $385.6 million, an increase of 22.3%, or $70.4 million, compared to the prior year period, driven by 17.8% improvement in price/mix and 4.5% increase in volume.</w:t>
      </w:r>
    </w:p>
    <w:p>
      <w:pPr>
        <w:pStyle w:val="TextBody"/>
        <w:spacing w:lineRule="auto" w:line="288" w:before="0" w:after="180"/>
        <w:rPr/>
      </w:pPr>
      <w:r>
        <w:rPr>
          <w:rFonts w:ascii="Times New Roman;sans-serif" w:hAnsi="Times New Roman;sans-serif"/>
          <w:b w:val="false"/>
          <w:i/>
          <w:color w:val="000000"/>
          <w:sz w:val="20"/>
          <w:highlight w:val="white"/>
        </w:rPr>
        <w:t xml:space="preserve">Premier Protein </w:t>
      </w:r>
      <w:r>
        <w:rPr>
          <w:rFonts w:ascii="Times New Roman;sans-serif" w:hAnsi="Times New Roman;sans-serif"/>
          <w:b w:val="false"/>
          <w:color w:val="000000"/>
          <w:sz w:val="20"/>
          <w:highlight w:val="white"/>
        </w:rPr>
        <w:t xml:space="preserve">net sales increased 26.2%, driven by 20.0% improvement in price/mix and 6.2% increase in volume. </w:t>
      </w:r>
      <w:r>
        <w:rPr>
          <w:rFonts w:ascii="Times New Roman;sans-serif" w:hAnsi="Times New Roman;sans-serif"/>
          <w:b w:val="false"/>
          <w:i/>
          <w:color w:val="000000"/>
          <w:sz w:val="20"/>
          <w:highlight w:val="white"/>
        </w:rPr>
        <w:t xml:space="preserve">Premier Protein </w:t>
      </w:r>
      <w:r>
        <w:rPr>
          <w:rFonts w:ascii="Times New Roman;sans-serif" w:hAnsi="Times New Roman;sans-serif"/>
          <w:b w:val="false"/>
          <w:color w:val="000000"/>
          <w:sz w:val="20"/>
          <w:highlight w:val="white"/>
        </w:rPr>
        <w:t xml:space="preserve">RTD shake net sales increased 22.5%, driven by 17.3% improvement in price and 5.2% increase in volume. Net sales benefited from higher average net selling prices driven by price increases to offset significant cost inflation. Higher RTD shake production, along with RTD category growth, drove underlying net sales growth. </w:t>
      </w:r>
    </w:p>
    <w:p>
      <w:pPr>
        <w:pStyle w:val="TextBody"/>
        <w:spacing w:lineRule="auto" w:line="288" w:before="0" w:after="180"/>
        <w:rPr/>
      </w:pPr>
      <w:r>
        <w:rPr>
          <w:rFonts w:ascii="Times New Roman;sans-serif" w:hAnsi="Times New Roman;sans-serif"/>
          <w:b w:val="false"/>
          <w:i/>
          <w:color w:val="000000"/>
          <w:sz w:val="20"/>
          <w:highlight w:val="white"/>
        </w:rPr>
        <w:t>Dymatize</w:t>
      </w:r>
      <w:r>
        <w:rPr>
          <w:color w:val="000000"/>
          <w:highlight w:val="white"/>
        </w:rPr>
        <w:t xml:space="preserve"> </w:t>
      </w:r>
      <w:r>
        <w:rPr>
          <w:rFonts w:ascii="Times New Roman;sans-serif" w:hAnsi="Times New Roman;sans-serif"/>
          <w:b w:val="false"/>
          <w:color w:val="000000"/>
          <w:sz w:val="20"/>
          <w:highlight w:val="white"/>
        </w:rPr>
        <w:t xml:space="preserve">net sales increased 10.5%, driven by 11.9% improvement in price/mix, which was partially offset by 1.4% decrease in volume. Net sales benefited from higher average net selling prices (driven by price increases to offset significant cost inflation), which was partially offset by increased promotional spending. Volume contraction was driven by declines from lapping discontinued products, which was partially offset by organic growth and promotional activities. </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Gross profit was $117.1 million, or 30.4% of net sales, an increase of 34.6%, or $30.1 million, compared to $87.0 million, or 27.6% of net sales, in the prior year period. The higher gross profit margin was driven by improved pricing that offset significant cost inflation and lapping logistics inefficiencies in the prior year period (resulting from capacity constraints). </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Selling, general and administrative (“SG&amp;A”) expenses were $54.3 million, or 14.1% of net sales, an increase of $5.4 million compared to $48.9 million, or 15.5% of net sales, in the prior year period. SG&amp;A expenses included $0.4 million and $10.3 million in the second quarter of 2023 and 2022, respectively, of costs incurred in connection with BellRing’s separation from Post Holdings, Inc. (“Post”), which were treated as adjustments for non-GAAP measures. SG&amp;A expenses in the second </w:t>
      </w:r>
      <w:r>
        <w:br w:type="page"/>
      </w: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quarter of 2023 included higher marketing and consumer advertising expenses of $7.4 million and higher employee expenses and professional fees. </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profit was $58.0 million, an increase of 74.7%, or $24.8 million, compared to $33.2 million in the prior year period.</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Net earnings available to common stockholders were $30.9 million, an increase of 2,276.9%, or $29.6 million, compared to $1.3 million in the prior year period. Net earnings available to common stockholders in the prior year period included loss on extinguishment of debt, net of $17.6 million, which is discussed later in this release and was treated as an adjustment for non-GAAP measures, and excluded $2.6 million of net earnings attributable to the Company’s redeemable noncontrolling interest (the “NCI”). Net earnings per diluted share of common stock were $0.23, compared to $0.02 in the prior year period. Adjusted net earnings available to common stockholders* were $31.9 million, or $0.24 per diluted share of common stock*, compared to $14.5 million, or $0.23 per diluted share of common stock*, in the prior year period. Diluted weighted-average shares of common stock outstanding were 134.5 million, compared to 62.9 million in the prior year period, with the increase driven by the Spin-off (see definition below). </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Adjusted EBITDA* was $68.0 million, an increase of 33.6%, or $17.1 million, compared to $50.9 million in the prior year period. Adjusted EBITDA in the prior year period included an adjustment for the portion of BellRing Brands, LLC’s (“BellRing LLC”) consolidated net earnings which was allocated to the NCI in the period prior to Post’s distribution to its shareholders of 80.1% of Post’s interest in BellRing (the “Distribution” and, together with the transactions related thereto, the “Spin-off”), resulting in the calculation of Adjusted EBITDA including 100% of BellRing. </w:t>
      </w:r>
    </w:p>
    <w:p>
      <w:pPr>
        <w:pStyle w:val="TextBody"/>
        <w:spacing w:lineRule="auto" w:line="268" w:before="180" w:after="180"/>
        <w:rPr>
          <w:rFonts w:ascii="Times New Roman;sans-serif" w:hAnsi="Times New Roman;sans-serif"/>
          <w:b w:val="false"/>
          <w:i/>
          <w:color w:val="000000"/>
          <w:sz w:val="16"/>
        </w:rPr>
      </w:pPr>
      <w:r>
        <w:rPr>
          <w:rFonts w:ascii="Times New Roman;sans-serif" w:hAnsi="Times New Roman;sans-serif"/>
          <w:b w:val="false"/>
          <w:i/>
          <w:color w:val="000000"/>
          <w:sz w:val="16"/>
        </w:rPr>
        <w:t xml:space="preserve">*Adjusted net earnings available to common stockholders, Adjusted diluted earnings per share of common stock and Adjusted EBITDA are non-GAAP measures. For additional information regarding non-GAAP measures, see the related explanations presented under “Use of Non-GAAP Measures” later in this release. </w:t>
      </w:r>
    </w:p>
    <w:p>
      <w:pPr>
        <w:pStyle w:val="TextBody"/>
        <w:spacing w:lineRule="auto" w:line="288" w:before="18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Six Month Operating Results</w:t>
      </w:r>
    </w:p>
    <w:p>
      <w:pPr>
        <w:pStyle w:val="TextBody"/>
        <w:spacing w:lineRule="auto" w:line="288" w:before="180" w:after="180"/>
        <w:rPr/>
      </w:pPr>
      <w:r>
        <w:rPr>
          <w:rFonts w:ascii="Times New Roman;sans-serif" w:hAnsi="Times New Roman;sans-serif"/>
          <w:b w:val="false"/>
          <w:color w:val="000000"/>
          <w:sz w:val="20"/>
          <w:highlight w:val="white"/>
        </w:rPr>
        <w:t xml:space="preserve">Net sales were $748.3 million, an increase of 20.4%, or $126.6 million, compared to the prior year period driven by 16.7% improvement in price/mix and 3.7% increase in volume. </w:t>
      </w:r>
      <w:r>
        <w:rPr>
          <w:rFonts w:ascii="Times New Roman;sans-serif" w:hAnsi="Times New Roman;sans-serif"/>
          <w:b w:val="false"/>
          <w:i/>
          <w:color w:val="000000"/>
          <w:sz w:val="20"/>
          <w:highlight w:val="white"/>
        </w:rPr>
        <w:t xml:space="preserve">Premier Protein </w:t>
      </w:r>
      <w:r>
        <w:rPr>
          <w:rFonts w:ascii="Times New Roman;sans-serif" w:hAnsi="Times New Roman;sans-serif"/>
          <w:b w:val="false"/>
          <w:color w:val="000000"/>
          <w:sz w:val="20"/>
          <w:highlight w:val="white"/>
        </w:rPr>
        <w:t xml:space="preserve">net sales increased 24.5%, driven by 19.0% improvement in price and 5.5% increase in volume. </w:t>
      </w:r>
      <w:r>
        <w:rPr>
          <w:rFonts w:ascii="Times New Roman;sans-serif" w:hAnsi="Times New Roman;sans-serif"/>
          <w:b w:val="false"/>
          <w:i/>
          <w:color w:val="000000"/>
          <w:sz w:val="20"/>
          <w:highlight w:val="white"/>
        </w:rPr>
        <w:t>Dymatize</w:t>
      </w:r>
      <w:r>
        <w:rPr>
          <w:color w:val="000000"/>
          <w:highlight w:val="white"/>
        </w:rPr>
        <w:t xml:space="preserve"> </w:t>
      </w:r>
      <w:r>
        <w:rPr>
          <w:rFonts w:ascii="Times New Roman;sans-serif" w:hAnsi="Times New Roman;sans-serif"/>
          <w:b w:val="false"/>
          <w:color w:val="000000"/>
          <w:sz w:val="20"/>
          <w:highlight w:val="white"/>
        </w:rPr>
        <w:t xml:space="preserve">net sales increased 6.9%, driven by 16.5% improvement in price/mix, which was partially offset by 9.6% decrease in volume. </w:t>
      </w:r>
    </w:p>
    <w:p>
      <w:pPr>
        <w:pStyle w:val="TextBody"/>
        <w:spacing w:lineRule="auto" w:line="288" w:before="18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Gross profit was $238.9 million, or 31.9% of net sales, an increase of 33.2%, or $59.6 million, compared to $179.3 million, or 28.8% of net sales, in the prior year period. The higher gross profit margin was driven by improved pricing that offset significant cost inflation, lapping logistics inefficiencies in the prior year period (resulting from capacity constraints) and higher production attainment fees received in the current year period from shake contract manufacturers. </w:t>
      </w:r>
    </w:p>
    <w:p>
      <w:pPr>
        <w:pStyle w:val="TextBody"/>
        <w:spacing w:lineRule="auto" w:line="288" w:before="180" w:after="180"/>
        <w:rPr/>
      </w:pPr>
      <w:r>
        <w:rPr>
          <w:rFonts w:ascii="Times New Roman;sans-serif" w:hAnsi="Times New Roman;sans-serif"/>
          <w:b w:val="false"/>
          <w:color w:val="000000"/>
          <w:sz w:val="20"/>
          <w:highlight w:val="white"/>
        </w:rPr>
        <w:t xml:space="preserve">SG&amp;A expenses were $96.0 million, or 12.8% of net sales, an increase of $10.3 million compared to $85.7 million, or 13.8% of net sales, in the prior year period. SG&amp;A expenses included $0.7 million and $12.3 million in the </w:t>
      </w:r>
      <w:r>
        <w:rPr>
          <w:rFonts w:ascii="Times New Roman;sans-serif" w:hAnsi="Times New Roman;sans-serif"/>
          <w:b w:val="false"/>
          <w:color w:val="000000"/>
          <w:sz w:val="20"/>
        </w:rPr>
        <w:t>six</w:t>
      </w:r>
      <w:r>
        <w:rPr>
          <w:color w:val="000000"/>
          <w:highlight w:val="white"/>
        </w:rPr>
        <w:t xml:space="preserve"> </w:t>
      </w:r>
      <w:r>
        <w:rPr>
          <w:rFonts w:ascii="Times New Roman;sans-serif" w:hAnsi="Times New Roman;sans-serif"/>
          <w:b w:val="false"/>
          <w:color w:val="000000"/>
          <w:sz w:val="20"/>
          <w:highlight w:val="white"/>
        </w:rPr>
        <w:t xml:space="preserve">months ended </w:t>
      </w:r>
      <w:r>
        <w:rPr>
          <w:rFonts w:ascii="Times New Roman;sans-serif" w:hAnsi="Times New Roman;sans-serif"/>
          <w:b w:val="false"/>
          <w:color w:val="000000"/>
          <w:sz w:val="20"/>
        </w:rPr>
        <w:t>March 31,</w:t>
      </w:r>
      <w:r>
        <w:rPr>
          <w:color w:val="000000"/>
          <w:highlight w:val="white"/>
        </w:rPr>
        <w:t xml:space="preserve"> </w:t>
      </w:r>
      <w:r>
        <w:rPr>
          <w:rFonts w:ascii="Times New Roman;sans-serif" w:hAnsi="Times New Roman;sans-serif"/>
          <w:b w:val="false"/>
          <w:color w:val="000000"/>
          <w:sz w:val="20"/>
          <w:highlight w:val="white"/>
        </w:rPr>
        <w:t xml:space="preserve">2023 and 2022, respectively, of costs incurred in connection with BellRing’s separation from Post, which were treated as adjustments for non-GAAP measures. SG&amp;A expenses in the </w:t>
      </w:r>
      <w:r>
        <w:rPr>
          <w:rFonts w:ascii="Times New Roman;sans-serif" w:hAnsi="Times New Roman;sans-serif"/>
          <w:b w:val="false"/>
          <w:color w:val="000000"/>
          <w:sz w:val="20"/>
        </w:rPr>
        <w:t>six</w:t>
      </w:r>
      <w:r>
        <w:rPr>
          <w:color w:val="000000"/>
          <w:highlight w:val="white"/>
        </w:rPr>
        <w:t xml:space="preserve"> </w:t>
      </w:r>
      <w:r>
        <w:rPr>
          <w:rFonts w:ascii="Times New Roman;sans-serif" w:hAnsi="Times New Roman;sans-serif"/>
          <w:b w:val="false"/>
          <w:color w:val="000000"/>
          <w:sz w:val="20"/>
          <w:highlight w:val="white"/>
        </w:rPr>
        <w:t xml:space="preserve">months ended </w:t>
      </w:r>
      <w:r>
        <w:rPr>
          <w:rFonts w:ascii="Times New Roman;sans-serif" w:hAnsi="Times New Roman;sans-serif"/>
          <w:b w:val="false"/>
          <w:color w:val="000000"/>
          <w:sz w:val="20"/>
        </w:rPr>
        <w:t>March 31,</w:t>
      </w:r>
      <w:r>
        <w:rPr>
          <w:color w:val="000000"/>
          <w:highlight w:val="white"/>
        </w:rPr>
        <w:t xml:space="preserve"> </w:t>
      </w:r>
      <w:r>
        <w:rPr>
          <w:rFonts w:ascii="Times New Roman;sans-serif" w:hAnsi="Times New Roman;sans-serif"/>
          <w:b w:val="false"/>
          <w:color w:val="000000"/>
          <w:sz w:val="20"/>
          <w:highlight w:val="white"/>
        </w:rPr>
        <w:t>2023</w:t>
      </w:r>
      <w:r>
        <w:rPr>
          <w:color w:val="000000"/>
        </w:rPr>
        <w:t xml:space="preserve"> </w:t>
      </w:r>
      <w:r>
        <w:rPr>
          <w:rFonts w:ascii="Times New Roman;sans-serif" w:hAnsi="Times New Roman;sans-serif"/>
          <w:b w:val="false"/>
          <w:color w:val="000000"/>
          <w:sz w:val="20"/>
        </w:rPr>
        <w:t xml:space="preserve">included higher marketing and consumer advertising expenses of $8.4 million and higher employee expenses and professional fees. </w:t>
      </w:r>
    </w:p>
    <w:p>
      <w:pPr>
        <w:pStyle w:val="TextBody"/>
        <w:spacing w:lineRule="auto" w:line="288" w:before="18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Net earnings available to common stockholders were $75.1 million, an increase of 690.5%, or $65.6 million, compared to $9.5 million in the prior year period. Net earnings available to common stockholders in the prior year period included loss on extinguishment of debt, net of $17.6 million, which is discussed later in this release and was treated as an adjustment for non-GAAP measures, and excluded $33.7 million of net earnings attributable to the NCI. Net earnings per diluted share of common stock were $0.56, compared to $0.19 in the prior year period. Adjusted net earnings available to common stockholders* were $76.8 million, or $0.57 per diluted share of common stock*, compared to $24.5 million, or $0.48 per diluted share of common stock*, in the prior year period. Diluted weighted-average shares of common stock outstanding were 134.8 million, compared to 51.2 million in the prior year period, with the increase driven by the Spin-off. </w:t>
      </w:r>
    </w:p>
    <w:p>
      <w:pPr>
        <w:pStyle w:val="TextBody"/>
        <w:spacing w:lineRule="auto" w:line="288" w:before="18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Adjusted EBITDA* was $152.9 million, an increase of 38.1%, or $42.2 million, compared to $110.7 million in the prior year period. Adjusted EBITDA in the prior year period included an adjustment for the portion of BellRing LLC’s consolidated net earnings which was allocated to the NCI in the period prior to the Spin-off, resulting in the calculation of Adjusted EBITDA including 100% of BellRing. </w:t>
      </w:r>
    </w:p>
    <w:p>
      <w:pPr>
        <w:pStyle w:val="TextBody"/>
        <w:spacing w:lineRule="auto" w:line="268" w:before="180" w:after="180"/>
        <w:rPr>
          <w:rFonts w:ascii="Times New Roman;sans-serif" w:hAnsi="Times New Roman;sans-serif"/>
          <w:b w:val="false"/>
          <w:i/>
          <w:color w:val="000000"/>
          <w:sz w:val="16"/>
        </w:rPr>
      </w:pPr>
      <w:r>
        <w:rPr>
          <w:rFonts w:ascii="Times New Roman;sans-serif" w:hAnsi="Times New Roman;sans-serif"/>
          <w:b w:val="false"/>
          <w:i/>
          <w:color w:val="000000"/>
          <w:sz w:val="16"/>
        </w:rPr>
        <w:t xml:space="preserve">*Adjusted net earnings available to common stockholders, Adjusted diluted earnings per share of common stock and Adjusted EBITDA are non-GAAP measures. For additional information regarding non-GAAP measures, see the related explanations presented under “Use of Non-GAAP Measures” later in this release. </w:t>
      </w:r>
      <w:r>
        <w:br w:type="page"/>
      </w: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7" name="Frame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Interest, Loss on Extinguishment of Debt and Income Tax</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expense, net was $16.8 million and $8.5 million in the second quarter of 2023 and 2022, respectively, and was $33.5 million and $16.9 million in the six months ended March 31, 2023 and 2022, respectively. The increase in both periods was primarily driven by increases in the aggregate principal amount of debt outstanding and the weighted-average interest rate, both of which resulted from the Spin-off transactions.</w:t>
      </w:r>
    </w:p>
    <w:p>
      <w:pPr>
        <w:pStyle w:val="TextBody"/>
        <w:spacing w:lineRule="auto" w:line="288" w:before="0" w:after="180"/>
        <w:rPr/>
      </w:pPr>
      <w:r>
        <w:rPr>
          <w:rFonts w:ascii="Times New Roman;sans-serif" w:hAnsi="Times New Roman;sans-serif"/>
          <w:b w:val="false"/>
          <w:color w:val="000000"/>
          <w:sz w:val="20"/>
          <w:highlight w:val="white"/>
        </w:rPr>
        <w:t xml:space="preserve">Loss on extinguishment of debt, net of $17.6 million was recorded in the three and </w:t>
      </w:r>
      <w:r>
        <w:rPr>
          <w:rFonts w:ascii="Times New Roman;sans-serif" w:hAnsi="Times New Roman;sans-serif"/>
          <w:b w:val="false"/>
          <w:color w:val="000000"/>
          <w:sz w:val="20"/>
        </w:rPr>
        <w:t>six months ended March 31,</w:t>
      </w:r>
      <w:r>
        <w:rPr>
          <w:color w:val="000000"/>
          <w:highlight w:val="white"/>
        </w:rPr>
        <w:t xml:space="preserve"> </w:t>
      </w:r>
      <w:r>
        <w:rPr>
          <w:rFonts w:ascii="Times New Roman;sans-serif" w:hAnsi="Times New Roman;sans-serif"/>
          <w:b w:val="false"/>
          <w:color w:val="000000"/>
          <w:sz w:val="20"/>
          <w:highlight w:val="white"/>
        </w:rPr>
        <w:t xml:space="preserve">2022 in connection with BellRing LLC’s repayment of the entire principal amount of its term loan and termination of its prior credit agreement. </w:t>
      </w:r>
    </w:p>
    <w:p>
      <w:pPr>
        <w:pStyle w:val="TextBody"/>
        <w:spacing w:lineRule="auto" w:line="288" w:before="0" w:after="180"/>
        <w:rPr/>
      </w:pPr>
      <w:r>
        <w:rPr>
          <w:rFonts w:ascii="Times New Roman;sans-serif" w:hAnsi="Times New Roman;sans-serif"/>
          <w:b w:val="false"/>
          <w:color w:val="000000"/>
          <w:sz w:val="20"/>
          <w:highlight w:val="white"/>
        </w:rPr>
        <w:t>Income tax expense was $10.3 million in the second quarter of 2023, an effective income tax rate of 25.0%, compared to $3.2 million in the second quarter of 2022, an effective income tax rate of 45.1%. The decrease in the effective income tax rate in the second quarter of 2023 when compared to the prior year period was primarily driven by lapping certain separation-related expenses incurred in connection with the Spin-off that were treated as non-deductible, partially offset by the inclusion of 100% of the income, gain, loss and deduction of BellRing LLC in the periods subsequent to the Spin-off. Income tax expense was $24.6 million in the six months ended March 31, 2023, an effective income tax rate of 24.7%, compared to $6.1 million in the six months ended March 31, 2022, an effective income tax rate of 12.4%. The increase in the effective income tax rate in the six months ended March 31, 2023 when compared to the prior year period was driven by the inclusion of 100% of the income, gain, loss and deduction of BellRing LLC in the periods subsequent to the Spin-off.</w:t>
      </w:r>
      <w:r>
        <w:rPr>
          <w:color w:val="000000"/>
        </w:rPr>
        <w:t xml:space="preserve"> </w:t>
      </w:r>
    </w:p>
    <w:p>
      <w:pPr>
        <w:pStyle w:val="TextBody"/>
        <w:spacing w:lineRule="auto" w:line="288" w:before="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Share Repurchases</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During the second quarter of 2023, BellRing repurchased 0.9 million shares for $27.3 million at an average price of $29.74 per share. During the six months ended March 31, 2023, BellRing repurchased 2.7 million shares for $68.5 million at an average price of $25.52 per share. </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May 3, 2023, BellRing’s Board of Directors approved a new $80 million share repurchase authorization, with share repurchases under the new authorization beginning on May 3, 2023. As of May 3, 2023, BellRing had repurchased approximately $48 million under its previous $50 million share repurchase authorization, which became effective on December 5, 2022, and was cancelled effective May 3, 2023. </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Repurchases may be made from time to time in the open market, private purchases, through forward, derivative, alternative, accelerated repurchase or automatic purchase transactions, or otherwise. The authorization does not, however, obligate BellRing to acquire any particular amount of shares, and repurchases may be suspended or terminated at any time at BellRing’s discretion. The amount and timing of repurchases are subject to a variety of factors including liquidity, share price, market conditions and legal requirements.</w:t>
      </w:r>
    </w:p>
    <w:p>
      <w:pPr>
        <w:pStyle w:val="TextBody"/>
        <w:spacing w:lineRule="auto" w:line="288" w:before="18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Basis of Presentation</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March 10, 2022, Post’s distribution to its shareholders of 80.1% of its interest in BellRing was completed. From October 21, 2019 through March 10, 2022, BellRing allocated a portion of the consolidated net earnings of BellRing LLC to the NCI, reflecting the entitlement of Post to a portion of the consolidated net earnings. Subsequent to the Spin-off, any remaining ownership of BellRing by Post did not represent a NCI to BellRing LLC. On November 25, 2022, Post transferred its remaining ownership in BellRing to certain financial institutions and, as a result, no longer had ownership of any shares of BellRing’s common stock.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fiscal year 2023, BellRing management has raised its guidance range for net sales to $1.61-$1.66 billion from $1.56-$1.64 billion and Adjusted EBITDA to $320-$335 million from $306-$325 million (resulting in net sales and Adjusted EBITDA growth of 17%-21% and 18%-23%, respectively, over fiscal year 2022). BellRing management now expects fiscal year 2023 capital expenditures of approximately $6 million.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separation costs, mark-to-market adjustments on commodity hedges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r>
        <w:br w:type="page"/>
      </w: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8" name="Frame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Use of Non-GAAP Measures </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later in this release under “Explanation and Reconciliation of Non-GAAP Measures.” </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Conference Call to Discuss Earnings Results and Outlook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will host a conference call on Tuesday, May 9, 2023 at 9:00 a.m. EDT to discuss financial results for the second quarter of fiscal year 2023 and fiscal year 2023 outlook and to respond to questions. Darcy H. Davenport, President and Chief Executive Officer, and Paul A. Rode, Chief Financial Officer, will participate in the call.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Interested parties may join the conference call by registering in advance at the following link: BellRing Q2 2023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Prospective Financial Information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matters discussed in this release and on BellRing’s conference call are forward-looking statements, including BellRing’s net sales and Adjusted EBITDA and capital expenditures outlook for fiscal year 2023.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BellRing’s dependence on sales from its RTD protein shakes;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BellRing’s ability to continue to compete in its product categories and its ability to retain its market position and favorable perceptions of its brands;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labor shortages, fires and evacuations related thereto, changes in weather conditions, natural disasters, agricultural diseases and pests and other events beyond BellRing’s control;</w:t>
      </w:r>
    </w:p>
    <w:p>
      <w:pPr>
        <w:pStyle w:val="TextBody"/>
        <w:spacing w:lineRule="auto" w:line="288"/>
        <w:ind w:left="0" w:right="0" w:hanging="360"/>
        <w:rPr/>
      </w:pPr>
      <w:r>
        <w:rPr>
          <w:color w:val="000000"/>
        </w:rPr>
        <w:t>•</w:t>
      </w:r>
      <w:r>
        <w:rPr>
          <w:rFonts w:ascii="Times New Roman;sans-serif" w:hAnsi="Times New Roman;sans-serif"/>
          <w:b w:val="false"/>
          <w:color w:val="000000"/>
          <w:sz w:val="20"/>
        </w:rPr>
        <w:t>BellRing’s dependence on a limited number of third party contract manufacturers for the manufacturing of most of its products, including one manufacturer for the majority of its RTD protein shakes;</w:t>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9" name="Frame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ability of BellRing’s third party contract manufacturers to produce an amount of BellRing’s products that enables BellRing to meet customer and consumer demand for the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BellRing’s reliance on a limited number of third party suppliers to provide certain ingredients and packaging;</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significant volatility in the cost or availability of inputs to BellRing’s business (including freight, raw materials, packaging, energy, labor and other supplies);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 of the COVID-19 pandemic, including negative impacts on the global economy and capital markets, the health of BellRing’s employees, BellRing’s ability and the ability of its third party contract manufacturers to manufacture and deliver its products, operating costs, demand for its on-the-go products and its operations generally;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BellRing’s ability to anticipate and respond to changes in consumer and customer preferences and behaviors and introduce new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consolidation in BellRing’s distribution channels;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BellRing’s ability to expand existing market penetration and enter into new markets;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loss of, a significant reduction of purchases by or the bankruptcy of a major customer;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fluctuations in BellRing’s business due to changes in its promotional activities and seasonality;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BellRing’s ability to maintain the net selling prices of its products and manage promotional activities with respect to its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BellRing’s leverage, its ability to obtain additional financing (including both secured and unsecured debt) and its ability to service its outstanding debt (including covenants that restrict the operation of its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accuracy of BellRing’s market data and attributes and related information;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changes in estimates in critical accounting judgments;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uncertain or unfavorable economic conditions that limit customer and consumer demand for BellRing’s products or increase its costs;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risks related to BellRing’s ongoing relationship with Post following BellRing’s separation from Post and the Spin-off, including BellRing’s obligations under various agreements with Post;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conflicting interests or the appearance of conflicting interests resulting from certain of BellRing’s directors also serving as officers or directors of Post;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risks related to the Spin-off, including BellRing’s inability to take certain actions because such actions could jeopardize the tax-free status of the Distribution and BellRing’s possible responsibility for U.S. federal tax liabilities related to the Distribution;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ultimate impact litigation or other regulatory matters may have on BellRing;</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risks associated with BellRing’s international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BellRing’s ability to protect its intellectual property and other assets and to continue to use third party intellectual property subject to intellectual property licenses;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costs, business disruptions and reputational damage associated with information technology failures, cybersecurity incidents and/or information security breaches;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impairment in the carrying value of goodwill or other intangibles;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BellRing’s ability to identify, complete and integrate or otherwise effectively execute acquisitions or other strategic transactions and effectively manage its growth;</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BellRing’s ability to satisfy the requirements of Section 404 of the Sarbanes-Oxley Act of 2002;</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significant differences in BellRing’s actual operating results from any guidance BellRing may give regarding its performance;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BellRing’s ability to hire and retain talented personnel, employee absenteeism, labor strikes, work stoppages or unionization efforts;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other risks and uncertainties described in BellRing’s filings with the Securities and Exchange Commission. </w:t>
      </w:r>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represent BellRing’s judgment as of the date of this release. BellRing disclaims, however, any intent or obligation to update these forward-looking statements.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About BellRing Brands, Inc. </w:t>
      </w:r>
    </w:p>
    <w:p>
      <w:pPr>
        <w:pStyle w:val="TextBody"/>
        <w:spacing w:lineRule="auto" w:line="288"/>
        <w:rPr/>
      </w:pPr>
      <w:r>
        <w:rPr>
          <w:rFonts w:ascii="Times New Roman;sans-serif" w:hAnsi="Times New Roman;sans-serif"/>
          <w:b w:val="false"/>
          <w:color w:val="000000"/>
          <w:sz w:val="20"/>
        </w:rPr>
        <w:t xml:space="preserve">BellRing Brands, Inc. is a rapidly growing leader in the global convenient nutrition category offering ready-to-drink shake and powder protein products. Its primary brands, </w:t>
      </w:r>
      <w:r>
        <w:rPr>
          <w:rFonts w:ascii="Times New Roman;sans-serif" w:hAnsi="Times New Roman;sans-serif"/>
          <w:b w:val="false"/>
          <w:i/>
          <w:color w:val="000000"/>
          <w:sz w:val="20"/>
        </w:rPr>
        <w:t>Premier Protein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Dymatize</w:t>
      </w:r>
      <w:r>
        <w:rPr>
          <w:rFonts w:ascii="Times New Roman;sans-serif" w:hAnsi="Times New Roman;sans-serif"/>
          <w:b w:val="false"/>
          <w:color w:val="000000"/>
          <w:sz w:val="13"/>
        </w:rPr>
        <w:t>®</w:t>
      </w:r>
      <w:r>
        <w:rPr>
          <w:rFonts w:ascii="Times New Roman;sans-serif" w:hAnsi="Times New Roman;sans-serif"/>
          <w:b w:val="false"/>
          <w:color w:val="000000"/>
          <w:sz w:val="20"/>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0"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Contact: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Investor Relations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Jennifer Meyer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jennifer.meyer@bellringbrands.com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(415) 814-9388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11"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pPr>
      <w:r>
        <w:rPr>
          <w:rFonts w:ascii="Times New Roman;sans-serif" w:hAnsi="Times New Roman;sans-serif"/>
          <w:b/>
          <w:color w:val="000000"/>
          <w:sz w:val="20"/>
        </w:rPr>
        <w:t>CONDENSED CONSOLIDATED STATEMENTS OF OPERATIONS</w:t>
      </w:r>
      <w:r>
        <w:rPr>
          <w:color w:val="000000"/>
        </w:rPr>
        <w:t xml:space="preserve"> </w:t>
      </w:r>
      <w:r>
        <w:rPr>
          <w:rFonts w:ascii="Times New Roman;sans-serif" w:hAnsi="Times New Roman;sans-serif"/>
          <w:b/>
          <w:color w:val="000000"/>
          <w:sz w:val="18"/>
        </w:rPr>
        <w:t>(Unaudited)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data)</w:t>
      </w:r>
    </w:p>
    <w:tbl>
      <w:tblPr>
        <w:tblW w:w="10205" w:type="dxa"/>
        <w:jc w:val="center"/>
        <w:tblInd w:w="0" w:type="dxa"/>
        <w:tblCellMar>
          <w:top w:w="28" w:type="dxa"/>
          <w:left w:w="28" w:type="dxa"/>
          <w:bottom w:w="28" w:type="dxa"/>
          <w:right w:w="28" w:type="dxa"/>
        </w:tblCellMar>
      </w:tblPr>
      <w:tblGrid>
        <w:gridCol w:w="1834"/>
        <w:gridCol w:w="1599"/>
        <w:gridCol w:w="1547"/>
        <w:gridCol w:w="240"/>
        <w:gridCol w:w="705"/>
        <w:gridCol w:w="123"/>
        <w:gridCol w:w="123"/>
        <w:gridCol w:w="123"/>
        <w:gridCol w:w="123"/>
        <w:gridCol w:w="240"/>
        <w:gridCol w:w="705"/>
        <w:gridCol w:w="123"/>
        <w:gridCol w:w="109"/>
        <w:gridCol w:w="109"/>
        <w:gridCol w:w="109"/>
        <w:gridCol w:w="224"/>
        <w:gridCol w:w="655"/>
        <w:gridCol w:w="115"/>
        <w:gridCol w:w="115"/>
        <w:gridCol w:w="115"/>
        <w:gridCol w:w="115"/>
        <w:gridCol w:w="224"/>
        <w:gridCol w:w="655"/>
        <w:gridCol w:w="175"/>
      </w:tblGrid>
      <w:tr>
        <w:trPr/>
        <w:tc>
          <w:tcPr>
            <w:tcW w:w="1834"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4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4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Including Redeemable Noncontrolling Interest</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earnings attributable to redeemable noncontrolling interest</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Available to Common Stockholders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of Common Stock:</w:t>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shares of Common Stock Outstanding:</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r>
      <w:tr>
        <w:trPr/>
        <w:tc>
          <w:tcPr>
            <w:tcW w:w="4980"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93" w:type="dxa"/>
            <w:gridSpan w:val="9"/>
            <w:tcBorders/>
            <w:shd w:fill="auto" w:val="clear"/>
          </w:tcPr>
          <w:p>
            <w:pPr>
              <w:pStyle w:val="TableContents"/>
              <w:spacing w:before="0" w:after="283"/>
              <w:rPr>
                <w:sz w:val="4"/>
                <w:szCs w:val="4"/>
              </w:rPr>
            </w:pPr>
            <w:r>
              <w:rPr>
                <w:sz w:val="4"/>
                <w:szCs w:val="4"/>
              </w:rPr>
            </w:r>
          </w:p>
        </w:tc>
      </w:tr>
    </w:tbl>
    <w:p>
      <w:pPr>
        <w:pStyle w:val="TextBody"/>
        <w:spacing w:before="240" w:after="283"/>
        <w:rPr/>
      </w:pPr>
      <w:r>
        <w:rPr/>
      </w:r>
    </w:p>
    <w:p>
      <w:pPr>
        <w:pStyle w:val="TextBody"/>
        <w:spacing w:before="180" w:after="283"/>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12"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spacing w:lineRule="auto" w:line="288" w:before="0" w:after="0"/>
        <w:jc w:val="center"/>
        <w:rPr/>
      </w:pPr>
      <w:r>
        <w:rPr>
          <w:rFonts w:ascii="Times New Roman;sans-serif" w:hAnsi="Times New Roman;sans-serif"/>
          <w:b/>
          <w:color w:val="000000"/>
          <w:sz w:val="20"/>
        </w:rPr>
        <w:t xml:space="preserve">(in millions) </w:t>
      </w:r>
      <w:r>
        <w:rPr>
          <w:color w:val="000000"/>
          <w:highlight w:val="white"/>
        </w:rPr>
        <w:t> </w:t>
      </w:r>
    </w:p>
    <w:tbl>
      <w:tblPr>
        <w:tblW w:w="6927" w:type="dxa"/>
        <w:jc w:val="center"/>
        <w:tblInd w:w="0" w:type="dxa"/>
        <w:tblCellMar>
          <w:top w:w="28" w:type="dxa"/>
          <w:left w:w="28" w:type="dxa"/>
          <w:bottom w:w="28" w:type="dxa"/>
          <w:right w:w="28" w:type="dxa"/>
        </w:tblCellMar>
      </w:tblPr>
      <w:tblGrid>
        <w:gridCol w:w="1324"/>
        <w:gridCol w:w="1164"/>
        <w:gridCol w:w="1172"/>
        <w:gridCol w:w="291"/>
        <w:gridCol w:w="849"/>
        <w:gridCol w:w="150"/>
        <w:gridCol w:w="109"/>
        <w:gridCol w:w="109"/>
        <w:gridCol w:w="109"/>
        <w:gridCol w:w="355"/>
        <w:gridCol w:w="1036"/>
        <w:gridCol w:w="259"/>
      </w:tblGrid>
      <w:tr>
        <w:trPr/>
        <w:tc>
          <w:tcPr>
            <w:tcW w:w="1324"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3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27"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7"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Deficit</w:t>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Deficit</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SELECTED CONDENSED CONSOLIDATED CASH FLOWS INFORMATION (Unaudited)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bl>
      <w:tblPr>
        <w:tblW w:w="7497" w:type="dxa"/>
        <w:jc w:val="center"/>
        <w:tblInd w:w="0" w:type="dxa"/>
        <w:tblCellMar>
          <w:top w:w="28" w:type="dxa"/>
          <w:left w:w="28" w:type="dxa"/>
          <w:bottom w:w="28" w:type="dxa"/>
          <w:right w:w="28" w:type="dxa"/>
        </w:tblCellMar>
      </w:tblPr>
      <w:tblGrid>
        <w:gridCol w:w="1843"/>
        <w:gridCol w:w="1618"/>
        <w:gridCol w:w="1624"/>
        <w:gridCol w:w="233"/>
        <w:gridCol w:w="648"/>
        <w:gridCol w:w="120"/>
        <w:gridCol w:w="120"/>
        <w:gridCol w:w="120"/>
        <w:gridCol w:w="120"/>
        <w:gridCol w:w="233"/>
        <w:gridCol w:w="648"/>
        <w:gridCol w:w="170"/>
      </w:tblGrid>
      <w:tr>
        <w:trPr/>
        <w:tc>
          <w:tcPr>
            <w:tcW w:w="1843"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in):</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cash equivalents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13"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EXPLANATION AND RECONCILIATION OF NON-GAAP MEASURES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net earnings available to common stockholders and Adjusted diluted earnings per share of common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believes Adjusted net earnings available to common stockholders and Adjusted diluted earnings per share of common stock are useful to investors in evaluating BellRing’s operating performance because they exclude items that affect the comparability of BellRing’s financial results and could potentially distort an understanding of the trends in business performance. </w:t>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Adjusted net earnings available to common stockholders and Adjusted diluted earnings per share of common stock are adjusted for the following items:</w:t>
      </w:r>
    </w:p>
    <w:p>
      <w:pPr>
        <w:pStyle w:val="TextBody"/>
        <w:spacing w:lineRule="auto" w:line="288" w:before="0" w:after="0"/>
        <w:ind w:left="0" w:right="0" w:hanging="360"/>
        <w:rPr/>
      </w:pPr>
      <w:r>
        <w:rPr>
          <w:rFonts w:ascii="Times New Roman;sans-serif" w:hAnsi="Times New Roman;sans-serif"/>
          <w:b w:val="false"/>
          <w:color w:val="000000"/>
          <w:sz w:val="20"/>
          <w:highlight w:val="white"/>
        </w:rPr>
        <w:t>a.</w:t>
      </w:r>
      <w:r>
        <w:rPr>
          <w:rFonts w:ascii="Times New Roman;sans-serif" w:hAnsi="Times New Roman;sans-serif"/>
          <w:b w:val="false"/>
          <w:i/>
          <w:color w:val="000000"/>
          <w:sz w:val="20"/>
        </w:rPr>
        <w:t>Loss on extinguishment, net</w:t>
      </w:r>
      <w:r>
        <w:rPr>
          <w:rFonts w:ascii="Times New Roman;sans-serif" w:hAnsi="Times New Roman;sans-serif"/>
          <w:b w:val="false"/>
          <w:color w:val="000000"/>
          <w:sz w:val="20"/>
        </w:rPr>
        <w:t>: BellRing has excluded losses recorded on extinguishment of debt, inclusive of the write-off of debt issuance costs and deferred financing fees and the write-off of net unamortized debt discounts, as such losses are inconsistent in amount and frequency. Additionally, BellRing believes that these losses do not reflect expected ongoing future operating expenses and do not contribute to a meaningful evaluation of BellRing’s current operating performance or comparisons of BellRing’s operating performance to other periods.</w:t>
      </w:r>
    </w:p>
    <w:p>
      <w:pPr>
        <w:pStyle w:val="TextBody"/>
        <w:spacing w:lineRule="auto" w:line="288" w:before="0" w:after="0"/>
        <w:ind w:left="0" w:right="0" w:hanging="360"/>
        <w:rPr/>
      </w:pPr>
      <w:r>
        <w:rPr>
          <w:rFonts w:ascii="Times New Roman;sans-serif" w:hAnsi="Times New Roman;sans-serif"/>
          <w:b w:val="false"/>
          <w:color w:val="000000"/>
          <w:sz w:val="20"/>
        </w:rPr>
        <w:t>b.</w:t>
      </w:r>
      <w:r>
        <w:rPr>
          <w:rFonts w:ascii="Times New Roman;sans-serif" w:hAnsi="Times New Roman;sans-serif"/>
          <w:b w:val="false"/>
          <w:i/>
          <w:color w:val="000000"/>
          <w:sz w:val="20"/>
        </w:rPr>
        <w:t>Separation costs</w:t>
      </w:r>
      <w:r>
        <w:rPr>
          <w:rFonts w:ascii="Times New Roman;sans-serif" w:hAnsi="Times New Roman;sans-serif"/>
          <w:b w:val="false"/>
          <w:color w:val="000000"/>
          <w:sz w:val="20"/>
        </w:rPr>
        <w:t>: BellRing has excluded certain expenses incurred in connection with (i) Post’s distribution of 80.1% of its interest in BellRing and (ii) s</w:t>
      </w:r>
      <w:r>
        <w:rPr>
          <w:rFonts w:ascii="Times New Roman;sans-serif" w:hAnsi="Times New Roman;sans-serif"/>
          <w:b w:val="false"/>
          <w:color w:val="000000"/>
          <w:sz w:val="20"/>
          <w:highlight w:val="white"/>
        </w:rPr>
        <w:t>econdary offerings of shares of BellRing common stock previously held by Post</w:t>
      </w:r>
      <w:r>
        <w:rPr>
          <w:rFonts w:ascii="Times New Roman;sans-serif" w:hAnsi="Times New Roman;sans-serif"/>
          <w:b w:val="false"/>
          <w:color w:val="000000"/>
          <w:sz w:val="20"/>
        </w:rPr>
        <w:t xml:space="preserve">,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w:t>
      </w:r>
      <w:r>
        <w:rPr>
          <w:rFonts w:ascii="Times New Roman;sans-serif" w:hAnsi="Times New Roman;sans-serif"/>
          <w:b w:val="false"/>
          <w:color w:val="000000"/>
          <w:sz w:val="20"/>
          <w:highlight w:val="white"/>
        </w:rPr>
        <w:t>performance to other periods.</w:t>
      </w:r>
    </w:p>
    <w:p>
      <w:pPr>
        <w:pStyle w:val="TextBody"/>
        <w:spacing w:lineRule="auto" w:line="288" w:before="0" w:after="0"/>
        <w:ind w:left="0" w:right="0" w:hanging="360"/>
        <w:rPr/>
      </w:pPr>
      <w:r>
        <w:rPr>
          <w:rFonts w:ascii="Times New Roman;sans-serif" w:hAnsi="Times New Roman;sans-serif"/>
          <w:b w:val="false"/>
          <w:color w:val="000000"/>
          <w:sz w:val="20"/>
          <w:highlight w:val="white"/>
        </w:rPr>
        <w:t>c.</w:t>
      </w:r>
      <w:r>
        <w:rPr>
          <w:rFonts w:ascii="Times New Roman;sans-serif" w:hAnsi="Times New Roman;sans-serif"/>
          <w:b w:val="false"/>
          <w:i/>
          <w:color w:val="000000"/>
          <w:sz w:val="20"/>
        </w:rPr>
        <w:t>Mark-to-market adjustments on commodity hedges</w:t>
      </w:r>
      <w:r>
        <w:rPr>
          <w:rFonts w:ascii="Times New Roman;sans-serif" w:hAnsi="Times New Roman;sans-serif"/>
          <w:b w:val="false"/>
          <w:color w:val="000000"/>
          <w:sz w:val="20"/>
        </w:rPr>
        <w:t>: BellRing has excluded the impact of mark-to-market adjustments on commodity hedges due to the inherent uncertainty and volatility associated with such amounts based on changes in assumptions with respect to fair value estimates. Additionally, these adjustments are primarily non-cash items and the amount and frequency of such adjustments are not consistent.</w:t>
      </w:r>
    </w:p>
    <w:p>
      <w:pPr>
        <w:pStyle w:val="TextBody"/>
        <w:spacing w:lineRule="auto" w:line="288" w:before="0" w:after="0"/>
        <w:ind w:left="0" w:right="0" w:hanging="360"/>
        <w:rPr/>
      </w:pPr>
      <w:r>
        <w:rPr>
          <w:rFonts w:ascii="Times New Roman;sans-serif" w:hAnsi="Times New Roman;sans-serif"/>
          <w:b w:val="false"/>
          <w:color w:val="000000"/>
          <w:sz w:val="20"/>
          <w:highlight w:val="white"/>
        </w:rPr>
        <w:t>d.</w:t>
      </w:r>
      <w:r>
        <w:rPr>
          <w:rFonts w:ascii="Times New Roman;sans-serif" w:hAnsi="Times New Roman;sans-serif"/>
          <w:b w:val="false"/>
          <w:i/>
          <w:color w:val="000000"/>
          <w:sz w:val="20"/>
          <w:highlight w:val="white"/>
        </w:rPr>
        <w:t>Foreign currency gain/loss on intercompany loans</w:t>
      </w:r>
      <w:r>
        <w:rPr>
          <w:rFonts w:ascii="Times New Roman;sans-serif" w:hAnsi="Times New Roman;sans-serif"/>
          <w:b w:val="false"/>
          <w:color w:val="000000"/>
          <w:sz w:val="20"/>
          <w:highlight w:val="white"/>
        </w:rPr>
        <w:t>: BellRing has excluded the impact of foreign currency fluctuations related to intercompany loans denominated in currencies other than the functional currency of the respective legal entity in evaluating BellRing’s</w:t>
      </w:r>
      <w:r>
        <w:rPr>
          <w:color w:val="000000"/>
        </w:rPr>
        <w:t xml:space="preserve"> </w:t>
      </w:r>
      <w:r>
        <w:rPr>
          <w:rFonts w:ascii="Times New Roman;sans-serif" w:hAnsi="Times New Roman;sans-serif"/>
          <w:b w:val="false"/>
          <w:color w:val="000000"/>
          <w:sz w:val="20"/>
        </w:rPr>
        <w:t>performance to allow for more meaningful comparisons of performance to other periods.</w:t>
      </w:r>
    </w:p>
    <w:p>
      <w:pPr>
        <w:pStyle w:val="TextBody"/>
        <w:spacing w:lineRule="auto" w:line="288" w:before="0" w:after="0"/>
        <w:ind w:left="0" w:right="0" w:hanging="360"/>
        <w:rPr/>
      </w:pPr>
      <w:r>
        <w:rPr>
          <w:rFonts w:ascii="Times New Roman;sans-serif" w:hAnsi="Times New Roman;sans-serif"/>
          <w:b w:val="false"/>
          <w:color w:val="000000"/>
          <w:sz w:val="20"/>
        </w:rPr>
        <w:t>e.</w:t>
      </w:r>
      <w:r>
        <w:rPr>
          <w:rFonts w:ascii="Times New Roman;sans-serif" w:hAnsi="Times New Roman;sans-serif"/>
          <w:b w:val="false"/>
          <w:i/>
          <w:color w:val="000000"/>
          <w:sz w:val="20"/>
        </w:rPr>
        <w:t>NCI adjustment</w:t>
      </w:r>
      <w:r>
        <w:rPr>
          <w:rFonts w:ascii="Times New Roman;sans-serif" w:hAnsi="Times New Roman;sans-serif"/>
          <w:b w:val="false"/>
          <w:color w:val="000000"/>
          <w:sz w:val="20"/>
        </w:rPr>
        <w:t xml:space="preserve">: BellRing has included an adjustment to reflect the removal of non-GAAP adjustments which are attributable to the NCI in the periods prior to the Spin-off in the calculation of Adjusted net earnings available to common stockholders and Adjusted diluted earnings per share of common stock, as BellRing believes this adjustment contributes to a more meaningful evaluation of BellRing’s current operating performance. </w:t>
      </w:r>
    </w:p>
    <w:p>
      <w:pPr>
        <w:pStyle w:val="TextBody"/>
        <w:spacing w:lineRule="auto" w:line="288" w:before="0" w:after="180"/>
        <w:ind w:left="0" w:right="0" w:hanging="360"/>
        <w:rPr/>
      </w:pPr>
      <w:r>
        <w:rPr>
          <w:rFonts w:ascii="Times New Roman;sans-serif" w:hAnsi="Times New Roman;sans-serif"/>
          <w:b w:val="false"/>
          <w:color w:val="000000"/>
          <w:sz w:val="20"/>
        </w:rPr>
        <w:t>f.</w:t>
      </w:r>
      <w:r>
        <w:rPr>
          <w:rFonts w:ascii="Times New Roman;sans-serif" w:hAnsi="Times New Roman;sans-serif"/>
          <w:b w:val="false"/>
          <w:i/>
          <w:color w:val="000000"/>
          <w:sz w:val="20"/>
        </w:rPr>
        <w:t>Income tax effect on adjustments</w:t>
      </w:r>
      <w:r>
        <w:rPr>
          <w:rFonts w:ascii="Times New Roman;sans-serif" w:hAnsi="Times New Roman;sans-serif"/>
          <w:b w:val="false"/>
          <w:color w:val="000000"/>
          <w:sz w:val="20"/>
        </w:rPr>
        <w:t xml:space="preserve">: BellRing has included the income tax impact of the non-GAAP adjustments using a rate described in the applicable footnote of the reconciliation tables, as BellRing believes that its GAAP effective income tax rate as reported is not representative of the income tax expense impact of the adjustments. </w:t>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Adjusted EBITDA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w:t>
      </w:r>
    </w:p>
    <w:p>
      <w:pPr>
        <w:pStyle w:val="TextBody"/>
        <w:spacing w:lineRule="auto" w:line="288" w:before="0" w:after="0"/>
        <w:rPr/>
      </w:pPr>
      <w:r>
        <w:rPr>
          <w:rFonts w:ascii="Times New Roman;sans-serif" w:hAnsi="Times New Roman;sans-serif"/>
          <w:b w:val="false"/>
          <w:color w:val="000000"/>
          <w:sz w:val="20"/>
        </w:rPr>
        <w:t>Adjusted EBITDA reflects adjustments for income tax expense, interest expense, net and depreciation and amortization, and the following adjustments discussed abov</w:t>
      </w:r>
      <w:r>
        <w:rPr>
          <w:rFonts w:ascii="Times New Roman;sans-serif" w:hAnsi="Times New Roman;sans-serif"/>
          <w:b w:val="false"/>
          <w:color w:val="000000"/>
          <w:sz w:val="20"/>
          <w:highlight w:val="white"/>
        </w:rPr>
        <w:t>e: loss on extinguishment of debt, net, separation costs, mark-to-market adjustments on commodity hedges and foreign currency gain/loss on intercompany loans. Additionally, Adjusted EBITDA reflects adjustments for the following items:</w:t>
      </w:r>
    </w:p>
    <w:p>
      <w:pPr>
        <w:pStyle w:val="TextBody"/>
        <w:spacing w:lineRule="auto" w:line="288"/>
        <w:ind w:left="0" w:right="0" w:hanging="360"/>
        <w:rPr/>
      </w:pPr>
      <w:r>
        <w:rPr>
          <w:rFonts w:ascii="Times New Roman;sans-serif" w:hAnsi="Times New Roman;sans-serif"/>
          <w:b w:val="false"/>
          <w:color w:val="000000"/>
          <w:sz w:val="20"/>
          <w:highlight w:val="white"/>
        </w:rPr>
        <w:t>g.</w:t>
      </w:r>
      <w:r>
        <w:rPr>
          <w:rFonts w:ascii="Times New Roman;sans-serif" w:hAnsi="Times New Roman;sans-serif"/>
          <w:b w:val="false"/>
          <w:i/>
          <w:color w:val="000000"/>
          <w:sz w:val="20"/>
          <w:highlight w:val="white"/>
        </w:rPr>
        <w:t>Stock-based compensation</w:t>
      </w:r>
      <w:r>
        <w:rPr>
          <w:rFonts w:ascii="Times New Roman;sans-serif" w:hAnsi="Times New Roman;sans-serif"/>
          <w:b w:val="false"/>
          <w:color w:val="000000"/>
          <w:sz w:val="20"/>
          <w:highlight w:val="white"/>
        </w:rPr>
        <w:t xml:space="preserve">: BellRing’s compensation strategy </w:t>
      </w:r>
      <w:r>
        <w:rPr>
          <w:rFonts w:ascii="Times New Roman;sans-serif" w:hAnsi="Times New Roman;sans-serif"/>
          <w:b w:val="false"/>
          <w:color w:val="000000"/>
          <w:sz w:val="20"/>
        </w:rPr>
        <w:t xml:space="preserve">includes the use of BellRing stock-based compensation to attract and retain executives and employees by aligning their long-term compensation interests with BellRing’s stockholders’ investment interests. BellRing’s director compensation strategy includes an election by any director who earns retainers in which the director may elect to defer compensation granted as a director to BellRing common stock, </w:t>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14" name="Frame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pStyle w:val="TextBody"/>
        <w:spacing w:lineRule="auto" w:line="288"/>
        <w:ind w:left="0" w:right="0" w:hanging="360"/>
        <w:rPr/>
      </w:pPr>
      <w:r>
        <w:rPr>
          <w:rFonts w:ascii="Times New Roman;sans-serif" w:hAnsi="Times New Roman;sans-serif"/>
          <w:b w:val="false"/>
          <w:color w:val="000000"/>
          <w:sz w:val="20"/>
        </w:rPr>
        <w:t>h.</w:t>
      </w:r>
      <w:r>
        <w:rPr>
          <w:rFonts w:ascii="Times New Roman;sans-serif" w:hAnsi="Times New Roman;sans-serif"/>
          <w:b w:val="false"/>
          <w:i/>
          <w:color w:val="000000"/>
          <w:sz w:val="20"/>
        </w:rPr>
        <w:t>Net earnings attributable to redeemable noncontrolling interest</w:t>
      </w:r>
      <w:r>
        <w:rPr>
          <w:rFonts w:ascii="Times New Roman;sans-serif" w:hAnsi="Times New Roman;sans-serif"/>
          <w:b w:val="false"/>
          <w:color w:val="000000"/>
          <w:sz w:val="20"/>
        </w:rPr>
        <w:t xml:space="preserve">: BellRing has included adjustments for the portion of its consolidated net earnings which were allocated to the NCI for the periods prior to the Spin-off, allowing for the calculation of Adjusted EBITDA to include 100% of BellRing as BellRing’s management evaluates BellRing’s operating performance on a basis that includes 100% of BellRing. </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15" name="Frame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RECONCILIATION OF NET EARNINGS AVAILABLE TO COMMON STOCKHOLDERS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ADJUSTED NET EARNINGS AVAILABLE TO COMMON STOCKHOLDERS (Unaudited)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bl>
      <w:tblPr>
        <w:tblW w:w="10205" w:type="dxa"/>
        <w:jc w:val="center"/>
        <w:tblInd w:w="0" w:type="dxa"/>
        <w:tblCellMar>
          <w:top w:w="28" w:type="dxa"/>
          <w:left w:w="28" w:type="dxa"/>
          <w:bottom w:w="28" w:type="dxa"/>
          <w:right w:w="28" w:type="dxa"/>
        </w:tblCellMar>
      </w:tblPr>
      <w:tblGrid>
        <w:gridCol w:w="498"/>
        <w:gridCol w:w="438"/>
        <w:gridCol w:w="438"/>
        <w:gridCol w:w="1166"/>
        <w:gridCol w:w="971"/>
        <w:gridCol w:w="707"/>
        <w:gridCol w:w="295"/>
        <w:gridCol w:w="717"/>
        <w:gridCol w:w="152"/>
        <w:gridCol w:w="152"/>
        <w:gridCol w:w="152"/>
        <w:gridCol w:w="152"/>
        <w:gridCol w:w="295"/>
        <w:gridCol w:w="717"/>
        <w:gridCol w:w="152"/>
        <w:gridCol w:w="141"/>
        <w:gridCol w:w="141"/>
        <w:gridCol w:w="141"/>
        <w:gridCol w:w="287"/>
        <w:gridCol w:w="696"/>
        <w:gridCol w:w="148"/>
        <w:gridCol w:w="148"/>
        <w:gridCol w:w="148"/>
        <w:gridCol w:w="148"/>
        <w:gridCol w:w="287"/>
        <w:gridCol w:w="696"/>
        <w:gridCol w:w="222"/>
      </w:tblGrid>
      <w:tr>
        <w:trPr/>
        <w:tc>
          <w:tcPr>
            <w:tcW w:w="49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1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1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Available to Common Stockholders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auto" w:val="clear"/>
            <w:vAlign w:val="center"/>
          </w:tcPr>
          <w:p>
            <w:pPr>
              <w:pStyle w:val="TableContents"/>
              <w:spacing w:before="0" w:after="283"/>
              <w:rPr>
                <w:sz w:val="4"/>
                <w:szCs w:val="4"/>
              </w:rPr>
            </w:pPr>
            <w:r>
              <w:rPr>
                <w:sz w:val="4"/>
                <w:szCs w:val="4"/>
              </w:rPr>
            </w:r>
          </w:p>
        </w:tc>
        <w:tc>
          <w:tcPr>
            <w:tcW w:w="2844"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tcPr>
          <w:p>
            <w:pPr>
              <w:pStyle w:val="TableContents"/>
              <w:spacing w:before="0" w:after="283"/>
              <w:rPr>
                <w:sz w:val="4"/>
                <w:szCs w:val="4"/>
              </w:rPr>
            </w:pPr>
            <w:r>
              <w:rPr>
                <w:sz w:val="4"/>
                <w:szCs w:val="4"/>
              </w:rPr>
            </w:r>
          </w:p>
        </w:tc>
      </w:tr>
      <w:tr>
        <w:trPr/>
        <w:tc>
          <w:tcPr>
            <w:tcW w:w="1374" w:type="dxa"/>
            <w:gridSpan w:val="3"/>
            <w:tcBorders/>
            <w:shd w:fill="auto" w:val="clear"/>
            <w:vAlign w:val="center"/>
          </w:tcPr>
          <w:p>
            <w:pPr>
              <w:pStyle w:val="TableContents"/>
              <w:spacing w:before="0" w:after="283"/>
              <w:rPr>
                <w:sz w:val="4"/>
                <w:szCs w:val="4"/>
              </w:rPr>
            </w:pPr>
            <w:r>
              <w:rPr>
                <w:sz w:val="4"/>
                <w:szCs w:val="4"/>
              </w:rPr>
            </w:r>
          </w:p>
        </w:tc>
        <w:tc>
          <w:tcPr>
            <w:tcW w:w="2844"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tcPr>
          <w:p>
            <w:pPr>
              <w:pStyle w:val="TableContents"/>
              <w:spacing w:before="0" w:after="283"/>
              <w:rPr>
                <w:sz w:val="4"/>
                <w:szCs w:val="4"/>
              </w:rPr>
            </w:pPr>
            <w:r>
              <w:rPr>
                <w:sz w:val="4"/>
                <w:szCs w:val="4"/>
              </w:rPr>
            </w:r>
          </w:p>
        </w:tc>
      </w:tr>
      <w:tr>
        <w:trPr/>
        <w:tc>
          <w:tcPr>
            <w:tcW w:w="4218"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auto" w:val="clear"/>
            <w:vAlign w:val="center"/>
          </w:tcPr>
          <w:p>
            <w:pPr>
              <w:pStyle w:val="TableContents"/>
              <w:spacing w:before="0" w:after="283"/>
              <w:rPr>
                <w:sz w:val="4"/>
                <w:szCs w:val="4"/>
              </w:rPr>
            </w:pPr>
            <w:r>
              <w:rPr>
                <w:sz w:val="4"/>
                <w:szCs w:val="4"/>
              </w:rPr>
            </w:r>
          </w:p>
        </w:tc>
        <w:tc>
          <w:tcPr>
            <w:tcW w:w="2844"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costs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auto" w:val="clear"/>
            <w:vAlign w:val="center"/>
          </w:tcPr>
          <w:p>
            <w:pPr>
              <w:pStyle w:val="TableContents"/>
              <w:spacing w:before="0" w:after="283"/>
              <w:rPr>
                <w:sz w:val="4"/>
                <w:szCs w:val="4"/>
              </w:rPr>
            </w:pPr>
            <w:r>
              <w:rPr>
                <w:sz w:val="4"/>
                <w:szCs w:val="4"/>
              </w:rPr>
            </w:r>
          </w:p>
        </w:tc>
        <w:tc>
          <w:tcPr>
            <w:tcW w:w="2844"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on commodity hedges</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auto" w:val="clear"/>
            <w:vAlign w:val="center"/>
          </w:tcPr>
          <w:p>
            <w:pPr>
              <w:pStyle w:val="TableContents"/>
              <w:spacing w:before="0" w:after="283"/>
              <w:rPr>
                <w:sz w:val="4"/>
                <w:szCs w:val="4"/>
              </w:rPr>
            </w:pPr>
            <w:r>
              <w:rPr>
                <w:sz w:val="4"/>
                <w:szCs w:val="4"/>
              </w:rPr>
            </w:r>
          </w:p>
        </w:tc>
        <w:tc>
          <w:tcPr>
            <w:tcW w:w="2844"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74" w:type="dxa"/>
            <w:gridSpan w:val="3"/>
            <w:tcBorders/>
            <w:shd w:fill="auto" w:val="clear"/>
            <w:vAlign w:val="center"/>
          </w:tcPr>
          <w:p>
            <w:pPr>
              <w:pStyle w:val="TableContents"/>
              <w:spacing w:before="0" w:after="283"/>
              <w:rPr>
                <w:sz w:val="4"/>
                <w:szCs w:val="4"/>
              </w:rPr>
            </w:pPr>
            <w:r>
              <w:rPr>
                <w:sz w:val="4"/>
                <w:szCs w:val="4"/>
              </w:rPr>
            </w:r>
          </w:p>
        </w:tc>
        <w:tc>
          <w:tcPr>
            <w:tcW w:w="2844"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auto" w:val="clear"/>
            <w:vAlign w:val="center"/>
          </w:tcPr>
          <w:p>
            <w:pPr>
              <w:pStyle w:val="TableContents"/>
              <w:spacing w:before="0" w:after="283"/>
              <w:rPr>
                <w:sz w:val="4"/>
                <w:szCs w:val="4"/>
              </w:rPr>
            </w:pPr>
            <w:r>
              <w:rPr>
                <w:sz w:val="4"/>
                <w:szCs w:val="4"/>
              </w:rPr>
            </w:r>
          </w:p>
        </w:tc>
        <w:tc>
          <w:tcPr>
            <w:tcW w:w="2844"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 adjustment</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Adjustments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8"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Income tax effect on adjustments </w:t>
            </w:r>
            <w:r>
              <w:rPr>
                <w:rFonts w:ascii="Times New Roman;sans-serif" w:hAnsi="Times New Roman;sans-serif"/>
                <w:b w:val="false"/>
                <w:color w:val="000000"/>
                <w:sz w:val="13"/>
              </w:rPr>
              <w:t>(1)</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auto" w:val="clear"/>
            <w:vAlign w:val="center"/>
          </w:tcPr>
          <w:p>
            <w:pPr>
              <w:pStyle w:val="TableContents"/>
              <w:spacing w:before="0" w:after="283"/>
              <w:rPr>
                <w:sz w:val="4"/>
                <w:szCs w:val="4"/>
              </w:rPr>
            </w:pPr>
            <w:r>
              <w:rPr>
                <w:sz w:val="4"/>
                <w:szCs w:val="4"/>
              </w:rPr>
            </w:r>
          </w:p>
        </w:tc>
        <w:tc>
          <w:tcPr>
            <w:tcW w:w="2844"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tcPr>
          <w:p>
            <w:pPr>
              <w:pStyle w:val="TableContents"/>
              <w:spacing w:before="0" w:after="283"/>
              <w:rPr>
                <w:sz w:val="4"/>
                <w:szCs w:val="4"/>
              </w:rPr>
            </w:pPr>
            <w:r>
              <w:rPr>
                <w:sz w:val="4"/>
                <w:szCs w:val="4"/>
              </w:rPr>
            </w:r>
          </w:p>
        </w:tc>
      </w:tr>
      <w:tr>
        <w:trPr/>
        <w:tc>
          <w:tcPr>
            <w:tcW w:w="42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Earnings Available to Common Stockholders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the periods subsequent to the Spin-off (October 1, 2022 through March 31, 2023 and March 11, 2022 through March 31, 2022), income tax effect on adjustments was calculated on all items, except for separation costs, using a rate of 24.0%. For the periods prior to the Spin-off (October 1, 2021 through March 10, 2022), income tax effect on adjustments was calculated on all items, except for separation costs and NCI adjustment, using a rate of 7.0%, which represents the effective income tax rate on BellRing’s distributive share from BellRing LLC. For the periods prior to the Spin-off, income tax effect for NCI adjustment was calculated using a rate of 0.0%. For all periods, income tax effect for separation costs was calculated using a rate of 8.0%.</w:t>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RECONCILIATION OF DILUTED EARNINGS PER SHARE OF COMMON STOCK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ADJUSTED DILUTED EARNINGS PER SHARE OF COMMON STOCK (Unaudited)</w:t>
      </w:r>
    </w:p>
    <w:tbl>
      <w:tblPr>
        <w:tblW w:w="10205" w:type="dxa"/>
        <w:jc w:val="center"/>
        <w:tblInd w:w="0" w:type="dxa"/>
        <w:tblCellMar>
          <w:top w:w="28" w:type="dxa"/>
          <w:left w:w="28" w:type="dxa"/>
          <w:bottom w:w="28" w:type="dxa"/>
          <w:right w:w="28" w:type="dxa"/>
        </w:tblCellMar>
      </w:tblPr>
      <w:tblGrid>
        <w:gridCol w:w="658"/>
        <w:gridCol w:w="368"/>
        <w:gridCol w:w="368"/>
        <w:gridCol w:w="1104"/>
        <w:gridCol w:w="1060"/>
        <w:gridCol w:w="662"/>
        <w:gridCol w:w="295"/>
        <w:gridCol w:w="716"/>
        <w:gridCol w:w="152"/>
        <w:gridCol w:w="152"/>
        <w:gridCol w:w="152"/>
        <w:gridCol w:w="152"/>
        <w:gridCol w:w="295"/>
        <w:gridCol w:w="716"/>
        <w:gridCol w:w="152"/>
        <w:gridCol w:w="141"/>
        <w:gridCol w:w="141"/>
        <w:gridCol w:w="141"/>
        <w:gridCol w:w="287"/>
        <w:gridCol w:w="696"/>
        <w:gridCol w:w="148"/>
        <w:gridCol w:w="148"/>
        <w:gridCol w:w="148"/>
        <w:gridCol w:w="148"/>
        <w:gridCol w:w="287"/>
        <w:gridCol w:w="696"/>
        <w:gridCol w:w="222"/>
      </w:tblGrid>
      <w:tr>
        <w:trPr/>
        <w:tc>
          <w:tcPr>
            <w:tcW w:w="65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2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0"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1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282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costs</w:t>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282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on commodity hedges</w:t>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282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282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282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282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 adjustment</w:t>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Adjustments</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Income tax effect on adjustments </w:t>
            </w:r>
            <w:r>
              <w:rPr>
                <w:rFonts w:ascii="Times New Roman;sans-serif" w:hAnsi="Times New Roman;sans-serif"/>
                <w:b w:val="false"/>
                <w:color w:val="000000"/>
                <w:sz w:val="13"/>
              </w:rPr>
              <w:t>(1)</w:t>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Diluted Earnings per share of Common Stock</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282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the periods subsequent to the Spin-off (October 1, 2022 through March 31, 2023 and March 11, 2022 through March 31, 2022), income tax effect on adjustments was calculated on all items, except for separation costs, using a rate of 24.0%. For the periods prior to the Spin-off (October 1, 2021 through March 10, 2022), income tax effect on adjustments was calculated on all items, except for separation costs and NCI adjustment, using a rate of 7.0%, which represents the effective income tax rate on BellRing’s distributive share from BellRing LLC. For the periods prior to the Spin-off, income tax effect for NCI adjustment was calculated using a rate of 0.0%. For all periods, income tax effect for separation costs was calculated using a rate of 8.0%.</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16" name="Frame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RECONCILIATION OF NET EARNINGS AVAILABLE TO COMMON STOCKHOLDERS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ADJUSTED EBITDA (Unaudited)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bl>
      <w:tblPr>
        <w:tblW w:w="10205" w:type="dxa"/>
        <w:jc w:val="center"/>
        <w:tblInd w:w="0" w:type="dxa"/>
        <w:tblCellMar>
          <w:top w:w="28" w:type="dxa"/>
          <w:left w:w="28" w:type="dxa"/>
          <w:bottom w:w="28" w:type="dxa"/>
          <w:right w:w="28" w:type="dxa"/>
        </w:tblCellMar>
      </w:tblPr>
      <w:tblGrid>
        <w:gridCol w:w="1739"/>
        <w:gridCol w:w="1509"/>
        <w:gridCol w:w="1516"/>
        <w:gridCol w:w="232"/>
        <w:gridCol w:w="562"/>
        <w:gridCol w:w="298"/>
        <w:gridCol w:w="119"/>
        <w:gridCol w:w="119"/>
        <w:gridCol w:w="119"/>
        <w:gridCol w:w="232"/>
        <w:gridCol w:w="562"/>
        <w:gridCol w:w="298"/>
        <w:gridCol w:w="109"/>
        <w:gridCol w:w="109"/>
        <w:gridCol w:w="109"/>
        <w:gridCol w:w="211"/>
        <w:gridCol w:w="616"/>
        <w:gridCol w:w="271"/>
        <w:gridCol w:w="109"/>
        <w:gridCol w:w="109"/>
        <w:gridCol w:w="109"/>
        <w:gridCol w:w="211"/>
        <w:gridCol w:w="616"/>
        <w:gridCol w:w="321"/>
      </w:tblGrid>
      <w:tr>
        <w:trPr/>
        <w:tc>
          <w:tcPr>
            <w:tcW w:w="1739"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4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4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Available to Common Stockholders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costs</w:t>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on commodity hedges</w:t>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476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w:t>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redeemable noncontrolling interest</w:t>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as a percentage of Net Sales</w:t>
            </w:r>
          </w:p>
        </w:tc>
        <w:tc>
          <w:tcPr>
            <w:tcW w:w="79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3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center"/>
        <w:rPr/>
      </w:pPr>
      <w:r>
        <w:rPr/>
      </w:r>
    </w:p>
    <w:p>
      <w:pPr>
        <w:pStyle w:val="TextBody"/>
        <w:spacing w:before="180" w:after="283"/>
        <w:jc w:val="center"/>
        <w:rPr/>
      </w:pPr>
      <w:r>
        <w:rPr/>
      </w:r>
    </w:p>
    <w:p>
      <w:pPr>
        <w:pStyle w:val="TextBody"/>
        <w:spacing w:before="0" w:after="0"/>
        <w:jc w:val="center"/>
        <w:rPr/>
      </w:pPr>
      <w:r>
        <w:rPr/>
      </w:r>
    </w:p>
    <w:p>
      <w:pPr>
        <w:pStyle w:val="TextBody"/>
        <w:jc w:val="center"/>
        <w:rPr/>
      </w:pPr>
      <w:r>
        <w:rPr/>
      </w:r>
      <w:r>
        <w:br w:type="page"/>
      </w:r>
    </w:p>
    <w:p>
      <w:pPr>
        <w:pStyle w:val="TextBody"/>
        <w:spacing w:before="0" w:after="0"/>
        <w:jc w:val="center"/>
        <w:rPr/>
      </w:pPr>
      <w:bookmarkStart w:id="0" w:name="brbr2q23supplementalpres.htm"/>
      <w:bookmarkStart w:id="1" w:name="ksbrbr2q23supplementalpres"/>
      <w:bookmarkEnd w:id="0"/>
      <w:bookmarkEnd w:id="1"/>
      <w:r>
        <w:rPr/>
        <w:drawing>
          <wp:inline distT="0" distB="0" distL="0" distR="0">
            <wp:extent cx="9753600" cy="73152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18" name="Frame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jc w:val="center"/>
        <w:rPr>
          <w:color w:val="FFFFFF"/>
          <w:sz w:val="2"/>
        </w:rPr>
      </w:pPr>
      <w:r>
        <w:rPr>
          <w:color w:val="FFFFFF"/>
          <w:sz w:val="2"/>
        </w:rPr>
        <w:t xml:space="preserve">Investor Presentation November 2022 May 8, 2023 Second Quarter Fiscal Year 2023 Supplemental Presentation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Certain matters discussed in this presentation and the accompanying oral presentation are forward-looking statements within the meaning of the Private Securities Litigation Reform Act of 1995. These forward-looking statements are made based on known events and circumstances at the time of presentation, and as such, are subject to uncertainty and changes in circumstances. These forward-looking statements include, among others, statements regarding BellRing Brands, Inc.’s (“BellRing”) net sales, Adjusted EBITDA and capital expenditure outlook ranges and BellRing’s prospective financial and operating performance and opportunities. These forward- 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events or developments. There are a number of risks and uncertainties that could cause actual results to differ materially from the forward-looking statements made herein. THESE RISKS AND UNCERTAINTIES INCLUDE, BUT ARE NOT LIMITED TO, THE FOLLOWING: • BellRing's dependence on sales from its ready-to-drink (“RTD”) protein shakes; • BellRing’s ability to continue to compete in its product categories and its ability to retain its market position and favorable perceptions of its brands; • disruptions or inefficiencies in BellRing’s supply chain, including as a result of BellRing’s reliance on third party suppliers or manufacturers for the manufacturing of many of its products, pandemics (including the COVID-19 pandemic) and other outbreaks of contagious diseases, labor shortages, fires and evacuations related thereto, changes in weather conditions, natural disasters, agricultural diseases and pests and other events beyond BellRing’s control; • BellRing’s dependence on a limited number of third party contract manufacturers for the manufacturing of most of its products, including one manufacturer for the majority of its RTD protein shakes; • the ability of BellRing’s third party contract manufacturers to produce an amount of BellRing’s products that enables BellRing to meet customer and consumer demand for the products; • BellRing’s reliance on a limited number of third party suppliers to provide certain ingredients and packaging; • significant volatility in the cost or availability of inputs to BellRing’s business (including freight, raw materials, packaging, energy, labor and other supplies); • the impact of the COVID-19 pandemic, including negative impacts on the global economy and capital markets, the health of BellRing’s employees, BellRing’s ability and the ability of its third party contract manufacturers to manufacture and deliver its products, operating costs, demand for its on-the-go products and its operations generally; • BellRing’s ability to anticipate and respond to changes in consumer and customer preferences and behaviors and introduce new products; • consolidation in BellRing’s distribution channels; • BellRing’s ability to expand existing market penetration and enter into new markets; • the loss of, a significant reduction of purchases by or the bankruptcy of a major customer; • 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 • fluctuations in BellRing’s business due to changes in its promotional activities and seasonality; • BellRing’s ability to maintain the net selling prices of its products and manage promotional activities with respect to its products; • BellRing’s leverage, its ability to obtain additional financing (including both secured and unsecured debt) and its ability to service its outstanding debt (including covenants that restrict the operation of its business); Cautionary Statement Regarding Forward-Looking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Cautionary Statement Regarding Forward-Looking Statements (Cont’d) 3 (CONTINUED FROM PRIOR PAGE): • the accuracy of BellRing’s market data and attributes and related information; • changes in estimates in critical accounting judgments; • uncertain or unfavorable economic conditions that limit customer and consumer demand for BellRing’s products or increase its costs; • risks related to BellRing’s ongoing relationship with Post Holdings, Inc. (“Post”) following BellRing’s separation from Post and Post’s distribution of BellRing stock to Post’s shareholders (the “Spin-off”), including BellRing’s obligations under various agreements with Post; • conflicting interests or the appearance of conflicting interests resulting from certain of BellRing’s directors also serving as officers or directors of Post; • risks related to the Spin-off, including BellRing’s inability to take certain actions because such actions could jeopardize the tax-free status of the Spin-off and BellRing’s possible responsibility for U.S. federal tax liabilities related to the Spin-off; • the ultimate impact litigation or other regulatory matters may have on BellRing; • risks associated with BellRing’s international business; • BellRing’s ability to protect its intellectual property and other assets and to continue to use third party intellectual property subject to intellectual property licenses; • costs, business disruptions and reputational damage associated with information technology failures, cybersecurity incidents and/or information security breaches; • impairment in the carrying value of goodwill or other intangibles; • BellRing’s ability to identify, complete and integrate or otherwise effectively execute acquisitions or other strategic transactions and effectively manage its growth; • BellRing’s ability to satisfy the requirements of Section 404 of the Sarbanes-Oxley Act of 2002; • significant differences in BellRing’s actual operating results from any guidance BellRing may give regarding its performance; • BellRing’s ability to hire and retain talented personnel, employee absenteeism, labor strikes, work stoppages or unionization efforts; and • other risks and uncertainties described in BellRing’s filings with the Securities and Exchange Commission. You should not rely upon forward-looking statements as predictions of future events. Although BellRing believes that the expectations reflected in the forward-looking statements are reasonable, BellRing cannot guarantee that the future results, levels of activity, performance or events and circumstances reflected in the forward-looking statements will be achieved or occur. Moreover, BellRing undertakes no obligation to update publicly any forward-looking statements for any reason after the date of this presentation to conform these statements to actual results or to changes in its expectations.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Additional Information 4 Prospective Information Any prospective information provided in this presentation regarding BellRing’s future performance, including BellRing’s plans, expectations, estimates and similar statements, represents BellRing management’s estimates as of May 8, 2023 only and are qualified by, and subject to, the assumptions and the other information set forth on the slide captioned “Cautionary Statement Regarding Forward-Looking Statements.” Prospective information provided in this presentation regarding BellRing’s plans, expectations, estimates and similar statements contained in this presentation are based upon a number of assumptions and estimates that, while they may be presented with numerical specificity, are inherently subject to business, economic and competitive uncertainties and contingencies, many of which are beyond BellRing’s control, are based upon specific assumptions with respect to future business decisions, some of which will change, and are necessarily speculative in nature. It can be expected that some or all of the assumptions of the estimates will not materialize or will vary significantly from actual results. Accordingly, the information set forth herein is only an estimate as of May 8, 2023, and actual results will vary from the estimates set forth herein. It should be recognized that the reliability of any forecasted financial data diminishes the farther in the future that the data is forecast. In light of the foregoing, investors should put all prospective information in context and not rely on it. Any failure to successfully implement BellRing’s operating strategy or the occurrence of the events or circumstances set forth under “Cautionary Statement Regarding Forward- Looking Statements” could result in the actual operating results being different than the estimates set forth herein, and such differences may be adverse and material. Market and Industry Data This presentation includes industry and trade association data, forecasts and information that were prepared based, in part, upon data, forecasts and information obtained from independent trade associations, industry publications and surveys and other independent sources available to BellRing. Some data also is based on BellRing management’s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BellRing has not independently verified any of the data from third party sources nor has it ascertained the underlying economic assumptions on which such data are based. Similarly, BellRing believes its internal research is reliable, even though such research has not been verified by any independent sources and BellRing cannot guarantee its accuracy or completeness. Trademarks and Service Marks Logos, trademarks, trade names and service marks mentioned in this presentation, including BellRing®, BellRing Brands®, Premier Protein®, Dymatize®, PowerBar®, Premier Protein Clear®, ISO.100®, Elite Mass®, Elite Whey Protein®, Elite 100% Whey®, Super Mass Gainer®, All9 Amino®, Pebbles®, Dunkin®, PREW.O®, Athlete’s BCAA®, PowerBar Clean WheyTM, PowerBar Protein PlusTM, Protein Nut2TM, PowerBar EnergizeTM and Joint Juice®, are currently the property of, or are under license by, BellRing or one of its subsidiaries. BellRing or one of its subsidiaries owns or has rights to use the trademarks, service marks and trade names that are used in conjunction with the operation of BellRing or its subsidiaries’ businesses. Some of the more important trademarks that BellRing or one of its subsidiaries owns or has rights to use that appear in this presentation may be registered in the U.S. and other jurisdictions. Each logo, trademark, trade name or service mark of any other company appearing in this presentation is owned or used under license by such company.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Q2 FY2023 Consumption and Key Metrics Executive Summary ● The liquids category continues to experience strong growth rates (+21%)1, in excess of historical growth (~+5%). ● Premier Protein ready-to-drink (“RTD”) shake consumption was up (+22%)2 in Q2 FY2023. ○ Q2 FY2023 consumption outpaced shipments, driven by strong demand and supply improvements. ● Premier Protein’s key metrics remain strong and reaffirm a long runway for sustained growth. ○ RTD market share has increased +1.3 share points1 in Q2 FY2023 and leads both the RTD and convenient nutrition category in tracked market share. ○ Total distribution points (“TDPs”) remain at healthy levels. ○ Household penetration has increased vs. CY 2022, despite limited promotion, marketing and assortment; buy rate and loyalty remain category-leading. ● Dymatize Q2 FY2023 U.S. powder consumption experienced strong growth (+38%)2. ○ Market share has reached its all-time high as demand drivers are successfully growing the brand. ○ TDPs also reached record highs. Notes: 1. IRI Multi Outlet + Convenience 13 weeks ended April 2, 2023. 2. IRI Multi Outlet + Convenience 13 and 52 weeks ended April 2, 2023 and management estimates of untracked channels for the 13 and 52 weeks ended April 2, 2023.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Liquids Category Continues to Outpace Historical Growth Rates 11 17 13 8 8 11 9 11 12 15 20 19 20 23 21 20 Liquids Category Growth Rate L13 +21% L52 +15% YOY % Δ Historical growth 5% $%Chg vs YA: Notes: IRI Multi Outlet + Convenience.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Premier Protein RTD Shakes Are Growing Across All Channels Premier Protein RTD Shakes $ Sales vs. Prior Year Channel 13 Weeks 52 Weeks Club +17.8% +4.1% Mass +37.9% +21.1% Food +27.3% +9.4% eCommerce +17.6% -4.3% Total Consumption (tracked + untracked channels) +21.9% +6.4% Total Tracked +25.6% +10.7% Total Untracked +18.2% +2.1% Notes: IRI Multi Outlet + Convenience 13 and 52 weeks ended April 2, 2023 and management estimates of untracked channels for the 13 and 52 weeks ended April 2, 2023.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Premier Protein RTD Shake Consumption Grew on Improved Supply and Stronger Velocities Notes: IRI Multi Outlet + Convenience and management estimates of untracked channels.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9Notes: IRI Multi Outlet + Convenience and management estimates of untracked channels. Shipments Tracking with Consumption Trade Inventory Increase, Seasonality Impact Consumption Outpaced Shipments Trade Inventory Increase Trade Inventory Increase Consumption Outpaced Shipments Premier Protein RTD Shakes Consumption vs. Shipments (13 Week Quarters) Consumption Outpaced Shipments Trade Inventory Increase, Seasonality Impact Q2 FY2023 Consumption Outpaced Shipments on Improved Retailer In-Stocks to Meet Strong Seasonal Demand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Premier Protein Shake TDPs Grew in Q2 FY2023 with Improved Retailer In-Stocks T D P s % A C V Notes: IRI Multi Outlet + Convenience.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Notes: Numerator HH Panel 52 weeks ending 3/31/2023. Liquids refers to the liquid sub-category of the convenient nutrition category. Calendar Year (“CY”). Numerator metrics such as penetration are subject to potential restatement or revisions due to market definition changes or late reporters. 11 Household Penetration Grew vs. CY 2022 as Supply Increased 11.5 14.2 16.5 13.8 14.2 11.1 13.8 15.9 13.3 13.6 0.0 2.0 4.0 6.0 8.0 10.0 12.0 14.0 16.0 18.0 CY 2019 CY 2020 CY 2021 CY 2022 52 W/E 03/31/23 Premier Protein Total Brand and RTD Shake Penetration HH Pen - Premier Protein Brand HH Pen - Premier Protein RTD Shakes 30g Shake Repeat Rate 30g Shake Buy Rate 53% $76 51% $74 51% $78 49% $79 49% $80 Liquids 37.4 HH Pen Liquids 41.4 HH Pen Liquids 40.8 HH Pen +23% +24% +16% +15% -16% -16% -10% -11%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Premier Protein RTD Shakes Gain Share Despite Intentional Pullback in Promotions, Marketing and Assortment Monthly Premier Protein RTD Shakes $ Share % Notes: IRI Multi Outlet + Convenience. 19.7% 19.1%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 • Tracked and untracked consumption represents ~65% of total global business U.S. Dymatize Powders $ Sales vs. Prior Year Channel 13 Weeks 52 Weeks eCommerce +38.0% +31.7% Specialty/All Other +47.1% +31.1% Mass +62.3% +72.5% Club -27.0% -61.6% Food +93.6% +88.1% Total Consumption (tracked + untracked channels) +38.3% +29.5% Total Tracked +36.0% +27.1% Total Untracked +39.6% +30.8% Notes: IRI Multi Outlet + Convenience 13 and 52 weeks ended April 2, 2023 and management estimates of untracked channels for the 13 and 52 weeks ended April 2, 2023. U.S. Dymatize Powders Achieving Strong Growth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U.S. Dymatize Powders Continue Strong Track Record of Growth Driven by Distribution Gains and Promotions Notes: IRI Multi Outlet + Convenience and management estimates of untracked channels.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 U.S. Dymatize Powders Distribution Levels Reach All Time High T D P s % A C V Notes: IRI Multi Outlet + Convenience.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9753600" cy="731520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283"/>
        <w:jc w:val="center"/>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8537</Words>
  <CharactersWithSpaces>57256</CharactersWithSpaces>
  <Paragraphs>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brbr2q23supplementalpres</dc:title>
</cp:coreProperties>
</file>