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208280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371475</wp:posOffset>
            </wp:positionV>
            <wp:extent cx="134620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 Louis, Missouri 63144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2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60" w:firstLine="4"/>
        <w:spacing w:after="0" w:line="457"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Class A common stock, par value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15"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Closing of Initial Public Offering</w:t>
      </w:r>
    </w:p>
    <w:p>
      <w:pPr>
        <w:spacing w:after="0" w:line="117" w:lineRule="exact"/>
        <w:rPr>
          <w:sz w:val="20"/>
          <w:szCs w:val="20"/>
          <w:color w:val="auto"/>
        </w:rPr>
      </w:pPr>
    </w:p>
    <w:p>
      <w:pPr>
        <w:ind w:right="160" w:firstLine="441"/>
        <w:spacing w:after="0" w:line="253" w:lineRule="auto"/>
        <w:rPr>
          <w:sz w:val="20"/>
          <w:szCs w:val="20"/>
          <w:color w:val="auto"/>
        </w:rPr>
      </w:pPr>
      <w:r>
        <w:rPr>
          <w:rFonts w:ascii="Arial" w:cs="Arial" w:eastAsia="Arial" w:hAnsi="Arial"/>
          <w:sz w:val="18"/>
          <w:szCs w:val="18"/>
          <w:color w:val="auto"/>
        </w:rPr>
        <w:t>On October 21, 2019, BellRing Brands, Inc. (the “Company”) closed its initial public offering (the “IPO”) of 39,428,571 shares of its Class A common stock, $0.01 par value per share (the “Class A Common Stock”), which number of shares included the underwriters’ exercise in full of their option to purchase up to an additional 5,142,857 shares of Class A Common Stock, at an offering price of $14.00 per share, pursuant to the Company’s registration statement on Form S-1 (File No. 333-233867) (as amended from time to time, and together with the Company’s related registration statement on Form S-1 (File No. 333-234237) filed pursuant to Rule 462(b) under the Securities Act of 1933, as amended (the “Securities Act”), the “Registration Statement”). The Company received net proceeds from the IPO of approximately $516.4 million, after deducting underwriting discounts and commissions and expenses of the offering, all of which were contributed to BellRing Brands, LLC, a Delaware limited liability company and subsidiary of the Company (“BellRing Brands, LLC”), in exchange for BellRing Brands, LLC units (as defined below), as further described in the Registration Statement.</w:t>
      </w:r>
    </w:p>
    <w:p>
      <w:pPr>
        <w:spacing w:after="0" w:line="19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In connection with the IPO, the Company entered into the following agreements (the “Formation Agreements”), forms of which were previously filed as exhibits to the Registration Statement:</w:t>
      </w:r>
    </w:p>
    <w:p>
      <w:pPr>
        <w:spacing w:after="0" w:line="76" w:lineRule="exact"/>
        <w:rPr>
          <w:sz w:val="20"/>
          <w:szCs w:val="20"/>
          <w:color w:val="auto"/>
        </w:rPr>
      </w:pPr>
    </w:p>
    <w:p>
      <w:pPr>
        <w:ind w:left="980" w:right="120" w:hanging="43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Amended and Restated Limited Liability Company Agreement of BellRing Brands, LLC, dated October 21, 2019, by and among BellRing Brands, LLC, the Company and Post Holdings, Inc., a Missouri corporation (“Post”) (such agreement, the “Limited Liability Company Agreement”), that governs the operations of BellRing Brands, LLC and the rights and obligations of its members (which are, as of October 21, 2019, Post and the Company);</w:t>
      </w:r>
    </w:p>
    <w:p>
      <w:pPr>
        <w:spacing w:after="0" w:line="92" w:lineRule="exact"/>
        <w:rPr>
          <w:rFonts w:ascii="Arial" w:cs="Arial" w:eastAsia="Arial" w:hAnsi="Arial"/>
          <w:sz w:val="18"/>
          <w:szCs w:val="18"/>
          <w:color w:val="auto"/>
        </w:rPr>
      </w:pPr>
    </w:p>
    <w:p>
      <w:pPr>
        <w:ind w:left="980" w:right="220" w:hanging="436"/>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Employee Matters Agreement, dated October 21, 2019, by and among the Company, BellRing Brands, LLC and Post, which covers a wide range of compensation and benefits matters;</w:t>
      </w:r>
    </w:p>
    <w:p>
      <w:pPr>
        <w:spacing w:after="0" w:line="75" w:lineRule="exact"/>
        <w:rPr>
          <w:rFonts w:ascii="Arial" w:cs="Arial" w:eastAsia="Arial" w:hAnsi="Arial"/>
          <w:sz w:val="18"/>
          <w:szCs w:val="18"/>
          <w:color w:val="auto"/>
        </w:rPr>
      </w:pPr>
    </w:p>
    <w:p>
      <w:pPr>
        <w:ind w:left="980" w:right="100" w:hanging="436"/>
        <w:spacing w:after="0" w:line="31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Investor Rights Agreement, dated October 21, 2019, between the Company and Post, that provides Post with certain demand, shelf and piggyback registration rights with respect to any shares of the Class A Common Stock and also provides Post with certain governance rights, depending on the percentage of the total voting power of the Company’s outstanding common stock held by Post;</w:t>
      </w:r>
    </w:p>
    <w:p>
      <w:pPr>
        <w:spacing w:after="0" w:line="52" w:lineRule="exact"/>
        <w:rPr>
          <w:rFonts w:ascii="Arial" w:cs="Arial" w:eastAsia="Arial" w:hAnsi="Arial"/>
          <w:sz w:val="16"/>
          <w:szCs w:val="16"/>
          <w:color w:val="auto"/>
        </w:rPr>
      </w:pPr>
    </w:p>
    <w:p>
      <w:pPr>
        <w:ind w:left="980" w:hanging="43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Matters Agreement, dated October 21, 2019, by and among the Company, BellRing Brands, LLC and Post, that governs the parties’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92" w:lineRule="exact"/>
        <w:rPr>
          <w:rFonts w:ascii="Arial" w:cs="Arial" w:eastAsia="Arial" w:hAnsi="Arial"/>
          <w:sz w:val="18"/>
          <w:szCs w:val="18"/>
          <w:color w:val="auto"/>
        </w:rPr>
      </w:pPr>
    </w:p>
    <w:p>
      <w:pPr>
        <w:ind w:left="980" w:right="300" w:hanging="43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Receivable Agreement, dated October 21, 2019, by and among the Company, BellRing Brands, LLC and Post, under which the Company will be required to make cash payments to Post (or certain of its transferees or assignees) equal to 85% of the cash savings, if any, in federal, state or local income or franchise tax that the Company realizes (or is deemed to realize) under certain circumstances as described therein; and</w:t>
      </w:r>
    </w:p>
    <w:p>
      <w:pPr>
        <w:spacing w:after="0" w:line="92" w:lineRule="exact"/>
        <w:rPr>
          <w:rFonts w:ascii="Arial" w:cs="Arial" w:eastAsia="Arial" w:hAnsi="Arial"/>
          <w:sz w:val="18"/>
          <w:szCs w:val="18"/>
          <w:color w:val="auto"/>
        </w:rPr>
      </w:pPr>
    </w:p>
    <w:p>
      <w:pPr>
        <w:ind w:left="980" w:right="80" w:hanging="43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Master Services Agreement, dated October 21, 2019, by and among the Company, BellRing Brands, LLC and Post, under which Post provides certain services to the Company following completion of the IPO, including, among others, assistance with certain legal, finance, internal audit, treasury, information technology support, insurance and tax matters, the use of office and/or data center space, payroll processing services and tax compliance services.</w:t>
      </w:r>
    </w:p>
    <w:p>
      <w:pPr>
        <w:spacing w:after="0" w:line="18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The terms of each of the Formation Agreements are substantially the same as the terms set forth in the forms of such respective agreements that were filed as exhibits to the Registration Statement and as previously described in the Registration Statement under the heading “Certain Relationships and Related Party Transactions—Post-Offering Relationship with Post,” which descriptions are each incorporated herein by reference. These descriptions are only summaries and do not purport to be complete and are qualified in their entirety by reference to the full text of the Formation Agreements, copies of which are attached hereto as Exhibit 10.1 through Exhibit 10.6 and are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 connection with the IPO, the Company also entered into Indemnification Agreements, each dated October 21, 2019 (the “Indemnification Agreements”), under which the Company is obligated to indemnify its directors and executive officers against certain liabilities that may arise because of their status or service as directors or executive officers. The individuals with whom the Company entered into Indemnification Agreements are Robert V. Vitale (Executive Chairman), Darcy Horn Davenport (President and Chief Executive Officer and Director), Elliot H. Stein, Jr. (Director), Thomas P. Erickson (Director), Jennifer Kuperman (Director), Paul A. Rode (Chief Financial Officer and Treasurer), Craig L. Rosenthal (Senior Vice President and General Counsel, Secretary), Douglas J. Cornille (Senior Vice President, Marketing of Premier</w:t>
      </w:r>
    </w:p>
    <w:p>
      <w:pPr>
        <w:sectPr>
          <w:pgSz w:w="11900" w:h="16838" w:orient="portrait"/>
          <w:cols w:equalWidth="0" w:num="1">
            <w:col w:w="11020"/>
          </w:cols>
          <w:pgMar w:left="440" w:top="270" w:right="439" w:bottom="1440" w:gutter="0" w:footer="0" w:header="0"/>
        </w:sectPr>
      </w:pPr>
    </w:p>
    <w:bookmarkStart w:id="2" w:name="page3"/>
    <w:bookmarkEnd w:id="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Nutrition), R. Lee Partin (Senior Vice President, Sales of Premier Nutrition) and Robin Singh (Senior Vice President, Operations of Premier Nutrition). Each of the Indemnification Agreements is substantially the same. The description of the Indemnification Agreements is only a summary and does not purport to be complete and is qualified in its entirety by reference to the full text of the Form of Indemnification Agreement, a copy of which is attached hereto as Exhibit 10.7 and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Bridge Loan</w:t>
      </w:r>
    </w:p>
    <w:p>
      <w:pPr>
        <w:spacing w:after="0" w:line="11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On October 21, 2019 and in connection with the completion of the IPO, BellRing Brands, LLC entered into a Borrower Assignment and Assumption Agreement with Post and Morgan Stanley Senior Funding, Inc., as administrative agent (the “Assignment and Assumption Agreement”), under which BellRing Brands, LLC became the borrower under a $1,225.0 million Bridge Facility Agreement, dated October 11, 2019, by and among Post, as borrower, certain subsidiaries of Post, as guarantors, each lender from time to time party thereto, Morgan Stanley Senior Funding, Inc., as administrative agent, and Morgan Stanley Senior Funding, Inc., BofA Securities, Inc., Citigroup Global Markets Inc., Credit Suisse Loan Funding LLC, Goldman Sachs Bank USA and JPMorgan Chase Bank, N.A., as joint lead arrangers and joint physical bookrunners (the “Post Bridge Loan”). Pursuant to the Assignment and Assumption Agreement, Post and its subsidiaries (other than BellRing Brands, LLC and certain of its subsidiaries) have no further material obligations under the Post Bridge Loan. The domestic subsidiaries of BellRing Brands, LLC continued to guarantee the Post Bridge Loan and BellRing Brands, LLC’s obligations under the Post Bridge Loan became secured by a first priority security interest in substantially all of the assets of BellRing Brands, LLC and in substantially all of the assets of its subsidiary guarantors. Post retained the net cash proceeds of the Post Bridge Loan.</w:t>
      </w:r>
    </w:p>
    <w:p>
      <w:pPr>
        <w:spacing w:after="0" w:line="18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foregoing summary of the Assignment and Assumption Agreement does not purport to be complete and is qualified in its entirety by reference to the full text of the Assignment and Assumption Agreement, a copy of which is attached hereto as Exhibit 10.8 and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October 21, 2019, BellRing Brands, LLC entered into a Credit Agreement (the “Credit Agreement”) by and among BellRing Brands, LLC, the institutions from time to time party thereto as lenders (the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 UBS Securities LLC and Wells Fargo Securities, LLC, as co-managers, and Credit Suisse AG, Cayman Islands Branch, as administrative agent for the Lenders (in such capacity, the “Agent”).</w:t>
      </w:r>
    </w:p>
    <w:p>
      <w:pPr>
        <w:spacing w:after="0" w:line="193"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The Credit Agreement provides for a term B loan facility in an aggregate principal amount of $700.0 million (the “Term B Facility”), and a revolving credit facility in an aggregate principal amount of $200.0 million (the “Revolving Credit Facility”; and together with the Term B Facility, the “Loans”), with the commitments under the Revolving Credit Facility to be made available to BellRing Brands, LLC in U.S. Dollars, Euros and Pounds Sterling. Letters of credit are available under the Credit Agreement in an aggregate amount of up to $20.0 million. The outstanding amounts under the Revolving Credit Facility and Term B Facility must be repaid on or before October 21, 2024.</w:t>
      </w:r>
    </w:p>
    <w:p>
      <w:pPr>
        <w:spacing w:after="0" w:line="173"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On October 21, 2019, BellRing Brands, LLC borrowed the full amount under the Term B Facility and $100.0 million under the Revolving Credit Facility and used the proceeds, together with the net proceeds of the IPO that were contributed to it by the Company, (i) to repay in full the balance of the Post Bridge Loan and all interest thereunder, (ii) to pay directly, or reimburse Post for, as applicable, all fees and expenses incurred by BellRing Brands, LLC or Post in connection with the IPO and the formation transactions described in the Registration Statement (the “Formation Transactions”),</w:t>
      </w:r>
    </w:p>
    <w:p>
      <w:pPr>
        <w:spacing w:after="0" w:line="2" w:lineRule="exact"/>
        <w:rPr>
          <w:sz w:val="20"/>
          <w:szCs w:val="20"/>
          <w:color w:val="auto"/>
        </w:rPr>
      </w:pPr>
    </w:p>
    <w:p>
      <w:pPr>
        <w:ind w:right="220" w:firstLine="4"/>
        <w:spacing w:after="0" w:line="26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reimburse Post for the amount of cash on BellRing Brands, LLC’s balance sheet immediately prior to the completion of the IPO and (iv) to the extent there were any remaining proceeds, for general corporate and working capital purposes.</w:t>
      </w:r>
    </w:p>
    <w:p>
      <w:pPr>
        <w:spacing w:after="0" w:line="184"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Borrowings under the Term B Facility bear interest, at the option of BellRing Brands, LLC, at an annual rate equal to either (a) the Eurodollar rate or (b) the base rate determined by reference to the highest of (i) the prime rate, (ii) the federal funds rate plus 0.50% per annum and (iii) the one-month Eurodollar rate plus 1.00% per annum, in each case plus an applicable margin of 5.00% for Eurodollar rate-based loans and 4.00% for base rate-based loans. The Term B Facility requires scheduled amortization payments of $8,750,000, payable quarterly (commencing on March 31, 2020), with the balance to be paid at maturity on October 21, 2024. The Term B Facility contains customary mandatory prepayment provisions, including provisions for mandatory prepayment (a) from the net cash proceeds of certain asset sales and (b) beginning with the fiscal year ending September 30, 2020, of 75% of annual excess cash flow (which percentage will be reduced to 50% if the secured net leverage ratio (as defined in the Credit Agreement) is below a specified level as of a fiscal year end). The Term B Facility may be optionally prepaid at 101% of the principal amount prepaid at any time during the first 12 months following the closing of the Term B Facility, and without premium or penalty thereafter.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 w:name="page4"/>
    <w:bookmarkEnd w:id="3"/>
    <w:p>
      <w:pPr>
        <w:ind w:right="4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Borrowings under the Revolving Credit Facility bear interest, at the option of BellRing Brands, LLC, at an annual rate equal to either the Eurodollar rate or the base rate (determined as described above) plus a margin, which initially will be 4.25% for Eurodollar rate-based loans and 3.25% for base rate-based loans, and thereafter, will be determined by reference to the secured net leverage ratio, with the applicable margin for Eurodollar rate loans and base rate loans being (i) 4.25% and 3.25%, respectively, if the secured net leverage ratio is greater than or equal to 3.50:1:00, (ii) 4.00% and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will initially accrue at the rate of 0.50%, and thereafter, depending on BellRing Brands, LLC’s secured net leverage ratio, will accrue at rates ranging from 0.25% to 0.50%.</w:t>
      </w:r>
    </w:p>
    <w:p>
      <w:pPr>
        <w:spacing w:after="0" w:line="190"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The Credit Agreement provides for potential incremental revolving and term facilities at the request of BellRing Brands, LLC and at the discretion of the Lenders or other persons providing such incremental facilities, in each case on terms to be determined, and also permits BellRing Brands, LLC to incur other secured or unsecured debt, in all cases subject to conditions and limitations on the amount as specified in the Credit Agreement.</w:t>
      </w:r>
    </w:p>
    <w:p>
      <w:pPr>
        <w:spacing w:after="0" w:line="14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Credit Agreement contains customary affirmative and negative covenants for agreements of this type, including: delivery of financial and other information; compliance with laws; maintenance of property, existence, insurance and books and records; maintenance of public ratings;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w:t>
      </w:r>
    </w:p>
    <w:p>
      <w:pPr>
        <w:spacing w:after="0" w:line="18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Credit Agreement also contains a financial covenant requiring BellRing Brands, LLC to maintain a total net leverage ratio (as defined in the Credit Agreement) not to exceed 6.00 to 1.00, measured as of the last day of each fiscal quarter, beginning with the fiscal quarter ending March 31, 2020.</w:t>
      </w:r>
    </w:p>
    <w:p>
      <w:pPr>
        <w:spacing w:after="0" w:line="181" w:lineRule="exact"/>
        <w:rPr>
          <w:sz w:val="20"/>
          <w:szCs w:val="20"/>
          <w:color w:val="auto"/>
        </w:rPr>
      </w:pPr>
    </w:p>
    <w:p>
      <w:pPr>
        <w:ind w:right="240" w:firstLine="441"/>
        <w:spacing w:after="0" w:line="288"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w:t>
      </w:r>
    </w:p>
    <w:p>
      <w:pPr>
        <w:ind w:right="60"/>
        <w:spacing w:after="0" w:line="271" w:lineRule="auto"/>
        <w:rPr>
          <w:sz w:val="20"/>
          <w:szCs w:val="20"/>
          <w:color w:val="auto"/>
        </w:rPr>
      </w:pPr>
      <w:r>
        <w:rPr>
          <w:rFonts w:ascii="Arial" w:cs="Arial" w:eastAsia="Arial" w:hAnsi="Arial"/>
          <w:sz w:val="17"/>
          <w:szCs w:val="17"/>
          <w:color w:val="auto"/>
        </w:rPr>
        <w:t>$65.0 million, attachments issued against all or any material part of BellRing Brands, LLC’s property, certain ERISA events, a change in control, the invalidity of any loan document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Brands, LLC’s obligations under the Credit Agreement.</w:t>
      </w:r>
    </w:p>
    <w:p>
      <w:pPr>
        <w:spacing w:after="0" w:line="179"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BellRing Brands, LLC’s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BellRing Brands, LLC’s assets and the assets of its subsidiary guarantors, but excluding, in each case, real property.</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foregoing summary of the Credit Agreement does not purport to be complete and is qualified in its entirety by reference to the full text of the Credit Agreement, a copy of which is attached hereto as Exhibit 10.9 and is incorporated herein by reference.</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Representations and warranties contained in the Formation Agreements, the Indemnification Agreements, the Assignment and Assumption Agreement and the Credit Agreement were made only for purposes of each such agreement and as of the dates specified therein; were solely for the benefit of the parties to each such agreement; and may be subject to standards of materiality applicable to the contracting parties that differ from those applicable to investors. Investors should not rely on the representations and warranties or any description thereof as characterizations of the actual state of facts or condition of the Company and its subsidiaries or Post and its subsidiaries. Moreover, information concerning the subject matter of the representations and warranties may change after the date of such agreements, which subsequent information may or may not be fully reflected in public disclosures by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information set forth above in Item 1.01 under the headings “Assumption of Bridge Loan” and “Credit Agreement” is hereby incorporated into this Item 2.03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121"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On October 21, 2019, in connection with the completion of the IPO, the filing of the Company’s Certificate of Incorporation (as defined below) and BellRing Brands, LLC’s, the Company’s and Post’s entry into the Limited Liability Company Agreement, (a) the Company issued one share of Class B common stock of the Company, par value $0.01 per share (the “Class B Common Stock”), to Post, in exchange for the 1,000 shares of common stock of the Company initially issued to Post in connection with the Company’s incorporation, which shares were cancelled as part of the exchange, and</w:t>
      </w:r>
    </w:p>
    <w:p>
      <w:pPr>
        <w:spacing w:after="0" w:line="2" w:lineRule="exact"/>
        <w:rPr>
          <w:sz w:val="20"/>
          <w:szCs w:val="20"/>
          <w:color w:val="auto"/>
        </w:rPr>
      </w:pPr>
    </w:p>
    <w:p>
      <w:pPr>
        <w:ind w:right="60" w:firstLine="4"/>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issued 39,428,571 of its non-voting common units (“BellRing Brands, LLC units”) to the Company and 97,474,180 BellRing Brands, LLC units to Post.</w:t>
      </w:r>
    </w:p>
    <w:p>
      <w:pPr>
        <w:spacing w:after="0" w:line="18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Under the Limited Liability Company Agreement, Post may from time to time redeem BellRing Brands, LLC units for, at BellRing Brands, LLC’s option (as determined by its board of managers), (i) shares of Class A Common Stock or (ii) cash (based on the market price of the shares of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issuance of the Class B Common Stock and the issuance of the BellRing Brands, LLC units described in this Item 3.02 were made in reliance on Section 4(a)(2) of the Securities Act.</w:t>
      </w:r>
    </w:p>
    <w:p>
      <w:pPr>
        <w:spacing w:after="0" w:line="27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Effective October 21, 2019, Darcy Horn Davenport and Elliot H. Stein, Jr. were appointed to the Board of Directors of the Company as Class I directors for terms expiring at the Company’s 2020 annual meeting of stockholders, and Thomas P. Erickson and Jennifer Kuperman were appointed to the Board of Directors of the Company as Class II directors for terms expiring at the Company’s 2021 annual meeting of stockholders. Robert V. Vitale, the Company’s executive chairman, was designated a Class III director with a term expiring at the Company’s 2022 annual meeting of stockholders. Mr. Stein, Mr. Erickson and Ms. Kuperman were all determined to qualify as “independent” under New York Stock Exchange corporate governance standards and were appointed to serve as members of the Audit Committee of the Board of Directors and as members of the Corporate Governance and Compensation Committee of the Board of Directors. Mr. Stein and Mr. Erickson, along with Mr. Vitale, were appointed to serve as members of the Executive Committee of the Board of Directors. Biographical information regarding these directors and a description of the material terms of the directors’ annual compensation have previously been described by the Company in the Registration Statement under the heading “Management,” and such biographical information and terms are incorporated herein by reference.</w:t>
      </w:r>
    </w:p>
    <w:p>
      <w:pPr>
        <w:spacing w:after="0" w:line="178"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The information set forth in Item 1.01 above under the heading “Indemnification Agreements” is hereby incorporated into this Item 5.02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Certificate of Incorporation or Bylaws; Change in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Certificate of Incorporation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Effective October 21, 2019, the Company amended and restated its certificate of incorporation (as so amended and restated, the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Among other things, the Certificate of Incorporation provides that:</w:t>
      </w:r>
    </w:p>
    <w:p>
      <w:pPr>
        <w:spacing w:after="0" w:line="116" w:lineRule="exact"/>
        <w:rPr>
          <w:sz w:val="20"/>
          <w:szCs w:val="20"/>
          <w:color w:val="auto"/>
        </w:rPr>
      </w:pPr>
    </w:p>
    <w:p>
      <w:pPr>
        <w:ind w:left="980" w:right="24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authorized capital stock consists of 500,000,000 shares of Class A Common Stock, one share of Class B Common Stock and 50,000,000 shares of preferred stock, par value $0.01 per share;</w:t>
      </w:r>
    </w:p>
    <w:p>
      <w:pPr>
        <w:spacing w:after="0" w:line="75" w:lineRule="exact"/>
        <w:rPr>
          <w:rFonts w:ascii="Arial" w:cs="Arial" w:eastAsia="Arial" w:hAnsi="Arial"/>
          <w:sz w:val="18"/>
          <w:szCs w:val="18"/>
          <w:color w:val="auto"/>
        </w:rPr>
      </w:pPr>
    </w:p>
    <w:p>
      <w:pPr>
        <w:ind w:left="980" w:right="20" w:hanging="436"/>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holders of the Company’s Class A Common Stock are entitled to one vote for each share held on all matters submitted to stockholders for their vote or approval, (ii) for so long as Post or its affiliates (other than the Company and its subsidiaries) directly own more than 50% of the BellRing Brands, LLC units, the aggregate voting power of the share of the Company’s Class B Common Stock represents 67% of the combined voting power of the common stock of the Company, and (iii) if Post and its affiliates (other than the Company and its subsidiaries) hold 50% or less of the BellRing Brands, LLC units, the holder of the share of Class B Common Stock is entitled to a number of votes equal to the number of BellRing Brands, LLC units held by all persons other than the Company, subject to certain conditions described in the fifth bullet point below;</w:t>
      </w:r>
    </w:p>
    <w:p>
      <w:pPr>
        <w:spacing w:after="0" w:line="94" w:lineRule="exact"/>
        <w:rPr>
          <w:rFonts w:ascii="Arial" w:cs="Arial" w:eastAsia="Arial" w:hAnsi="Arial"/>
          <w:sz w:val="18"/>
          <w:szCs w:val="18"/>
          <w:color w:val="auto"/>
        </w:rPr>
      </w:pPr>
    </w:p>
    <w:p>
      <w:pPr>
        <w:ind w:left="980" w:right="140" w:hanging="436"/>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holders of the Class A Common Stock are entitled to receive dividends when, as and if declared by the Company’s Board of Directors out of legally available funds and that the holder of the Class B Common Stock does not have any right to receive dividends;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5" w:name="page6"/>
    <w:bookmarkEnd w:id="5"/>
    <w:p>
      <w:pPr>
        <w:ind w:left="980" w:right="20" w:hanging="436"/>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Company’s liquidation or dissolution, the holders of the Class A Common Stock are entitled to share ratably in assets legally available for distribution to stockholders, subject to the prior rights of any holders of preferred stock then outstanding, and that, other than its par value, the holder of the Class B Common Stock does not have any right to receive a distribution upon a liquidation or dissolution of the Company;</w:t>
      </w:r>
    </w:p>
    <w:p>
      <w:pPr>
        <w:spacing w:after="0" w:line="92" w:lineRule="exact"/>
        <w:rPr>
          <w:rFonts w:ascii="Arial" w:cs="Arial" w:eastAsia="Arial" w:hAnsi="Arial"/>
          <w:sz w:val="18"/>
          <w:szCs w:val="18"/>
          <w:color w:val="auto"/>
        </w:rPr>
      </w:pPr>
    </w:p>
    <w:p>
      <w:pPr>
        <w:ind w:left="980" w:right="100" w:hanging="436"/>
        <w:spacing w:after="0" w:line="273"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share of the Class B Common Stock may not be transferred by Post except to an affiliate of Post (other than the Company and its subsidiaries); provided that Post may grant one or more proxies to, or enter into one or more voting agreements or other voting arrangements with, any persons other than the Company and its subsidiaries or Post’s affiliates to whom Post or any of its affiliates (other than the Company and its subsidiaries) transfers BellRing Brands, LLC units pursuant to the Limited Liability Company Agreement, and Post may transfer the share of Class B Common Stock in connection with any distribution of its ownership interests in BellRing Brands, LLC by means of a spin-off or split-off to its shareholders; and</w:t>
      </w:r>
    </w:p>
    <w:p>
      <w:pPr>
        <w:spacing w:after="0" w:line="83" w:lineRule="exact"/>
        <w:rPr>
          <w:rFonts w:ascii="Arial" w:cs="Arial" w:eastAsia="Arial" w:hAnsi="Arial"/>
          <w:sz w:val="17"/>
          <w:szCs w:val="17"/>
          <w:color w:val="auto"/>
        </w:rPr>
      </w:pPr>
    </w:p>
    <w:p>
      <w:pPr>
        <w:ind w:left="980" w:right="60" w:hanging="436"/>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permitted under the General Corporation Law of the State of Delaware, Post and its affiliates may carry on and conduct any business of any kind, nature or description, whether or not such business is competitive with or in the same or similar lines of business as the Company; that Post and its affiliates may do business with any of the Company’s customers, vendors and lessors; and that Post and its affiliates may make investments in any kind of property in which the Company may make investments.</w:t>
      </w:r>
    </w:p>
    <w:p>
      <w:pPr>
        <w:spacing w:after="0" w:line="17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Certificate of Incorporation is the same as the form that was filed as an exhibit to the Registration Statement and as previously described in the Registration Statement under the heading “Description of Capital Stock,” which description is incorporated herein by reference. The descriptions set forth herein and in the Registration Statement do not purport to be complete and are qualified in their entirety by reference to the full text of the Certificate of Incorporation, a copy of which is attached hereto as Exhibit 3.1 and is incorporated herein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Bylaws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21, 2019, the Company amended and restated its bylaws (as amended and restated, the “Bylaws”). Among other things, the Bylaws:</w:t>
      </w:r>
    </w:p>
    <w:p>
      <w:pPr>
        <w:spacing w:after="0" w:line="154" w:lineRule="exact"/>
        <w:rPr>
          <w:sz w:val="20"/>
          <w:szCs w:val="20"/>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procedures relating to the presentation of stockholder proposals at stockholder meetings;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procedures relating to the nomination of directors;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conformed certain provisions in light of the amended provisions of the Certificate of Incorporation.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Bylaws are the same as the form that was filed as an exhibit to the Registration Statement and as previously described in the Registration Statement under the heading “Description of Capital Stock,” which description is incorporated herein by reference. The descriptions set forth herein and in the Registration Statement do not purport to be complete and are qualified in their entirety by reference to the full text of the Bylaws, a copy of which is attached hereto as Exhibit 3.2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a press release dated October 21, 2019, the Company and Post announced the closing of the IPO. The press release is attached hereto as Exhibit 99.1 and is incorporated herein by reference.</w:t>
      </w:r>
    </w:p>
    <w:p>
      <w:pPr>
        <w:spacing w:after="0" w:line="170"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The information contained in this Item 7.01 and the accompanying Exhibit 99.1 attached hereto shall not be deemed to be “filed” for purposes of Section 18 of the Securities Exchange Act of 1934, as amended (the “Exchange Act”), or otherwise subject to the liabilities of that Section, nor shall it be deemed incorporated by reference into any filing under the Securities Act or the Exchange Act, except as expressly set forth by specific reference in such filing.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gridSpan w:val="13"/>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Amended and Restated Certificate of Incorporation of BellRing Brands, Inc.</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5500" w:type="dxa"/>
            <w:vAlign w:val="bottom"/>
            <w:tcBorders>
              <w:top w:val="single" w:sz="8" w:color="0000EE"/>
            </w:tcBorders>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Amended and Restated Bylaws of BellRing Brands, Inc.</w:t>
              </w:r>
            </w:hyperlink>
          </w:p>
        </w:tc>
        <w:tc>
          <w:tcPr>
            <w:tcW w:w="4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Amended and Restated Limited Liability Company Agreement of BellRing Brands, LLC, dated October 21, 2019, by and among BellRing</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Brands, LLC, BellRing Brands, Inc. and Post Holdings, Inc.</w:t>
              </w:r>
            </w:hyperlink>
          </w:p>
        </w:tc>
        <w:tc>
          <w:tcPr>
            <w:tcW w:w="5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10.2</w:t>
            </w:r>
          </w:p>
        </w:tc>
        <w:tc>
          <w:tcPr>
            <w:tcW w:w="42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Employee Matters Agreement, dated October 21, 2019, by and among BellRing Brands, Inc., BellRing Brands, LLC and Post Holdings, Inc.</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10.3</w:t>
            </w:r>
          </w:p>
        </w:tc>
        <w:tc>
          <w:tcPr>
            <w:tcW w:w="420" w:type="dxa"/>
            <w:vAlign w:val="bottom"/>
          </w:tcPr>
          <w:p>
            <w:pPr>
              <w:spacing w:after="0"/>
              <w:rPr>
                <w:sz w:val="24"/>
                <w:szCs w:val="24"/>
                <w:color w:val="auto"/>
              </w:rPr>
            </w:pPr>
          </w:p>
        </w:tc>
        <w:tc>
          <w:tcPr>
            <w:tcW w:w="10120" w:type="dxa"/>
            <w:vAlign w:val="bottom"/>
            <w:tcBorders>
              <w:top w:val="single" w:sz="8" w:color="0000EE"/>
            </w:tcBorders>
            <w:gridSpan w:val="1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Investor Rights Agreement, dated October 21, 2019, between BellRing Brands, Inc. and Post Holdings,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3"/>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10.4</w:t>
            </w:r>
          </w:p>
        </w:tc>
        <w:tc>
          <w:tcPr>
            <w:tcW w:w="42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w w:val="95"/>
              </w:rPr>
            </w:pPr>
            <w:hyperlink w:anchor="page129">
              <w:r>
                <w:rPr>
                  <w:rFonts w:ascii="Arial" w:cs="Arial" w:eastAsia="Arial" w:hAnsi="Arial"/>
                  <w:sz w:val="18"/>
                  <w:szCs w:val="18"/>
                  <w:color w:val="0000EE"/>
                  <w:w w:val="95"/>
                </w:rPr>
                <w:t>Tax Matters Agreement, dated October 21, 2019, by and among BellRing Brands, Inc., BellRing Brands, LLC and Post Holdings, Inc.</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3"/>
            <w:shd w:val="clear" w:color="auto" w:fill="0000EE"/>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10.5</w:t>
            </w:r>
          </w:p>
        </w:tc>
        <w:tc>
          <w:tcPr>
            <w:tcW w:w="42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Tax Receivable Agreement, dated October 21, 2019, by and among BellRing Brands, Inc., BellRing Brands, LLC and Post Holdings, Inc.</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10.6</w:t>
            </w:r>
          </w:p>
        </w:tc>
        <w:tc>
          <w:tcPr>
            <w:tcW w:w="420" w:type="dxa"/>
            <w:vAlign w:val="bottom"/>
          </w:tcPr>
          <w:p>
            <w:pPr>
              <w:spacing w:after="0"/>
              <w:rPr>
                <w:sz w:val="24"/>
                <w:szCs w:val="24"/>
                <w:color w:val="auto"/>
              </w:rPr>
            </w:pPr>
          </w:p>
        </w:tc>
        <w:tc>
          <w:tcPr>
            <w:tcW w:w="99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79">
              <w:r>
                <w:rPr>
                  <w:rFonts w:ascii="Arial" w:cs="Arial" w:eastAsia="Arial" w:hAnsi="Arial"/>
                  <w:sz w:val="18"/>
                  <w:szCs w:val="18"/>
                  <w:color w:val="0000EE"/>
                  <w:w w:val="91"/>
                </w:rPr>
                <w:t>Master Services Agreement, dated October 21, 2019, by and among BellRing Brands, Inc., BellRing Brands, LLC and Post Holdings, Inc.</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10.7</w:t>
            </w:r>
          </w:p>
        </w:tc>
        <w:tc>
          <w:tcPr>
            <w:tcW w:w="420" w:type="dxa"/>
            <w:vAlign w:val="bottom"/>
          </w:tcPr>
          <w:p>
            <w:pPr>
              <w:spacing w:after="0"/>
              <w:rPr>
                <w:sz w:val="24"/>
                <w:szCs w:val="24"/>
                <w:color w:val="auto"/>
              </w:rPr>
            </w:pPr>
          </w:p>
        </w:tc>
        <w:tc>
          <w:tcPr>
            <w:tcW w:w="2680" w:type="dxa"/>
            <w:vAlign w:val="bottom"/>
            <w:tcBorders>
              <w:bottom w:val="single" w:sz="8" w:color="0000EE"/>
            </w:tcBorders>
          </w:tcPr>
          <w:p>
            <w:pPr>
              <w:spacing w:after="0"/>
              <w:rPr>
                <w:rFonts w:ascii="Arial" w:cs="Arial" w:eastAsia="Arial" w:hAnsi="Arial"/>
                <w:sz w:val="18"/>
                <w:szCs w:val="18"/>
                <w:color w:val="0000EE"/>
                <w:w w:val="92"/>
              </w:rPr>
            </w:pPr>
            <w:hyperlink w:anchor="page196">
              <w:r>
                <w:rPr>
                  <w:rFonts w:ascii="Arial" w:cs="Arial" w:eastAsia="Arial" w:hAnsi="Arial"/>
                  <w:sz w:val="18"/>
                  <w:szCs w:val="18"/>
                  <w:color w:val="0000EE"/>
                  <w:w w:val="92"/>
                </w:rPr>
                <w:t>Form of Indemnification Agreement.</w:t>
              </w:r>
            </w:hyperlink>
          </w:p>
        </w:tc>
        <w:tc>
          <w:tcPr>
            <w:tcW w:w="7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10.8</w:t>
            </w:r>
          </w:p>
        </w:tc>
        <w:tc>
          <w:tcPr>
            <w:tcW w:w="420" w:type="dxa"/>
            <w:vAlign w:val="bottom"/>
          </w:tcPr>
          <w:p>
            <w:pPr>
              <w:spacing w:after="0"/>
              <w:rPr>
                <w:sz w:val="24"/>
                <w:szCs w:val="24"/>
                <w:color w:val="auto"/>
              </w:rPr>
            </w:pPr>
          </w:p>
        </w:tc>
        <w:tc>
          <w:tcPr>
            <w:tcW w:w="101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11">
              <w:r>
                <w:rPr>
                  <w:rFonts w:ascii="Arial" w:cs="Arial" w:eastAsia="Arial" w:hAnsi="Arial"/>
                  <w:sz w:val="18"/>
                  <w:szCs w:val="18"/>
                  <w:color w:val="0000EE"/>
                  <w:w w:val="91"/>
                </w:rPr>
                <w:t>Borrower Assignment and Assumption Agreement, dated as of October 21, 2019, by and among Post Holdings, Inc., BellRing Brands, LLC</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and Morgan Stanley Senior Funding, Inc., as administrative agent.</w:t>
              </w:r>
            </w:hyperlink>
          </w:p>
        </w:tc>
        <w:tc>
          <w:tcPr>
            <w:tcW w:w="5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10.9</w:t>
            </w:r>
          </w:p>
        </w:tc>
        <w:tc>
          <w:tcPr>
            <w:tcW w:w="420" w:type="dxa"/>
            <w:vAlign w:val="bottom"/>
          </w:tcPr>
          <w:p>
            <w:pPr>
              <w:spacing w:after="0"/>
              <w:rPr>
                <w:sz w:val="24"/>
                <w:szCs w:val="24"/>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17">
              <w:r>
                <w:rPr>
                  <w:rFonts w:ascii="Arial" w:cs="Arial" w:eastAsia="Arial" w:hAnsi="Arial"/>
                  <w:sz w:val="18"/>
                  <w:szCs w:val="18"/>
                  <w:color w:val="0000EE"/>
                  <w:w w:val="91"/>
                </w:rPr>
                <w:t>Credit Agreement, dated as of October 21, 2019, by and among BellRing Brands, LLC, the institutions from time to time party thereto as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2"/>
              </w:rPr>
            </w:pPr>
            <w:hyperlink w:anchor="page217">
              <w:r>
                <w:rPr>
                  <w:rFonts w:ascii="Arial" w:cs="Arial" w:eastAsia="Arial" w:hAnsi="Arial"/>
                  <w:sz w:val="18"/>
                  <w:szCs w:val="18"/>
                  <w:color w:val="0000EE"/>
                  <w:w w:val="92"/>
                </w:rPr>
                <w:t>lenders, Credit Suisse Loan Funding LLC, BofA Securities, Inc., Morgan Stanley Senior Funding, Inc., Barclays Bank PLC, Citibank, N.A.,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217">
              <w:r>
                <w:rPr>
                  <w:rFonts w:ascii="Arial" w:cs="Arial" w:eastAsia="Arial" w:hAnsi="Arial"/>
                  <w:sz w:val="18"/>
                  <w:szCs w:val="18"/>
                  <w:color w:val="0000EE"/>
                  <w:w w:val="94"/>
                </w:rPr>
                <w:t>Goldman Sachs Bank USA and JPMorgan Chase Bank, N.A., as joint lead arrangers and joint bookrunners, and BMO Capital Markets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88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17">
              <w:r>
                <w:rPr>
                  <w:rFonts w:ascii="Arial" w:cs="Arial" w:eastAsia="Arial" w:hAnsi="Arial"/>
                  <w:sz w:val="18"/>
                  <w:szCs w:val="18"/>
                  <w:color w:val="0000EE"/>
                  <w:w w:val="91"/>
                </w:rPr>
                <w:t>Corp., Coöperatieve Rabobank U.A., New York Branch, Nomura Securities International, Inc., Suntrust Robinson Humphrey, Inc., UBS</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w w:val="91"/>
              </w:rPr>
            </w:pPr>
            <w:hyperlink w:anchor="page217">
              <w:r>
                <w:rPr>
                  <w:rFonts w:ascii="Arial" w:cs="Arial" w:eastAsia="Arial" w:hAnsi="Arial"/>
                  <w:sz w:val="18"/>
                  <w:szCs w:val="18"/>
                  <w:color w:val="0000EE"/>
                  <w:w w:val="91"/>
                </w:rPr>
                <w:t>Securities LLC and Wells Fargo Securities, LLC, as co-managers, and Credit Suisse AG, Cayman Islands Branch, as administrative agent.</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27">
              <w:r>
                <w:rPr>
                  <w:rFonts w:ascii="Arial" w:cs="Arial" w:eastAsia="Arial" w:hAnsi="Arial"/>
                  <w:sz w:val="18"/>
                  <w:szCs w:val="18"/>
                  <w:color w:val="0000EE"/>
                  <w:w w:val="87"/>
                </w:rPr>
                <w:t>Press Release, dated October 21, 2019.</w:t>
              </w:r>
            </w:hyperlink>
          </w:p>
        </w:tc>
        <w:tc>
          <w:tcPr>
            <w:tcW w:w="7140" w:type="dxa"/>
            <w:vAlign w:val="bottom"/>
            <w:tcBorders>
              <w:top w:val="single" w:sz="8" w:color="0000EE"/>
            </w:tcBorders>
            <w:gridSpan w:val="11"/>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color w:val="auto"/>
              </w:rPr>
              <w:t>Date: October 21, 2019</w:t>
            </w:r>
          </w:p>
        </w:tc>
        <w:tc>
          <w:tcPr>
            <w:tcW w:w="7420" w:type="dxa"/>
            <w:vAlign w:val="bottom"/>
            <w:gridSpan w:val="2"/>
          </w:tcPr>
          <w:p>
            <w:pPr>
              <w:ind w:left="190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2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(Registrant)</w:t>
            </w:r>
          </w:p>
        </w:tc>
      </w:tr>
      <w:tr>
        <w:trPr>
          <w:trHeight w:val="432"/>
        </w:trPr>
        <w:tc>
          <w:tcPr>
            <w:tcW w:w="362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620" w:type="dxa"/>
            <w:vAlign w:val="bottom"/>
          </w:tcPr>
          <w:p>
            <w:pPr>
              <w:spacing w:after="0"/>
              <w:rPr>
                <w:sz w:val="18"/>
                <w:szCs w:val="18"/>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62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40"/>
          </w:cols>
          <w:pgMar w:left="440" w:top="270"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21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62"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FIRST: The name of the Corporation is BellRing Brands, Inc. The date of filing of its original certificate of incorporation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Secretary of State of the State of Delaware was March 20, 2019.</w:t>
      </w:r>
    </w:p>
    <w:p>
      <w:pPr>
        <w:spacing w:after="0" w:line="62"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SECOND: This Amended and Restated Certificate of Incorporation (this “</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has been duly adopted in accordance with the provisions of Sections 242 and 245 of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and by the written consent of the holder of all of the outstanding stock entitled to vote thereon in accordance with the provisions of Section 228 of the General Corporation Law.</w:t>
      </w:r>
    </w:p>
    <w:p>
      <w:pPr>
        <w:spacing w:after="0" w:line="7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THIRD: This Amended Certificate of Incorporation amends and restates in its entirety the Original Certificate of Incorporation of the Corporation to read as follows, effective as of 12:01 a.m. October 21, 2019:</w:t>
      </w:r>
    </w:p>
    <w:p>
      <w:pPr>
        <w:spacing w:after="0" w:line="62" w:lineRule="exact"/>
        <w:rPr>
          <w:sz w:val="20"/>
          <w:szCs w:val="20"/>
          <w:color w:val="auto"/>
        </w:rPr>
      </w:pPr>
    </w:p>
    <w:p>
      <w:pPr>
        <w:ind w:left="620" w:hanging="176"/>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117" w:lineRule="exact"/>
        <w:rPr>
          <w:rFonts w:ascii="Arial" w:cs="Arial" w:eastAsia="Arial" w:hAnsi="Arial"/>
          <w:sz w:val="18"/>
          <w:szCs w:val="18"/>
          <w:color w:val="auto"/>
        </w:rPr>
      </w:pPr>
    </w:p>
    <w:p>
      <w:pPr>
        <w:ind w:right="280" w:firstLine="444"/>
        <w:spacing w:after="0" w:line="264" w:lineRule="auto"/>
        <w:tabs>
          <w:tab w:leader="none" w:pos="62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73" w:lineRule="exact"/>
        <w:rPr>
          <w:rFonts w:ascii="Arial" w:cs="Arial" w:eastAsia="Arial" w:hAnsi="Arial"/>
          <w:sz w:val="18"/>
          <w:szCs w:val="18"/>
          <w:color w:val="auto"/>
        </w:rPr>
      </w:pPr>
    </w:p>
    <w:p>
      <w:pPr>
        <w:ind w:right="120" w:firstLine="444"/>
        <w:spacing w:after="0" w:line="277" w:lineRule="auto"/>
        <w:tabs>
          <w:tab w:leader="none" w:pos="62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00" w:firstLine="992"/>
        <w:spacing w:after="0" w:line="297" w:lineRule="auto"/>
        <w:rPr>
          <w:sz w:val="20"/>
          <w:szCs w:val="20"/>
          <w:color w:val="auto"/>
        </w:rPr>
      </w:pPr>
      <w:r>
        <w:rPr>
          <w:rFonts w:ascii="Arial" w:cs="Arial" w:eastAsia="Arial" w:hAnsi="Arial"/>
          <w:sz w:val="16"/>
          <w:szCs w:val="16"/>
          <w:color w:val="auto"/>
        </w:rPr>
        <w:t>4.1. The total number of shares of all classes of capital stock that the Corporation shall have authority to issue is Five Hundred Fifty Million One (550,000,001) shares, consisting of: (i) Five Hundred Million One (500,000,001) shares of common stock, divided into (a) Five Hundred Million (500,000,000) shares of Class A common stock, with the par value of $0.01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one (1) share of Class B common stock, with the par value of $0.01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Fifty Million (50,000,000) shares of preferred stock, with the par value of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50"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4.2. Upon the effectiveness of this Amended Certificate of Incorporation, the 1,000 shares of common stock of the Corporation issued on March 20, 2019 shall automatically be converted into one (1) share of Class B Common Stock.</w:t>
      </w:r>
    </w:p>
    <w:p>
      <w:pPr>
        <w:sectPr>
          <w:pgSz w:w="11900" w:h="16838" w:orient="portrait"/>
          <w:cols w:equalWidth="0" w:num="1">
            <w:col w:w="11020"/>
          </w:cols>
          <w:pgMar w:left="440" w:top="121" w:right="439" w:bottom="1440" w:gutter="0" w:footer="0" w:header="0"/>
        </w:sectPr>
      </w:pPr>
    </w:p>
    <w:bookmarkStart w:id="9" w:name="page10"/>
    <w:bookmarkEnd w:id="9"/>
    <w:p>
      <w:pPr>
        <w:ind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shall be required therefor. Notwithstanding the immediately preceding sentence, the number of authorized shares of any particular class may not be decreased below the number of shares of such class then outstanding, plus, in the case of Class A Common Stock, the number of shares of Class A Common Stock issuable in connection with (1) the redemption of all outstanding Nonvoting Common Units (as defined in Section 14) pursuant to Article IX of the LLC Agreement (as defined in Section 14) and (2) the exercise of outstanding options, warrants, exchange rights, conversion rights or similar rights for Class A Common Stock.</w:t>
      </w:r>
    </w:p>
    <w:p>
      <w:pPr>
        <w:spacing w:after="0" w:line="74" w:lineRule="exact"/>
        <w:rPr>
          <w:sz w:val="20"/>
          <w:szCs w:val="20"/>
          <w:color w:val="auto"/>
        </w:rPr>
      </w:pPr>
    </w:p>
    <w:p>
      <w:pPr>
        <w:ind w:left="1000" w:right="600" w:hanging="556"/>
        <w:spacing w:after="0" w:line="375" w:lineRule="auto"/>
        <w:tabs>
          <w:tab w:leader="none" w:pos="62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660" w:hanging="224"/>
        <w:spacing w:after="0"/>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987"/>
        <w:spacing w:after="0" w:line="289" w:lineRule="auto"/>
        <w:tabs>
          <w:tab w:leader="none" w:pos="2239" w:val="left"/>
        </w:tabs>
        <w:numPr>
          <w:ilvl w:val="2"/>
          <w:numId w:val="9"/>
        </w:numPr>
        <w:rPr>
          <w:rFonts w:ascii="Arial" w:cs="Arial" w:eastAsia="Arial" w:hAnsi="Arial"/>
          <w:sz w:val="16"/>
          <w:szCs w:val="16"/>
          <w:color w:val="auto"/>
        </w:rPr>
      </w:pPr>
      <w:r>
        <w:rPr>
          <w:rFonts w:ascii="Arial" w:cs="Arial" w:eastAsia="Arial" w:hAnsi="Arial"/>
          <w:sz w:val="16"/>
          <w:szCs w:val="16"/>
          <w:color w:val="auto"/>
        </w:rPr>
        <w:t>So long as Post holds in the aggregate more than 50% of the Nonvoting Common Units, then (i) each holder of Class A Common Stock shall be entitled, with respect to each share of Class A Common Stock held by such holder on the applicable record date, to one vote, in person or by proxy, on all matters on which stockholders generally are entitled to vote (whether at a meeting of stockholders or by written consent, and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at a meeting of stockholders or by written consent, and whether voting separately as a class or otherwise) equal to 67% of the combined voting power of the outstanding shares of Common Stock (for purposes of illustration, if 20,000,000 shares of Class A Common Stock are outstanding on the applicable record date, then the share of Class B Common Stock would be entitled to 40,606,060 votes, or 67% of the combined voting power of the outstanding shares of Common Stock).</w:t>
      </w:r>
    </w:p>
    <w:p>
      <w:pPr>
        <w:spacing w:after="0" w:line="58" w:lineRule="exact"/>
        <w:rPr>
          <w:rFonts w:ascii="Arial" w:cs="Arial" w:eastAsia="Arial" w:hAnsi="Arial"/>
          <w:sz w:val="16"/>
          <w:szCs w:val="16"/>
          <w:color w:val="auto"/>
        </w:rPr>
      </w:pPr>
    </w:p>
    <w:p>
      <w:pPr>
        <w:ind w:right="20" w:firstLine="1987"/>
        <w:spacing w:after="0" w:line="269" w:lineRule="auto"/>
        <w:tabs>
          <w:tab w:leader="none" w:pos="2239" w:val="left"/>
        </w:tabs>
        <w:numPr>
          <w:ilvl w:val="2"/>
          <w:numId w:val="9"/>
        </w:numPr>
        <w:rPr>
          <w:rFonts w:ascii="Arial" w:cs="Arial" w:eastAsia="Arial" w:hAnsi="Arial"/>
          <w:sz w:val="17"/>
          <w:szCs w:val="17"/>
          <w:color w:val="auto"/>
        </w:rPr>
      </w:pPr>
      <w:r>
        <w:rPr>
          <w:rFonts w:ascii="Arial" w:cs="Arial" w:eastAsia="Arial" w:hAnsi="Arial"/>
          <w:sz w:val="17"/>
          <w:szCs w:val="17"/>
          <w:color w:val="auto"/>
        </w:rPr>
        <w:t xml:space="preserve">In the event that, as of the record date for any meeting at which stockholders are entitled to vote, Post holds in the aggregate 50% or less of the Nonvoting Common Units outstanding as of such record date, then (i) each holder of Class A Common Stock shall be entitled, with respect to each share of Class A Common Stock held by such holder on the applicable record date, to one (1) vote, in person or by proxy, on all matters on which stockholders generally are entitled to vote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voting separately as a class or otherwise) equal to the number of Nonvoting Common Units held by all Persons other than the Corporation and its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of such votes, (a) the holder of the share of Class B Common Stock shall only be entitled to cast a number of such votes on its own behalf, in person or by one or more proxies, and in its sole discretion equal to the number of Nonvoting Common Units held by Post on the applicable record date, and (b) in the event that, on the applicable record date, any of the Nonvoting Common Units are held by Persons other than the Corporation or any of its subsidiaries or Post (each such Person, a “</w:t>
      </w:r>
      <w:r>
        <w:rPr>
          <w:rFonts w:ascii="Arial" w:cs="Arial" w:eastAsia="Arial" w:hAnsi="Arial"/>
          <w:sz w:val="17"/>
          <w:szCs w:val="17"/>
          <w:u w:val="single" w:color="auto"/>
          <w:color w:val="auto"/>
        </w:rPr>
        <w:t>Non-Affiliated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 w:name="page11"/>
    <w:bookmarkEnd w:id="10"/>
    <w:p>
      <w:pPr>
        <w:ind w:right="6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BellRing Brands, LLC Member</w:t>
      </w:r>
      <w:r>
        <w:rPr>
          <w:rFonts w:ascii="Arial" w:cs="Arial" w:eastAsia="Arial" w:hAnsi="Arial"/>
          <w:sz w:val="17"/>
          <w:szCs w:val="17"/>
          <w:color w:val="auto"/>
        </w:rPr>
        <w:t>”), then the holder of the share of Class B Common Stock shall cast the remainder of the votes to which the outstanding share of Class B Common Stock shall be entitled only in accordance with instructions and directions from the Non-Affiliated BellRing Brands, LLC Member(s) in accordance with the proxy(ies) granted to, or the voting agreement(s) or other voting arrangement(s) entered into with, the Non-Affiliated BellRing Brands, LLC Member(s) pursuant to Section 8.04 of the LLC Agreement (for purposes of illustration, if 100,000,000 Nonvoting Common Units are outstanding on the applicable record date, the Corporation and its subsidiaries hold 20,000,000 Nonvoting Common Units and Post holds 50,000,000 Nonvoting Common Units, then the share of Class B Common Stock would be entitled to 80,000,000 votes, with 30,000,000 of such votes to be cast as directed by the Non-Affiliated BellRing Brands, LLC Member(s)).</w:t>
      </w:r>
    </w:p>
    <w:p>
      <w:pPr>
        <w:spacing w:after="0" w:line="70" w:lineRule="exact"/>
        <w:rPr>
          <w:sz w:val="20"/>
          <w:szCs w:val="20"/>
          <w:color w:val="auto"/>
        </w:rPr>
      </w:pPr>
    </w:p>
    <w:p>
      <w:pPr>
        <w:ind w:firstLine="1987"/>
        <w:spacing w:after="0" w:line="312" w:lineRule="auto"/>
        <w:tabs>
          <w:tab w:leader="none" w:pos="2239"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holders of the outstanding shares of Class A Common Stock and Class B Common Stock shall each be entitled to vote separately upon any amendment to this Amended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38" w:lineRule="exact"/>
        <w:rPr>
          <w:rFonts w:ascii="Arial" w:cs="Arial" w:eastAsia="Arial" w:hAnsi="Arial"/>
          <w:sz w:val="16"/>
          <w:szCs w:val="16"/>
          <w:color w:val="auto"/>
        </w:rPr>
      </w:pPr>
    </w:p>
    <w:p>
      <w:pPr>
        <w:jc w:val="both"/>
        <w:ind w:right="140" w:firstLine="1987"/>
        <w:spacing w:after="0" w:line="264" w:lineRule="auto"/>
        <w:tabs>
          <w:tab w:leader="none" w:pos="22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otherwise required in this Amended Certificate of Incorporation or by applicable law, the holders of Common Stock shall vote together as a single class on all matters (or, if any holders of Preferred Stock are entitled to vote together with the holders of Common Stock, as a single class with the holders of Preferred Stock).</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80" w:firstLine="1987"/>
        <w:spacing w:after="0" w:line="302" w:lineRule="auto"/>
        <w:tabs>
          <w:tab w:leader="none" w:pos="22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capital stock having a preference senior to or the right to participate with the Class A Common Stock with respect to the payment of dividends, dividends of cash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46" w:lineRule="exact"/>
        <w:rPr>
          <w:rFonts w:ascii="Arial" w:cs="Arial" w:eastAsia="Arial" w:hAnsi="Arial"/>
          <w:sz w:val="16"/>
          <w:szCs w:val="16"/>
          <w:color w:val="auto"/>
        </w:rPr>
      </w:pPr>
    </w:p>
    <w:p>
      <w:pPr>
        <w:ind w:left="2240" w:hanging="253"/>
        <w:spacing w:after="0"/>
        <w:tabs>
          <w:tab w:leader="none" w:pos="22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Dividends of cash or property may not be declared or paid on the Class B Common Stock.</w:t>
      </w:r>
    </w:p>
    <w:p>
      <w:pPr>
        <w:spacing w:after="0" w:line="117" w:lineRule="exact"/>
        <w:rPr>
          <w:rFonts w:ascii="Arial" w:cs="Arial" w:eastAsia="Arial" w:hAnsi="Arial"/>
          <w:sz w:val="18"/>
          <w:szCs w:val="18"/>
          <w:color w:val="auto"/>
        </w:rPr>
      </w:pPr>
    </w:p>
    <w:p>
      <w:pPr>
        <w:ind w:right="80" w:firstLine="1987"/>
        <w:spacing w:after="0" w:line="259" w:lineRule="auto"/>
        <w:tabs>
          <w:tab w:leader="none" w:pos="22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no event shall any stock dividend, stock split, reverse stock split, combination of stock, reclassification or recapitalization be declared or made on the Class A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unless the Stock Adjustment has been reflected in the same economically equivalent manner on all Nonvoting Common Units. Stock dividends with respect to the Class A Common Stock may only be paid with shares of Class A Common Stock.</w:t>
      </w:r>
    </w:p>
    <w:p>
      <w:pPr>
        <w:spacing w:after="0" w:line="78" w:lineRule="exact"/>
        <w:rPr>
          <w:rFonts w:ascii="Arial" w:cs="Arial" w:eastAsia="Arial" w:hAnsi="Arial"/>
          <w:sz w:val="18"/>
          <w:szCs w:val="18"/>
          <w:color w:val="auto"/>
        </w:rPr>
      </w:pPr>
    </w:p>
    <w:p>
      <w:pPr>
        <w:ind w:firstLine="1436"/>
        <w:spacing w:after="0" w:line="276" w:lineRule="auto"/>
        <w:tabs>
          <w:tab w:leader="none" w:pos="174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shall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Class A Common Stock shall be entitled to receive the remaining assets of the Corporation available for distribution ratably in proportion to the number of shares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1" w:name="page12"/>
    <w:bookmarkEnd w:id="11"/>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A Common Stock held by each holder. Without limiting the rights of the holder of Class B Common Stock to redeem its Nonvoting Common Units for shares of Class A Common Stock in accordance with Article IX of the LLC Agreement (or for the consideration payable in respect of shares of Class A Common Stock in such voluntary or involuntary liquidation, dissolution or winding up), the holder of the share of Class B Common Stock, as such, shall not be entitled to receive, with respect to such share, any assets of the Corporation in excess of the par value thereof in the event of any voluntary or involuntary liquidation, dissolution or winding up of the affairs of the Corporation.</w:t>
      </w:r>
    </w:p>
    <w:p>
      <w:pPr>
        <w:spacing w:after="0" w:line="64" w:lineRule="exact"/>
        <w:rPr>
          <w:sz w:val="20"/>
          <w:szCs w:val="20"/>
          <w:color w:val="auto"/>
        </w:rPr>
      </w:pPr>
    </w:p>
    <w:p>
      <w:pPr>
        <w:ind w:firstLine="1436"/>
        <w:spacing w:after="0" w:line="287" w:lineRule="auto"/>
        <w:tabs>
          <w:tab w:leader="none" w:pos="173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Restrictions on Class B Common Stock</w:t>
      </w:r>
      <w:r>
        <w:rPr>
          <w:rFonts w:ascii="Arial" w:cs="Arial" w:eastAsia="Arial" w:hAnsi="Arial"/>
          <w:sz w:val="16"/>
          <w:szCs w:val="16"/>
          <w:color w:val="auto"/>
        </w:rPr>
        <w:t xml:space="preserve">. The share of Class B Common Stock may not be owned or held by or transferred to any Person other than Post;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Post, as the holder of the share of Class B Common Stock, shall be permitted to (a) grant one or more proxies to, or enter into one or more voting agreements or other voting arrangements with, any Non-Affiliated BellRing Brands, LLC Members pursuant to Section 8.04 of the LLC Agreement (and, for avoidance of doubt, (1) each such proxy, agreement or arrangement shall cover a specific number or percentage of votes to which the share of Class B Common Stock is entitled under this Amended Certificate of Incorporation, and (2) the holder(s) of such proxy(ies), agreement(s) or arrangement(s) may in its (their) discretion direct the holder of the Class B Common Stock as to the manner in which the votes covered by such proxy(ies), agreement(s) or arrangement(s) are to be cast (or not cast, as the case may be) and the holder of the Class B Common Stock shall so cast such votes as so directed by such holder(s), it being understood that some of the votes to which the share of Class B Common Stock is entitled may be voted in favor of, and others may be voted against, the particular matter upon which the holder of the Class B Common Stock is entitled to vote) and (b) transfer the share of Class B Common Stock in connection with any distribution of its ownership interest in BellRing Brands, LLC (as defined in Section 14) by means of a spin-off or split-off to its shareholders. Any stock certificate representing the share of Class B Common Stock shall include a legend referencing the restrictions described above.</w:t>
      </w:r>
    </w:p>
    <w:p>
      <w:pPr>
        <w:spacing w:after="0" w:line="60" w:lineRule="exact"/>
        <w:rPr>
          <w:rFonts w:ascii="Arial" w:cs="Arial" w:eastAsia="Arial" w:hAnsi="Arial"/>
          <w:sz w:val="16"/>
          <w:szCs w:val="16"/>
          <w:color w:val="auto"/>
        </w:rPr>
      </w:pPr>
    </w:p>
    <w:p>
      <w:pPr>
        <w:ind w:right="40" w:firstLine="1436"/>
        <w:spacing w:after="0" w:line="271" w:lineRule="auto"/>
        <w:tabs>
          <w:tab w:leader="none" w:pos="1687"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issuance of shares of Class A Common Stock upon the exercise by a holder of Nonvoting Common Units of its right to redeem its Nonvoting Common Units for shares of Class A Common Stock in accordance with Article IX of the LLC Agreement shall be made without charge to such holder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shares of Class A Common Stock are to be issued in a name other than that of the then record holder of the Nonvoting Common Units being redeemed (or The Depository Trust Company or its nominee for the account of a participant of The Depository Trust Company that shall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71"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 w:name="page13"/>
    <w:bookmarkEnd w:id="1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w:t>
      </w:r>
    </w:p>
    <w:p>
      <w:pPr>
        <w:spacing w:after="0" w:line="1" w:lineRule="exact"/>
        <w:rPr>
          <w:sz w:val="20"/>
          <w:szCs w:val="20"/>
          <w:color w:val="auto"/>
        </w:rPr>
      </w:pPr>
    </w:p>
    <w:p>
      <w:pPr>
        <w:ind w:firstLine="4"/>
        <w:spacing w:after="0" w:line="252" w:lineRule="auto"/>
        <w:tabs>
          <w:tab w:leader="none" w:pos="3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83" w:lineRule="exact"/>
        <w:rPr>
          <w:rFonts w:ascii="Arial" w:cs="Arial" w:eastAsia="Arial" w:hAnsi="Arial"/>
          <w:sz w:val="18"/>
          <w:szCs w:val="18"/>
          <w:color w:val="auto"/>
        </w:rPr>
      </w:pPr>
    </w:p>
    <w:p>
      <w:pPr>
        <w:ind w:left="620" w:hanging="176"/>
        <w:spacing w:after="0"/>
        <w:tabs>
          <w:tab w:leader="none" w:pos="6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117" w:lineRule="exact"/>
        <w:rPr>
          <w:sz w:val="20"/>
          <w:szCs w:val="20"/>
          <w:color w:val="auto"/>
        </w:rPr>
      </w:pPr>
    </w:p>
    <w:p>
      <w:pPr>
        <w:ind w:right="20" w:firstLine="992"/>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Actions by Written Consent</w:t>
      </w:r>
      <w:r>
        <w:rPr>
          <w:rFonts w:ascii="Arial" w:cs="Arial" w:eastAsia="Arial" w:hAnsi="Arial"/>
          <w:sz w:val="17"/>
          <w:szCs w:val="17"/>
          <w:color w:val="auto"/>
        </w:rPr>
        <w:t>. From and after the Triggering Event,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in writing by such stockholders. Prior to the Triggering Event, any action required by the General Corporation Law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 or holders of capital stock of the Corporation having not less than the minimum number of votes that would be necessary to authorize or take such action at a meeting at which all shares entitled to vote thereon were present and voted; provided, however, that, unless otherwise provided in any certificate of designation relating to a series of Preferred Stock,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Prompt notice of the taking of the corporate action without a meeting by less than unanimous written consent shall be given by the Corporation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75"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of Directors by Written Ballot</w:t>
      </w:r>
      <w:r>
        <w:rPr>
          <w:rFonts w:ascii="Arial" w:cs="Arial" w:eastAsia="Arial" w:hAnsi="Arial"/>
          <w:sz w:val="18"/>
          <w:szCs w:val="18"/>
          <w:color w:val="auto"/>
        </w:rPr>
        <w:t>.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need not be by written ballot.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3" w:name="page14"/>
    <w:bookmarkEnd w:id="13"/>
    <w:p>
      <w:pPr>
        <w:ind w:left="620" w:hanging="176"/>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w:t>
      </w:r>
      <w:r>
        <w:rPr>
          <w:rFonts w:ascii="Arial" w:cs="Arial" w:eastAsia="Arial" w:hAnsi="Arial"/>
          <w:sz w:val="18"/>
          <w:szCs w:val="18"/>
          <w:color w:val="auto"/>
        </w:rPr>
        <w:t>.</w:t>
      </w:r>
    </w:p>
    <w:p>
      <w:pPr>
        <w:spacing w:after="0" w:line="117" w:lineRule="exact"/>
        <w:rPr>
          <w:sz w:val="20"/>
          <w:szCs w:val="20"/>
          <w:color w:val="auto"/>
        </w:rPr>
      </w:pPr>
    </w:p>
    <w:p>
      <w:pPr>
        <w:ind w:right="80" w:firstLine="992"/>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Number and Classification</w:t>
      </w:r>
      <w:r>
        <w:rPr>
          <w:rFonts w:ascii="Arial" w:cs="Arial" w:eastAsia="Arial" w:hAnsi="Arial"/>
          <w:sz w:val="17"/>
          <w:szCs w:val="17"/>
          <w:color w:val="auto"/>
        </w:rPr>
        <w:t>. The number of directors shall be fixed by, or in the manner provided in, the Bylaws, but shall not be less than five nor more than twelve members.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With respect to directors in office on October 21, 2019, the first class of directors shall hold office until the first annual meeting of stockholders following the date shares of capital stock of the Corporation are first publicly traded (the “</w:t>
      </w:r>
      <w:r>
        <w:rPr>
          <w:rFonts w:ascii="Arial" w:cs="Arial" w:eastAsia="Arial" w:hAnsi="Arial"/>
          <w:sz w:val="17"/>
          <w:szCs w:val="17"/>
          <w:u w:val="single" w:color="auto"/>
          <w:color w:val="auto"/>
        </w:rPr>
        <w:t>IPO Date</w:t>
      </w:r>
      <w:r>
        <w:rPr>
          <w:rFonts w:ascii="Arial" w:cs="Arial" w:eastAsia="Arial" w:hAnsi="Arial"/>
          <w:sz w:val="17"/>
          <w:szCs w:val="17"/>
          <w:color w:val="auto"/>
        </w:rPr>
        <w:t>”), the second class of directors shall hold office until the second annual meeting of stockholders following the IPO Date, and the third class of directors shall hold office until the third annual meeting of stockholders following the IPO Date. The Board of Directors is authorized to assign members of the Board of Directors already in office to their respective class.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Amended Certificate of Incorporation or any certificate of designation thereunder applicable thereto. As used in this Amended Certificate of Incorporation, the term “entire Board” means the total number of directors fixed by, or in accordance with, this Amended Certificate of Incorporation and the Bylaws.</w:t>
      </w:r>
    </w:p>
    <w:p>
      <w:pPr>
        <w:spacing w:after="0" w:line="77"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the rights, if any, of the holders of any class or series of capital stock of the Corporation (other than the Common Stock) then outstanding, at a meeting called expressly for that purpose or by the written consent of stockholders as provided in Section 6.1, one or more members of the Board may be removed with or without cause by the affirmative vote of not less than a majority of the voting power of all of the outstanding shares of capital stock then entitled to vote in the election of directors, voting together as a single class. Whenever the holders of the shares of any class or series are entitled to elect one or more directors, the provisions of this Section 7.2 shall apply in respect of the removal of a director or directors so elected without cause, to the vote of the holders of the outstanding shares of that class or series and not to the vote of the holders of the outstanding shares as a whole.</w:t>
      </w:r>
    </w:p>
    <w:p>
      <w:pPr>
        <w:spacing w:after="0" w:line="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if any, of the holders of any class or series of capital stock of the Corporation (other than the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then outstanding and the rights of Post Holdings, Inc. and its successors and assigns under the Investor Rights Agreement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 (so long as such agreement is in effect), any vacancies in the Board which occur for any reason prior to the expiration of the term of office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class in which the vacancy occurs, including vacancies which occur by reason of an increase in the number of directors, may be filled (i)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acting by the affirmative vote of a majority of the remaining directors then in office (even if less than a quorum), or by a sole remaining director,</w:t>
      </w:r>
    </w:p>
    <w:p>
      <w:pPr>
        <w:spacing w:after="0" w:line="32" w:lineRule="exact"/>
        <w:rPr>
          <w:sz w:val="20"/>
          <w:szCs w:val="20"/>
          <w:color w:val="auto"/>
        </w:rPr>
      </w:pPr>
    </w:p>
    <w:p>
      <w:pPr>
        <w:ind w:right="140" w:firstLine="4"/>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a special meeting of stockholders of the Corporation called for such purpose, or (iii) prior to the Triggering Event, by written consent of one or more stockholders of the Corporation as provided in Section 6.1, in each case until the next election of directors by the stockholders of the Corporation at which such class is elected.</w:t>
      </w:r>
    </w:p>
    <w:p>
      <w:pPr>
        <w:spacing w:after="0" w:line="82" w:lineRule="exact"/>
        <w:rPr>
          <w:sz w:val="20"/>
          <w:szCs w:val="20"/>
          <w:color w:val="auto"/>
        </w:rPr>
      </w:pPr>
    </w:p>
    <w:p>
      <w:pPr>
        <w:jc w:val="both"/>
        <w:ind w:right="20" w:firstLine="992"/>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Amendment</w:t>
      </w:r>
      <w:r>
        <w:rPr>
          <w:rFonts w:ascii="Arial" w:cs="Arial" w:eastAsia="Arial" w:hAnsi="Arial"/>
          <w:sz w:val="16"/>
          <w:szCs w:val="16"/>
          <w:color w:val="auto"/>
        </w:rPr>
        <w:t>. Whenever the holders of shares of any class or series of capital stock of the Corporation (other than the Common Stock) are entitled to elect one or more directors, any amendment, alteration, change or repeal of this Section 7 also shall require the affirmative vote of not less than a majority of the outstanding shares of each such class or series of capital stock of the Corporation entitled to vote on such directors.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4" w:name="page15"/>
    <w:bookmarkEnd w:id="14"/>
    <w:p>
      <w:pPr>
        <w:ind w:left="620" w:hanging="17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Combinations</w:t>
      </w:r>
      <w:r>
        <w:rPr>
          <w:rFonts w:ascii="Arial" w:cs="Arial" w:eastAsia="Arial" w:hAnsi="Arial"/>
          <w:sz w:val="18"/>
          <w:szCs w:val="18"/>
          <w:color w:val="auto"/>
        </w:rPr>
        <w:t>.</w:t>
      </w:r>
    </w:p>
    <w:p>
      <w:pPr>
        <w:spacing w:after="0" w:line="117"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Section 203 of the General Corporation Law</w:t>
      </w:r>
      <w:r>
        <w:rPr>
          <w:rFonts w:ascii="Arial" w:cs="Arial" w:eastAsia="Arial" w:hAnsi="Arial"/>
          <w:sz w:val="18"/>
          <w:szCs w:val="18"/>
          <w:color w:val="auto"/>
        </w:rPr>
        <w:t>. The Corporation shall not be subject to the provisions of Section 203 of the General Corporation Law.</w:t>
      </w:r>
    </w:p>
    <w:p>
      <w:pPr>
        <w:spacing w:after="0" w:line="62"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Limitations on Business Combinations</w:t>
      </w:r>
      <w:r>
        <w:rPr>
          <w:rFonts w:ascii="Arial" w:cs="Arial" w:eastAsia="Arial" w:hAnsi="Arial"/>
          <w:sz w:val="17"/>
          <w:szCs w:val="17"/>
          <w:color w:val="auto"/>
        </w:rPr>
        <w:t>. Notwithstanding Section 8.1, the Corporation shall not, at any point in time at which the Class A Common Stock is registered under Section 12(b) or 12(g) of the Exchange Act (as defined in Section 14) (or if the Class A Common Stock is no longer so registered as a result of action taken, directly or indirectly, by an Interested Stockholder (as defined in Section 8.3(iv)) or as a result of a transaction in which a person becomes an Interested Stockholder), engage in any Business Combination (as defined in Section 8.3(ii)) with any Interested Stockholder for a period of three years following the time that such stockholder became an Interested Stockholder, unless:</w:t>
      </w:r>
    </w:p>
    <w:p>
      <w:pPr>
        <w:spacing w:after="0" w:line="64" w:lineRule="exact"/>
        <w:rPr>
          <w:sz w:val="20"/>
          <w:szCs w:val="20"/>
          <w:color w:val="auto"/>
        </w:rPr>
      </w:pPr>
    </w:p>
    <w:p>
      <w:pPr>
        <w:ind w:right="440" w:firstLine="1436"/>
        <w:spacing w:after="0" w:line="277" w:lineRule="auto"/>
        <w:tabs>
          <w:tab w:leader="none" w:pos="1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right="180" w:firstLine="1436"/>
        <w:spacing w:after="0" w:line="297" w:lineRule="auto"/>
        <w:tabs>
          <w:tab w:leader="none" w:pos="16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in Section 8.3(viii))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or (2) employee stock plans in which employee participants do not have the right to determine confidentially whether shares held subject to the plan will be tendered in a tender or exchange offer, or</w:t>
      </w:r>
    </w:p>
    <w:p>
      <w:pPr>
        <w:spacing w:after="0" w:line="50" w:lineRule="exact"/>
        <w:rPr>
          <w:rFonts w:ascii="Arial" w:cs="Arial" w:eastAsia="Arial" w:hAnsi="Arial"/>
          <w:sz w:val="16"/>
          <w:szCs w:val="16"/>
          <w:color w:val="auto"/>
        </w:rPr>
      </w:pPr>
    </w:p>
    <w:p>
      <w:pPr>
        <w:ind w:right="560" w:firstLine="1436"/>
        <w:spacing w:after="0" w:line="264" w:lineRule="auto"/>
        <w:tabs>
          <w:tab w:leader="none" w:pos="17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(2/3) of the outstanding Voting Stock of the Corporation which is not owned by the Interested Stockholder.</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in Section 14, for purposes of this Section 8:</w:t>
      </w:r>
    </w:p>
    <w:p>
      <w:pPr>
        <w:spacing w:after="0" w:line="117" w:lineRule="exact"/>
        <w:rPr>
          <w:sz w:val="20"/>
          <w:szCs w:val="20"/>
          <w:color w:val="auto"/>
        </w:rPr>
      </w:pPr>
    </w:p>
    <w:p>
      <w:pPr>
        <w:ind w:firstLine="1436"/>
        <w:spacing w:after="0" w:line="257" w:lineRule="auto"/>
        <w:tabs>
          <w:tab w:leader="none" w:pos="16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(1) any corporation, partnership, unincorporated association or other entity of which such Person is a director, officer, manager or partner or is, directly or indirectly, the Owner of 20% or more of any class of Voting Stock;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 w:name="page16"/>
    <w:bookmarkEnd w:id="15"/>
    <w:p>
      <w:pPr>
        <w:ind w:left="1700" w:hanging="264"/>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117" w:lineRule="exact"/>
        <w:rPr>
          <w:rFonts w:ascii="Arial" w:cs="Arial" w:eastAsia="Arial" w:hAnsi="Arial"/>
          <w:sz w:val="18"/>
          <w:szCs w:val="18"/>
          <w:color w:val="auto"/>
        </w:rPr>
      </w:pPr>
    </w:p>
    <w:p>
      <w:pPr>
        <w:ind w:left="2240" w:hanging="253"/>
        <w:spacing w:after="0"/>
        <w:tabs>
          <w:tab w:leader="none" w:pos="22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right="20" w:firstLine="4"/>
        <w:spacing w:after="0" w:line="323"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the Interested Stockholder, or (b) with any other corporation, partnership, unincorporated association or other entity if the merger or consolidation is caused by the Interested Stockholder and as a result of such merger or consolidation Section 8.2 is not applicable to the surviving entity;</w:t>
      </w:r>
    </w:p>
    <w:p>
      <w:pPr>
        <w:spacing w:after="0" w:line="30" w:lineRule="exact"/>
        <w:rPr>
          <w:rFonts w:ascii="Arial" w:cs="Arial" w:eastAsia="Arial" w:hAnsi="Arial"/>
          <w:sz w:val="16"/>
          <w:szCs w:val="16"/>
          <w:color w:val="auto"/>
        </w:rPr>
      </w:pPr>
    </w:p>
    <w:p>
      <w:pPr>
        <w:ind w:right="100" w:firstLine="1987"/>
        <w:spacing w:after="0" w:line="257" w:lineRule="auto"/>
        <w:tabs>
          <w:tab w:leader="none" w:pos="223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of the assets of the Corporation determined on a consolidated basis or the aggregate market value of all of the outstanding Stock of the Corporation;</w:t>
      </w:r>
    </w:p>
    <w:p>
      <w:pPr>
        <w:spacing w:after="0" w:line="80" w:lineRule="exact"/>
        <w:rPr>
          <w:rFonts w:ascii="Arial" w:cs="Arial" w:eastAsia="Arial" w:hAnsi="Arial"/>
          <w:sz w:val="18"/>
          <w:szCs w:val="18"/>
          <w:color w:val="auto"/>
        </w:rPr>
      </w:pPr>
    </w:p>
    <w:p>
      <w:pPr>
        <w:ind w:right="80" w:firstLine="1987"/>
        <w:spacing w:after="0" w:line="269" w:lineRule="auto"/>
        <w:tabs>
          <w:tab w:leader="none" w:pos="2239" w:val="left"/>
        </w:tabs>
        <w:numPr>
          <w:ilvl w:val="2"/>
          <w:numId w:val="20"/>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on,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74" w:lineRule="exact"/>
        <w:rPr>
          <w:rFonts w:ascii="Arial" w:cs="Arial" w:eastAsia="Arial" w:hAnsi="Arial"/>
          <w:sz w:val="17"/>
          <w:szCs w:val="17"/>
          <w:color w:val="auto"/>
        </w:rPr>
      </w:pPr>
    </w:p>
    <w:p>
      <w:pPr>
        <w:ind w:firstLine="1987"/>
        <w:spacing w:after="0" w:line="257" w:lineRule="auto"/>
        <w:tabs>
          <w:tab w:leader="none" w:pos="223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0" w:lineRule="exact"/>
        <w:rPr>
          <w:rFonts w:ascii="Arial" w:cs="Arial" w:eastAsia="Arial" w:hAnsi="Arial"/>
          <w:sz w:val="18"/>
          <w:szCs w:val="18"/>
          <w:color w:val="auto"/>
        </w:rPr>
      </w:pPr>
    </w:p>
    <w:p>
      <w:pPr>
        <w:ind w:right="120" w:firstLine="1987"/>
        <w:spacing w:after="0" w:line="264" w:lineRule="auto"/>
        <w:tabs>
          <w:tab w:leader="none" w:pos="223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spacing w:after="0" w:line="73" w:lineRule="exact"/>
        <w:rPr>
          <w:rFonts w:ascii="Arial" w:cs="Arial" w:eastAsia="Arial" w:hAnsi="Arial"/>
          <w:sz w:val="18"/>
          <w:szCs w:val="18"/>
          <w:color w:val="auto"/>
        </w:rPr>
      </w:pPr>
    </w:p>
    <w:p>
      <w:pPr>
        <w:ind w:right="80" w:firstLine="1436"/>
        <w:spacing w:after="0" w:line="264" w:lineRule="auto"/>
        <w:tabs>
          <w:tab w:leader="none" w:pos="17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6" w:name="page17"/>
    <w:bookmarkEnd w:id="16"/>
    <w:p>
      <w:pPr>
        <w:jc w:val="both"/>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8, as an agent, bank, broker, nominee, custodian or trustee for one or more Owners who do not individually or as a group have Control of such entity. The definition of Control and correlated terms set forth in Section 14 shall not apply for purposes of this Section 8.</w:t>
      </w:r>
    </w:p>
    <w:p>
      <w:pPr>
        <w:spacing w:after="0" w:line="80" w:lineRule="exact"/>
        <w:rPr>
          <w:sz w:val="20"/>
          <w:szCs w:val="20"/>
          <w:color w:val="auto"/>
        </w:rPr>
      </w:pPr>
    </w:p>
    <w:p>
      <w:pPr>
        <w:ind w:firstLine="1436"/>
        <w:spacing w:after="0" w:line="286" w:lineRule="auto"/>
        <w:tabs>
          <w:tab w:leader="none" w:pos="1738"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Post (as defined in Section 14) or Post Transferees, or any Affiliates of any such Post Transferees, (b) any Person whose ownership of Stock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or (c) any Person whose ownership of Stock in excess of the 15% limitation set forth herein is the result of any action taken inadvertently;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(c) (1) as soon as practicable divests itself of ownership of sufficient shares so that the Person ceases to otherwise be an Interested Stockholder, and (2) would not, at any time within the three year period immediately prior to a Business Combination between the Corporation and such Person, have been an Interested Stockholder but for the inadvertent acquisition of ownership.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0" w:lineRule="exact"/>
        <w:rPr>
          <w:rFonts w:ascii="Arial" w:cs="Arial" w:eastAsia="Arial" w:hAnsi="Arial"/>
          <w:sz w:val="16"/>
          <w:szCs w:val="16"/>
          <w:color w:val="auto"/>
        </w:rPr>
      </w:pPr>
    </w:p>
    <w:p>
      <w:pPr>
        <w:ind w:right="260" w:firstLine="1436"/>
        <w:spacing w:after="0" w:line="277" w:lineRule="auto"/>
        <w:tabs>
          <w:tab w:leader="none" w:pos="16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2240" w:hanging="253"/>
        <w:spacing w:after="0"/>
        <w:tabs>
          <w:tab w:leader="none" w:pos="22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firstLine="1987"/>
        <w:spacing w:after="0" w:line="272" w:lineRule="auto"/>
        <w:tabs>
          <w:tab w:leader="none" w:pos="2239"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 w:name="page18"/>
    <w:bookmarkEnd w:id="17"/>
    <w:p>
      <w:pPr>
        <w:ind w:left="-20" w:firstLine="1987"/>
        <w:spacing w:after="0" w:line="264" w:lineRule="auto"/>
        <w:tabs>
          <w:tab w:leader="none" w:pos="2219" w:val="left"/>
        </w:tabs>
        <w:numPr>
          <w:ilvl w:val="2"/>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spacing w:after="0" w:line="73" w:lineRule="exact"/>
        <w:rPr>
          <w:rFonts w:ascii="Arial" w:cs="Arial" w:eastAsia="Arial" w:hAnsi="Arial"/>
          <w:sz w:val="18"/>
          <w:szCs w:val="18"/>
          <w:color w:val="auto"/>
        </w:rPr>
      </w:pPr>
    </w:p>
    <w:p>
      <w:pPr>
        <w:ind w:left="-20" w:right="80" w:firstLine="1436"/>
        <w:spacing w:after="0" w:line="293" w:lineRule="auto"/>
        <w:tabs>
          <w:tab w:leader="none" w:pos="1718" w:val="left"/>
        </w:tabs>
        <w:numPr>
          <w:ilvl w:val="1"/>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Transferee</w:t>
      </w:r>
      <w:r>
        <w:rPr>
          <w:rFonts w:ascii="Arial" w:cs="Arial" w:eastAsia="Arial" w:hAnsi="Arial"/>
          <w:sz w:val="16"/>
          <w:szCs w:val="16"/>
          <w:color w:val="auto"/>
        </w:rPr>
        <w:t>” means any Person who (a) acquires Voting Stock of the Corporation from Post (other than in connection with a public offering) or (b) is granted a proxy by, or enters into a voting agreement or other voting arrangement with, Post pursuant to Section 8.04 of the LLC Agreement, and in either case is designated in writing by Post as a “Post Transferee.” For avoidance of doubt, a Person described in clause (b) of the preceding sentence who shall have been designated in writing by Post as a Post Transferee shall continue to be a Post Transferee in the event such Person acquires shares of Class A Common Stock through the exercise of its right to redeem the Nonvoting Common Units, which were the subject of such proxy, agreement or other arrangement, in accordance with Article IX of the LLC Agreement.</w:t>
      </w:r>
    </w:p>
    <w:p>
      <w:pPr>
        <w:spacing w:after="0" w:line="56" w:lineRule="exact"/>
        <w:rPr>
          <w:rFonts w:ascii="Arial" w:cs="Arial" w:eastAsia="Arial" w:hAnsi="Arial"/>
          <w:sz w:val="16"/>
          <w:szCs w:val="16"/>
          <w:color w:val="auto"/>
        </w:rPr>
      </w:pPr>
    </w:p>
    <w:p>
      <w:pPr>
        <w:ind w:left="1780" w:hanging="364"/>
        <w:spacing w:after="0"/>
        <w:tabs>
          <w:tab w:leader="none" w:pos="1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28" w:lineRule="exact"/>
        <w:rPr>
          <w:rFonts w:ascii="Arial" w:cs="Arial" w:eastAsia="Arial" w:hAnsi="Arial"/>
          <w:sz w:val="17"/>
          <w:szCs w:val="17"/>
          <w:color w:val="auto"/>
        </w:rPr>
      </w:pPr>
    </w:p>
    <w:p>
      <w:pPr>
        <w:ind w:left="-20" w:right="200" w:firstLine="1436"/>
        <w:spacing w:after="0" w:line="264" w:lineRule="auto"/>
        <w:tabs>
          <w:tab w:leader="none" w:pos="1818"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(or such equivalent office with the power to direct or cause the direction of the management and policies of a Person). Every reference in this Section 8 to a percentage of Voting Stock shall refer to such percentage of the votes of such Voting Stock.</w:t>
      </w:r>
    </w:p>
    <w:p>
      <w:pPr>
        <w:spacing w:after="0" w:line="73" w:lineRule="exact"/>
        <w:rPr>
          <w:rFonts w:ascii="Arial" w:cs="Arial" w:eastAsia="Arial" w:hAnsi="Arial"/>
          <w:sz w:val="18"/>
          <w:szCs w:val="18"/>
          <w:color w:val="auto"/>
        </w:rPr>
      </w:pPr>
    </w:p>
    <w:p>
      <w:pPr>
        <w:ind w:left="600" w:hanging="17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117" w:lineRule="exact"/>
        <w:rPr>
          <w:sz w:val="20"/>
          <w:szCs w:val="20"/>
          <w:color w:val="auto"/>
        </w:rPr>
      </w:pPr>
    </w:p>
    <w:p>
      <w:pPr>
        <w:ind w:left="-20" w:right="40" w:firstLine="1436"/>
        <w:spacing w:after="0" w:line="270" w:lineRule="auto"/>
        <w:tabs>
          <w:tab w:leader="none" w:pos="16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any express agreement that may from time to time be in effect, to the fullest extent permitted by law,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73" w:lineRule="exact"/>
        <w:rPr>
          <w:rFonts w:ascii="Arial" w:cs="Arial" w:eastAsia="Arial" w:hAnsi="Arial"/>
          <w:sz w:val="17"/>
          <w:szCs w:val="17"/>
          <w:color w:val="auto"/>
        </w:rPr>
      </w:pPr>
    </w:p>
    <w:p>
      <w:pPr>
        <w:ind w:left="-20" w:right="80" w:firstLine="1436"/>
        <w:spacing w:after="0" w:line="297" w:lineRule="auto"/>
        <w:tabs>
          <w:tab w:leader="none" w:pos="16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 such business. The Corporation shall pay in advance any expenses incurred in defense of any such claim against any Dual Role Person pursuant to Section 10 or as provided in the Bylaws.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18" w:name="page19"/>
    <w:bookmarkEnd w:id="18"/>
    <w:p>
      <w:pPr>
        <w:ind w:firstLine="1436"/>
        <w:spacing w:after="0" w:line="285" w:lineRule="auto"/>
        <w:tabs>
          <w:tab w:leader="none" w:pos="1748"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2" w:lineRule="exact"/>
        <w:rPr>
          <w:rFonts w:ascii="Arial" w:cs="Arial" w:eastAsia="Arial" w:hAnsi="Arial"/>
          <w:sz w:val="16"/>
          <w:szCs w:val="16"/>
          <w:color w:val="auto"/>
        </w:rPr>
      </w:pPr>
    </w:p>
    <w:p>
      <w:pPr>
        <w:ind w:firstLine="4"/>
        <w:spacing w:after="0" w:line="252"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10 or as provided in the Bylaws.</w:t>
      </w:r>
    </w:p>
    <w:p>
      <w:pPr>
        <w:spacing w:after="0" w:line="86" w:lineRule="exact"/>
        <w:rPr>
          <w:sz w:val="20"/>
          <w:szCs w:val="20"/>
          <w:color w:val="auto"/>
        </w:rPr>
      </w:pPr>
    </w:p>
    <w:p>
      <w:pPr>
        <w:jc w:val="both"/>
        <w:ind w:right="240" w:firstLine="1436"/>
        <w:spacing w:after="0" w:line="264" w:lineRule="auto"/>
        <w:tabs>
          <w:tab w:leader="none" w:pos="17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foregoing provisions in this Section 9.1, and the action of any Dual Role Person taken in accordance with, or in reliance upon, the foregoing provisions in this Section 9.1, including entering into or performing any agreement, transaction or arrangement, are, to the fullest extent permitted by law, deemed and presumed to be fair to the Corporation.</w:t>
      </w:r>
    </w:p>
    <w:p>
      <w:pPr>
        <w:spacing w:after="0" w:line="73" w:lineRule="exact"/>
        <w:rPr>
          <w:sz w:val="20"/>
          <w:szCs w:val="20"/>
          <w:color w:val="auto"/>
        </w:rPr>
      </w:pPr>
    </w:p>
    <w:p>
      <w:pPr>
        <w:ind w:right="100" w:firstLine="992"/>
        <w:spacing w:after="0" w:line="27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9,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9 shall amend or modify in any respect any written contractual agreement between Post, on the one hand, and the Corporation or any of its Controlled Companies, on the other hand.</w:t>
      </w:r>
    </w:p>
    <w:p>
      <w:pPr>
        <w:spacing w:after="0" w:line="64"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9.</w:t>
      </w:r>
    </w:p>
    <w:p>
      <w:pPr>
        <w:spacing w:after="0" w:line="62"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9 shall not affect the other provisions or parts hereof, and this Section 9 shall be construed in all respects as if such invalid or unenforceable provisions or parts were omitted.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117" w:lineRule="exact"/>
        <w:rPr>
          <w:sz w:val="20"/>
          <w:szCs w:val="20"/>
          <w:color w:val="auto"/>
        </w:rPr>
      </w:pPr>
    </w:p>
    <w:p>
      <w:pPr>
        <w:ind w:right="260" w:firstLine="1436"/>
        <w:spacing w:after="0" w:line="264" w:lineRule="auto"/>
        <w:tabs>
          <w:tab w:leader="none" w:pos="1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of this Section 9 shall have no further force or effect at such time as (1) the Corporation and Post are no longer Affiliates of one another and (2) none of the directors, officers, employees, agents and/or Affiliates of Post serve as directors, officers, managers, employees and/or agents of the Corporation or any of its Controlled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 w:name="page20"/>
    <w:bookmarkEnd w:id="19"/>
    <w:p>
      <w:pPr>
        <w:ind w:right="140" w:firstLine="1436"/>
        <w:spacing w:after="0" w:line="293" w:lineRule="auto"/>
        <w:tabs>
          <w:tab w:leader="none" w:pos="1698"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alteration, change, repeal or termination of this Section 9, nor the adoption of a provision inconsistent with this Section 9, shall eliminate or reduce the effect of such provisions with respect to (1) any matter occurring, or any action or proceeding accruing or arising, prior to such amendment, alteration, change, repeal, termination or adoption of an inconsistent provision or (2)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56" w:lineRule="exact"/>
        <w:rPr>
          <w:rFonts w:ascii="Arial" w:cs="Arial" w:eastAsia="Arial" w:hAnsi="Arial"/>
          <w:sz w:val="16"/>
          <w:szCs w:val="16"/>
          <w:color w:val="auto"/>
        </w:rPr>
      </w:pPr>
    </w:p>
    <w:p>
      <w:pPr>
        <w:ind w:left="720" w:hanging="27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117" w:lineRule="exact"/>
        <w:rPr>
          <w:sz w:val="20"/>
          <w:szCs w:val="20"/>
          <w:color w:val="auto"/>
        </w:rPr>
      </w:pPr>
    </w:p>
    <w:p>
      <w:pPr>
        <w:ind w:firstLine="1436"/>
        <w:spacing w:after="0" w:line="269" w:lineRule="auto"/>
        <w:tabs>
          <w:tab w:leader="none" w:pos="164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10,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74" w:lineRule="exact"/>
        <w:rPr>
          <w:rFonts w:ascii="Arial" w:cs="Arial" w:eastAsia="Arial" w:hAnsi="Arial"/>
          <w:sz w:val="17"/>
          <w:szCs w:val="17"/>
          <w:color w:val="auto"/>
        </w:rPr>
      </w:pPr>
    </w:p>
    <w:p>
      <w:pPr>
        <w:ind w:right="60" w:firstLine="1436"/>
        <w:spacing w:after="0" w:line="259" w:lineRule="auto"/>
        <w:tabs>
          <w:tab w:leader="none" w:pos="169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10.2(i),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0" w:name="page21"/>
    <w:bookmarkEnd w:id="20"/>
    <w:p>
      <w:pPr>
        <w:ind w:right="40" w:firstLine="99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10.1 or authorized by the Corporation in a specific case or otherwise required pursuant to Section 10.2 shall be made by the Corporation, unless a determination is made reasonably and promptly that indemnification of the director, officer, employee or agent is not proper under the circumstances. Such determination shall be made (1) by the Board by a majority vote of a quorum consisting of directors who were not parties to such action, suit or proceeding, (2) if such a quorum is not obtainable, or even if obtainable, by independent legal counsel in a written opinion or (3)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57" w:lineRule="exact"/>
        <w:rPr>
          <w:sz w:val="20"/>
          <w:szCs w:val="20"/>
          <w:color w:val="auto"/>
        </w:rPr>
      </w:pPr>
    </w:p>
    <w:p>
      <w:pPr>
        <w:ind w:right="100" w:firstLine="992"/>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To the extent not prohibited by applicable law, expenses incurred in defense of a claim against a Dual Role Person (as defined in Section 14) pursuant to Section 9.1(ii) or Section 9.1(iii) and expenses incurred by a person who is or was a director or officer of the Corporation in defending a civil or criminal action, suit, proceeding or claim shall be paid by the Corporation in advance of the 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10 or otherwise.</w:t>
      </w:r>
    </w:p>
    <w:p>
      <w:pPr>
        <w:spacing w:after="0" w:line="71"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10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10 applies.</w:t>
      </w:r>
    </w:p>
    <w:p>
      <w:pPr>
        <w:spacing w:after="0" w:line="46"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10,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7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1" w:name="page22"/>
    <w:bookmarkEnd w:id="21"/>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10.</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10:</w:t>
      </w:r>
    </w:p>
    <w:p>
      <w:pPr>
        <w:spacing w:after="0" w:line="117" w:lineRule="exact"/>
        <w:rPr>
          <w:sz w:val="20"/>
          <w:szCs w:val="20"/>
          <w:color w:val="auto"/>
        </w:rPr>
      </w:pPr>
    </w:p>
    <w:p>
      <w:pPr>
        <w:ind w:firstLine="1436"/>
        <w:spacing w:after="0" w:line="270" w:lineRule="auto"/>
        <w:tabs>
          <w:tab w:leader="none" w:pos="16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10.8 is only deemed to be serving at the request of the Corporation for purposes of this Section 10, and is not actually employed by the Corporation.</w:t>
      </w:r>
    </w:p>
    <w:p>
      <w:pPr>
        <w:spacing w:after="0" w:line="69" w:lineRule="exact"/>
        <w:rPr>
          <w:rFonts w:ascii="Arial" w:cs="Arial" w:eastAsia="Arial" w:hAnsi="Arial"/>
          <w:sz w:val="17"/>
          <w:szCs w:val="17"/>
          <w:color w:val="auto"/>
        </w:rPr>
      </w:pPr>
    </w:p>
    <w:p>
      <w:pPr>
        <w:ind w:right="80" w:firstLine="1436"/>
        <w:spacing w:after="0" w:line="297" w:lineRule="auto"/>
        <w:tabs>
          <w:tab w:leader="none" w:pos="16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 partnership, joint venture, trust or other enterprise shall stand in the same position under the provisions of this Section 10 with respect to the resulting or surviving corporation as such person would if such person had served the resulting or surviving corporation in the same capacity.</w:t>
      </w:r>
    </w:p>
    <w:p>
      <w:pPr>
        <w:spacing w:after="0" w:line="50" w:lineRule="exact"/>
        <w:rPr>
          <w:rFonts w:ascii="Arial" w:cs="Arial" w:eastAsia="Arial" w:hAnsi="Arial"/>
          <w:sz w:val="16"/>
          <w:szCs w:val="16"/>
          <w:color w:val="auto"/>
        </w:rPr>
      </w:pPr>
    </w:p>
    <w:p>
      <w:pPr>
        <w:ind w:right="40" w:firstLine="1436"/>
        <w:spacing w:after="0" w:line="271" w:lineRule="auto"/>
        <w:tabs>
          <w:tab w:leader="none" w:pos="17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10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71"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indemnification and other rights provided pursuant to this Section 10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2" w:name="page23"/>
    <w:bookmarkEnd w:id="22"/>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10 shall survive amendment or repeal of this Section 10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57" w:lineRule="exact"/>
        <w:rPr>
          <w:sz w:val="20"/>
          <w:szCs w:val="20"/>
          <w:color w:val="auto"/>
        </w:rPr>
      </w:pPr>
    </w:p>
    <w:p>
      <w:pPr>
        <w:ind w:right="80" w:firstLine="992"/>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Amended Certificate of Incorporation or further action on the part of the stockholders of the Corporation. Any repeal or modification of this Section 10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7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10 may be amended, altered, changed or repealed, or a provision inconsistent with this Section 10 may be adopted, only upon the affirmative vote of not less than 85% of the total voting power of all of the outstanding shares of Common Stock then entitled to vote in the election of directors, voting together as a single class.</w:t>
      </w:r>
    </w:p>
    <w:p>
      <w:pPr>
        <w:spacing w:after="0" w:line="73" w:lineRule="exact"/>
        <w:rPr>
          <w:sz w:val="20"/>
          <w:szCs w:val="20"/>
          <w:color w:val="auto"/>
        </w:rPr>
      </w:pPr>
    </w:p>
    <w:p>
      <w:pPr>
        <w:ind w:right="80" w:firstLine="444"/>
        <w:spacing w:after="0" w:line="273" w:lineRule="auto"/>
        <w:tabs>
          <w:tab w:leader="none" w:pos="70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Amendment or Repeal of Bylaws</w:t>
      </w:r>
      <w:r>
        <w:rPr>
          <w:rFonts w:ascii="Arial" w:cs="Arial" w:eastAsia="Arial" w:hAnsi="Arial"/>
          <w:sz w:val="17"/>
          <w:szCs w:val="17"/>
          <w:color w:val="auto"/>
        </w:rPr>
        <w:t xml:space="preserve">. A majority of all of the members of the Board may amend, alter, change or repeal any provision of the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any provision of the Bylaws relating to amendment in any manner that alters the stockholders’ power to amend, alter, change or repeal the Bylaws. The stockholders of the Corporation also may amend, alter, change or repeal any provision of the Bylaws upon the affirmative vote of a majority of all of the voting power of the Corporation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any provision of the Bylaws relating to amendment in any manner that alters the Board’s power to amend, alter, change or repeal the Bylaws.</w:t>
      </w:r>
    </w:p>
    <w:p>
      <w:pPr>
        <w:spacing w:after="0" w:line="70" w:lineRule="exact"/>
        <w:rPr>
          <w:rFonts w:ascii="Arial" w:cs="Arial" w:eastAsia="Arial" w:hAnsi="Arial"/>
          <w:sz w:val="17"/>
          <w:szCs w:val="17"/>
          <w:color w:val="auto"/>
        </w:rPr>
      </w:pPr>
    </w:p>
    <w:p>
      <w:pPr>
        <w:ind w:right="40" w:firstLine="444"/>
        <w:spacing w:after="0" w:line="302"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Amendment or Repeal of Certificate</w:t>
      </w:r>
      <w:r>
        <w:rPr>
          <w:rFonts w:ascii="Arial" w:cs="Arial" w:eastAsia="Arial" w:hAnsi="Arial"/>
          <w:sz w:val="16"/>
          <w:szCs w:val="16"/>
          <w:color w:val="auto"/>
        </w:rPr>
        <w:t>. The Corporation reserves the right to amend, alter, change or repeal any provision contained in this Amended Certificate of Incorporation in the manner now or hereafter prescribed by the General Corporation Law, except as otherwise set forth herein,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3" w:name="page24"/>
    <w:bookmarkEnd w:id="23"/>
    <w:p>
      <w:pPr>
        <w:ind w:firstLine="444"/>
        <w:spacing w:after="0" w:line="290" w:lineRule="auto"/>
        <w:tabs>
          <w:tab w:leader="none" w:pos="71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6"/>
          <w:szCs w:val="16"/>
          <w:color w:val="auto"/>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58" w:lineRule="exact"/>
        <w:rPr>
          <w:rFonts w:ascii="Arial" w:cs="Arial" w:eastAsia="Arial" w:hAnsi="Arial"/>
          <w:sz w:val="16"/>
          <w:szCs w:val="16"/>
          <w:color w:val="auto"/>
        </w:rPr>
      </w:pPr>
    </w:p>
    <w:p>
      <w:pPr>
        <w:ind w:right="200" w:firstLine="444"/>
        <w:spacing w:after="0" w:line="27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Certificate of Incorporation, unless the context otherwise requires or as set forth in another Section of this Amended Certificate of Incorporation, the term:</w:t>
      </w:r>
    </w:p>
    <w:p>
      <w:pPr>
        <w:spacing w:after="0" w:line="6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Brands, LLC</w:t>
      </w:r>
      <w:r>
        <w:rPr>
          <w:rFonts w:ascii="Arial" w:cs="Arial" w:eastAsia="Arial" w:hAnsi="Arial"/>
          <w:sz w:val="18"/>
          <w:szCs w:val="18"/>
          <w:color w:val="auto"/>
        </w:rPr>
        <w:t>” means BellRing Brands, LLC, a Delaware limited liability company, and its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 The definition of Control and correlated terms set forth in Section 8.3(iii) shall only apply for purposes of Section 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Company</w:t>
      </w:r>
      <w:r>
        <w:rPr>
          <w:rFonts w:ascii="Arial" w:cs="Arial" w:eastAsia="Arial" w:hAnsi="Arial"/>
          <w:sz w:val="17"/>
          <w:szCs w:val="17"/>
          <w:color w:val="auto"/>
        </w:rPr>
        <w:t>” means, with respect to the Corporation, any Person Controlled by the Corporation, including BellRing Brands, LLC.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(1) any director, officer, manager, employee or agent of the Corporation and/or any of its Controlled Companies who is also a director, officer, employee, agent and/or Affiliate of Post and (2) Post.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together with the rules and regulations promulgated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is defined in the Recitals.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means the Investor Rights Agreement dated as of October 21, 2019 between PHI and the Corporation (as the same may be amended, restated, supplemented and/or otherwise modified from time to time).</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the Amended and Restated Limited Liability Company Agreement of BellRing Brands, LLC, dated as of October 21, 2019, as the same may be amended, restated, supplemented and/or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Non-Affiliated BellRing Brands, LLC Member</w:t>
      </w:r>
      <w:r>
        <w:rPr>
          <w:rFonts w:ascii="Arial" w:cs="Arial" w:eastAsia="Arial" w:hAnsi="Arial"/>
          <w:sz w:val="18"/>
          <w:szCs w:val="18"/>
          <w:color w:val="auto"/>
        </w:rPr>
        <w:t>” is defined in Section 5.1(i)(2).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Unit</w:t>
      </w:r>
      <w:r>
        <w:rPr>
          <w:rFonts w:ascii="Arial" w:cs="Arial" w:eastAsia="Arial" w:hAnsi="Arial"/>
          <w:sz w:val="18"/>
          <w:szCs w:val="18"/>
          <w:color w:val="auto"/>
        </w:rPr>
        <w:t>” means a Nonvoting Common Unit of BellRing Brands, LLC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Triggering Event</w:t>
      </w:r>
      <w:r>
        <w:rPr>
          <w:rFonts w:ascii="Arial" w:cs="Arial" w:eastAsia="Arial" w:hAnsi="Arial"/>
          <w:sz w:val="17"/>
          <w:szCs w:val="17"/>
          <w:color w:val="auto"/>
        </w:rPr>
        <w:t>” means the first date on which Post ceases to own of record more than 50% of the outstanding Nonvoting Common Units.</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440" w:top="274" w:right="619" w:bottom="1440" w:gutter="0" w:footer="0" w:header="0"/>
        </w:sectPr>
      </w:pPr>
    </w:p>
    <w:bookmarkStart w:id="25" w:name="page26"/>
    <w:bookmarkEnd w:id="2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Amended and Restated Certificate of Incorporation of BellRing Brands, Inc. has been duly executed by the authorized officer below this 16th day of October, 2019.</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President and Chief Executive Officer</w:t>
      </w:r>
    </w:p>
    <w:p>
      <w:pPr>
        <w:spacing w:after="0" w:line="15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October 21,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jc w:val="both"/>
        <w:ind w:right="140" w:firstLine="441"/>
        <w:spacing w:after="0" w:line="297"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Company</w:t>
      </w:r>
      <w:r>
        <w:rPr>
          <w:rFonts w:ascii="Arial" w:cs="Arial" w:eastAsia="Arial" w:hAnsi="Arial"/>
          <w:sz w:val="16"/>
          <w:szCs w:val="16"/>
          <w:color w:val="auto"/>
        </w:rPr>
        <w:t>”), or at such other place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58"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may be called only by (a) the affirmative vote of a majority of the Board, (b) the Chairperson of the Board, (c) by the Secretary of the Company, on the request of Post Holdings, Inc. and its successors (“</w:t>
      </w:r>
      <w:r>
        <w:rPr>
          <w:rFonts w:ascii="Arial" w:cs="Arial" w:eastAsia="Arial" w:hAnsi="Arial"/>
          <w:sz w:val="17"/>
          <w:szCs w:val="17"/>
          <w:u w:val="single" w:color="auto"/>
          <w:color w:val="auto"/>
        </w:rPr>
        <w:t>Post</w:t>
      </w:r>
      <w:r>
        <w:rPr>
          <w:rFonts w:ascii="Arial" w:cs="Arial" w:eastAsia="Arial" w:hAnsi="Arial"/>
          <w:sz w:val="17"/>
          <w:szCs w:val="17"/>
          <w:color w:val="auto"/>
        </w:rPr>
        <w:t>”), for such a meeting in writing so long as Post and its subsidiaries (other than the Company and its subsidiaries) own of record, in the aggregate, more than 50% of the Nonvoting Common Units of BellRing Brands, LLC, a Delaware limited liability company (as defined in the Amended and Restated Limited Liability Company Agreement of BellRing Brands, LLC, dated as of October 21, 2019, as the same may be amended, restated, supplemented and/or otherwise modified, from time to time) or (d) the President of the Company.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Only such business shall be conducted, and only such proposals shall be acted upon, as is specified in the call of any special meeting of stockholders.</w:t>
      </w:r>
    </w:p>
    <w:p>
      <w:pPr>
        <w:spacing w:after="0" w:line="18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w:t>
      </w:r>
    </w:p>
    <w:p>
      <w:pPr>
        <w:sectPr>
          <w:pgSz w:w="11900" w:h="16838" w:orient="portrait"/>
          <w:cols w:equalWidth="0" w:num="1">
            <w:col w:w="11020"/>
          </w:cols>
          <w:pgMar w:left="440" w:top="121" w:right="439" w:bottom="1440" w:gutter="0" w:footer="0" w:header="0"/>
        </w:sectPr>
      </w:pPr>
    </w:p>
    <w:bookmarkStart w:id="27" w:name="page28"/>
    <w:bookmarkEnd w:id="27"/>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pacing w:after="0" w:line="57" w:lineRule="exact"/>
        <w:rPr>
          <w:sz w:val="20"/>
          <w:szCs w:val="20"/>
          <w:color w:val="auto"/>
        </w:rPr>
      </w:pPr>
    </w:p>
    <w:p>
      <w:pPr>
        <w:ind w:right="120" w:firstLine="996"/>
        <w:spacing w:after="0" w:line="259" w:lineRule="auto"/>
        <w:tabs>
          <w:tab w:leader="none" w:pos="1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Without limiting the manner by which notice may otherwise be given effectively to stockholders, any notice to a stockholder given by the Company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78" w:lineRule="exact"/>
        <w:rPr>
          <w:rFonts w:ascii="Arial" w:cs="Arial" w:eastAsia="Arial" w:hAnsi="Arial"/>
          <w:sz w:val="18"/>
          <w:szCs w:val="18"/>
          <w:color w:val="auto"/>
        </w:rPr>
      </w:pPr>
    </w:p>
    <w:p>
      <w:pPr>
        <w:ind w:firstLine="996"/>
        <w:spacing w:after="0" w:line="293" w:lineRule="auto"/>
        <w:tabs>
          <w:tab w:leader="none" w:pos="1237"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Company’s records.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5"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8" w:name="page29"/>
    <w:bookmarkEnd w:id="28"/>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w:t>
      </w:r>
    </w:p>
    <w:p>
      <w:pPr>
        <w:spacing w:after="0" w:line="182"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62" w:lineRule="exact"/>
        <w:rPr>
          <w:sz w:val="20"/>
          <w:szCs w:val="20"/>
          <w:color w:val="auto"/>
        </w:rPr>
      </w:pPr>
    </w:p>
    <w:p>
      <w:pPr>
        <w:ind w:right="380" w:firstLine="996"/>
        <w:spacing w:after="0" w:line="286" w:lineRule="auto"/>
        <w:tabs>
          <w:tab w:leader="none" w:pos="123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57" w:lineRule="exact"/>
        <w:rPr>
          <w:rFonts w:ascii="Arial" w:cs="Arial" w:eastAsia="Arial" w:hAnsi="Arial"/>
          <w:sz w:val="17"/>
          <w:szCs w:val="17"/>
          <w:color w:val="auto"/>
        </w:rPr>
      </w:pPr>
    </w:p>
    <w:p>
      <w:pPr>
        <w:ind w:right="140" w:firstLine="996"/>
        <w:spacing w:after="0" w:line="272" w:lineRule="auto"/>
        <w:tabs>
          <w:tab w:leader="none" w:pos="1247"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69" w:lineRule="exact"/>
        <w:rPr>
          <w:rFonts w:ascii="Arial" w:cs="Arial" w:eastAsia="Arial" w:hAnsi="Arial"/>
          <w:sz w:val="17"/>
          <w:szCs w:val="17"/>
          <w:color w:val="auto"/>
        </w:rPr>
      </w:pPr>
    </w:p>
    <w:p>
      <w:pPr>
        <w:ind w:right="80" w:firstLine="996"/>
        <w:spacing w:after="0" w:line="277" w:lineRule="auto"/>
        <w:tabs>
          <w:tab w:leader="none" w:pos="12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9" w:name="page30"/>
    <w:bookmarkEnd w:id="2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entitled to vote at such meeting and, in the case of any stockholder other than Post, who shall have complied with the notice procedures set forth in this Section 8 of Article I of these Bylaws; clause (iii) shall be the exclusive means for a stockholder, other than Post, to submit such business to be brought before the meeting (other than matters properly brought under Rule 14a-8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to be included in the Company’s notice of meeting before or at an annual meeting of stockholders.</w:t>
      </w:r>
    </w:p>
    <w:p>
      <w:pPr>
        <w:spacing w:after="0" w:line="63" w:lineRule="exact"/>
        <w:rPr>
          <w:sz w:val="20"/>
          <w:szCs w:val="20"/>
          <w:color w:val="auto"/>
        </w:rPr>
      </w:pPr>
    </w:p>
    <w:p>
      <w:pPr>
        <w:ind w:right="180" w:firstLine="996"/>
        <w:spacing w:after="0" w:line="277" w:lineRule="auto"/>
        <w:tabs>
          <w:tab w:leader="none" w:pos="12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62" w:lineRule="exact"/>
        <w:rPr>
          <w:rFonts w:ascii="Arial" w:cs="Arial" w:eastAsia="Arial" w:hAnsi="Arial"/>
          <w:sz w:val="18"/>
          <w:szCs w:val="18"/>
          <w:color w:val="auto"/>
        </w:rPr>
      </w:pPr>
    </w:p>
    <w:p>
      <w:pPr>
        <w:ind w:right="40" w:firstLine="996"/>
        <w:spacing w:after="0" w:line="286" w:lineRule="auto"/>
        <w:tabs>
          <w:tab w:leader="none" w:pos="12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other than Post,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(and for purposes of calculating this date with respect to the first annual meeting after the date shares of capital stock of the Company are first publicly traded (the “</w:t>
      </w:r>
      <w:r>
        <w:rPr>
          <w:rFonts w:ascii="Arial" w:cs="Arial" w:eastAsia="Arial" w:hAnsi="Arial"/>
          <w:sz w:val="16"/>
          <w:szCs w:val="16"/>
          <w:u w:val="single" w:color="auto"/>
          <w:color w:val="auto"/>
        </w:rPr>
        <w:t>IPO Date</w:t>
      </w:r>
      <w:r>
        <w:rPr>
          <w:rFonts w:ascii="Arial" w:cs="Arial" w:eastAsia="Arial" w:hAnsi="Arial"/>
          <w:sz w:val="16"/>
          <w:szCs w:val="16"/>
          <w:color w:val="auto"/>
        </w:rPr>
        <w:t xml:space="preserve">”), the Company shall be deemed to have held an annual meeting on January 24,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66" w:lineRule="exact"/>
        <w:rPr>
          <w:rFonts w:ascii="Arial" w:cs="Arial" w:eastAsia="Arial" w:hAnsi="Arial"/>
          <w:sz w:val="16"/>
          <w:szCs w:val="16"/>
          <w:color w:val="auto"/>
        </w:rPr>
      </w:pPr>
    </w:p>
    <w:p>
      <w:pPr>
        <w:ind w:firstLine="996"/>
        <w:spacing w:after="0" w:line="286" w:lineRule="auto"/>
        <w:tabs>
          <w:tab w:leader="none" w:pos="12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 w:name="page31"/>
    <w:bookmarkEnd w:id="30"/>
    <w:p>
      <w:pPr>
        <w:ind w:left="-20" w:right="360" w:firstLine="996"/>
        <w:spacing w:after="0" w:line="277" w:lineRule="auto"/>
        <w:tabs>
          <w:tab w:leader="none" w:pos="1217"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such business to be properly brought before a meeting, such stockholder’s notice to the Secretary of the Company shall set forth as to each matter he or she proposes to bring before the meeting:</w:t>
      </w:r>
    </w:p>
    <w:p>
      <w:pPr>
        <w:spacing w:after="0" w:line="62" w:lineRule="exact"/>
        <w:rPr>
          <w:rFonts w:ascii="Arial" w:cs="Arial" w:eastAsia="Arial" w:hAnsi="Arial"/>
          <w:sz w:val="18"/>
          <w:szCs w:val="18"/>
          <w:color w:val="auto"/>
        </w:rPr>
      </w:pPr>
    </w:p>
    <w:p>
      <w:pPr>
        <w:ind w:left="420" w:right="60" w:firstLine="957"/>
        <w:spacing w:after="0" w:line="279" w:lineRule="auto"/>
        <w:tabs>
          <w:tab w:leader="none" w:pos="158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63" w:lineRule="exact"/>
        <w:rPr>
          <w:rFonts w:ascii="Arial" w:cs="Arial" w:eastAsia="Arial" w:hAnsi="Arial"/>
          <w:sz w:val="17"/>
          <w:szCs w:val="17"/>
          <w:color w:val="auto"/>
        </w:rPr>
      </w:pPr>
    </w:p>
    <w:p>
      <w:pPr>
        <w:ind w:left="420" w:right="60" w:firstLine="957"/>
        <w:spacing w:after="0" w:line="308" w:lineRule="auto"/>
        <w:tabs>
          <w:tab w:leader="none" w:pos="16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8" w:lineRule="exact"/>
        <w:rPr>
          <w:rFonts w:ascii="Arial" w:cs="Arial" w:eastAsia="Arial" w:hAnsi="Arial"/>
          <w:sz w:val="17"/>
          <w:szCs w:val="17"/>
          <w:color w:val="auto"/>
        </w:rPr>
      </w:pPr>
    </w:p>
    <w:p>
      <w:pPr>
        <w:ind w:left="1700" w:hanging="323"/>
        <w:spacing w:after="0"/>
        <w:tabs>
          <w:tab w:leader="none" w:pos="1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rFonts w:ascii="Arial" w:cs="Arial" w:eastAsia="Arial" w:hAnsi="Arial"/>
          <w:sz w:val="18"/>
          <w:szCs w:val="18"/>
          <w:color w:val="auto"/>
        </w:rPr>
      </w:pPr>
    </w:p>
    <w:p>
      <w:pPr>
        <w:ind w:left="2040" w:hanging="162"/>
        <w:spacing w:after="0"/>
        <w:tabs>
          <w:tab w:leader="none" w:pos="2040"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980" w:firstLine="898"/>
        <w:spacing w:after="0" w:line="283" w:lineRule="auto"/>
        <w:tabs>
          <w:tab w:leader="none" w:pos="2063" w:val="left"/>
        </w:tabs>
        <w:numPr>
          <w:ilvl w:val="2"/>
          <w:numId w:val="39"/>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w:t>
      </w:r>
    </w:p>
    <w:p>
      <w:pPr>
        <w:spacing w:after="0" w:line="3" w:lineRule="exact"/>
        <w:rPr>
          <w:rFonts w:ascii="Arial" w:cs="Arial" w:eastAsia="Arial" w:hAnsi="Arial"/>
          <w:sz w:val="16"/>
          <w:szCs w:val="16"/>
          <w:color w:val="auto"/>
        </w:rPr>
      </w:pPr>
    </w:p>
    <w:p>
      <w:pPr>
        <w:ind w:left="980" w:right="260"/>
        <w:spacing w:after="0" w:line="252" w:lineRule="auto"/>
        <w:rPr>
          <w:rFonts w:ascii="Arial" w:cs="Arial" w:eastAsia="Arial" w:hAnsi="Arial"/>
          <w:sz w:val="16"/>
          <w:szCs w:val="16"/>
          <w:color w:val="auto"/>
        </w:rPr>
      </w:pPr>
      <w:r>
        <w:rPr>
          <w:rFonts w:ascii="Arial" w:cs="Arial" w:eastAsia="Arial" w:hAnsi="Arial"/>
          <w:sz w:val="18"/>
          <w:szCs w:val="18"/>
          <w:color w:val="auto"/>
        </w:rPr>
        <w:t>(6)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 (7) 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31" w:name="page32"/>
    <w:bookmarkEnd w:id="31"/>
    <w:p>
      <w:pPr>
        <w:ind w:left="100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6"/>
          <w:szCs w:val="16"/>
          <w:u w:val="single" w:color="auto"/>
          <w:color w:val="auto"/>
        </w:rPr>
        <w:t>Proposing Stockholder Information</w:t>
      </w:r>
      <w:r>
        <w:rPr>
          <w:rFonts w:ascii="Arial" w:cs="Arial" w:eastAsia="Arial" w:hAnsi="Arial"/>
          <w:sz w:val="16"/>
          <w:szCs w:val="16"/>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50" w:lineRule="exact"/>
        <w:rPr>
          <w:sz w:val="20"/>
          <w:szCs w:val="20"/>
          <w:color w:val="auto"/>
        </w:rPr>
      </w:pPr>
    </w:p>
    <w:p>
      <w:pPr>
        <w:ind w:left="1000" w:right="260" w:firstLine="903"/>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62" w:lineRule="exact"/>
        <w:rPr>
          <w:sz w:val="20"/>
          <w:szCs w:val="20"/>
          <w:color w:val="auto"/>
        </w:rPr>
      </w:pPr>
    </w:p>
    <w:p>
      <w:pPr>
        <w:ind w:left="1000" w:right="300" w:firstLine="903"/>
        <w:spacing w:after="0" w:line="302" w:lineRule="auto"/>
        <w:rPr>
          <w:sz w:val="20"/>
          <w:szCs w:val="20"/>
          <w:color w:val="auto"/>
        </w:rPr>
      </w:pPr>
      <w:r>
        <w:rPr>
          <w:rFonts w:ascii="Arial" w:cs="Arial" w:eastAsia="Arial" w:hAnsi="Arial"/>
          <w:sz w:val="16"/>
          <w:szCs w:val="16"/>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84" w:lineRule="exact"/>
        <w:rPr>
          <w:sz w:val="20"/>
          <w:szCs w:val="20"/>
          <w:color w:val="auto"/>
        </w:rPr>
      </w:pPr>
    </w:p>
    <w:p>
      <w:pPr>
        <w:ind w:right="20" w:firstLine="996"/>
        <w:spacing w:after="0" w:line="288" w:lineRule="auto"/>
        <w:tabs>
          <w:tab w:leader="none" w:pos="124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2" w:name="page33"/>
    <w:bookmarkEnd w:id="32"/>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50" w:lineRule="exact"/>
        <w:rPr>
          <w:sz w:val="20"/>
          <w:szCs w:val="20"/>
          <w:color w:val="auto"/>
        </w:rPr>
      </w:pPr>
    </w:p>
    <w:p>
      <w:pPr>
        <w:ind w:right="100" w:firstLine="996"/>
        <w:spacing w:after="0" w:line="253" w:lineRule="auto"/>
        <w:tabs>
          <w:tab w:leader="none" w:pos="1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Company.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57" w:lineRule="exact"/>
        <w:rPr>
          <w:sz w:val="20"/>
          <w:szCs w:val="20"/>
          <w:color w:val="auto"/>
        </w:rPr>
      </w:pPr>
    </w:p>
    <w:p>
      <w:pPr>
        <w:ind w:right="60" w:firstLine="996"/>
        <w:spacing w:after="0" w:line="272" w:lineRule="auto"/>
        <w:tabs>
          <w:tab w:leader="none" w:pos="1247"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 foregoing and the rights of Post under the Investor Rights Agreement dated as of October 21, 2019 between Post and the Company (as the same may be amended, restated, supplemented and/or otherwise modified from time to time, the “</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69" w:lineRule="exact"/>
        <w:rPr>
          <w:rFonts w:ascii="Arial" w:cs="Arial" w:eastAsia="Arial" w:hAnsi="Arial"/>
          <w:sz w:val="17"/>
          <w:szCs w:val="17"/>
          <w:color w:val="auto"/>
        </w:rPr>
      </w:pPr>
    </w:p>
    <w:p>
      <w:pPr>
        <w:ind w:firstLine="996"/>
        <w:spacing w:after="0" w:line="255" w:lineRule="auto"/>
        <w:tabs>
          <w:tab w:leader="none" w:pos="1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director shall hold office until a successor is duly elected and qualified or until the director’s earlier death, resignation, disqualification or removal. With respect to the members of the Board in office on October 21, 2019, the first class of directors shall hold office until the first annual meeting of stockholders following the IPO Date, the second class of directors shall hold office until the second annual meeting of stockholders following the IPO Date, and the third class of directors shall hold office until the third annual meeting of stockholders following the IPO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3" w:name="page34"/>
    <w:bookmarkEnd w:id="33"/>
    <w:p>
      <w:pPr>
        <w:jc w:val="both"/>
        <w:ind w:right="40" w:firstLine="996"/>
        <w:spacing w:after="0" w:line="288" w:lineRule="auto"/>
        <w:tabs>
          <w:tab w:leader="none" w:pos="1247"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w:t>
      </w:r>
    </w:p>
    <w:p>
      <w:pPr>
        <w:ind w:left="220" w:hanging="216"/>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pursuant to the Company’s notice of the meeting (or any supplement thereto), (ii) by or at the direction of the Board or any committee thereof or</w:t>
      </w:r>
    </w:p>
    <w:p>
      <w:pPr>
        <w:spacing w:after="0" w:line="21" w:lineRule="exact"/>
        <w:rPr>
          <w:sz w:val="20"/>
          <w:szCs w:val="20"/>
          <w:color w:val="auto"/>
        </w:rPr>
      </w:pPr>
    </w:p>
    <w:p>
      <w:pPr>
        <w:ind w:firstLine="4"/>
        <w:spacing w:after="0" w:line="267" w:lineRule="auto"/>
        <w:tabs>
          <w:tab w:leader="none" w:pos="3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pacing w:after="0" w:line="185"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(and for purposes of calculating this date with respect to the first annual meeting after the IPO Date, the Company shall be deemed to have held an annual meeting on January 24,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3" w:lineRule="exact"/>
        <w:rPr>
          <w:sz w:val="20"/>
          <w:szCs w:val="20"/>
          <w:color w:val="auto"/>
        </w:rPr>
      </w:pPr>
    </w:p>
    <w:p>
      <w:pPr>
        <w:ind w:right="380" w:firstLine="441"/>
        <w:spacing w:after="0" w:line="297"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Company.</w:t>
      </w:r>
    </w:p>
    <w:p>
      <w:pPr>
        <w:spacing w:after="0" w:line="57" w:lineRule="exact"/>
        <w:rPr>
          <w:sz w:val="20"/>
          <w:szCs w:val="20"/>
          <w:color w:val="auto"/>
        </w:rPr>
      </w:pPr>
    </w:p>
    <w:p>
      <w:pPr>
        <w:ind w:right="20" w:firstLine="996"/>
        <w:spacing w:after="0" w:line="277" w:lineRule="auto"/>
        <w:tabs>
          <w:tab w:leader="none" w:pos="12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440" w:right="40" w:firstLine="957"/>
        <w:spacing w:after="0" w:line="291" w:lineRule="auto"/>
        <w:tabs>
          <w:tab w:leader="none" w:pos="170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59" w:lineRule="exact"/>
        <w:rPr>
          <w:rFonts w:ascii="Arial" w:cs="Arial" w:eastAsia="Arial" w:hAnsi="Arial"/>
          <w:sz w:val="16"/>
          <w:szCs w:val="16"/>
          <w:color w:val="auto"/>
        </w:rPr>
      </w:pPr>
    </w:p>
    <w:p>
      <w:pPr>
        <w:jc w:val="both"/>
        <w:ind w:left="440" w:right="200" w:firstLine="957"/>
        <w:spacing w:after="0" w:line="259" w:lineRule="auto"/>
        <w:tabs>
          <w:tab w:leader="none" w:pos="16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78" w:lineRule="exact"/>
        <w:rPr>
          <w:rFonts w:ascii="Arial" w:cs="Arial" w:eastAsia="Arial" w:hAnsi="Arial"/>
          <w:sz w:val="18"/>
          <w:szCs w:val="18"/>
          <w:color w:val="auto"/>
        </w:rPr>
      </w:pPr>
    </w:p>
    <w:p>
      <w:pPr>
        <w:ind w:left="1660" w:hanging="263"/>
        <w:spacing w:after="0"/>
        <w:tabs>
          <w:tab w:leader="none" w:pos="1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ind w:left="440" w:right="80" w:firstLine="957"/>
        <w:spacing w:after="0" w:line="264" w:lineRule="auto"/>
        <w:tabs>
          <w:tab w:leader="none" w:pos="16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73" w:lineRule="exact"/>
        <w:rPr>
          <w:rFonts w:ascii="Arial" w:cs="Arial" w:eastAsia="Arial" w:hAnsi="Arial"/>
          <w:sz w:val="18"/>
          <w:szCs w:val="18"/>
          <w:color w:val="auto"/>
        </w:rPr>
      </w:pPr>
    </w:p>
    <w:p>
      <w:pPr>
        <w:ind w:right="40" w:firstLine="996"/>
        <w:spacing w:after="0" w:line="277" w:lineRule="auto"/>
        <w:tabs>
          <w:tab w:leader="none" w:pos="121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1660" w:hanging="263"/>
        <w:spacing w:after="0"/>
        <w:tabs>
          <w:tab w:leader="none" w:pos="1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5" w:name="page36"/>
    <w:bookmarkEnd w:id="35"/>
    <w:p>
      <w:pPr>
        <w:ind w:left="440" w:right="480" w:firstLine="957"/>
        <w:spacing w:after="0" w:line="277" w:lineRule="auto"/>
        <w:tabs>
          <w:tab w:leader="none" w:pos="1707"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representation that the stockholder is a holder of record of shares of the Company, is entitled to vote at such meeting and intends to appear in person or by proxy at the meeting to nominate the person or persons specified in the notice;</w:t>
      </w:r>
    </w:p>
    <w:p>
      <w:pPr>
        <w:spacing w:after="0" w:line="62" w:lineRule="exact"/>
        <w:rPr>
          <w:rFonts w:ascii="Arial" w:cs="Arial" w:eastAsia="Arial" w:hAnsi="Arial"/>
          <w:sz w:val="18"/>
          <w:szCs w:val="18"/>
          <w:color w:val="auto"/>
        </w:rPr>
      </w:pPr>
    </w:p>
    <w:p>
      <w:pPr>
        <w:ind w:left="440" w:right="20" w:firstLine="957"/>
        <w:spacing w:after="0" w:line="286" w:lineRule="auto"/>
        <w:tabs>
          <w:tab w:leader="none" w:pos="16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57" w:lineRule="exact"/>
        <w:rPr>
          <w:rFonts w:ascii="Arial" w:cs="Arial" w:eastAsia="Arial" w:hAnsi="Arial"/>
          <w:sz w:val="17"/>
          <w:szCs w:val="17"/>
          <w:color w:val="auto"/>
        </w:rPr>
      </w:pPr>
    </w:p>
    <w:p>
      <w:pPr>
        <w:ind w:left="440" w:right="100" w:firstLine="957"/>
        <w:spacing w:after="0" w:line="259" w:lineRule="auto"/>
        <w:tabs>
          <w:tab w:leader="none" w:pos="16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78" w:lineRule="exact"/>
        <w:rPr>
          <w:rFonts w:ascii="Arial" w:cs="Arial" w:eastAsia="Arial" w:hAnsi="Arial"/>
          <w:sz w:val="18"/>
          <w:szCs w:val="18"/>
          <w:color w:val="auto"/>
        </w:rPr>
      </w:pPr>
    </w:p>
    <w:p>
      <w:pPr>
        <w:ind w:firstLine="996"/>
        <w:spacing w:after="0" w:line="282" w:lineRule="auto"/>
        <w:tabs>
          <w:tab w:leader="none" w:pos="12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w:t>
      </w:r>
    </w:p>
    <w:p>
      <w:pPr>
        <w:spacing w:after="0" w:line="1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1(g) of Article II of these Bylaws a “</w:t>
      </w:r>
      <w:r>
        <w:rPr>
          <w:rFonts w:ascii="Arial" w:cs="Arial" w:eastAsia="Arial" w:hAnsi="Arial"/>
          <w:sz w:val="18"/>
          <w:szCs w:val="18"/>
          <w:u w:val="single" w:color="auto"/>
          <w:color w:val="auto"/>
        </w:rPr>
        <w:t>nominee</w:t>
      </w:r>
      <w:r>
        <w:rPr>
          <w:rFonts w:ascii="Arial" w:cs="Arial" w:eastAsia="Arial" w:hAnsi="Arial"/>
          <w:sz w:val="18"/>
          <w:szCs w:val="18"/>
          <w:color w:val="auto"/>
        </w:rPr>
        <w:t>” shall include any person being considered to fill a vacancy on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6" w:name="page37"/>
    <w:bookmarkEnd w:id="36"/>
    <w:p>
      <w:pPr>
        <w:ind w:firstLine="996"/>
        <w:spacing w:after="0" w:line="285" w:lineRule="auto"/>
        <w:tabs>
          <w:tab w:leader="none" w:pos="1247"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7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59" w:lineRule="exact"/>
        <w:rPr>
          <w:sz w:val="20"/>
          <w:szCs w:val="20"/>
          <w:color w:val="auto"/>
        </w:rPr>
      </w:pPr>
    </w:p>
    <w:p>
      <w:pPr>
        <w:jc w:val="both"/>
        <w:ind w:right="80" w:firstLine="996"/>
        <w:spacing w:after="0" w:line="264" w:lineRule="auto"/>
        <w:tabs>
          <w:tab w:leader="none" w:pos="12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7" w:name="page38"/>
    <w:bookmarkEnd w:id="37"/>
    <w:p>
      <w:pPr>
        <w:ind w:right="1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SECTION 6. QUORUM: A majority of the Board then in office shall constitute a quorum at all meetings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pacing w:after="0" w:line="17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1"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6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entire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SECTION 10. COMMITTEES OF THE BOARD OF DIRECTORS: Subject to the rights of Post under the Investor Rights Agreement (so long as such agreement is in effect),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8" w:name="page39"/>
    <w:bookmarkEnd w:id="3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7"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TERMS: All officers of the Company shall hold their respective offices until their death, resignation or removal.</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1. STOCK CERTIFICATES AND UNCERTIFICATED SHARES: (a) The shares of the Company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Company’s capital stock shall be uncertificated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9" w:name="page40"/>
    <w:bookmarkEnd w:id="39"/>
    <w:p>
      <w:pPr>
        <w:ind w:right="1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Any such resolution shall not apply to shares represented by a certificate until such certificate is surrendered to the Company. Every holder of stock represented by certificates shall be entitled to have a certificate, in any form approved by the Board, signed by any two authorized officers of the Company (it being understood that the Chairperson of the Board, the Chief Executive Officer, the President, any Vice President, the Secretary, any Assistant Secretary, the Treasurer and any Assistant Treasurer shall be an authorized officer for such purpose),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All certificates of stock of each class and series shall be numbered appropriately.</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pacing w:after="0" w:line="173"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0" w:name="page41"/>
    <w:bookmarkEnd w:id="40"/>
    <w:p>
      <w:pPr>
        <w:ind w:right="8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1"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64" w:lineRule="exact"/>
        <w:rPr>
          <w:sz w:val="20"/>
          <w:szCs w:val="20"/>
          <w:color w:val="auto"/>
        </w:rPr>
      </w:pPr>
    </w:p>
    <w:p>
      <w:pPr>
        <w:ind w:firstLine="996"/>
        <w:spacing w:after="0" w:line="290" w:lineRule="auto"/>
        <w:tabs>
          <w:tab w:leader="none" w:pos="1247"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FISCAL YEAR: The fiscal year of the Company shall commence with the first day of October in each year.</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5. AMENDMENT: A majority of all of the members of the Board may amend, alter, change or repeal any provision of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AMENDED AND RESTATED LIMITED LIABILITY COMPANY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21, 2019</w:t>
      </w:r>
    </w:p>
    <w:p>
      <w:pPr>
        <w:sectPr>
          <w:pgSz w:w="11900" w:h="16838" w:orient="portrait"/>
          <w:cols w:equalWidth="0" w:num="1">
            <w:col w:w="10020"/>
          </w:cols>
          <w:pgMar w:left="1440" w:top="121" w:right="4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29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 DEFINITIONS AND USAGE</w:t>
            </w:r>
          </w:p>
        </w:tc>
        <w:tc>
          <w:tcPr>
            <w:tcW w:w="142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7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760" w:type="dxa"/>
            <w:vAlign w:val="bottom"/>
          </w:tcPr>
          <w:p>
            <w:pPr>
              <w:ind w:left="200"/>
              <w:spacing w:after="0"/>
              <w:rPr>
                <w:sz w:val="20"/>
                <w:szCs w:val="20"/>
                <w:color w:val="auto"/>
              </w:rPr>
            </w:pPr>
            <w:r>
              <w:rPr>
                <w:rFonts w:ascii="Arial" w:cs="Arial" w:eastAsia="Arial" w:hAnsi="Arial"/>
                <w:sz w:val="18"/>
                <w:szCs w:val="18"/>
                <w:color w:val="auto"/>
              </w:rPr>
              <w:t>Other Definitional and Interpretative Provisions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 THE COMPANY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760" w:type="dxa"/>
            <w:vAlign w:val="bottom"/>
          </w:tcPr>
          <w:p>
            <w:pPr>
              <w:ind w:left="200"/>
              <w:spacing w:after="0"/>
              <w:rPr>
                <w:sz w:val="20"/>
                <w:szCs w:val="20"/>
                <w:color w:val="auto"/>
              </w:rPr>
            </w:pPr>
            <w:r>
              <w:rPr>
                <w:rFonts w:ascii="Arial" w:cs="Arial" w:eastAsia="Arial" w:hAnsi="Arial"/>
                <w:sz w:val="18"/>
                <w:szCs w:val="18"/>
                <w:color w:val="auto"/>
              </w:rPr>
              <w:t>Formation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760" w:type="dxa"/>
            <w:vAlign w:val="bottom"/>
          </w:tcPr>
          <w:p>
            <w:pPr>
              <w:ind w:left="200"/>
              <w:spacing w:after="0"/>
              <w:rPr>
                <w:sz w:val="20"/>
                <w:szCs w:val="20"/>
                <w:color w:val="auto"/>
              </w:rPr>
            </w:pPr>
            <w:r>
              <w:rPr>
                <w:rFonts w:ascii="Arial" w:cs="Arial" w:eastAsia="Arial" w:hAnsi="Arial"/>
                <w:sz w:val="18"/>
                <w:szCs w:val="18"/>
                <w:color w:val="auto"/>
              </w:rPr>
              <w:t>Name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760" w:type="dxa"/>
            <w:vAlign w:val="bottom"/>
          </w:tcPr>
          <w:p>
            <w:pPr>
              <w:ind w:left="200"/>
              <w:spacing w:after="0"/>
              <w:rPr>
                <w:sz w:val="20"/>
                <w:szCs w:val="20"/>
                <w:color w:val="auto"/>
              </w:rPr>
            </w:pPr>
            <w:r>
              <w:rPr>
                <w:rFonts w:ascii="Arial" w:cs="Arial" w:eastAsia="Arial" w:hAnsi="Arial"/>
                <w:sz w:val="18"/>
                <w:szCs w:val="18"/>
                <w:color w:val="auto"/>
              </w:rPr>
              <w:t>Term</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760" w:type="dxa"/>
            <w:vAlign w:val="bottom"/>
          </w:tcPr>
          <w:p>
            <w:pPr>
              <w:ind w:left="200"/>
              <w:spacing w:after="0"/>
              <w:rPr>
                <w:sz w:val="20"/>
                <w:szCs w:val="20"/>
                <w:color w:val="auto"/>
              </w:rPr>
            </w:pPr>
            <w:r>
              <w:rPr>
                <w:rFonts w:ascii="Arial" w:cs="Arial" w:eastAsia="Arial" w:hAnsi="Arial"/>
                <w:sz w:val="18"/>
                <w:szCs w:val="18"/>
                <w:color w:val="auto"/>
              </w:rPr>
              <w:t>Registered Agent and Registered Office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760" w:type="dxa"/>
            <w:vAlign w:val="bottom"/>
          </w:tcPr>
          <w:p>
            <w:pPr>
              <w:ind w:left="200"/>
              <w:spacing w:after="0"/>
              <w:rPr>
                <w:sz w:val="20"/>
                <w:szCs w:val="20"/>
                <w:color w:val="auto"/>
              </w:rPr>
            </w:pPr>
            <w:r>
              <w:rPr>
                <w:rFonts w:ascii="Arial" w:cs="Arial" w:eastAsia="Arial" w:hAnsi="Arial"/>
                <w:sz w:val="18"/>
                <w:szCs w:val="18"/>
                <w:color w:val="auto"/>
              </w:rPr>
              <w:t>Purposes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760" w:type="dxa"/>
            <w:vAlign w:val="bottom"/>
          </w:tcPr>
          <w:p>
            <w:pPr>
              <w:ind w:left="200"/>
              <w:spacing w:after="0"/>
              <w:rPr>
                <w:sz w:val="20"/>
                <w:szCs w:val="20"/>
                <w:color w:val="auto"/>
              </w:rPr>
            </w:pPr>
            <w:r>
              <w:rPr>
                <w:rFonts w:ascii="Arial" w:cs="Arial" w:eastAsia="Arial" w:hAnsi="Arial"/>
                <w:sz w:val="18"/>
                <w:szCs w:val="18"/>
                <w:color w:val="auto"/>
              </w:rPr>
              <w:t>Powers of the Company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760" w:type="dxa"/>
            <w:vAlign w:val="bottom"/>
          </w:tcPr>
          <w:p>
            <w:pPr>
              <w:ind w:left="200"/>
              <w:spacing w:after="0"/>
              <w:rPr>
                <w:sz w:val="20"/>
                <w:szCs w:val="20"/>
                <w:color w:val="auto"/>
              </w:rPr>
            </w:pPr>
            <w:r>
              <w:rPr>
                <w:rFonts w:ascii="Arial" w:cs="Arial" w:eastAsia="Arial" w:hAnsi="Arial"/>
                <w:sz w:val="18"/>
                <w:szCs w:val="18"/>
                <w:color w:val="auto"/>
              </w:rPr>
              <w:t>Partnership Tax Status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760" w:type="dxa"/>
            <w:vAlign w:val="bottom"/>
          </w:tcPr>
          <w:p>
            <w:pPr>
              <w:ind w:left="200"/>
              <w:spacing w:after="0"/>
              <w:rPr>
                <w:sz w:val="20"/>
                <w:szCs w:val="20"/>
                <w:color w:val="auto"/>
              </w:rPr>
            </w:pPr>
            <w:r>
              <w:rPr>
                <w:rFonts w:ascii="Arial" w:cs="Arial" w:eastAsia="Arial" w:hAnsi="Arial"/>
                <w:sz w:val="18"/>
                <w:szCs w:val="18"/>
                <w:color w:val="auto"/>
              </w:rPr>
              <w:t>Regulation of Internal Affairs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760" w:type="dxa"/>
            <w:vAlign w:val="bottom"/>
          </w:tcPr>
          <w:p>
            <w:pPr>
              <w:ind w:left="200"/>
              <w:spacing w:after="0"/>
              <w:rPr>
                <w:sz w:val="20"/>
                <w:szCs w:val="20"/>
                <w:color w:val="auto"/>
              </w:rPr>
            </w:pPr>
            <w:r>
              <w:rPr>
                <w:rFonts w:ascii="Arial" w:cs="Arial" w:eastAsia="Arial" w:hAnsi="Arial"/>
                <w:sz w:val="18"/>
                <w:szCs w:val="18"/>
                <w:color w:val="auto"/>
              </w:rPr>
              <w:t>Ownership of Property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76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III. UNITS; MEMBERS; BOOKS AND RECORDS; REPORTS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760" w:type="dxa"/>
            <w:vAlign w:val="bottom"/>
          </w:tcPr>
          <w:p>
            <w:pPr>
              <w:ind w:left="200"/>
              <w:spacing w:after="0"/>
              <w:rPr>
                <w:sz w:val="20"/>
                <w:szCs w:val="20"/>
                <w:color w:val="auto"/>
              </w:rPr>
            </w:pPr>
            <w:r>
              <w:rPr>
                <w:rFonts w:ascii="Arial" w:cs="Arial" w:eastAsia="Arial" w:hAnsi="Arial"/>
                <w:sz w:val="18"/>
                <w:szCs w:val="18"/>
                <w:color w:val="auto"/>
              </w:rPr>
              <w:t>Units; Admission of Members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760" w:type="dxa"/>
            <w:vAlign w:val="bottom"/>
          </w:tcPr>
          <w:p>
            <w:pPr>
              <w:ind w:left="200"/>
              <w:spacing w:after="0"/>
              <w:rPr>
                <w:sz w:val="20"/>
                <w:szCs w:val="20"/>
                <w:color w:val="auto"/>
              </w:rPr>
            </w:pPr>
            <w:r>
              <w:rPr>
                <w:rFonts w:ascii="Arial" w:cs="Arial" w:eastAsia="Arial" w:hAnsi="Arial"/>
                <w:sz w:val="18"/>
                <w:szCs w:val="18"/>
                <w:color w:val="auto"/>
              </w:rPr>
              <w:t>Substitute Members and Additional Members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760" w:type="dxa"/>
            <w:vAlign w:val="bottom"/>
          </w:tcPr>
          <w:p>
            <w:pPr>
              <w:ind w:left="200"/>
              <w:spacing w:after="0"/>
              <w:rPr>
                <w:sz w:val="20"/>
                <w:szCs w:val="20"/>
                <w:color w:val="auto"/>
              </w:rPr>
            </w:pPr>
            <w:r>
              <w:rPr>
                <w:rFonts w:ascii="Arial" w:cs="Arial" w:eastAsia="Arial" w:hAnsi="Arial"/>
                <w:sz w:val="18"/>
                <w:szCs w:val="18"/>
                <w:color w:val="auto"/>
              </w:rPr>
              <w:t>Accounting and Tax Information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760" w:type="dxa"/>
            <w:vAlign w:val="bottom"/>
          </w:tcPr>
          <w:p>
            <w:pPr>
              <w:ind w:left="200"/>
              <w:spacing w:after="0"/>
              <w:rPr>
                <w:sz w:val="20"/>
                <w:szCs w:val="20"/>
                <w:color w:val="auto"/>
              </w:rPr>
            </w:pPr>
            <w:r>
              <w:rPr>
                <w:rFonts w:ascii="Arial" w:cs="Arial" w:eastAsia="Arial" w:hAnsi="Arial"/>
                <w:sz w:val="18"/>
                <w:szCs w:val="18"/>
                <w:color w:val="auto"/>
              </w:rPr>
              <w:t>Books and Records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IV. PUBCO OWNERSHIP; RESTRICTIONS ON PUBCO STOCK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760" w:type="dxa"/>
            <w:vAlign w:val="bottom"/>
          </w:tcPr>
          <w:p>
            <w:pPr>
              <w:ind w:left="200"/>
              <w:spacing w:after="0"/>
              <w:rPr>
                <w:sz w:val="20"/>
                <w:szCs w:val="20"/>
                <w:color w:val="auto"/>
              </w:rPr>
            </w:pPr>
            <w:r>
              <w:rPr>
                <w:rFonts w:ascii="Arial" w:cs="Arial" w:eastAsia="Arial" w:hAnsi="Arial"/>
                <w:sz w:val="18"/>
                <w:szCs w:val="18"/>
                <w:color w:val="auto"/>
              </w:rPr>
              <w:t>Pubco Ownership</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760" w:type="dxa"/>
            <w:vAlign w:val="bottom"/>
          </w:tcPr>
          <w:p>
            <w:pPr>
              <w:ind w:left="200"/>
              <w:spacing w:after="0"/>
              <w:rPr>
                <w:sz w:val="20"/>
                <w:szCs w:val="20"/>
                <w:color w:val="auto"/>
              </w:rPr>
            </w:pPr>
            <w:r>
              <w:rPr>
                <w:rFonts w:ascii="Arial" w:cs="Arial" w:eastAsia="Arial" w:hAnsi="Arial"/>
                <w:sz w:val="18"/>
                <w:szCs w:val="18"/>
                <w:color w:val="auto"/>
              </w:rPr>
              <w:t>Restrictions on Pubco Common Stock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V. CAPITAL CONTRIBUTIONS; CAPITAL ACCOUNTS; DISTRIBUTIONS; ALLOCATIONS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760" w:type="dxa"/>
            <w:vAlign w:val="bottom"/>
          </w:tcPr>
          <w:p>
            <w:pPr>
              <w:ind w:left="200"/>
              <w:spacing w:after="0"/>
              <w:rPr>
                <w:sz w:val="20"/>
                <w:szCs w:val="20"/>
                <w:color w:val="auto"/>
              </w:rPr>
            </w:pPr>
            <w:r>
              <w:rPr>
                <w:rFonts w:ascii="Arial" w:cs="Arial" w:eastAsia="Arial" w:hAnsi="Arial"/>
                <w:sz w:val="18"/>
                <w:szCs w:val="18"/>
                <w:color w:val="auto"/>
              </w:rPr>
              <w:t>Capital Contributions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760" w:type="dxa"/>
            <w:vAlign w:val="bottom"/>
          </w:tcPr>
          <w:p>
            <w:pPr>
              <w:ind w:left="200"/>
              <w:spacing w:after="0"/>
              <w:rPr>
                <w:sz w:val="20"/>
                <w:szCs w:val="20"/>
                <w:color w:val="auto"/>
              </w:rPr>
            </w:pPr>
            <w:r>
              <w:rPr>
                <w:rFonts w:ascii="Arial" w:cs="Arial" w:eastAsia="Arial" w:hAnsi="Arial"/>
                <w:sz w:val="18"/>
                <w:szCs w:val="18"/>
                <w:color w:val="auto"/>
              </w:rPr>
              <w:t>Capital Accounts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760" w:type="dxa"/>
            <w:vAlign w:val="bottom"/>
          </w:tcPr>
          <w:p>
            <w:pPr>
              <w:ind w:left="200"/>
              <w:spacing w:after="0"/>
              <w:rPr>
                <w:sz w:val="20"/>
                <w:szCs w:val="20"/>
                <w:color w:val="auto"/>
              </w:rPr>
            </w:pPr>
            <w:r>
              <w:rPr>
                <w:rFonts w:ascii="Arial" w:cs="Arial" w:eastAsia="Arial" w:hAnsi="Arial"/>
                <w:sz w:val="18"/>
                <w:szCs w:val="18"/>
                <w:color w:val="auto"/>
              </w:rPr>
              <w:t>Amounts and Priority of Distributions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760" w:type="dxa"/>
            <w:vAlign w:val="bottom"/>
          </w:tcPr>
          <w:p>
            <w:pPr>
              <w:ind w:left="200"/>
              <w:spacing w:after="0"/>
              <w:rPr>
                <w:sz w:val="20"/>
                <w:szCs w:val="20"/>
                <w:color w:val="auto"/>
              </w:rPr>
            </w:pPr>
            <w:r>
              <w:rPr>
                <w:rFonts w:ascii="Arial" w:cs="Arial" w:eastAsia="Arial" w:hAnsi="Arial"/>
                <w:sz w:val="18"/>
                <w:szCs w:val="18"/>
                <w:color w:val="auto"/>
              </w:rPr>
              <w:t>Allocations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760" w:type="dxa"/>
            <w:vAlign w:val="bottom"/>
          </w:tcPr>
          <w:p>
            <w:pPr>
              <w:ind w:left="200"/>
              <w:spacing w:after="0"/>
              <w:rPr>
                <w:sz w:val="20"/>
                <w:szCs w:val="20"/>
                <w:color w:val="auto"/>
              </w:rPr>
            </w:pPr>
            <w:r>
              <w:rPr>
                <w:rFonts w:ascii="Arial" w:cs="Arial" w:eastAsia="Arial" w:hAnsi="Arial"/>
                <w:sz w:val="18"/>
                <w:szCs w:val="18"/>
                <w:color w:val="auto"/>
              </w:rPr>
              <w:t>Other Allocation Rules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760" w:type="dxa"/>
            <w:vAlign w:val="bottom"/>
          </w:tcPr>
          <w:p>
            <w:pPr>
              <w:ind w:left="200"/>
              <w:spacing w:after="0"/>
              <w:rPr>
                <w:sz w:val="20"/>
                <w:szCs w:val="20"/>
                <w:color w:val="auto"/>
              </w:rPr>
            </w:pPr>
            <w:r>
              <w:rPr>
                <w:rFonts w:ascii="Arial" w:cs="Arial" w:eastAsia="Arial" w:hAnsi="Arial"/>
                <w:sz w:val="18"/>
                <w:szCs w:val="18"/>
                <w:color w:val="auto"/>
              </w:rPr>
              <w:t>Tax Withholding; Withholding Advances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VI. CERTAIN TAX MATTERS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760" w:type="dxa"/>
            <w:vAlign w:val="bottom"/>
          </w:tcPr>
          <w:p>
            <w:pPr>
              <w:ind w:left="200"/>
              <w:spacing w:after="0"/>
              <w:rPr>
                <w:sz w:val="20"/>
                <w:szCs w:val="20"/>
                <w:color w:val="auto"/>
              </w:rPr>
            </w:pPr>
            <w:r>
              <w:rPr>
                <w:rFonts w:ascii="Arial" w:cs="Arial" w:eastAsia="Arial" w:hAnsi="Arial"/>
                <w:sz w:val="18"/>
                <w:szCs w:val="18"/>
                <w:color w:val="auto"/>
              </w:rPr>
              <w:t>Partnership Representative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760" w:type="dxa"/>
            <w:vAlign w:val="bottom"/>
          </w:tcPr>
          <w:p>
            <w:pPr>
              <w:ind w:left="200"/>
              <w:spacing w:after="0"/>
              <w:rPr>
                <w:sz w:val="20"/>
                <w:szCs w:val="20"/>
                <w:color w:val="auto"/>
              </w:rPr>
            </w:pPr>
            <w:r>
              <w:rPr>
                <w:rFonts w:ascii="Arial" w:cs="Arial" w:eastAsia="Arial" w:hAnsi="Arial"/>
                <w:sz w:val="18"/>
                <w:szCs w:val="18"/>
                <w:color w:val="auto"/>
              </w:rPr>
              <w:t>Section 754 Election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rPr>
              <w:t>ARTICLE VII. MANAGEMENT OF THE COMPANY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760" w:type="dxa"/>
            <w:vAlign w:val="bottom"/>
          </w:tcPr>
          <w:p>
            <w:pPr>
              <w:ind w:left="200"/>
              <w:spacing w:after="0"/>
              <w:rPr>
                <w:sz w:val="20"/>
                <w:szCs w:val="20"/>
                <w:color w:val="auto"/>
              </w:rPr>
            </w:pPr>
            <w:r>
              <w:rPr>
                <w:rFonts w:ascii="Arial" w:cs="Arial" w:eastAsia="Arial" w:hAnsi="Arial"/>
                <w:sz w:val="18"/>
                <w:szCs w:val="18"/>
                <w:color w:val="auto"/>
              </w:rPr>
              <w:t>Establishment of the Board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760" w:type="dxa"/>
            <w:vAlign w:val="bottom"/>
          </w:tcPr>
          <w:p>
            <w:pPr>
              <w:ind w:left="200"/>
              <w:spacing w:after="0"/>
              <w:rPr>
                <w:sz w:val="20"/>
                <w:szCs w:val="20"/>
                <w:color w:val="auto"/>
              </w:rPr>
            </w:pPr>
            <w:r>
              <w:rPr>
                <w:rFonts w:ascii="Arial" w:cs="Arial" w:eastAsia="Arial" w:hAnsi="Arial"/>
                <w:sz w:val="18"/>
                <w:szCs w:val="18"/>
                <w:color w:val="auto"/>
              </w:rPr>
              <w:t>Board Composition; Vacancies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760" w:type="dxa"/>
            <w:vAlign w:val="bottom"/>
          </w:tcPr>
          <w:p>
            <w:pPr>
              <w:ind w:left="200"/>
              <w:spacing w:after="0"/>
              <w:rPr>
                <w:sz w:val="20"/>
                <w:szCs w:val="20"/>
                <w:color w:val="auto"/>
              </w:rPr>
            </w:pPr>
            <w:r>
              <w:rPr>
                <w:rFonts w:ascii="Arial" w:cs="Arial" w:eastAsia="Arial" w:hAnsi="Arial"/>
                <w:sz w:val="18"/>
                <w:szCs w:val="18"/>
                <w:color w:val="auto"/>
              </w:rPr>
              <w:t>Removal; Resignation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760" w:type="dxa"/>
            <w:vAlign w:val="bottom"/>
          </w:tcPr>
          <w:p>
            <w:pPr>
              <w:ind w:left="200"/>
              <w:spacing w:after="0"/>
              <w:rPr>
                <w:sz w:val="20"/>
                <w:szCs w:val="20"/>
                <w:color w:val="auto"/>
              </w:rPr>
            </w:pPr>
            <w:r>
              <w:rPr>
                <w:rFonts w:ascii="Arial" w:cs="Arial" w:eastAsia="Arial" w:hAnsi="Arial"/>
                <w:sz w:val="18"/>
                <w:szCs w:val="18"/>
                <w:color w:val="auto"/>
              </w:rPr>
              <w:t>Meetings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760" w:type="dxa"/>
            <w:vAlign w:val="bottom"/>
          </w:tcPr>
          <w:p>
            <w:pPr>
              <w:ind w:left="200"/>
              <w:spacing w:after="0"/>
              <w:rPr>
                <w:sz w:val="20"/>
                <w:szCs w:val="20"/>
                <w:color w:val="auto"/>
              </w:rPr>
            </w:pPr>
            <w:r>
              <w:rPr>
                <w:rFonts w:ascii="Arial" w:cs="Arial" w:eastAsia="Arial" w:hAnsi="Arial"/>
                <w:sz w:val="18"/>
                <w:szCs w:val="18"/>
                <w:color w:val="auto"/>
              </w:rPr>
              <w:t>Action By Written Consent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760" w:type="dxa"/>
            <w:vAlign w:val="bottom"/>
          </w:tcPr>
          <w:p>
            <w:pPr>
              <w:ind w:left="200"/>
              <w:spacing w:after="0"/>
              <w:rPr>
                <w:sz w:val="20"/>
                <w:szCs w:val="20"/>
                <w:color w:val="auto"/>
              </w:rPr>
            </w:pPr>
            <w:r>
              <w:rPr>
                <w:rFonts w:ascii="Arial" w:cs="Arial" w:eastAsia="Arial" w:hAnsi="Arial"/>
                <w:sz w:val="18"/>
                <w:szCs w:val="18"/>
                <w:color w:val="auto"/>
              </w:rPr>
              <w:t>Quorum</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7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760" w:type="dxa"/>
            <w:vAlign w:val="bottom"/>
          </w:tcPr>
          <w:p>
            <w:pPr>
              <w:ind w:left="200"/>
              <w:spacing w:after="0"/>
              <w:rPr>
                <w:sz w:val="20"/>
                <w:szCs w:val="20"/>
                <w:color w:val="auto"/>
              </w:rPr>
            </w:pPr>
            <w:r>
              <w:rPr>
                <w:rFonts w:ascii="Arial" w:cs="Arial" w:eastAsia="Arial" w:hAnsi="Arial"/>
                <w:sz w:val="18"/>
                <w:szCs w:val="18"/>
                <w:color w:val="auto"/>
              </w:rPr>
              <w:t>Committees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760" w:type="dxa"/>
            <w:vAlign w:val="bottom"/>
          </w:tcPr>
          <w:p>
            <w:pPr>
              <w:ind w:left="200"/>
              <w:spacing w:after="0"/>
              <w:rPr>
                <w:sz w:val="20"/>
                <w:szCs w:val="20"/>
                <w:color w:val="auto"/>
              </w:rPr>
            </w:pPr>
            <w:r>
              <w:rPr>
                <w:rFonts w:ascii="Arial" w:cs="Arial" w:eastAsia="Arial" w:hAnsi="Arial"/>
                <w:sz w:val="18"/>
                <w:szCs w:val="18"/>
                <w:color w:val="auto"/>
              </w:rPr>
              <w:t>Decisions by the Members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760" w:type="dxa"/>
            <w:vAlign w:val="bottom"/>
          </w:tcPr>
          <w:p>
            <w:pPr>
              <w:ind w:left="200"/>
              <w:spacing w:after="0"/>
              <w:rPr>
                <w:sz w:val="20"/>
                <w:szCs w:val="20"/>
                <w:color w:val="auto"/>
              </w:rPr>
            </w:pPr>
            <w:r>
              <w:rPr>
                <w:rFonts w:ascii="Arial" w:cs="Arial" w:eastAsia="Arial" w:hAnsi="Arial"/>
                <w:sz w:val="18"/>
                <w:szCs w:val="18"/>
                <w:color w:val="auto"/>
              </w:rPr>
              <w:t>Officers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ARTICLE VIII. TRANSFERS OF INTERESTS</w:t>
            </w: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60" w:type="dxa"/>
            <w:vAlign w:val="bottom"/>
          </w:tcPr>
          <w:p>
            <w:pPr>
              <w:ind w:left="320"/>
              <w:spacing w:after="0"/>
              <w:rPr>
                <w:sz w:val="20"/>
                <w:szCs w:val="20"/>
                <w:color w:val="auto"/>
              </w:rPr>
            </w:pPr>
            <w:r>
              <w:rPr>
                <w:rFonts w:ascii="Arial" w:cs="Arial" w:eastAsia="Arial" w:hAnsi="Arial"/>
                <w:sz w:val="18"/>
                <w:szCs w:val="18"/>
                <w:color w:val="auto"/>
              </w:rPr>
              <w:t>Restrictions on Transfers.</w:t>
            </w: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60" w:type="dxa"/>
            <w:vAlign w:val="bottom"/>
          </w:tcPr>
          <w:p>
            <w:pPr>
              <w:ind w:left="320"/>
              <w:spacing w:after="0"/>
              <w:rPr>
                <w:sz w:val="20"/>
                <w:szCs w:val="20"/>
                <w:color w:val="auto"/>
              </w:rPr>
            </w:pPr>
            <w:r>
              <w:rPr>
                <w:rFonts w:ascii="Arial" w:cs="Arial" w:eastAsia="Arial" w:hAnsi="Arial"/>
                <w:sz w:val="18"/>
                <w:szCs w:val="18"/>
                <w:color w:val="auto"/>
              </w:rPr>
              <w:t>Certain Permitted Transfers</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260" w:type="dxa"/>
            <w:vAlign w:val="bottom"/>
          </w:tcPr>
          <w:p>
            <w:pPr>
              <w:ind w:left="320"/>
              <w:spacing w:after="0"/>
              <w:rPr>
                <w:sz w:val="20"/>
                <w:szCs w:val="20"/>
                <w:color w:val="auto"/>
              </w:rPr>
            </w:pPr>
            <w:r>
              <w:rPr>
                <w:rFonts w:ascii="Arial" w:cs="Arial" w:eastAsia="Arial" w:hAnsi="Arial"/>
                <w:sz w:val="18"/>
                <w:szCs w:val="18"/>
                <w:color w:val="auto"/>
              </w:rPr>
              <w:t>Registration of Transfers</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260" w:type="dxa"/>
            <w:vAlign w:val="bottom"/>
          </w:tcPr>
          <w:p>
            <w:pPr>
              <w:ind w:left="320"/>
              <w:spacing w:after="0"/>
              <w:rPr>
                <w:sz w:val="20"/>
                <w:szCs w:val="20"/>
                <w:color w:val="auto"/>
              </w:rPr>
            </w:pPr>
            <w:r>
              <w:rPr>
                <w:rFonts w:ascii="Arial" w:cs="Arial" w:eastAsia="Arial" w:hAnsi="Arial"/>
                <w:sz w:val="18"/>
                <w:szCs w:val="18"/>
                <w:color w:val="auto"/>
              </w:rPr>
              <w:t>Class B Common Stock Voting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IX. REDEMPTION</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60" w:type="dxa"/>
            <w:vAlign w:val="bottom"/>
          </w:tcPr>
          <w:p>
            <w:pPr>
              <w:ind w:left="320"/>
              <w:spacing w:after="0"/>
              <w:rPr>
                <w:sz w:val="20"/>
                <w:szCs w:val="20"/>
                <w:color w:val="auto"/>
              </w:rPr>
            </w:pPr>
            <w:r>
              <w:rPr>
                <w:rFonts w:ascii="Arial" w:cs="Arial" w:eastAsia="Arial" w:hAnsi="Arial"/>
                <w:sz w:val="18"/>
                <w:szCs w:val="18"/>
                <w:color w:val="auto"/>
              </w:rPr>
              <w:t>Redemption Right of a Member</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260" w:type="dxa"/>
            <w:vAlign w:val="bottom"/>
          </w:tcPr>
          <w:p>
            <w:pPr>
              <w:ind w:left="320"/>
              <w:spacing w:after="0"/>
              <w:rPr>
                <w:sz w:val="20"/>
                <w:szCs w:val="20"/>
                <w:color w:val="auto"/>
              </w:rPr>
            </w:pPr>
            <w:r>
              <w:rPr>
                <w:rFonts w:ascii="Arial" w:cs="Arial" w:eastAsia="Arial" w:hAnsi="Arial"/>
                <w:sz w:val="18"/>
                <w:szCs w:val="18"/>
                <w:color w:val="auto"/>
              </w:rPr>
              <w:t>Election and Contribution of Pubco</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260" w:type="dxa"/>
            <w:vAlign w:val="bottom"/>
          </w:tcPr>
          <w:p>
            <w:pPr>
              <w:ind w:left="320"/>
              <w:spacing w:after="0"/>
              <w:rPr>
                <w:sz w:val="20"/>
                <w:szCs w:val="20"/>
                <w:color w:val="auto"/>
              </w:rPr>
            </w:pPr>
            <w:r>
              <w:rPr>
                <w:rFonts w:ascii="Arial" w:cs="Arial" w:eastAsia="Arial" w:hAnsi="Arial"/>
                <w:sz w:val="18"/>
                <w:szCs w:val="18"/>
                <w:color w:val="auto"/>
              </w:rPr>
              <w:t>Reservation of Shares of Class A Common Stock and other Procedures</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260" w:type="dxa"/>
            <w:vAlign w:val="bottom"/>
          </w:tcPr>
          <w:p>
            <w:pPr>
              <w:ind w:left="320"/>
              <w:spacing w:after="0"/>
              <w:rPr>
                <w:sz w:val="20"/>
                <w:szCs w:val="20"/>
                <w:color w:val="auto"/>
              </w:rPr>
            </w:pPr>
            <w:r>
              <w:rPr>
                <w:rFonts w:ascii="Arial" w:cs="Arial" w:eastAsia="Arial" w:hAnsi="Arial"/>
                <w:sz w:val="18"/>
                <w:szCs w:val="18"/>
                <w:color w:val="auto"/>
              </w:rPr>
              <w:t>Effect of Exercise of Redemption</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26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X. LIMITATION ON LIABILITY, EXCULPATION AND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60" w:type="dxa"/>
            <w:vAlign w:val="bottom"/>
          </w:tcPr>
          <w:p>
            <w:pPr>
              <w:ind w:left="320"/>
              <w:spacing w:after="0"/>
              <w:rPr>
                <w:sz w:val="20"/>
                <w:szCs w:val="20"/>
                <w:color w:val="auto"/>
              </w:rPr>
            </w:pPr>
            <w:r>
              <w:rPr>
                <w:rFonts w:ascii="Arial" w:cs="Arial" w:eastAsia="Arial" w:hAnsi="Arial"/>
                <w:sz w:val="18"/>
                <w:szCs w:val="18"/>
                <w:color w:val="auto"/>
              </w:rPr>
              <w:t>Limitation on Liability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60" w:type="dxa"/>
            <w:vAlign w:val="bottom"/>
          </w:tcPr>
          <w:p>
            <w:pPr>
              <w:ind w:left="320"/>
              <w:spacing w:after="0"/>
              <w:rPr>
                <w:sz w:val="20"/>
                <w:szCs w:val="20"/>
                <w:color w:val="auto"/>
              </w:rPr>
            </w:pPr>
            <w:r>
              <w:rPr>
                <w:rFonts w:ascii="Arial" w:cs="Arial" w:eastAsia="Arial" w:hAnsi="Arial"/>
                <w:sz w:val="18"/>
                <w:szCs w:val="18"/>
                <w:color w:val="auto"/>
              </w:rPr>
              <w:t>Exculpation and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XI. DISSOLUTION AND 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260" w:type="dxa"/>
            <w:vAlign w:val="bottom"/>
          </w:tcPr>
          <w:p>
            <w:pPr>
              <w:ind w:left="320"/>
              <w:spacing w:after="0"/>
              <w:rPr>
                <w:sz w:val="20"/>
                <w:szCs w:val="20"/>
                <w:color w:val="auto"/>
              </w:rPr>
            </w:pPr>
            <w:r>
              <w:rPr>
                <w:rFonts w:ascii="Arial" w:cs="Arial" w:eastAsia="Arial" w:hAnsi="Arial"/>
                <w:sz w:val="18"/>
                <w:szCs w:val="18"/>
                <w:color w:val="auto"/>
              </w:rPr>
              <w:t>Dissolution</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260" w:type="dxa"/>
            <w:vAlign w:val="bottom"/>
          </w:tcPr>
          <w:p>
            <w:pPr>
              <w:ind w:left="320"/>
              <w:spacing w:after="0"/>
              <w:rPr>
                <w:sz w:val="20"/>
                <w:szCs w:val="20"/>
                <w:color w:val="auto"/>
              </w:rPr>
            </w:pPr>
            <w:r>
              <w:rPr>
                <w:rFonts w:ascii="Arial" w:cs="Arial" w:eastAsia="Arial" w:hAnsi="Arial"/>
                <w:sz w:val="18"/>
                <w:szCs w:val="18"/>
                <w:color w:val="auto"/>
              </w:rPr>
              <w:t>Winding Up of the Company</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26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260" w:type="dxa"/>
            <w:vAlign w:val="bottom"/>
          </w:tcPr>
          <w:p>
            <w:pPr>
              <w:ind w:left="320"/>
              <w:spacing w:after="0"/>
              <w:rPr>
                <w:sz w:val="20"/>
                <w:szCs w:val="20"/>
                <w:color w:val="auto"/>
              </w:rPr>
            </w:pPr>
            <w:r>
              <w:rPr>
                <w:rFonts w:ascii="Arial" w:cs="Arial" w:eastAsia="Arial" w:hAnsi="Arial"/>
                <w:sz w:val="18"/>
                <w:szCs w:val="18"/>
                <w:color w:val="auto"/>
              </w:rPr>
              <w:t>Survival</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260" w:type="dxa"/>
            <w:vAlign w:val="bottom"/>
          </w:tcPr>
          <w:p>
            <w:pPr>
              <w:ind w:left="320"/>
              <w:spacing w:after="0"/>
              <w:rPr>
                <w:sz w:val="20"/>
                <w:szCs w:val="20"/>
                <w:color w:val="auto"/>
              </w:rPr>
            </w:pPr>
            <w:r>
              <w:rPr>
                <w:rFonts w:ascii="Arial" w:cs="Arial" w:eastAsia="Arial" w:hAnsi="Arial"/>
                <w:sz w:val="18"/>
                <w:szCs w:val="18"/>
                <w:color w:val="auto"/>
              </w:rPr>
              <w:t>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726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7260" w:type="dxa"/>
            <w:vAlign w:val="bottom"/>
          </w:tcPr>
          <w:p>
            <w:pPr>
              <w:ind w:left="32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7260" w:type="dxa"/>
            <w:vAlign w:val="bottom"/>
          </w:tcPr>
          <w:p>
            <w:pPr>
              <w:ind w:left="320"/>
              <w:spacing w:after="0"/>
              <w:rPr>
                <w:sz w:val="20"/>
                <w:szCs w:val="20"/>
                <w:color w:val="auto"/>
              </w:rPr>
            </w:pPr>
            <w:r>
              <w:rPr>
                <w:rFonts w:ascii="Arial" w:cs="Arial" w:eastAsia="Arial" w:hAnsi="Arial"/>
                <w:sz w:val="18"/>
                <w:szCs w:val="18"/>
                <w:color w:val="auto"/>
              </w:rPr>
              <w:t>Binding Effect; Benefit; Assignment</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7260" w:type="dxa"/>
            <w:vAlign w:val="bottom"/>
          </w:tcPr>
          <w:p>
            <w:pPr>
              <w:ind w:left="320"/>
              <w:spacing w:after="0"/>
              <w:rPr>
                <w:sz w:val="20"/>
                <w:szCs w:val="20"/>
                <w:color w:val="auto"/>
              </w:rPr>
            </w:pPr>
            <w:r>
              <w:rPr>
                <w:rFonts w:ascii="Arial" w:cs="Arial" w:eastAsia="Arial" w:hAnsi="Arial"/>
                <w:sz w:val="18"/>
                <w:szCs w:val="18"/>
                <w:color w:val="auto"/>
              </w:rPr>
              <w:t>Jurisdiction</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726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12.07.</w:t>
            </w:r>
          </w:p>
        </w:tc>
        <w:tc>
          <w:tcPr>
            <w:tcW w:w="726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12.08.</w:t>
            </w:r>
          </w:p>
        </w:tc>
        <w:tc>
          <w:tcPr>
            <w:tcW w:w="726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12.09.</w:t>
            </w:r>
          </w:p>
        </w:tc>
        <w:tc>
          <w:tcPr>
            <w:tcW w:w="726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12.10.</w:t>
            </w:r>
          </w:p>
        </w:tc>
        <w:tc>
          <w:tcPr>
            <w:tcW w:w="726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12.11.</w:t>
            </w:r>
          </w:p>
        </w:tc>
        <w:tc>
          <w:tcPr>
            <w:tcW w:w="726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12.12.</w:t>
            </w:r>
          </w:p>
        </w:tc>
        <w:tc>
          <w:tcPr>
            <w:tcW w:w="726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382" w:right="479" w:bottom="1440" w:gutter="0" w:footer="0" w:header="0"/>
        </w:sectPr>
      </w:pPr>
    </w:p>
    <w:bookmarkStart w:id="45" w:name="page46"/>
    <w:bookmarkEnd w:id="45"/>
    <w:p>
      <w:pPr>
        <w:ind w:right="14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LIMITED LIABILITY COMPANY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of BellRing Brands,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dated as of October 21, 2019, by and among the Company, BellRing Brands, Inc.,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 Post Holdings, Inc., a Missouri corporation (“</w:t>
      </w:r>
      <w:r>
        <w:rPr>
          <w:rFonts w:ascii="Arial" w:cs="Arial" w:eastAsia="Arial" w:hAnsi="Arial"/>
          <w:sz w:val="16"/>
          <w:szCs w:val="16"/>
          <w:u w:val="single" w:color="auto"/>
          <w:color w:val="auto"/>
        </w:rPr>
        <w:t>Holdings</w:t>
      </w:r>
      <w:r>
        <w:rPr>
          <w:rFonts w:ascii="Arial" w:cs="Arial" w:eastAsia="Arial" w:hAnsi="Arial"/>
          <w:sz w:val="16"/>
          <w:szCs w:val="16"/>
          <w:color w:val="auto"/>
        </w:rPr>
        <w:t>”), and each other Person admitted as a Member pursuant to Section 3.02(a).</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WHEREAS, the Company has been heretofore formed as a limited liability company under the Delaware LLC Act (as defined below) pursuant to a certificate of formation which was executed and filed with the Secretary of State of the State of Delaware on November 27, 2013, which certificate of formation was amended (i) pursuant to a certificate of amendment which was executed on January 24, 2014 and filed with the Secretary of State of the State of Delaware on January 27, 2014; (ii) pursuant to a certificate of amendment which was executed on February 13, 2014 and filed with the Secretary of State of the State of Delaware on February 14, 2014; and (iii) pursuant to a certificate of amendment which was executed on August 1, 2019 and filed with the Secretary of State of the State of Delaware on August 2, 2019;</w:t>
      </w:r>
    </w:p>
    <w:p>
      <w:pPr>
        <w:spacing w:after="0" w:line="17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WHEREAS, the Company and its members have previously entered into an amended and restated limited liability company agreement of the Company, dated as of November 24, 2015 (as so amended, the “</w:t>
      </w:r>
      <w:r>
        <w:rPr>
          <w:rFonts w:ascii="Arial" w:cs="Arial" w:eastAsia="Arial" w:hAnsi="Arial"/>
          <w:sz w:val="18"/>
          <w:szCs w:val="18"/>
          <w:u w:val="single" w:color="auto"/>
          <w:color w:val="auto"/>
        </w:rPr>
        <w:t>Existing LLC Agreement</w:t>
      </w:r>
      <w:r>
        <w:rPr>
          <w:rFonts w:ascii="Arial" w:cs="Arial" w:eastAsia="Arial" w:hAnsi="Arial"/>
          <w:sz w:val="18"/>
          <w:szCs w:val="18"/>
          <w:color w:val="auto"/>
        </w:rPr>
        <w:t>”); and</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WHEREAS, pursuant to the terms of the Master Transaction Agreement (the “</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dated as of October 7, 2019, by and among the Company, Pubco and Holdings, the parties thereto have agreed to consummate the separation of the Company and its business from Holdings as contemplated thereby and to take the other actions contemplated in such Master Transaction Agreement (collectively, the “</w:t>
      </w:r>
      <w:r>
        <w:rPr>
          <w:rFonts w:ascii="Arial" w:cs="Arial" w:eastAsia="Arial" w:hAnsi="Arial"/>
          <w:sz w:val="18"/>
          <w:szCs w:val="18"/>
          <w:u w:val="single" w:color="auto"/>
          <w:color w:val="auto"/>
        </w:rPr>
        <w:t>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made and other good and valuable consideration, the parties hereto hereby agree to amend and restate the Existing LLC Agreement in its entirety as set forth herein.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USAGE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The following terms shall have the following meanings for the purposes of this Agreement:</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Member</w:t>
      </w:r>
      <w:r>
        <w:rPr>
          <w:rFonts w:ascii="Arial" w:cs="Arial" w:eastAsia="Arial" w:hAnsi="Arial"/>
          <w:sz w:val="18"/>
          <w:szCs w:val="18"/>
          <w:color w:val="auto"/>
        </w:rPr>
        <w:t>” means any Person admitted as a Member of the Company pursuant to Section 3.02 in connection with the new issuance of Units to such Person.</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Capital Account Deficit</w:t>
      </w:r>
      <w:r>
        <w:rPr>
          <w:rFonts w:ascii="Arial" w:cs="Arial" w:eastAsia="Arial" w:hAnsi="Arial"/>
          <w:sz w:val="18"/>
          <w:szCs w:val="18"/>
          <w:color w:val="auto"/>
        </w:rPr>
        <w:t>” means, with respect to any Economic Member, the deficit balance, if any, in such Economic Member’s Capital Account as of the end of the relevant Fiscal Year, after giving effect to the following adjustments:</w:t>
      </w:r>
    </w:p>
    <w:p>
      <w:pPr>
        <w:spacing w:after="0" w:line="62" w:lineRule="exact"/>
        <w:rPr>
          <w:sz w:val="20"/>
          <w:szCs w:val="20"/>
          <w:color w:val="auto"/>
        </w:rPr>
      </w:pPr>
    </w:p>
    <w:p>
      <w:pPr>
        <w:ind w:right="720" w:firstLine="996"/>
        <w:spacing w:after="0" w:line="277" w:lineRule="auto"/>
        <w:tabs>
          <w:tab w:leader="none" w:pos="12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Credit to such Capital Account any amounts that such Economic Member is deemed to be obligated to restore pursuant to the penultimate sentence in Treasury Regulations Sections 1.704-2(g)(1) and 1.704-2(i)(5); and</w:t>
      </w:r>
    </w:p>
    <w:p>
      <w:pPr>
        <w:spacing w:after="0" w:line="62" w:lineRule="exact"/>
        <w:rPr>
          <w:rFonts w:ascii="Arial" w:cs="Arial" w:eastAsia="Arial" w:hAnsi="Arial"/>
          <w:sz w:val="18"/>
          <w:szCs w:val="18"/>
          <w:color w:val="auto"/>
        </w:rPr>
      </w:pPr>
    </w:p>
    <w:p>
      <w:pPr>
        <w:ind w:firstLine="996"/>
        <w:spacing w:after="0" w:line="277" w:lineRule="auto"/>
        <w:tabs>
          <w:tab w:leader="none" w:pos="12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Treasury Regulations Sections 1.704-1(b)(2)(ii)(d)(4), 1.704-1(b)(2)(ii)(d)(5) and 1.704-1(b)(2)(ii)(d)(6).</w:t>
      </w:r>
    </w:p>
    <w:p>
      <w:pPr>
        <w:sectPr>
          <w:pgSz w:w="11900" w:h="16838" w:orient="portrait"/>
          <w:cols w:equalWidth="0" w:num="1">
            <w:col w:w="10960"/>
          </w:cols>
          <w:pgMar w:left="440" w:top="274" w:right="499" w:bottom="1440" w:gutter="0" w:footer="0" w:header="0"/>
        </w:sectPr>
      </w:pPr>
    </w:p>
    <w:bookmarkStart w:id="46" w:name="page47"/>
    <w:bookmarkEnd w:id="46"/>
    <w:p>
      <w:pPr>
        <w:ind w:right="1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definition of Adjusted Capital Account Deficit is intended to comply with the provisions of Treasury Regulations Section 1.704-1(b)(2)(ii)(d) and shall be interpreted consistently therewith.</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or Regulatory Agency, as amended, that is binding upon or applicable to such Person or its assets, unless expressly specified otherwise.</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 Liability</w:t>
      </w:r>
      <w:r>
        <w:rPr>
          <w:rFonts w:ascii="Arial" w:cs="Arial" w:eastAsia="Arial" w:hAnsi="Arial"/>
          <w:sz w:val="18"/>
          <w:szCs w:val="18"/>
          <w:color w:val="auto"/>
        </w:rPr>
        <w:t xml:space="preserve">” means, with respect to an Economic Member, an amount equal to the Tax Rate multiplied by the estimated or actual taxable income of the Company, as determined for U.S. federal income tax purposes, allocated to such Economic Member for the period to which the Assumed Tax Liability relates as determined for federal income tax purposes to the extent not previously taken into account in determining the Assumed Tax Liability, as reasonably determined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Assumed Tax Liability shall never cause the pro rata amount distributed to Pubco pursuant to Section 5.03(e) to be less than an amount sufficient to enable Pubco to timely (x) satisfy all of its U.S. federal, state and local and non-U.S. tax liabilities, and (y) meet its obligations pursuant to the Tax Matters Agreement and Tax Receivable Agreement, in each case, as reasonably determined by the Board.</w:t>
      </w:r>
    </w:p>
    <w:p>
      <w:pPr>
        <w:spacing w:after="0" w:line="189"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Black-Out Period</w:t>
      </w:r>
      <w:r>
        <w:rPr>
          <w:rFonts w:ascii="Arial" w:cs="Arial" w:eastAsia="Arial" w:hAnsi="Arial"/>
          <w:sz w:val="16"/>
          <w:szCs w:val="16"/>
          <w:color w:val="auto"/>
        </w:rPr>
        <w:t>” means any “black-out” or similar period under Pubco’s policies covering trading in Pubco’s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spacing w:after="0" w:line="14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the capital account established and maintained for each Economic Member pursuant to Section 5.02.</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with respect to any Member, the amount of money and the initial Carrying Value of any Property (other than money) contributed to the Company.</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Carrying Value</w:t>
      </w:r>
      <w:r>
        <w:rPr>
          <w:rFonts w:ascii="Arial" w:cs="Arial" w:eastAsia="Arial" w:hAnsi="Arial"/>
          <w:sz w:val="18"/>
          <w:szCs w:val="18"/>
          <w:color w:val="auto"/>
        </w:rPr>
        <w:t>” means with respect to any Property (other than money), such Property’s adjusted basis for federal income tax purposes, except as follows:</w:t>
      </w:r>
    </w:p>
    <w:p>
      <w:pPr>
        <w:spacing w:after="0" w:line="62" w:lineRule="exact"/>
        <w:rPr>
          <w:sz w:val="20"/>
          <w:szCs w:val="20"/>
          <w:color w:val="auto"/>
        </w:rPr>
      </w:pPr>
    </w:p>
    <w:p>
      <w:pPr>
        <w:ind w:right="160" w:firstLine="996"/>
        <w:spacing w:after="0" w:line="277" w:lineRule="auto"/>
        <w:tabs>
          <w:tab w:leader="none" w:pos="12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initial Carrying Value of any such Property contributed by a Member to the Company shall be the gross fair market value of such Property, as reasonably determined by the Board;</w:t>
      </w:r>
    </w:p>
    <w:p>
      <w:pPr>
        <w:spacing w:after="0" w:line="62" w:lineRule="exact"/>
        <w:rPr>
          <w:rFonts w:ascii="Arial" w:cs="Arial" w:eastAsia="Arial" w:hAnsi="Arial"/>
          <w:sz w:val="18"/>
          <w:szCs w:val="18"/>
          <w:color w:val="auto"/>
        </w:rPr>
      </w:pPr>
    </w:p>
    <w:p>
      <w:pPr>
        <w:ind w:right="140" w:firstLine="996"/>
        <w:spacing w:after="0" w:line="308" w:lineRule="auto"/>
        <w:tabs>
          <w:tab w:leader="none" w:pos="125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Carrying Values of all such Properties shall be adjusted to equal their respective gross fair market values (taking Section 7701(g) of the Code into account), as reasonably determined by the Board, at the time of any Revaluation pursuant to Section 5.02(c);</w:t>
      </w:r>
    </w:p>
    <w:p>
      <w:pPr>
        <w:spacing w:after="0" w:line="38" w:lineRule="exact"/>
        <w:rPr>
          <w:rFonts w:ascii="Arial" w:cs="Arial" w:eastAsia="Arial" w:hAnsi="Arial"/>
          <w:sz w:val="17"/>
          <w:szCs w:val="17"/>
          <w:color w:val="auto"/>
        </w:rPr>
      </w:pPr>
    </w:p>
    <w:p>
      <w:pPr>
        <w:ind w:right="280" w:firstLine="996"/>
        <w:spacing w:after="0" w:line="342" w:lineRule="auto"/>
        <w:tabs>
          <w:tab w:leader="none" w:pos="1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Carrying Value of any item of such Properties distributed to any Member shall be adjusted to equal the gross fair market value (taking Section 7701(g) of the Code into account) of such Property on the date of distribution as reasonably determined by the Board;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7" w:name="page48"/>
    <w:bookmarkEnd w:id="47"/>
    <w:p>
      <w:pPr>
        <w:ind w:right="80" w:firstLine="996"/>
        <w:spacing w:after="0" w:line="291" w:lineRule="auto"/>
        <w:tabs>
          <w:tab w:leader="none" w:pos="1297"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Carrying Values of such Properties shall be increased (or decreased) to reflect any adjustments to the adjusted basis of such Properties pursuant to Section 734(b) or Section 743(b) of the Code, but only to the extent that such adjustments are taken into account in determining Capital Accounts pursuant to Treasury Regulations Section 1.704-1(b)(2)(iv)(m) and subparagraph (vi) of the definition of “Net Income” and “Net Loss” or Section 5.04(b)(vi);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Carrying Values shall not be adjusted pursuant to this subparagraph (iv) to the extent that an adjustment pursuant to subparagraph (ii) is required in connection with a transaction that would otherwise result in an adjustment pursuant to this subparagraph (iv). If the Carrying Value of such Property has been determined or adjusted pursuant to subparagraph (i), (ii) or (iv), such Carrying Value shall thereafter be adjusted by the Depreciation taken into account with respect to such asset, for purposes of computing Net Income and Net Loss.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Settlement</w:t>
      </w:r>
      <w:r>
        <w:rPr>
          <w:rFonts w:ascii="Arial" w:cs="Arial" w:eastAsia="Arial" w:hAnsi="Arial"/>
          <w:sz w:val="18"/>
          <w:szCs w:val="18"/>
          <w:color w:val="auto"/>
        </w:rPr>
        <w:t>” means immediately available funds in U.S. dollars in an amount equal to the Redeemed Units Equivalent.</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Centralized Partnership Audit Regime</w:t>
      </w:r>
      <w:r>
        <w:rPr>
          <w:rFonts w:ascii="Arial" w:cs="Arial" w:eastAsia="Arial" w:hAnsi="Arial"/>
          <w:sz w:val="18"/>
          <w:szCs w:val="18"/>
          <w:color w:val="auto"/>
        </w:rPr>
        <w:t>” means the centralized partnership audit rules of Sections 6221 through 6241 of the Code, and any regulations promulgated or proposed under any such Sections and any administrative guidance with respect thereto, and any similar rules under state or local tax law.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$0.01 par value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Class B common stock, $0.01 par value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the Voting Common Unit or a Nonvoting Common Unit.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 Redemption Price</w:t>
      </w:r>
      <w:r>
        <w:rPr>
          <w:rFonts w:ascii="Arial" w:cs="Arial" w:eastAsia="Arial" w:hAnsi="Arial"/>
          <w:sz w:val="17"/>
          <w:szCs w:val="17"/>
          <w:color w:val="auto"/>
        </w:rPr>
        <w:t>” means the arithmetic average of the volume weighted average prices for a share of Class A Common Stock on the principal U.S. securities exchange or automated or electronic quotation system on which the Class A Common Stock is traded or quoted, as reported by Bloomberg, L.P. or its successor, for each of the five (5) consecutive full Trading Days ending on and including the last full Trading Day immediately prior to the Redemption Date, subject to appropriate and equitable adjustment for any stock splits, reverse splits, stock dividends or similar events affecting the Class A Common Stock. If the Class A Common Stock no longer trades on a securities exchange or is quoted on automated or electronic quotation system, then the Board shall determine the Common Unit Redemption Price in good faith.</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Minimum Gain</w:t>
      </w:r>
      <w:r>
        <w:rPr>
          <w:rFonts w:ascii="Arial" w:cs="Arial" w:eastAsia="Arial" w:hAnsi="Arial"/>
          <w:sz w:val="17"/>
          <w:szCs w:val="17"/>
          <w:color w:val="auto"/>
        </w:rPr>
        <w:t>” means “partnership minimum gain,” as defined in Treasury Regulations Sections 1.704-2(b)(2) and 1.704-2(d).</w:t>
      </w:r>
    </w:p>
    <w:p>
      <w:pPr>
        <w:spacing w:after="0" w:line="23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means (i) each Member or an Affiliate thereof, in each case in such capacity, (ii) each Manager and Officer, in each case in such capacity, (iii) each officer, director, manager, stockholder, member, partner, employee, representative, agent or trustee of a Member or an Affiliate thereof, in all cases in such capacity and (iv) the Partnership Representative.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means the Delaware General Corporation Law, 8 Del. C. §§ 1-101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Depreciation</w:t>
      </w:r>
      <w:r>
        <w:rPr>
          <w:rFonts w:ascii="Arial" w:cs="Arial" w:eastAsia="Arial" w:hAnsi="Arial"/>
          <w:sz w:val="17"/>
          <w:szCs w:val="17"/>
          <w:color w:val="auto"/>
        </w:rPr>
        <w:t xml:space="preserve">” means, for each Fiscal Year, an amount equal to the depreciation, amortization or other cost recovery deduction allowable with respect to an asset for such Fiscal Year, except that if the Carrying Value of an asset differs from its adjusted basis for federal income tax purposes at the beginning of such Fiscal Year, Depreciation shall be an amount that bears the same ratio to such beginning Carrying Value as the federal income tax depreciation, amortization or other cost recovery deduction for such Fiscal Year bears to such beginning adjusted tax basis;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adjusted basis for federal income tax purposes of an asset at the beginning of such Fiscal Year is zero, Depreciation shall be determined with reference to such beginning Carrying Value using any reasonable method selected by the Board.</w:t>
      </w:r>
    </w:p>
    <w:p>
      <w:pPr>
        <w:spacing w:after="0" w:line="178"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Individual</w:t>
      </w:r>
      <w:r>
        <w:rPr>
          <w:rFonts w:ascii="Arial" w:cs="Arial" w:eastAsia="Arial" w:hAnsi="Arial"/>
          <w:sz w:val="17"/>
          <w:szCs w:val="17"/>
          <w:color w:val="auto"/>
        </w:rPr>
        <w:t>” shall be the individual, if any, designated by the Board pursuant to Section 6.01 with respect to Company Audits pursuant to the Centralized Partnership Audit Regime and shall have the meaning set forth in Treasury Regulations Section 301.6223–1(b)(3).</w:t>
      </w:r>
    </w:p>
    <w:p>
      <w:pPr>
        <w:spacing w:after="0" w:line="147" w:lineRule="exact"/>
        <w:rPr>
          <w:sz w:val="20"/>
          <w:szCs w:val="20"/>
          <w:color w:val="auto"/>
        </w:rPr>
      </w:pPr>
    </w:p>
    <w:p>
      <w:pPr>
        <w:ind w:right="2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 Event</w:t>
      </w:r>
      <w:r>
        <w:rPr>
          <w:rFonts w:ascii="Arial" w:cs="Arial" w:eastAsia="Arial" w:hAnsi="Arial"/>
          <w:sz w:val="16"/>
          <w:szCs w:val="16"/>
          <w:color w:val="auto"/>
        </w:rPr>
        <w:t>” means any merger, consolidation or other business combination of Pubco, whether effectuated through one transaction or a series of related transactions (including a tender offer followed by a merger in which the holders of Class A Common Stock receive the same consideration per share paid in the tender offer), unless, following such transaction, all or substantially all of the holders of the voting power of all outstanding classes of common stock of Pubco and series of preferred stock of Pubco that are generally entitled to vote in the election of directors of Pubco prior to such transaction or series of transactions continue to hold a majority of the voting power of the surviving entity (or its parent) resulting from such transaction or series of transactions in substantially the same proportions as immediately prior to such transaction or series of transactions.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Members</w:t>
      </w:r>
      <w:r>
        <w:rPr>
          <w:rFonts w:ascii="Arial" w:cs="Arial" w:eastAsia="Arial" w:hAnsi="Arial"/>
          <w:sz w:val="18"/>
          <w:szCs w:val="18"/>
          <w:color w:val="auto"/>
        </w:rPr>
        <w:t>” means the Members holding Nonvoting Common Units.</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Percentage Interest</w:t>
      </w:r>
      <w:r>
        <w:rPr>
          <w:rFonts w:ascii="Arial" w:cs="Arial" w:eastAsia="Arial" w:hAnsi="Arial"/>
          <w:sz w:val="18"/>
          <w:szCs w:val="18"/>
          <w:color w:val="auto"/>
        </w:rPr>
        <w:t>” means, with respect to any Economic Member, a fractional amount, expressed as a percentage: (i) the numerator of which is the aggregate number of Nonvoting Common Units owned of record by such Economic Member and (ii) the denominator of which is the aggregate number of Nonvoting Common Units issued and outstanding. The sum of the outstanding Economic Percentage Interests of all Economic Members shall at all times equal 100%.</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has the meaning set forth in the Master Transaction Agreement.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means the Employee Matters Agreement, dated as of the date hereof, by and among the Company and each of the parties identified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Securities</w:t>
      </w:r>
      <w:r>
        <w:rPr>
          <w:rFonts w:ascii="Arial" w:cs="Arial" w:eastAsia="Arial" w:hAnsi="Arial"/>
          <w:sz w:val="17"/>
          <w:szCs w:val="17"/>
          <w:color w:val="auto"/>
        </w:rPr>
        <w:t>” means, with respect to any Person, any (i) limited liability company or partnership interests or shares of capital stock,</w:t>
      </w:r>
    </w:p>
    <w:p>
      <w:pPr>
        <w:spacing w:after="0" w:line="35" w:lineRule="exact"/>
        <w:rPr>
          <w:sz w:val="20"/>
          <w:szCs w:val="20"/>
          <w:color w:val="auto"/>
        </w:rPr>
      </w:pPr>
    </w:p>
    <w:p>
      <w:pPr>
        <w:ind w:firstLine="4"/>
        <w:spacing w:after="0" w:line="255"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equity, ownership, voting, profits or participation interests or (iii) similar rights or securities in such Person or any of its Subsidiaries, or any rights or securities convertible into or exchangeable for, options or other rights to acquire from such Person or any of its Subsidiaries, or obligation on the part of such Person or any of its Subsidiaries to issue, any of the foregoing.</w:t>
      </w:r>
    </w:p>
    <w:p>
      <w:pPr>
        <w:spacing w:after="0" w:line="19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Company’s fiscal year, which shall initially end on September 30 of each calendar year or as otherwise required by Section 706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9" w:name="page50"/>
    <w:bookmarkEnd w:id="4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Formation Date Capital Account Balance</w:t>
      </w:r>
      <w:r>
        <w:rPr>
          <w:rFonts w:ascii="Arial" w:cs="Arial" w:eastAsia="Arial" w:hAnsi="Arial"/>
          <w:sz w:val="18"/>
          <w:szCs w:val="18"/>
          <w:color w:val="auto"/>
        </w:rPr>
        <w:t>” means, with respect to any Economic Member, the positive Capital Account balance of such Member as of immediately following the Formation Transactions, the amount of which is set forth on the Member Schedule.</w:t>
      </w:r>
    </w:p>
    <w:p>
      <w:pPr>
        <w:spacing w:after="0" w:line="170"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Documents</w:t>
      </w:r>
      <w:r>
        <w:rPr>
          <w:rFonts w:ascii="Arial" w:cs="Arial" w:eastAsia="Arial" w:hAnsi="Arial"/>
          <w:sz w:val="18"/>
          <w:szCs w:val="18"/>
          <w:color w:val="auto"/>
        </w:rPr>
        <w:t>” means the Master Transaction Agreement, this Agreement, the Employee Matters Agreement, the Investor Rights Agreement, the Tax Matters Agreement, the Tax Receivable Agreement and the Master Services Agreement.</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 Rights Agreement</w:t>
      </w:r>
      <w:r>
        <w:rPr>
          <w:rFonts w:ascii="Arial" w:cs="Arial" w:eastAsia="Arial" w:hAnsi="Arial"/>
          <w:sz w:val="17"/>
          <w:szCs w:val="17"/>
          <w:color w:val="auto"/>
        </w:rPr>
        <w:t>” means the Investor Rights Agreement, dated as of the date hereof, by and between Pubco and Holdings.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underwritten public offering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Services Agreement</w:t>
      </w:r>
      <w:r>
        <w:rPr>
          <w:rFonts w:ascii="Arial" w:cs="Arial" w:eastAsia="Arial" w:hAnsi="Arial"/>
          <w:sz w:val="18"/>
          <w:szCs w:val="18"/>
          <w:color w:val="auto"/>
        </w:rPr>
        <w:t>” means the Master Services Agreement, dated as of the date hereof, by and among the Company and each of the other parties identified therein.</w:t>
      </w:r>
    </w:p>
    <w:p>
      <w:pPr>
        <w:spacing w:after="0" w:line="170"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w:t>
      </w:r>
      <w:r>
        <w:rPr>
          <w:rFonts w:ascii="Arial" w:cs="Arial" w:eastAsia="Arial" w:hAnsi="Arial"/>
          <w:sz w:val="16"/>
          <w:szCs w:val="16"/>
          <w:color w:val="auto"/>
        </w:rPr>
        <w:t>” means any Person named as a Member of the Company on the Member Schedule, as the same may be amended from time to time to reflect any Person admitted as an Additional Member or a Substitute Member, for so long as such Person continues to be a Member of the Company.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Member Nonrecourse Debt</w:t>
      </w:r>
      <w:r>
        <w:rPr>
          <w:rFonts w:ascii="Arial" w:cs="Arial" w:eastAsia="Arial" w:hAnsi="Arial"/>
          <w:sz w:val="17"/>
          <w:szCs w:val="17"/>
          <w:color w:val="auto"/>
        </w:rPr>
        <w:t>” has the same meaning as the term “partner nonrecourse debt” in Treasury Regulations Section 1.704-2(b)(4).</w:t>
      </w:r>
    </w:p>
    <w:p>
      <w:pPr>
        <w:spacing w:after="0" w:line="237" w:lineRule="exact"/>
        <w:rPr>
          <w:sz w:val="20"/>
          <w:szCs w:val="20"/>
          <w:color w:val="auto"/>
        </w:rPr>
      </w:pPr>
    </w:p>
    <w:p>
      <w:pPr>
        <w:ind w:right="7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1.752-1(a)(2)) determined in accordance with Treasury Regulations Section 1.704-2(i)(3).</w:t>
      </w:r>
    </w:p>
    <w:p>
      <w:pPr>
        <w:spacing w:after="0" w:line="187" w:lineRule="exact"/>
        <w:rPr>
          <w:sz w:val="20"/>
          <w:szCs w:val="20"/>
          <w:color w:val="auto"/>
        </w:rPr>
      </w:pPr>
    </w:p>
    <w:p>
      <w:pPr>
        <w:ind w:right="1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has the same meaning as the term “partner nonrecourse deductions” in Treasury Regulations Sections 1.704-2(i)(1) and 1.704-2(i)(2).</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and “</w:t>
      </w:r>
      <w:r>
        <w:rPr>
          <w:rFonts w:ascii="Arial" w:cs="Arial" w:eastAsia="Arial" w:hAnsi="Arial"/>
          <w:sz w:val="18"/>
          <w:szCs w:val="18"/>
          <w:u w:val="single" w:color="auto"/>
          <w:color w:val="auto"/>
        </w:rPr>
        <w:t>Net Loss</w:t>
      </w:r>
      <w:r>
        <w:rPr>
          <w:rFonts w:ascii="Arial" w:cs="Arial" w:eastAsia="Arial" w:hAnsi="Arial"/>
          <w:sz w:val="18"/>
          <w:szCs w:val="18"/>
          <w:color w:val="auto"/>
        </w:rPr>
        <w:t>” mean,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 (without duplication):</w:t>
      </w:r>
    </w:p>
    <w:p>
      <w:pPr>
        <w:spacing w:after="0" w:line="79" w:lineRule="exact"/>
        <w:rPr>
          <w:sz w:val="20"/>
          <w:szCs w:val="20"/>
          <w:color w:val="auto"/>
        </w:rPr>
      </w:pPr>
    </w:p>
    <w:p>
      <w:pPr>
        <w:ind w:right="20" w:firstLine="996"/>
        <w:spacing w:after="0" w:line="277" w:lineRule="auto"/>
        <w:tabs>
          <w:tab w:leader="none" w:pos="11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income of the Company that is exempt from federal income tax and not otherwise taken into account in computing Net Income or Net Loss pursuant to this definition of “Net Income” and “Net Loss” shall be added to such taxable income or loss;</w:t>
      </w:r>
    </w:p>
    <w:p>
      <w:pPr>
        <w:spacing w:after="0" w:line="62" w:lineRule="exact"/>
        <w:rPr>
          <w:rFonts w:ascii="Arial" w:cs="Arial" w:eastAsia="Arial" w:hAnsi="Arial"/>
          <w:sz w:val="18"/>
          <w:szCs w:val="18"/>
          <w:color w:val="auto"/>
        </w:rPr>
      </w:pPr>
    </w:p>
    <w:p>
      <w:pPr>
        <w:ind w:right="20" w:firstLine="996"/>
        <w:spacing w:after="0" w:line="264" w:lineRule="auto"/>
        <w:tabs>
          <w:tab w:leader="none" w:pos="12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expenditures of the Company described in Section 705(a)(2)(B) of the Code or treated as Section 705(a)(2)(B) of the Code expenditures pursuant to Treasury Regulations Section 1.704-1(b)(2)(iv)(i), and not otherwise taken into account in computing Net Income or Net Loss pursuant to this definition of “Net Income” and “Net Loss,” shall be treated as deductible items;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50" w:name="page51"/>
    <w:bookmarkEnd w:id="50"/>
    <w:p>
      <w:pPr>
        <w:jc w:val="both"/>
        <w:ind w:right="40" w:firstLine="996"/>
        <w:spacing w:after="0" w:line="259" w:lineRule="auto"/>
        <w:tabs>
          <w:tab w:leader="none" w:pos="1307"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Carrying Value of any Company asset is adjusted pursuant to subparagraphs (ii) or (iii) of the definition of “Carrying Value,” the amount of such adjustment shall be treated as an item of gain (if the adjustment increases the Carrying Value of the asset) or an item of loss (if the adjustment decreases the Carrying Value of the asset) from the disposition of such asset and shall be taken into account, immediately prior to the event giving rise to such adjustment, for purposes of computing Net Income or Net Loss;</w:t>
      </w:r>
    </w:p>
    <w:p>
      <w:pPr>
        <w:spacing w:after="0" w:line="78" w:lineRule="exact"/>
        <w:rPr>
          <w:rFonts w:ascii="Arial" w:cs="Arial" w:eastAsia="Arial" w:hAnsi="Arial"/>
          <w:sz w:val="18"/>
          <w:szCs w:val="18"/>
          <w:color w:val="auto"/>
        </w:rPr>
      </w:pPr>
    </w:p>
    <w:p>
      <w:pPr>
        <w:ind w:right="40" w:firstLine="996"/>
        <w:spacing w:after="0" w:line="264" w:lineRule="auto"/>
        <w:tabs>
          <w:tab w:leader="none" w:pos="12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federal income tax purposes shall be computed by reference to the Carrying Value of the Property disposed of, notwithstanding that the adjusted tax basis of such Property differs from its Carrying Value;</w:t>
      </w:r>
    </w:p>
    <w:p>
      <w:pPr>
        <w:spacing w:after="0" w:line="73" w:lineRule="exact"/>
        <w:rPr>
          <w:rFonts w:ascii="Arial" w:cs="Arial" w:eastAsia="Arial" w:hAnsi="Arial"/>
          <w:sz w:val="18"/>
          <w:szCs w:val="18"/>
          <w:color w:val="auto"/>
        </w:rPr>
      </w:pPr>
    </w:p>
    <w:p>
      <w:pPr>
        <w:ind w:right="200" w:firstLine="996"/>
        <w:spacing w:after="0" w:line="308" w:lineRule="auto"/>
        <w:tabs>
          <w:tab w:leader="none" w:pos="12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lieu of the depreciation, amortization and other cost recovery deductions taken into account in computing such taxable income or loss, there shall be taken into account Depreciation for such Fiscal Year, computed in accordance with the definition of Depreciation;</w:t>
      </w:r>
    </w:p>
    <w:p>
      <w:pPr>
        <w:spacing w:after="0" w:line="38" w:lineRule="exact"/>
        <w:rPr>
          <w:rFonts w:ascii="Arial" w:cs="Arial" w:eastAsia="Arial" w:hAnsi="Arial"/>
          <w:sz w:val="17"/>
          <w:szCs w:val="17"/>
          <w:color w:val="auto"/>
        </w:rPr>
      </w:pPr>
    </w:p>
    <w:p>
      <w:pPr>
        <w:ind w:right="140" w:firstLine="996"/>
        <w:spacing w:after="0" w:line="257" w:lineRule="auto"/>
        <w:tabs>
          <w:tab w:leader="none" w:pos="12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Section 734(b) of the Code is required, pursuant to Treasury Regulations Section 1.704-(b)(2)(iv)(m)(4),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Net Income or Net Loss; and</w:t>
      </w:r>
    </w:p>
    <w:p>
      <w:pPr>
        <w:spacing w:after="0" w:line="80" w:lineRule="exact"/>
        <w:rPr>
          <w:rFonts w:ascii="Arial" w:cs="Arial" w:eastAsia="Arial" w:hAnsi="Arial"/>
          <w:sz w:val="18"/>
          <w:szCs w:val="18"/>
          <w:color w:val="auto"/>
        </w:rPr>
      </w:pPr>
    </w:p>
    <w:p>
      <w:pPr>
        <w:ind w:left="1360" w:hanging="36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 other provision of this definition, any items that are specially allocated pursuant to Section 5.04(b),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5.04(c) and Section 5.04(d) shall not be taken into account in computing Net Income or Net Loss.</w:t>
      </w:r>
    </w:p>
    <w:p>
      <w:pPr>
        <w:spacing w:after="0" w:line="211" w:lineRule="exact"/>
        <w:rPr>
          <w:sz w:val="20"/>
          <w:szCs w:val="20"/>
          <w:color w:val="auto"/>
        </w:rPr>
      </w:pPr>
    </w:p>
    <w:p>
      <w:pPr>
        <w:ind w:right="680" w:firstLine="441"/>
        <w:spacing w:after="0" w:line="342" w:lineRule="auto"/>
        <w:rPr>
          <w:sz w:val="20"/>
          <w:szCs w:val="20"/>
          <w:color w:val="auto"/>
        </w:rPr>
      </w:pPr>
      <w:r>
        <w:rPr>
          <w:rFonts w:ascii="Arial" w:cs="Arial" w:eastAsia="Arial" w:hAnsi="Arial"/>
          <w:sz w:val="16"/>
          <w:szCs w:val="16"/>
          <w:color w:val="auto"/>
        </w:rPr>
        <w:t>The amounts of the items of Company income, gain, loss or deduction available to be specially allocated pursuant to Section 5.04(b), Section 5.04(c) and Section 5.04(d) shall be determined by applying rules analogous to those set forth in subparagraphs (i) through (vi) above.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Non-Pubco Member</w:t>
      </w:r>
      <w:r>
        <w:rPr>
          <w:rFonts w:ascii="Arial" w:cs="Arial" w:eastAsia="Arial" w:hAnsi="Arial"/>
          <w:sz w:val="18"/>
          <w:szCs w:val="18"/>
          <w:color w:val="auto"/>
        </w:rPr>
        <w:t>” means any Member that is not a Pubco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Sections 1.704-2(b)(1) and 1.704-2(c).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Nonvoting Common Units</w:t>
      </w:r>
      <w:r>
        <w:rPr>
          <w:rFonts w:ascii="Arial" w:cs="Arial" w:eastAsia="Arial" w:hAnsi="Arial"/>
          <w:sz w:val="16"/>
          <w:szCs w:val="16"/>
          <w:color w:val="auto"/>
        </w:rPr>
        <w:t>” means the Nonvoting Common Units of the Company, having the rights, privileges and preferences set forth herein.</w:t>
      </w:r>
    </w:p>
    <w:p>
      <w:pPr>
        <w:spacing w:after="0" w:line="24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means the entity or individual designated by the Board in accordance with Section 6.01 with respect to partnership audits and proceedings pursuant to the Centralized Partnership Audit Regime and shall have the meaning set forth in Section 6223(a) of the Code. Unless otherwise stated, all references to Partnership Representative also shall apply to the Designated Individual if the appointment of a Designated Individual is required.</w:t>
      </w:r>
    </w:p>
    <w:p>
      <w:pPr>
        <w:spacing w:after="0" w:line="18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estate, joint venture, governmental authority or other entity.</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that JPMorgan Chase Bank, National Association (or any successor thereto or other major money center commercial bank agreed to by the Board) announces from time to time as its prime lending rate, as in effect from time to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51" w:name="page52"/>
    <w:bookmarkEnd w:id="51"/>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Property</w:t>
      </w:r>
      <w:r>
        <w:rPr>
          <w:rFonts w:ascii="Arial" w:cs="Arial" w:eastAsia="Arial" w:hAnsi="Arial"/>
          <w:sz w:val="18"/>
          <w:szCs w:val="18"/>
          <w:color w:val="auto"/>
        </w:rPr>
        <w:t>” means an interest of any kind in any real, personal or intellectual (or mixed) property, including cash, and any improvements thereto, and shall include both tangible and intangible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Pubco Certificate of Incorporation</w:t>
      </w:r>
      <w:r>
        <w:rPr>
          <w:rFonts w:ascii="Arial" w:cs="Arial" w:eastAsia="Arial" w:hAnsi="Arial"/>
          <w:sz w:val="16"/>
          <w:szCs w:val="16"/>
          <w:color w:val="auto"/>
        </w:rPr>
        <w:t>” means the Amended and Restated Certificate of Incorporation of Pubco,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w:t>
      </w:r>
      <w:r>
        <w:rPr>
          <w:rFonts w:ascii="Arial" w:cs="Arial" w:eastAsia="Arial" w:hAnsi="Arial"/>
          <w:sz w:val="18"/>
          <w:szCs w:val="18"/>
          <w:color w:val="auto"/>
        </w:rPr>
        <w:t>” means all classes and series of common stock of Pubco, including the Class A Common Stock and the Class B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Member</w:t>
      </w:r>
      <w:r>
        <w:rPr>
          <w:rFonts w:ascii="Arial" w:cs="Arial" w:eastAsia="Arial" w:hAnsi="Arial"/>
          <w:sz w:val="18"/>
          <w:szCs w:val="18"/>
          <w:color w:val="auto"/>
        </w:rPr>
        <w:t>” means (i) Pubco and (ii) any Subsidiary of Pubco (other than the Company and its Subsidiaries) that is a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Redeemed Units Equivalent</w:t>
      </w:r>
      <w:r>
        <w:rPr>
          <w:rFonts w:ascii="Arial" w:cs="Arial" w:eastAsia="Arial" w:hAnsi="Arial"/>
          <w:sz w:val="18"/>
          <w:szCs w:val="18"/>
          <w:color w:val="auto"/>
        </w:rPr>
        <w:t>” means the product of (a) the Share Settlement and (b) the Common Unit Redemption Price.</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Agency</w:t>
      </w:r>
      <w:r>
        <w:rPr>
          <w:rFonts w:ascii="Arial" w:cs="Arial" w:eastAsia="Arial" w:hAnsi="Arial"/>
          <w:sz w:val="18"/>
          <w:szCs w:val="18"/>
          <w:color w:val="auto"/>
        </w:rPr>
        <w:t>” means the SEC, the Financial Industry Regulatory Authority, any non-U.S. regulatory agency and any other regulatory authority or body (including any state or provincial securities authority and any self-regulatory organization) with jurisdiction over the Company or any of its Subsidiaries.</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 Percentage Interest</w:t>
      </w:r>
      <w:r>
        <w:rPr>
          <w:rFonts w:ascii="Arial" w:cs="Arial" w:eastAsia="Arial" w:hAnsi="Arial"/>
          <w:sz w:val="18"/>
          <w:szCs w:val="18"/>
          <w:color w:val="auto"/>
        </w:rPr>
        <w:t>” means, with respect to any Member relative to another Member or Members, a fractional amount, expressed as a percentage, the numerator of which is the aggregate number of Units in the applicable class(es) owned of record by such Member; and the denominator of which is (x) the aggregate number of Units in the applicable class(es) owned of record by such Member plus (y) the aggregate number of Units in the applicable class(es) owned of record by such other Member or Members.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Settlement</w:t>
      </w:r>
      <w:r>
        <w:rPr>
          <w:rFonts w:ascii="Arial" w:cs="Arial" w:eastAsia="Arial" w:hAnsi="Arial"/>
          <w:sz w:val="18"/>
          <w:szCs w:val="18"/>
          <w:color w:val="auto"/>
        </w:rPr>
        <w:t>” means a number of shares of Class A Common Stock equal to the number of Redeemed Units, subject to adjustment as set forth in Section 9.01(e).</w:t>
      </w:r>
    </w:p>
    <w:p>
      <w:pPr>
        <w:spacing w:after="0" w:line="170"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association, joint venture or other business entity of which more than 50% of the total voting power of Equity Securities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73"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Member</w:t>
      </w:r>
      <w:r>
        <w:rPr>
          <w:rFonts w:ascii="Arial" w:cs="Arial" w:eastAsia="Arial" w:hAnsi="Arial"/>
          <w:sz w:val="18"/>
          <w:szCs w:val="18"/>
          <w:color w:val="auto"/>
        </w:rPr>
        <w:t>” means any Person admitted as a Member of the Company pursuant to Section 3.02 in connection with the Transfer of then-existing Units to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w:t>
      </w:r>
      <w:r>
        <w:rPr>
          <w:rFonts w:ascii="Arial" w:cs="Arial" w:eastAsia="Arial" w:hAnsi="Arial"/>
          <w:sz w:val="18"/>
          <w:szCs w:val="18"/>
          <w:color w:val="auto"/>
        </w:rPr>
        <w:t>” means a distribution made by the Company pursuant to Section 5.03(e).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means the Tax Matters Agreement, dated as of the date hereof, by and among the Company and each of the other parties identified therein.</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Rate</w:t>
      </w:r>
      <w:r>
        <w:rPr>
          <w:rFonts w:ascii="Arial" w:cs="Arial" w:eastAsia="Arial" w:hAnsi="Arial"/>
          <w:sz w:val="18"/>
          <w:szCs w:val="18"/>
          <w:color w:val="auto"/>
        </w:rPr>
        <w:t>” means the highest marginal U.S. federal and state tax rate applicable to corporations (or, if appropriate, to individuals) (taking into account the deductibility of state and local taxes) determined from time to time by the Board.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2" w:name="page53"/>
    <w:bookmarkEnd w:id="5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the Tax Receivable Agreement, dated as of the date hereof, by and among Pubco and each of the other parties identified therein.</w:t>
      </w:r>
    </w:p>
    <w:p>
      <w:pPr>
        <w:spacing w:after="0" w:line="170"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U.S. securities exchange or automated or electronic quoting system on which the Class A Common Stock is traded or quoted is open for the transaction of business (unless such trading shall have been suspended for the entire day).</w:t>
      </w:r>
    </w:p>
    <w:p>
      <w:pPr>
        <w:spacing w:after="0" w:line="124"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any sale, assignment, transfer, exchange, gift, bequest, pledge, hypothecation or other disposition or encumbrance, direct or indirect, in whole or in part, by operation of law or otherwise, and shall include all matters deemed to constitute a Transfer under Article VIII. The terms “Transferred,” “Transferring,” “Transferor,” “Transferee” and “Transferable” have meanings correlative to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 the regulations promulgated under the Code, as amended from time to time.</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means Common Units or any other class of limited liability interests in the Company designated by the Company after the date hereof in accordance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type, class or series of Units shall have the designations, preferences and/or special rights set forth or referenced in this Agreement, and the membership interests of the Company represented by such type, class or series of Units shall be determined in accordance with such designations, preferences and/or special rights.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Common Unit</w:t>
      </w:r>
      <w:r>
        <w:rPr>
          <w:rFonts w:ascii="Arial" w:cs="Arial" w:eastAsia="Arial" w:hAnsi="Arial"/>
          <w:sz w:val="17"/>
          <w:szCs w:val="17"/>
          <w:color w:val="auto"/>
        </w:rPr>
        <w:t>” means the Voting Common Unit of the Company, having the rights, privileges and preferences set forth herein.</w:t>
      </w:r>
    </w:p>
    <w:p>
      <w:pPr>
        <w:spacing w:after="0" w:line="237"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Member</w:t>
      </w:r>
      <w:r>
        <w:rPr>
          <w:rFonts w:ascii="Arial" w:cs="Arial" w:eastAsia="Arial" w:hAnsi="Arial"/>
          <w:sz w:val="18"/>
          <w:szCs w:val="18"/>
          <w:color w:val="auto"/>
        </w:rPr>
        <w:t>” means Pubco, so long as it is the holder of the Voting Common Unit, or any successor holder of the Voting Common Unit. 8</w:t>
      </w:r>
    </w:p>
    <w:p>
      <w:pPr>
        <w:sectPr>
          <w:pgSz w:w="11900" w:h="16838" w:orient="portrait"/>
          <w:cols w:equalWidth="0" w:num="1">
            <w:col w:w="11000"/>
          </w:cols>
          <w:pgMar w:left="440" w:top="274" w:right="4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8060" w:type="dxa"/>
            <w:vAlign w:val="bottom"/>
          </w:tcPr>
          <w:p>
            <w:pPr>
              <w:ind w:left="680"/>
              <w:spacing w:after="0"/>
              <w:rPr>
                <w:sz w:val="20"/>
                <w:szCs w:val="20"/>
                <w:color w:val="auto"/>
              </w:rPr>
            </w:pPr>
            <w:r>
              <w:rPr>
                <w:rFonts w:ascii="Arial" w:cs="Arial" w:eastAsia="Arial" w:hAnsi="Arial"/>
                <w:sz w:val="18"/>
                <w:szCs w:val="18"/>
                <w:color w:val="auto"/>
              </w:rPr>
              <w:t>(b) Each of the following terms is defined in the Section set forth opposite such term:</w:t>
            </w: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4"/>
                <w:szCs w:val="14"/>
                <w:color w:val="auto"/>
                <w:w w:val="91"/>
              </w:rPr>
              <w:t>Term</w:t>
            </w:r>
          </w:p>
        </w:tc>
        <w:tc>
          <w:tcPr>
            <w:tcW w:w="8060" w:type="dxa"/>
            <w:vAlign w:val="bottom"/>
          </w:tcPr>
          <w:p>
            <w:pPr>
              <w:spacing w:after="0"/>
              <w:rPr>
                <w:sz w:val="24"/>
                <w:szCs w:val="24"/>
                <w:color w:val="auto"/>
              </w:rPr>
            </w:pPr>
          </w:p>
        </w:tc>
        <w:tc>
          <w:tcPr>
            <w:tcW w:w="2660" w:type="dxa"/>
            <w:vAlign w:val="bottom"/>
            <w:gridSpan w:val="2"/>
          </w:tcPr>
          <w:p>
            <w:pPr>
              <w:jc w:val="right"/>
              <w:ind w:right="20"/>
              <w:spacing w:after="0"/>
              <w:rPr>
                <w:sz w:val="20"/>
                <w:szCs w:val="20"/>
                <w:color w:val="auto"/>
              </w:rPr>
            </w:pPr>
            <w:r>
              <w:rPr>
                <w:rFonts w:ascii="Arial" w:cs="Arial" w:eastAsia="Arial" w:hAnsi="Arial"/>
                <w:sz w:val="14"/>
                <w:szCs w:val="14"/>
                <w:color w:val="auto"/>
              </w:rPr>
              <w:t>Section</w:t>
            </w:r>
          </w:p>
        </w:tc>
      </w:tr>
      <w:tr>
        <w:trPr>
          <w:trHeight w:val="20"/>
        </w:trPr>
        <w:tc>
          <w:tcPr>
            <w:tcW w:w="32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95"/>
        </w:trPr>
        <w:tc>
          <w:tcPr>
            <w:tcW w:w="8380" w:type="dxa"/>
            <w:vAlign w:val="bottom"/>
            <w:gridSpan w:val="2"/>
          </w:tcPr>
          <w:p>
            <w:pPr>
              <w:spacing w:after="0" w:line="195" w:lineRule="exact"/>
              <w:rPr>
                <w:sz w:val="20"/>
                <w:szCs w:val="20"/>
                <w:color w:val="auto"/>
              </w:rPr>
            </w:pPr>
            <w:r>
              <w:rPr>
                <w:rFonts w:ascii="Arial" w:cs="Arial" w:eastAsia="Arial" w:hAnsi="Arial"/>
                <w:sz w:val="18"/>
                <w:szCs w:val="18"/>
                <w:color w:val="auto"/>
              </w:rPr>
              <w:t>Agreement</w:t>
            </w:r>
          </w:p>
        </w:tc>
        <w:tc>
          <w:tcPr>
            <w:tcW w:w="26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Audit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6.01(b)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Board</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7.01</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12.11(b)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Contribution Notice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Controlled Entities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10.02(e)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Dissolution Event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11.01(c)</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Economic Pubco Security</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4.01(a)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e-mail</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12.03</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Existing LLC Agreement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10.02(e)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Formation Transactions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GAAP</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3.03(b)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Indemnification Sources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10.02(e)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Indemnitee-Related Entities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10.02(e)(i)</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Jointly Indemnifiable Claims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10.02(e)(ii)</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7.01</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Master Transaction Agreement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Member Parties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12.11(a)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Member Schedule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Non-Affiliated Transferee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8.04</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7.10(a)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Process Agent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12.05(b)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Pubco</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Pubco Offer</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9.01(f)</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Redeemed Units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Redeeming Member</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Redemption</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Redemption Date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Redemption Notice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Redemption Right</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9.01(a)</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Regulatory Allocations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5.04(c)</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Retraction Notice</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9.01(b)</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Revaluation</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5.02(c)</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Transferor Member</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5.02(b)</w:t>
            </w: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Withholding Advances</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Section 5.06(b)</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441"/>
        <w:spacing w:after="0" w:line="27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4" w:right="41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As used in this Agreement, all references to “majority in interest” and phrases of similar import shall be deemed to refer to such percentage or fraction of interest based on the Relative Percentage Interests of the Members subject to such determination. Unless otherwise expressly provided herein, when any approval, consent or other matter requires any action or approval of any group of Members, including any holders of any class of Units, such approval, consent or other matter shall require the approval of a majority in interest of such group of Members. Except to the extent otherwise expressly provided herein, all references to any Member shall be deemed to refer solely to such Person in its capacity as such Member and not in any other capacity.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Formation</w:t>
      </w:r>
      <w:r>
        <w:rPr>
          <w:rFonts w:ascii="Arial" w:cs="Arial" w:eastAsia="Arial" w:hAnsi="Arial"/>
          <w:sz w:val="17"/>
          <w:szCs w:val="17"/>
          <w:color w:val="auto"/>
        </w:rPr>
        <w:t>. The Company was formed upon the filing of the certificate of formation of the Company with the Secretary of State of the State of Delaware on November 27, 2013. Any authorized officer or representative, as an “authorized person” within the meaning of the Delaware LLC Act, shall file and record any amendments and/or restatements to the certificate of formation of the Company and such other certificates and documents (and any amendments or restatements thereof) as may be required under the laws of the State of Delaware and of any other jurisdiction in which the Company may conduct business. Any such authorized officer or representative shall, on request, provide any Member with copies of each such document as filed and recorded. The Members hereby agree that the Company and its Subsidiaries shall be governed by the terms and conditions of this Agreement and, except as provided herein, the Delaware LLC Act.</w:t>
      </w:r>
    </w:p>
    <w:p>
      <w:pPr>
        <w:spacing w:after="0" w:line="17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Name</w:t>
      </w:r>
      <w:r>
        <w:rPr>
          <w:rFonts w:ascii="Arial" w:cs="Arial" w:eastAsia="Arial" w:hAnsi="Arial"/>
          <w:sz w:val="17"/>
          <w:szCs w:val="17"/>
          <w:color w:val="auto"/>
        </w:rPr>
        <w:t xml:space="preserve">. The name of the Company shall be BellRing Brands,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may change the name of the Company to such other name as the Board shall determine in its sole discretion, and the Board shall have the authority to execute, acknowledge, deliver, file and record such further certificates, amendments, instruments and documents, and to do all such other acts and things, as may be required by Applicable Law or as, in the reasonable judgment of the Board, may be necessary or advisable to effect such change.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Term</w:t>
      </w:r>
      <w:r>
        <w:rPr>
          <w:rFonts w:ascii="Arial" w:cs="Arial" w:eastAsia="Arial" w:hAnsi="Arial"/>
          <w:sz w:val="17"/>
          <w:szCs w:val="17"/>
          <w:color w:val="auto"/>
        </w:rPr>
        <w:t>. The Company shall have perpetual existence unless sooner dissolved and its affairs wound up as provided in Article XI.</w:t>
      </w:r>
    </w:p>
    <w:p>
      <w:pPr>
        <w:spacing w:after="0" w:line="23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Registered Agent and Registered Office</w:t>
      </w:r>
      <w:r>
        <w:rPr>
          <w:rFonts w:ascii="Arial" w:cs="Arial" w:eastAsia="Arial" w:hAnsi="Arial"/>
          <w:sz w:val="18"/>
          <w:szCs w:val="18"/>
          <w:color w:val="auto"/>
        </w:rPr>
        <w:t>. The name of the registered agent of the Company for service of process on the Company in the State of Delaware shall be Corporation Service Company, and the address of such registered agent and the address of the registered office of the Company in the State of Delaware shall be 251 Little Falls Drive in the City of Wilmington, County of New Castle, Delaware 19808. Such office and such agent may be changed to such place within the State of Delaware and any successor registered agent, respectively, as may be determined from time to time by the Board in accordance with the Delaware LLC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55" w:name="page56"/>
    <w:bookmarkEnd w:id="55"/>
    <w:p>
      <w:pPr>
        <w:ind w:right="2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2.05. </w:t>
      </w:r>
      <w:r>
        <w:rPr>
          <w:rFonts w:ascii="Arial" w:cs="Arial" w:eastAsia="Arial" w:hAnsi="Arial"/>
          <w:sz w:val="16"/>
          <w:szCs w:val="16"/>
          <w:u w:val="single" w:color="auto"/>
          <w:color w:val="auto"/>
        </w:rPr>
        <w:t>Purposes</w:t>
      </w:r>
      <w:r>
        <w:rPr>
          <w:rFonts w:ascii="Arial" w:cs="Arial" w:eastAsia="Arial" w:hAnsi="Arial"/>
          <w:sz w:val="16"/>
          <w:szCs w:val="16"/>
          <w:color w:val="auto"/>
        </w:rPr>
        <w:t>. The Company has been formed for the object and purpose of, and the nature of the business to be conducted and promoted by the Company is, to carry on any lawful act or activities for which limited liability companies may be organized under the Delaware LLC Act.</w:t>
      </w:r>
    </w:p>
    <w:p>
      <w:pPr>
        <w:spacing w:after="0" w:line="12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The Company shall have the power and authority to take any and all actions necessary, appropriate or advisable to or for the furtherance of the purposes set forth in Section 2.05.</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Partnership Tax Status</w:t>
      </w:r>
      <w:r>
        <w:rPr>
          <w:rFonts w:ascii="Arial" w:cs="Arial" w:eastAsia="Arial" w:hAnsi="Arial"/>
          <w:sz w:val="18"/>
          <w:szCs w:val="18"/>
          <w:color w:val="auto"/>
        </w:rPr>
        <w:t>. The Members intend that the Company shall be treated as a partnership for federal, state and local income tax purposes to the extent such treatment is available, and agree to take (or refrain from taking) such actions as may be necessary to receive and maintain such treatment and refrain from taking any actions inconsistent thereof. The Members acknowledge and agree that any Subsidiary of the Company that is classified as a partnership or disregarded entity at the time of IPO will not be converted to entity classified as a C corporation for federal income tax purposes.</w:t>
      </w:r>
    </w:p>
    <w:p>
      <w:pPr>
        <w:spacing w:after="0" w:line="18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Regulation of Internal Affairs</w:t>
      </w:r>
      <w:r>
        <w:rPr>
          <w:rFonts w:ascii="Arial" w:cs="Arial" w:eastAsia="Arial" w:hAnsi="Arial"/>
          <w:sz w:val="17"/>
          <w:szCs w:val="17"/>
          <w:color w:val="auto"/>
        </w:rPr>
        <w:t>. The internal affairs of the Company and the conduct of its business shall be regulated by this Agreement, and to the extent not provided for herein, shall be determined by the Board. The Board shall be responsible for the oversight of the Company’s operations and overall performance and strategy, while the management of the day-to-day operations of the business of the Company and the execution of business strategy shall be the responsibility of the Officers and employees of the Company and its Subsidiaries.</w:t>
      </w:r>
    </w:p>
    <w:p>
      <w:pPr>
        <w:spacing w:after="0" w:line="171" w:lineRule="exact"/>
        <w:rPr>
          <w:sz w:val="20"/>
          <w:szCs w:val="20"/>
          <w:color w:val="auto"/>
        </w:rPr>
      </w:pPr>
    </w:p>
    <w:p>
      <w:pPr>
        <w:ind w:right="600" w:firstLine="441"/>
        <w:spacing w:after="0" w:line="26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Legal title to all Property conveyed to, or held by, the Company or its Subsidiaries shall reside in the Company or its Subsidiaries and shall be conveyed only in the name of the Company or its Subsidiaries, and no Member or any other Person, individually, shall have any ownership of such Property.</w:t>
      </w:r>
    </w:p>
    <w:p>
      <w:pPr>
        <w:spacing w:after="0" w:line="18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shall cause the business and affairs of each of the Subsidiaries to be managed by the Board and the Officers and employees of the Company in accordance with and in a manner consistent with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 MEMBERS; BOOKS AND RECORDS; REPORTS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Units; Admission of Members</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87" w:lineRule="auto"/>
        <w:tabs>
          <w:tab w:leader="none" w:pos="123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Immediately after the Effective Time, pursuant to the Master Transaction Agreement, (i) the Company hereby establishes a new class of Common Units consisting of one Voting Common Unit having the terms set forth herein, and issues such Voting Common Unit to Pubco as set forth on Schedule A (the “</w:t>
      </w:r>
      <w:r>
        <w:rPr>
          <w:rFonts w:ascii="Arial" w:cs="Arial" w:eastAsia="Arial" w:hAnsi="Arial"/>
          <w:sz w:val="16"/>
          <w:szCs w:val="16"/>
          <w:u w:val="single" w:color="auto"/>
          <w:color w:val="auto"/>
        </w:rPr>
        <w:t>Member Schedule</w:t>
      </w:r>
      <w:r>
        <w:rPr>
          <w:rFonts w:ascii="Arial" w:cs="Arial" w:eastAsia="Arial" w:hAnsi="Arial"/>
          <w:sz w:val="16"/>
          <w:szCs w:val="16"/>
          <w:color w:val="auto"/>
        </w:rPr>
        <w:t>”) and (ii) the Company hereby establishes a new class of Nonvoting Common Units having the terms set forth herein. All limited liability company interests in the Company outstanding as of immediately prior to the Effective Time, all of which are held by Holdings, shall be reclassified into 97,474,180 Nonvoting Common Units, and the Company hereby issues 39,428,571 Nonvoting Common Units to Pubco, in each case, as set forth on the Member Schedule. The Member Schedule shall be maintained by the Officers on behalf of the Company in accordance with this Agreement, and the Board shall promptly deliver a copy of the Member Schedule to any Member that so requests. When any Units or other Equity Securities of the Company are issued, repurchased, redeemed, converted or Transferred in accordance with this Agreement, the Member Schedule shall be amended by the Officers to reflect such issuance, repurchase, redemption or Transfer, the admission of Additional Members or Substitute Members and the resulting Economic Percentage Interest of each Member. Following the date hereof, no Person shall be admitted as a Member and no additional Units shall be issued except as expressly provided herein.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6" w:name="page57"/>
    <w:bookmarkEnd w:id="56"/>
    <w:p>
      <w:pPr>
        <w:ind w:firstLine="996"/>
        <w:spacing w:after="0" w:line="302" w:lineRule="auto"/>
        <w:tabs>
          <w:tab w:leader="none" w:pos="1247"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may cause the Company to authorize and issue from time to time such additional Units or other Equity Securities of any type, class or series and having the designations, preferences and/or special rights as may be determined the Board. Such Units or other Equity Securities may be issued pursuant to such agreements as the Board shall approve. When any such additional Units or other Equity Securities are authorized and issued, the Member Schedule and this Agreement shall be amended by the Board to reflect such additional issuances.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Substitute Members and Additional Members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84" w:lineRule="auto"/>
        <w:tabs>
          <w:tab w:leader="none" w:pos="123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 Transferee of any Units or Person to whom any Units are issued pursuant to this Agreement shall be admitted as a Member hereunder or acquire any rights hereunder, including any voting rights or the right to receive distributions and allocations in respect of the Transferred or issued Units, as applicable, unless (i) such Units are Transferred or issued in compliance with the provisions of this Agreement (including Article VIII) and (ii) such Transferee or recipient shall have executed and delivered to the Company such instruments as the Board deems necessary or desirable, in its reasonable discretion, to effectuate the admission of such Transferee or recipient as a Member and to confirm the agreement of such Transferee or recipient to be bound by all of the terms and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Transfers which are permitted pursuant to</w:t>
      </w:r>
    </w:p>
    <w:p>
      <w:pPr>
        <w:spacing w:after="0" w:line="4" w:lineRule="exact"/>
        <w:rPr>
          <w:rFonts w:ascii="Arial" w:cs="Arial" w:eastAsia="Arial" w:hAnsi="Arial"/>
          <w:sz w:val="16"/>
          <w:szCs w:val="16"/>
          <w:color w:val="auto"/>
        </w:rPr>
      </w:pPr>
    </w:p>
    <w:p>
      <w:pPr>
        <w:ind w:right="8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8.02(c), Section 8.02(d), Section 8.02(e) and Section 8.02(f) shall not be subject to clause (ii) of this sentence. Upon complying with the immediately preceding sentence, without the need for any further action of any Person, a Transferee or recipient shall be deemed admitted to the Company as a Member. A Substitute Member shall enjoy the same rights, and be subject to the same obligations, as the Transferor;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Transferor shall not be relieved of any obligation or liability hereunder arising prior to the consummation of such Transfer but shall be relieved of all future obligations with respect to the Units so Transferred. As promptly as practicable after the admission of any Person as a Member, the books and records of the Company shall be changed to reflect such admission of a Substitute Member or Additional Member. In the event of any admission of a Substitute Member or Additional Member pursuant to this Section 3.02(a), this Agreement shall be deemed amended to reflect such admission, and any formal amendment of this Agreement (including the Member Schedule) in connection therewith shall only require execution by the Company and such Substitute Member or Additional Member, as applicable, to be effective.</w:t>
      </w:r>
    </w:p>
    <w:p>
      <w:pPr>
        <w:spacing w:after="0" w:line="73" w:lineRule="exact"/>
        <w:rPr>
          <w:rFonts w:ascii="Arial" w:cs="Arial" w:eastAsia="Arial" w:hAnsi="Arial"/>
          <w:sz w:val="16"/>
          <w:szCs w:val="16"/>
          <w:color w:val="auto"/>
        </w:rPr>
      </w:pPr>
    </w:p>
    <w:p>
      <w:pPr>
        <w:ind w:left="1260" w:hanging="264"/>
        <w:spacing w:after="0"/>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 Member shall Transfer all (but not less than all) of its Units, the Member shall thereupon cease to be a Member of the Company.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Accounting and Tax Information</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64"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Accounting Decisions and Reliance on Others</w:t>
      </w:r>
      <w:r>
        <w:rPr>
          <w:rFonts w:ascii="Arial" w:cs="Arial" w:eastAsia="Arial" w:hAnsi="Arial"/>
          <w:sz w:val="18"/>
          <w:szCs w:val="18"/>
          <w:color w:val="auto"/>
        </w:rPr>
        <w:t>. All decisions as to accounting matters, except as otherwise specifically set forth herein, shall be made by the Board or the Officers of the Company in accordance with this Agreement and Applicable Law. In making such decisions, the Board and the Officers of the Company may rely upon the advice of the independent accountants of the Company.</w:t>
      </w:r>
    </w:p>
    <w:p>
      <w:pPr>
        <w:spacing w:after="0" w:line="73" w:lineRule="exact"/>
        <w:rPr>
          <w:rFonts w:ascii="Arial" w:cs="Arial" w:eastAsia="Arial" w:hAnsi="Arial"/>
          <w:sz w:val="18"/>
          <w:szCs w:val="18"/>
          <w:color w:val="auto"/>
        </w:rPr>
      </w:pPr>
    </w:p>
    <w:p>
      <w:pPr>
        <w:ind w:right="40" w:firstLine="996"/>
        <w:spacing w:after="0" w:line="259" w:lineRule="auto"/>
        <w:tabs>
          <w:tab w:leader="none" w:pos="124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Records and Accounting Maintained</w:t>
      </w:r>
      <w:r>
        <w:rPr>
          <w:rFonts w:ascii="Arial" w:cs="Arial" w:eastAsia="Arial" w:hAnsi="Arial"/>
          <w:sz w:val="18"/>
          <w:szCs w:val="18"/>
          <w:color w:val="auto"/>
        </w:rPr>
        <w:t>. The books and records of the Company shall be kept, and the financial position and the results of its operations recorded, in all material respects in accordance with United States generally accepted accounting principles as in effect from time to time (“</w:t>
      </w:r>
      <w:r>
        <w:rPr>
          <w:rFonts w:ascii="Arial" w:cs="Arial" w:eastAsia="Arial" w:hAnsi="Arial"/>
          <w:sz w:val="18"/>
          <w:szCs w:val="18"/>
          <w:u w:val="single" w:color="auto"/>
          <w:color w:val="auto"/>
        </w:rPr>
        <w:t>GAAP</w:t>
      </w:r>
      <w:r>
        <w:rPr>
          <w:rFonts w:ascii="Arial" w:cs="Arial" w:eastAsia="Arial" w:hAnsi="Arial"/>
          <w:sz w:val="18"/>
          <w:szCs w:val="18"/>
          <w:color w:val="auto"/>
        </w:rPr>
        <w:t>”) and in accordance with Sections 6.1 and 6.2 of the Master Transaction Agreement. The Fiscal Year of the Company shall be used for financial reporting and for federal income tax purposes.</w:t>
      </w:r>
    </w:p>
    <w:p>
      <w:pPr>
        <w:spacing w:after="0" w:line="78" w:lineRule="exact"/>
        <w:rPr>
          <w:rFonts w:ascii="Arial" w:cs="Arial" w:eastAsia="Arial" w:hAnsi="Arial"/>
          <w:sz w:val="18"/>
          <w:szCs w:val="18"/>
          <w:color w:val="auto"/>
        </w:rPr>
      </w:pPr>
    </w:p>
    <w:p>
      <w:pPr>
        <w:ind w:right="280" w:firstLine="996"/>
        <w:spacing w:after="0" w:line="264" w:lineRule="auto"/>
        <w:tabs>
          <w:tab w:leader="none" w:pos="123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Financial Reports</w:t>
      </w:r>
      <w:r>
        <w:rPr>
          <w:rFonts w:ascii="Arial" w:cs="Arial" w:eastAsia="Arial" w:hAnsi="Arial"/>
          <w:sz w:val="18"/>
          <w:szCs w:val="18"/>
          <w:color w:val="auto"/>
        </w:rPr>
        <w:t>. To the extent required under Applicable Law, the Formation Documents or such other agreements by which the Company may be bound from time to time or as otherwise determined by the Board, the books and records of the Company shall be audited as of the end of each Fiscal Year by an accounting firm selected by the Board.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57" w:name="page58"/>
    <w:bookmarkEnd w:id="57"/>
    <w:p>
      <w:pPr>
        <w:ind w:left="1260" w:hanging="264"/>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36"/>
        <w:spacing w:after="0" w:line="302" w:lineRule="auto"/>
        <w:tabs>
          <w:tab w:leader="none" w:pos="1648"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shall timely prepare, or cause to be prepared by an accounting firm selected by the Board, all federal, state, local and foreign tax returns (including information returns) of the Company and its Subsidiaries, which may be required by a jurisdiction in which the Company and its Subsidiaries operate or conduct business for each year or period for which such returns are required to be filed and shall cause such returns to be timely filed. Upon request of any Member, the Company shall furnish to such Member a copy of each such tax return;</w:t>
      </w:r>
    </w:p>
    <w:p>
      <w:pPr>
        <w:spacing w:after="0" w:line="46" w:lineRule="exact"/>
        <w:rPr>
          <w:rFonts w:ascii="Arial" w:cs="Arial" w:eastAsia="Arial" w:hAnsi="Arial"/>
          <w:sz w:val="16"/>
          <w:szCs w:val="16"/>
          <w:color w:val="auto"/>
        </w:rPr>
      </w:pPr>
    </w:p>
    <w:p>
      <w:pPr>
        <w:ind w:right="80" w:firstLine="1436"/>
        <w:spacing w:after="0" w:line="293" w:lineRule="auto"/>
        <w:tabs>
          <w:tab w:leader="none" w:pos="1698"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shall furnish to each Member (a) as soon as reasonably practical after the end of each Fiscal Year, all information concerning the Company and its Subsidiaries required for the preparation of tax returns of such Members (or any beneficial owner(s) of such Member), including a report (including Schedule K-1) indicating each Member’s share of the Company’s taxable income, gain, credits, losses and deductions for such year, in sufficient detail to enable such Member to prepare its federal, state and other tax returns and (b) as soon as reasonably possible after a request by such Member, such other information concerning the Company and its Subsidiaries that is reasonably requested by such Member for compliance with its tax obligations (or the tax obligations of any beneficial owner(s) of such Member) or for tax planning purposes; and</w:t>
      </w:r>
    </w:p>
    <w:p>
      <w:pPr>
        <w:spacing w:after="0" w:line="56" w:lineRule="exact"/>
        <w:rPr>
          <w:rFonts w:ascii="Arial" w:cs="Arial" w:eastAsia="Arial" w:hAnsi="Arial"/>
          <w:sz w:val="16"/>
          <w:szCs w:val="16"/>
          <w:color w:val="auto"/>
        </w:rPr>
      </w:pPr>
    </w:p>
    <w:p>
      <w:pPr>
        <w:ind w:right="60" w:firstLine="1436"/>
        <w:spacing w:after="0" w:line="254" w:lineRule="auto"/>
        <w:tabs>
          <w:tab w:leader="none" w:pos="17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So long as it holds at least a 5% Economic Percentage Interest, Holdings shall be entitled to review and comment on any tax returns or reports to be prepared pursuant to this Section 3.03(d) at least sixty days prior to the due date for the applicable tax return or report (including extensions). Holdings shall notify the Company no later than thirty days after receipt of a tax return or report of any changes recommended thereby to such return or report. The Company shall consider in good faith all reasonable comments of Holdings to such tax returns or reports. If the Company does not accept any such comment, the Company shall notify Holdings, as applicable, of that fact. If within five days of such notification, Holdings requests in writing a review of a rejected comment, the Company shall cause its regular tax advisors to review the comment and consult with Holdings. The determination of the tax advisors following such review and consultation shall definitively determine the position taken on the Company’s tax return or report.</w:t>
      </w:r>
    </w:p>
    <w:p>
      <w:pPr>
        <w:spacing w:after="0" w:line="84" w:lineRule="exact"/>
        <w:rPr>
          <w:rFonts w:ascii="Arial" w:cs="Arial" w:eastAsia="Arial" w:hAnsi="Arial"/>
          <w:sz w:val="18"/>
          <w:szCs w:val="18"/>
          <w:color w:val="auto"/>
        </w:rPr>
      </w:pPr>
    </w:p>
    <w:p>
      <w:pPr>
        <w:ind w:right="160" w:firstLine="996"/>
        <w:spacing w:after="0" w:line="259"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Inconsistent Positions</w:t>
      </w:r>
      <w:r>
        <w:rPr>
          <w:rFonts w:ascii="Arial" w:cs="Arial" w:eastAsia="Arial" w:hAnsi="Arial"/>
          <w:sz w:val="18"/>
          <w:szCs w:val="18"/>
          <w:color w:val="auto"/>
        </w:rPr>
        <w:t>. No Member shall take a position on its income tax return with respect to any item of Company income, gain, deduction, loss or credit that is different from the position taken on the Company’s income tax return with respect to such item unless such Member notifies the Company of the different position the Member desires to take and provides a tax opinion from a nationally recognized advisor to the effect that the position adopted by the Company is not supported by substantial authority.</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keep full and accurate books of account and other records of the Company at its principal executive office or at such other location determined by the Board. No Member (other than, so long as each holds an interest in the Company, Pubco and Holdings) shall have any right to inspect the books and records of the Company or any of its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PUBCO OWNERSHIP; RESTRICTIONS ON PUBCO 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Pubco Ownership</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67" w:lineRule="auto"/>
        <w:tabs>
          <w:tab w:leader="none" w:pos="1237"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at any time Pubco issues a share of Class A Common Stock or any other Equity Security of Pubco entitled to any economic rights (including, without limitation, in the IPO or pursuant to equity compensation plans or outstanding options, rights, warrants or other awards thereunder or pursuant to Share Settlements of Redemptions under Article IX) (an “</w:t>
      </w:r>
      <w:r>
        <w:rPr>
          <w:rFonts w:ascii="Arial" w:cs="Arial" w:eastAsia="Arial" w:hAnsi="Arial"/>
          <w:sz w:val="17"/>
          <w:szCs w:val="17"/>
          <w:u w:val="single" w:color="auto"/>
          <w:color w:val="auto"/>
        </w:rPr>
        <w:t>Economic Pubco Security</w:t>
      </w:r>
      <w:r>
        <w:rPr>
          <w:rFonts w:ascii="Arial" w:cs="Arial" w:eastAsia="Arial" w:hAnsi="Arial"/>
          <w:sz w:val="17"/>
          <w:szCs w:val="17"/>
          <w:color w:val="auto"/>
        </w:rPr>
        <w:t xml:space="preserve">”) with regard thereto (not including, for the avoidance of doubt, the Class B Common Stock or other Equity Security of Pubco not entitled to any economic rights with respect thereto), (i) the Company shall issue to Pubco one Nonvoting Common Unit (if Pubco issues a share of Class A Common Stock) or such other Equity Security of the Company (if Pubco issues an Economic Pubco Security other than Class A Common Stock) corresponding to the Economic Pubco Security, and with substantially the same rights to dividends and distributions (including distributions upon liquidation) and other economic rights as those of such Economic Pubco Security and (ii) the net proceeds received by Pubco with respect to the corresponding Economic Pubco Security, if any, shall be concurrently contributed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Pubco issues any Economic Pubco Securities, some or all of the net proceeds of which are to be used to fund expenses or other obligations of Pubco for which Pubco would be permitted a distribution pursuant to Section 5.03(c), then Pubco shall not be required to transfer such net proceeds to the Company which are used or will be used to fund such expenses or obligations (but the Capital Account of Pubco shall be increased by the amount of such net proceeds not contributed to the Company),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Pubco issues any shares of Class A Common Stock in order to purchase or fund the purchase from a Non-Pubco Member of a number of Nonvoting Common Units or to purchase or fund the purchase of shares of Class A Common Stock, in each case equal to the number of shares of Class A Common Stock issued (including, in each case, by way of exchange), then the Company shall not issue any new Nonvoting Common Units in connection therewith and Pubco shall not be required to transfer such net proceeds to the Company (it being understood that such net proceeds shall instead be transferred to the Person from which such purchase was made).</w:t>
      </w:r>
    </w:p>
    <w:p>
      <w:pPr>
        <w:spacing w:after="0" w:line="84" w:lineRule="exact"/>
        <w:rPr>
          <w:rFonts w:ascii="Arial" w:cs="Arial" w:eastAsia="Arial" w:hAnsi="Arial"/>
          <w:sz w:val="17"/>
          <w:szCs w:val="17"/>
          <w:color w:val="auto"/>
        </w:rPr>
      </w:pPr>
    </w:p>
    <w:p>
      <w:pPr>
        <w:ind w:firstLine="996"/>
        <w:spacing w:after="0" w:line="273" w:lineRule="auto"/>
        <w:tabs>
          <w:tab w:leader="none" w:pos="1247"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Notwithstanding Section 4.01(a), this Article IV shall not apply (i) to the issuance and distribution to holders of shares of Pubco Common Stock of rights to purchase Equity Securities of Pubco under a “poison pill” or similar stockholders rights plan (it being understood that upon a Redemption, such Class A Common Stock will be issued together with a corresponding right) or (ii) to the issuance under Pubco’s employee benefit plans or directors’ compensation plan of any warrants, options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rights, warrants, options or other rights or property.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Restrictions on Pubco Common Stock</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93" w:lineRule="auto"/>
        <w:tabs>
          <w:tab w:leader="none" w:pos="12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otherwise determined by the Board in accordance with Section 4.02(d), (i) the Company may not issue any additional Nonvoting Common Units to Pubco or any of its Subsidiaries unless substantially simultaneously therewith, Pubco or such Subsidiary issues or sells an equal number of shares of Class A Common Stock to another Person and (ii) the Company may not issue any other Equity Securities of the Company to Pubco or any of its Subsidiaries unless substantially simultaneously therewith, Pubco or such Subsidiary issues or sells, to another Person, an equal number of shares of a new class or series of Equity Securities of Pubco or such Subsidiary with substantially the same rights to dividends and distributions (including dividends and distributions upon liquidation) and other economic rights as those of such Equity Securities of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59" w:name="page60"/>
    <w:bookmarkEnd w:id="59"/>
    <w:p>
      <w:pPr>
        <w:ind w:left="-20" w:firstLine="996"/>
        <w:spacing w:after="0" w:line="284" w:lineRule="auto"/>
        <w:tabs>
          <w:tab w:leader="none" w:pos="1227"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determined by the Board in accordance with Section 4.02(d), (i) Pubco or any of its Subsidiaries may not redeem, repurchase or otherwise acquire any shares of Class A Common Stock unless substantially simultaneously therewith the Company redeems, repurchases or otherwise acquires from Pubco an equal number of Nonvoting Common Units for the same price per security (or, if Pubco uses funds received from prior distributions from the Company or other funds available to Pubco that were not provided by the Company or the net proceeds from an issuance of shares of Class A Common Stock to fund such redemption, repurchase or acquisition, then the Company shall cancel an equal number of Nonvoting Common Units for no consideration) and (ii) Pubco or any of its Subsidiaries may not redeem or repurchase any other Equity Securities of Pubco unless substantially simultaneously therewith, the Company redeems or repurchases from Pubco an equal number of Equity Securities of the Company of a corresponding class or series with substantially the same rights to dividends and distributions (including dividends and distributions upon liquidation) or other economic rights as those of such Equity Securities of Pubco for the same price per security (or, if Pubco uses funds received from distributions from the Company or the net proceeds from an issuance of Equity Securities other than Class A Common Stock to fund such redemption, repurchase or acquisition, then the Company shall cancel an equal number of its corresponding Equity Securities for no consideration). Except as otherwise determined by the Board in accordance with Section 4.02(d): (x) the Company may not redeem, repurchase or otherwise acquire Nonvoting Common Units from Pubco or any of its Subsidiaries unless substantially simultaneously therewith Pubco or such Subsidiary redeems, repurchases or otherwise acquires an equal number of shares of Class A Common Stock for the same price per security from holders thereof (except that if the Company cancels Nonvoting Common Units for no consideration as described in Section 4.02(b)(i), then the price per security need not be the same) and (y) the Company may not redeem, repurchase or otherwise acquire any other Equity Securities of the Company from Pubco or any of its Subsidiaries unless substantially simultaneously therewith Pubco or such Subsidiary redeems, repurchases or otherwise acquires for the same price per security an equal number of Equity Securities of Pubco of a corresponding class or series with substantially the same rights to dividends and distributions (including dividends and distributions upon liquidation) and other economic rights as those of such Equity Securities of Pubco (except that if the Company cancels Equity Securities for no consideration as described in Section 4.02(b)(ii), then the price per security need not be the same). Notwithstanding the immediately preceding sentence, if any consideration payable to Pubco in connection with the exercise of options or warrants issued for shares of Class A Common Stock consists (in whole or in part) of shares or other Equity Securities of Pubco (including, for the avoidance of doubt, in connection with the cashless or net exercise of an option or warrant), then the redemption or repurchase of the corresponding Nonvoting Common Units or other Equity Securities of the Company shall be effectuated in a substantially equivalent manner (except if the Company cancels Nonvoting Common Units or other Equity Securities for no consideration as described in this Section 4.02(b)).</w:t>
      </w:r>
    </w:p>
    <w:p>
      <w:pPr>
        <w:spacing w:after="0" w:line="67" w:lineRule="exact"/>
        <w:rPr>
          <w:rFonts w:ascii="Arial" w:cs="Arial" w:eastAsia="Arial" w:hAnsi="Arial"/>
          <w:sz w:val="16"/>
          <w:szCs w:val="16"/>
          <w:color w:val="auto"/>
        </w:rPr>
      </w:pPr>
    </w:p>
    <w:p>
      <w:pPr>
        <w:ind w:left="-20" w:right="20" w:firstLine="996"/>
        <w:spacing w:after="0" w:line="290" w:lineRule="auto"/>
        <w:tabs>
          <w:tab w:leader="none" w:pos="121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Nonvoting Common Units unless accompanied by a substantively identical subdivision or combination, as applicable, of the outstanding Class A Common Stock, with corresponding changes made with respect to any other exchangeable or convertible securities. Pubco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Class A Common Stock unless accompanied by a substantively identical subdivision or combination of the outstanding Nonvoting Common Units, with corresponding changes made with respect to any other exchangeable or convertible securities.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60" w:name="page61"/>
    <w:bookmarkEnd w:id="60"/>
    <w:p>
      <w:pPr>
        <w:ind w:left="1260" w:hanging="264"/>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in this Article IV:</w:t>
      </w:r>
    </w:p>
    <w:p>
      <w:pPr>
        <w:spacing w:after="0" w:line="117" w:lineRule="exact"/>
        <w:rPr>
          <w:rFonts w:ascii="Arial" w:cs="Arial" w:eastAsia="Arial" w:hAnsi="Arial"/>
          <w:sz w:val="18"/>
          <w:szCs w:val="18"/>
          <w:color w:val="auto"/>
        </w:rPr>
      </w:pPr>
    </w:p>
    <w:p>
      <w:pPr>
        <w:ind w:firstLine="1436"/>
        <w:spacing w:after="0" w:line="255" w:lineRule="auto"/>
        <w:tabs>
          <w:tab w:leader="none" w:pos="1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if at any time the Board shall determine that any debt instrument of Pubco, the Company or its Subsidiaries shall not permit Pubco or the Company to comply with the provisions of Section 4.02(a) or Section 4.02(b) in connection with the issuance, redemption or repurchase of any shares of Class A Common Stock or other Equity Securities of Pubco or any of its Subsidiaries or any Units or other Equity Securities of the Company, then the Board may in good faith implement an economically equivalent alternative arrangement without complying with such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arrangement shall also be subject to the prior written consent (not to be unreasonably withheld) of Holdings, so long as it holds at least a 10% Economic Percentage Interest; and</w:t>
      </w:r>
    </w:p>
    <w:p>
      <w:pPr>
        <w:spacing w:after="0" w:line="85" w:lineRule="exact"/>
        <w:rPr>
          <w:rFonts w:ascii="Arial" w:cs="Arial" w:eastAsia="Arial" w:hAnsi="Arial"/>
          <w:sz w:val="18"/>
          <w:szCs w:val="18"/>
          <w:color w:val="auto"/>
        </w:rPr>
      </w:pPr>
    </w:p>
    <w:p>
      <w:pPr>
        <w:ind w:firstLine="1436"/>
        <w:spacing w:after="0" w:line="273" w:lineRule="auto"/>
        <w:tabs>
          <w:tab w:leader="none" w:pos="1698"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if (x) Pubco incurs any indebtedness and desires to transfer the proceeds of such indebtedness to the Company and (y) Pubco is unable to lend the proceeds of such indebtedness to the Company on an equivalent basis because of restrictions in any debt instrument of Pubco, the Company or its Subsidiaries, then notwithstanding Section 4.02(a) or Section 4.02(b), the Board may in good faith implement an economically equivalent alternative arrangement in connection with the transfer of proceeds to the Company using non-participating preferred Equity Securities of the Company without complying with such provisions;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arrangement shall also be subject to the prior written consent (not to be unreasonably withheld) of Holdings, so long as it holds at least a 10% Economic Percentage Interest.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 CAPITAL ACCOUNTS; DISTRIBUTIONS; ALLOCATIONS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w:t>
      </w:r>
    </w:p>
    <w:p>
      <w:pPr>
        <w:spacing w:after="0" w:line="117" w:lineRule="exact"/>
        <w:rPr>
          <w:sz w:val="20"/>
          <w:szCs w:val="20"/>
          <w:color w:val="auto"/>
        </w:rPr>
      </w:pPr>
    </w:p>
    <w:p>
      <w:pPr>
        <w:ind w:right="240" w:firstLine="996"/>
        <w:spacing w:after="0" w:line="277" w:lineRule="auto"/>
        <w:tabs>
          <w:tab w:leader="none" w:pos="12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and after the date hereof, no Member shall have any obligation to the Company, to any other Member or to any creditor of the Company to make any further Capital Contribution, except as expressly provided in Section 4.01(a) or Section 9.02.</w:t>
      </w:r>
    </w:p>
    <w:p>
      <w:pPr>
        <w:spacing w:after="0" w:line="62" w:lineRule="exact"/>
        <w:rPr>
          <w:rFonts w:ascii="Arial" w:cs="Arial" w:eastAsia="Arial" w:hAnsi="Arial"/>
          <w:sz w:val="18"/>
          <w:szCs w:val="18"/>
          <w:color w:val="auto"/>
        </w:rPr>
      </w:pPr>
    </w:p>
    <w:p>
      <w:pPr>
        <w:ind w:right="360" w:firstLine="996"/>
        <w:spacing w:after="0" w:line="277" w:lineRule="auto"/>
        <w:tabs>
          <w:tab w:leader="none" w:pos="12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expressly provided herein, no Member, in its capacity as a Member, shall have the right to receive any cash or any other property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Capital Accounts</w:t>
      </w:r>
      <w:r>
        <w:rPr>
          <w:rFonts w:ascii="Arial" w:cs="Arial" w:eastAsia="Arial" w:hAnsi="Arial"/>
          <w:sz w:val="18"/>
          <w:szCs w:val="18"/>
          <w:color w:val="auto"/>
        </w:rPr>
        <w:t>.</w:t>
      </w:r>
    </w:p>
    <w:p>
      <w:pPr>
        <w:spacing w:after="0" w:line="117" w:lineRule="exact"/>
        <w:rPr>
          <w:sz w:val="20"/>
          <w:szCs w:val="20"/>
          <w:color w:val="auto"/>
        </w:rPr>
      </w:pPr>
    </w:p>
    <w:p>
      <w:pPr>
        <w:jc w:val="both"/>
        <w:ind w:right="280" w:firstLine="996"/>
        <w:spacing w:after="0" w:line="264"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Maintenance of Capital Accounts</w:t>
      </w:r>
      <w:r>
        <w:rPr>
          <w:rFonts w:ascii="Arial" w:cs="Arial" w:eastAsia="Arial" w:hAnsi="Arial"/>
          <w:sz w:val="18"/>
          <w:szCs w:val="18"/>
          <w:color w:val="auto"/>
        </w:rPr>
        <w:t>. The Company shall maintain a Capital Account for each Economic Member on the books of the Company in accordance with the provisions of Treasury Regulations Section 1.704-1(b)(2)(iv) and, to the extent consistent with such provisions, the following provisions:</w:t>
      </w:r>
    </w:p>
    <w:p>
      <w:pPr>
        <w:spacing w:after="0" w:line="73" w:lineRule="exact"/>
        <w:rPr>
          <w:rFonts w:ascii="Arial" w:cs="Arial" w:eastAsia="Arial" w:hAnsi="Arial"/>
          <w:sz w:val="18"/>
          <w:szCs w:val="18"/>
          <w:color w:val="auto"/>
        </w:rPr>
      </w:pPr>
    </w:p>
    <w:p>
      <w:pPr>
        <w:ind w:right="140" w:firstLine="1436"/>
        <w:spacing w:after="0" w:line="288" w:lineRule="auto"/>
        <w:tabs>
          <w:tab w:leader="none" w:pos="1648" w:val="left"/>
        </w:tabs>
        <w:numPr>
          <w:ilvl w:val="1"/>
          <w:numId w:val="68"/>
        </w:numPr>
        <w:rPr>
          <w:rFonts w:ascii="Arial" w:cs="Arial" w:eastAsia="Arial" w:hAnsi="Arial"/>
          <w:sz w:val="16"/>
          <w:szCs w:val="16"/>
          <w:color w:val="auto"/>
        </w:rPr>
      </w:pPr>
      <w:r>
        <w:rPr>
          <w:rFonts w:ascii="Arial" w:cs="Arial" w:eastAsia="Arial" w:hAnsi="Arial"/>
          <w:sz w:val="16"/>
          <w:szCs w:val="16"/>
          <w:color w:val="auto"/>
        </w:rPr>
        <w:t>Each Economic Member listed on the Member Schedule shall be credited with the Formation Date Capital Account Balance set forth on the Member Schedule. The Member Schedule shall be amended after the closing of the IPO and from time to time (without the consent or approval of any Member) to reflect adjustments to the Economic Members’ Capital Accounts made in accordance with Section 5.02(a)(ii),</w:t>
      </w:r>
    </w:p>
    <w:p>
      <w:pPr>
        <w:spacing w:after="0"/>
        <w:rPr>
          <w:rFonts w:ascii="Arial" w:cs="Arial" w:eastAsia="Arial" w:hAnsi="Arial"/>
          <w:sz w:val="16"/>
          <w:szCs w:val="16"/>
          <w:color w:val="auto"/>
        </w:rPr>
      </w:pPr>
      <w:r>
        <w:rPr>
          <w:rFonts w:ascii="Arial" w:cs="Arial" w:eastAsia="Arial" w:hAnsi="Arial"/>
          <w:sz w:val="18"/>
          <w:szCs w:val="18"/>
          <w:color w:val="auto"/>
        </w:rPr>
        <w:t>Section 5.02(a)(iii), Section 5.02(a)(iv), Section 5.02(c) or otherwise.</w:t>
      </w:r>
    </w:p>
    <w:p>
      <w:pPr>
        <w:spacing w:after="0" w:line="102" w:lineRule="exact"/>
        <w:rPr>
          <w:rFonts w:ascii="Arial" w:cs="Arial" w:eastAsia="Arial" w:hAnsi="Arial"/>
          <w:sz w:val="16"/>
          <w:szCs w:val="16"/>
          <w:color w:val="auto"/>
        </w:rPr>
      </w:pPr>
    </w:p>
    <w:p>
      <w:pPr>
        <w:ind w:firstLine="1436"/>
        <w:spacing w:after="0" w:line="259" w:lineRule="auto"/>
        <w:tabs>
          <w:tab w:leader="none" w:pos="16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each Economic Member’s Capital Account there shall be credited: (A) such Economic Member’s Capital Contributions (without duplication for any amounts credited to such Member’s Capital Account under Section 5.02(a)(i)), (B) such Member’s distributive share of Net Income and any item in the nature of income or gain that is allocated pursuant to Section 5.04 and (C) the amount of any Company liabilities assumed by such Member or that are secured by any Property distributed to such Member.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61" w:name="page62"/>
    <w:bookmarkEnd w:id="61"/>
    <w:p>
      <w:pPr>
        <w:jc w:val="both"/>
        <w:ind w:right="200" w:firstLine="1436"/>
        <w:spacing w:after="0" w:line="279" w:lineRule="auto"/>
        <w:tabs>
          <w:tab w:leader="none" w:pos="1748"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Economic Member’s Capital Account there shall be debited: (A) the amount of money and the Carrying Value of any Property distributed to such Member pursuant to any provision of this Agreement, (B) such Member’s distributive share of Net Loss and any items in the nature of expenses or losses that are allocated to such Member pursuant to Section 5.04 and (C) the amount of any liabilities of such Member assumed by the Company or that are secured by any Property contributed by such Member to the Company.</w:t>
      </w:r>
    </w:p>
    <w:p>
      <w:pPr>
        <w:spacing w:after="0" w:line="63" w:lineRule="exact"/>
        <w:rPr>
          <w:rFonts w:ascii="Arial" w:cs="Arial" w:eastAsia="Arial" w:hAnsi="Arial"/>
          <w:sz w:val="17"/>
          <w:szCs w:val="17"/>
          <w:color w:val="auto"/>
        </w:rPr>
      </w:pPr>
    </w:p>
    <w:p>
      <w:pPr>
        <w:ind w:right="260" w:firstLine="1436"/>
        <w:spacing w:after="0" w:line="277" w:lineRule="auto"/>
        <w:tabs>
          <w:tab w:leader="none" w:pos="17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determining the amount of any liability for purposes of Section 5.02(a)(ii) and Section 5.02(a)(iii) there shall be taken into account Section 752(c) of the Code and any other applicable provisions of the Code and the Treasury Regulations.</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Board shall reasonably determine that it is prudent to modify the manner in which the Capital Accounts or any debits or credits thereto are maintained (including debits or credits relating to liabilities that are secured by contributed or distributed Property or that are assumed by the Company or the Members), the Board may make such modification so long as such modification will not have any effect on the amounts distributed to any Person pursuant to Article XI upon the dissolution of the Company. The Board also shall (i) make any adjustments that are necessary or appropriate to maintain equality between Capital Accounts of the Members and the amount of capital reflected on the Company’s balance sheet, as computed for book purposes, in accordance with Treasury Regulations Section 1.704-1(b)(2)(iv)(g), and (ii) make any appropriate modifications in the event unanticipated events might otherwise cause this Agreement not to comply with Treasury Regulations Section 1.704-1(b).</w:t>
      </w:r>
    </w:p>
    <w:p>
      <w:pPr>
        <w:spacing w:after="0" w:line="59" w:lineRule="exact"/>
        <w:rPr>
          <w:sz w:val="20"/>
          <w:szCs w:val="20"/>
          <w:color w:val="auto"/>
        </w:rPr>
      </w:pPr>
    </w:p>
    <w:p>
      <w:pPr>
        <w:ind w:right="160" w:firstLine="996"/>
        <w:spacing w:after="0" w:line="264" w:lineRule="auto"/>
        <w:tabs>
          <w:tab w:leader="none" w:pos="124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Succession to Capital Accounts</w:t>
      </w:r>
      <w:r>
        <w:rPr>
          <w:rFonts w:ascii="Arial" w:cs="Arial" w:eastAsia="Arial" w:hAnsi="Arial"/>
          <w:sz w:val="18"/>
          <w:szCs w:val="18"/>
          <w:color w:val="auto"/>
        </w:rPr>
        <w:t>. In the event any Person becomes a Substitute Member in accordance with the provisions of this Agreement, such Substitute Member shall succeed to the Capital Account of the former Member (the “</w:t>
      </w:r>
      <w:r>
        <w:rPr>
          <w:rFonts w:ascii="Arial" w:cs="Arial" w:eastAsia="Arial" w:hAnsi="Arial"/>
          <w:sz w:val="18"/>
          <w:szCs w:val="18"/>
          <w:u w:val="single" w:color="auto"/>
          <w:color w:val="auto"/>
        </w:rPr>
        <w:t>Transferor Member</w:t>
      </w:r>
      <w:r>
        <w:rPr>
          <w:rFonts w:ascii="Arial" w:cs="Arial" w:eastAsia="Arial" w:hAnsi="Arial"/>
          <w:sz w:val="18"/>
          <w:szCs w:val="18"/>
          <w:color w:val="auto"/>
        </w:rPr>
        <w:t>”) to the extent such Capital Account relates to the Transferred Units.</w:t>
      </w:r>
    </w:p>
    <w:p>
      <w:pPr>
        <w:spacing w:after="0" w:line="73" w:lineRule="exact"/>
        <w:rPr>
          <w:rFonts w:ascii="Arial" w:cs="Arial" w:eastAsia="Arial" w:hAnsi="Arial"/>
          <w:sz w:val="18"/>
          <w:szCs w:val="18"/>
          <w:color w:val="auto"/>
        </w:rPr>
      </w:pPr>
    </w:p>
    <w:p>
      <w:pPr>
        <w:ind w:right="80" w:firstLine="996"/>
        <w:spacing w:after="0" w:line="271" w:lineRule="auto"/>
        <w:tabs>
          <w:tab w:leader="none" w:pos="123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Adjustments of Capital Accounts</w:t>
      </w:r>
      <w:r>
        <w:rPr>
          <w:rFonts w:ascii="Arial" w:cs="Arial" w:eastAsia="Arial" w:hAnsi="Arial"/>
          <w:sz w:val="17"/>
          <w:szCs w:val="17"/>
          <w:color w:val="auto"/>
        </w:rPr>
        <w:t>. The Company shall revalue the Capital Accounts of the Members in accordance with Treasury Regulations Section 1.704-1(b)(2)(iv)(f) (a “</w:t>
      </w:r>
      <w:r>
        <w:rPr>
          <w:rFonts w:ascii="Arial" w:cs="Arial" w:eastAsia="Arial" w:hAnsi="Arial"/>
          <w:sz w:val="17"/>
          <w:szCs w:val="17"/>
          <w:u w:val="single" w:color="auto"/>
          <w:color w:val="auto"/>
        </w:rPr>
        <w:t>Revaluation</w:t>
      </w:r>
      <w:r>
        <w:rPr>
          <w:rFonts w:ascii="Arial" w:cs="Arial" w:eastAsia="Arial" w:hAnsi="Arial"/>
          <w:sz w:val="17"/>
          <w:szCs w:val="17"/>
          <w:color w:val="auto"/>
        </w:rPr>
        <w:t xml:space="preserve">”) at the following times: (i) immediately prior to the contribution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money or other property to the Company by a new or existing Member as consideration for one or more Units; (ii) the distribution by the Company to a Member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property in respect of one or more Units; (iii) the issuance by the Company of more than a </w:t>
      </w:r>
      <w:r>
        <w:rPr>
          <w:rFonts w:ascii="Arial" w:cs="Arial" w:eastAsia="Arial" w:hAnsi="Arial"/>
          <w:sz w:val="17"/>
          <w:szCs w:val="17"/>
          <w:i w:val="1"/>
          <w:iCs w:val="1"/>
          <w:color w:val="auto"/>
        </w:rPr>
        <w:t xml:space="preserve">de minimis </w:t>
      </w:r>
      <w:r>
        <w:rPr>
          <w:rFonts w:ascii="Arial" w:cs="Arial" w:eastAsia="Arial" w:hAnsi="Arial"/>
          <w:sz w:val="17"/>
          <w:szCs w:val="17"/>
          <w:color w:val="auto"/>
        </w:rPr>
        <w:t>amount of Units as consideration for the provision of services to or for the benefit of the Company (as described in Treasury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1.704-1(b)(2)(iv)(f)(5)(iii)) and (iv) the liquidation of the Company within the meaning of Treasury Regulations Section 1.704-1(b)(2)(ii)(g);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adjustments pursuant to clauses (i), (ii) and (iii) above shall be made only if the Board reasonably determines that such adjustments are necessary or appropriate to reflect the relative economic interest of the Members.</w:t>
      </w:r>
    </w:p>
    <w:p>
      <w:pPr>
        <w:spacing w:after="0" w:line="70" w:lineRule="exact"/>
        <w:rPr>
          <w:rFonts w:ascii="Arial" w:cs="Arial" w:eastAsia="Arial" w:hAnsi="Arial"/>
          <w:sz w:val="17"/>
          <w:szCs w:val="17"/>
          <w:color w:val="auto"/>
        </w:rPr>
      </w:pPr>
    </w:p>
    <w:p>
      <w:pPr>
        <w:jc w:val="both"/>
        <w:ind w:right="240" w:firstLine="996"/>
        <w:spacing w:after="0" w:line="259" w:lineRule="auto"/>
        <w:tabs>
          <w:tab w:leader="none" w:pos="124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Withdrawal/Distribution Limitations</w:t>
      </w:r>
      <w:r>
        <w:rPr>
          <w:rFonts w:ascii="Arial" w:cs="Arial" w:eastAsia="Arial" w:hAnsi="Arial"/>
          <w:sz w:val="18"/>
          <w:szCs w:val="18"/>
          <w:color w:val="auto"/>
        </w:rPr>
        <w:t>. No Member shall be entitled to withdraw capital or receive distributions except as specifically provided herein. A Member shall have no obligation to the Company, to any other Member or to any creditor of the Company to restore any negative balance in the Capital Account of such Member. Except as expressly provided elsewhere herein, no interest shall be paid on the balance in any Member’s Capital Account.</w:t>
      </w:r>
    </w:p>
    <w:p>
      <w:pPr>
        <w:spacing w:after="0" w:line="78" w:lineRule="exact"/>
        <w:rPr>
          <w:rFonts w:ascii="Arial" w:cs="Arial" w:eastAsia="Arial" w:hAnsi="Arial"/>
          <w:sz w:val="18"/>
          <w:szCs w:val="18"/>
          <w:color w:val="auto"/>
        </w:rPr>
      </w:pPr>
    </w:p>
    <w:p>
      <w:pPr>
        <w:ind w:right="60" w:firstLine="996"/>
        <w:spacing w:after="0" w:line="264"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Per Unit Determination</w:t>
      </w:r>
      <w:r>
        <w:rPr>
          <w:rFonts w:ascii="Arial" w:cs="Arial" w:eastAsia="Arial" w:hAnsi="Arial"/>
          <w:sz w:val="18"/>
          <w:szCs w:val="18"/>
          <w:color w:val="auto"/>
        </w:rPr>
        <w:t>. Whenever it is necessary for purposes of this Agreement to determine a Member’s Capital Account on a per Unit basis, such amount shall be determined by dividing the Capital Account of such Member attributable to the applicable class of Units held of record by such Member by the number of Units of such class held of record by such Member.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5.03. </w:t>
      </w:r>
      <w:r>
        <w:rPr>
          <w:rFonts w:ascii="Arial" w:cs="Arial" w:eastAsia="Arial" w:hAnsi="Arial"/>
          <w:sz w:val="18"/>
          <w:szCs w:val="18"/>
          <w:u w:val="single" w:color="auto"/>
          <w:color w:val="auto"/>
        </w:rPr>
        <w:t>Amounts and Priority of Distributions</w:t>
      </w:r>
      <w:r>
        <w:rPr>
          <w:rFonts w:ascii="Arial" w:cs="Arial" w:eastAsia="Arial" w:hAnsi="Arial"/>
          <w:sz w:val="18"/>
          <w:szCs w:val="18"/>
          <w:color w:val="auto"/>
        </w:rPr>
        <w:t>.</w:t>
      </w:r>
    </w:p>
    <w:p>
      <w:pPr>
        <w:spacing w:after="0" w:line="117" w:lineRule="exact"/>
        <w:rPr>
          <w:sz w:val="20"/>
          <w:szCs w:val="20"/>
          <w:color w:val="auto"/>
        </w:rPr>
      </w:pPr>
    </w:p>
    <w:p>
      <w:pPr>
        <w:ind w:right="100" w:firstLine="996"/>
        <w:spacing w:after="0" w:line="276" w:lineRule="auto"/>
        <w:tabs>
          <w:tab w:leader="none" w:pos="123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Distributions Generally</w:t>
      </w:r>
      <w:r>
        <w:rPr>
          <w:rFonts w:ascii="Arial" w:cs="Arial" w:eastAsia="Arial" w:hAnsi="Arial"/>
          <w:sz w:val="17"/>
          <w:szCs w:val="17"/>
          <w:color w:val="auto"/>
        </w:rPr>
        <w:t xml:space="preserve">. Except as otherwise provided in Section 11.02, distributions shall be made to the Economic Members as set forth in this Section 5.03, at such times and in such amounts as the Board, in its sole discretion,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distribution will be made hereunder to the extent such distribution would have the effect of rendering the Company insolvent. For purposes of the foregoing sentence, “insolvent” means the inability of the Company to pay its debts as they become due in the usual course of business. For the avoidance of doubt, the Voting Member shall not be entitled to receive any distributions hereunder in its capacity as Voting Member.</w:t>
      </w:r>
    </w:p>
    <w:p>
      <w:pPr>
        <w:spacing w:after="0" w:line="64" w:lineRule="exact"/>
        <w:rPr>
          <w:rFonts w:ascii="Arial" w:cs="Arial" w:eastAsia="Arial" w:hAnsi="Arial"/>
          <w:sz w:val="17"/>
          <w:szCs w:val="17"/>
          <w:color w:val="auto"/>
        </w:rPr>
      </w:pPr>
    </w:p>
    <w:p>
      <w:pPr>
        <w:ind w:right="240" w:firstLine="996"/>
        <w:spacing w:after="0" w:line="342" w:lineRule="auto"/>
        <w:tabs>
          <w:tab w:leader="none" w:pos="124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Distributions to the Members</w:t>
      </w:r>
      <w:r>
        <w:rPr>
          <w:rFonts w:ascii="Arial" w:cs="Arial" w:eastAsia="Arial" w:hAnsi="Arial"/>
          <w:sz w:val="16"/>
          <w:szCs w:val="16"/>
          <w:color w:val="auto"/>
        </w:rPr>
        <w:t>. Subject to Section 5.03(e), at such times and in such amounts as the Board, in its sole discretion, shall determine, distributions shall be made to the Economic Members in proportion to their respective Economic Percentage Interests.</w:t>
      </w:r>
    </w:p>
    <w:p>
      <w:pPr>
        <w:spacing w:after="0" w:line="15" w:lineRule="exact"/>
        <w:rPr>
          <w:rFonts w:ascii="Arial" w:cs="Arial" w:eastAsia="Arial" w:hAnsi="Arial"/>
          <w:sz w:val="16"/>
          <w:szCs w:val="16"/>
          <w:color w:val="auto"/>
        </w:rPr>
      </w:pPr>
    </w:p>
    <w:p>
      <w:pPr>
        <w:ind w:firstLine="996"/>
        <w:spacing w:after="0" w:line="286" w:lineRule="auto"/>
        <w:tabs>
          <w:tab w:leader="none" w:pos="123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Pubco Distributions.</w:t>
      </w:r>
      <w:r>
        <w:rPr>
          <w:rFonts w:ascii="Arial" w:cs="Arial" w:eastAsia="Arial" w:hAnsi="Arial"/>
          <w:sz w:val="16"/>
          <w:szCs w:val="16"/>
          <w:color w:val="auto"/>
        </w:rPr>
        <w:t xml:space="preserve"> Notwithstanding the provisions of Section 5.03(b), the Board, in its sole discretion, may authorize that cash be paid to Pubco (which payment shall be made without pro rata distributions to the other Members) in exchange for the redemption, repurchase or other acquisition of Nonvoting Common Units held by Pubco to the extent that such cash payment is used to redeem, repurchase or otherwise acquire an equal number of shares of Class A Common Stock in accordance with Section 4.02(b). For the avoidance of doubt, distributions made under this</w:t>
      </w:r>
    </w:p>
    <w:p>
      <w:pPr>
        <w:spacing w:after="0" w:line="1"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Section 5.03(c) may not be used to pay or facilitate dividends or distributions on the Pubco Common Stock and must be used solely for the express purpose set forth under this Section 5.03(c).</w:t>
      </w:r>
    </w:p>
    <w:p>
      <w:pPr>
        <w:spacing w:after="0" w:line="75" w:lineRule="exact"/>
        <w:rPr>
          <w:rFonts w:ascii="Arial" w:cs="Arial" w:eastAsia="Arial" w:hAnsi="Arial"/>
          <w:sz w:val="16"/>
          <w:szCs w:val="16"/>
          <w:color w:val="auto"/>
        </w:rPr>
      </w:pPr>
    </w:p>
    <w:p>
      <w:pPr>
        <w:ind w:right="120" w:firstLine="996"/>
        <w:spacing w:after="0" w:line="257" w:lineRule="auto"/>
        <w:tabs>
          <w:tab w:leader="none" w:pos="124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Distributions in Kind</w:t>
      </w:r>
      <w:r>
        <w:rPr>
          <w:rFonts w:ascii="Arial" w:cs="Arial" w:eastAsia="Arial" w:hAnsi="Arial"/>
          <w:sz w:val="18"/>
          <w:szCs w:val="18"/>
          <w:color w:val="auto"/>
        </w:rPr>
        <w:t>. Any distributions to the Economic Members in kind shall be made at such times and in such amounts as the Board, in its sole discretion, shall determine based on their fair market value, as determined by the Board, in the same proportions as if distributed in accordance with Section 5.03(b), with all Economic Members participating in proportion to their respective Economic Percentage Interests. If cash and property are to be distributed in kind simultaneously, the Company shall distribute such cash and property in kind in the same proportion to each Economic Member.</w:t>
      </w:r>
    </w:p>
    <w:p>
      <w:pPr>
        <w:spacing w:after="0" w:line="80" w:lineRule="exact"/>
        <w:rPr>
          <w:rFonts w:ascii="Arial" w:cs="Arial" w:eastAsia="Arial" w:hAnsi="Arial"/>
          <w:sz w:val="18"/>
          <w:szCs w:val="18"/>
          <w:color w:val="auto"/>
        </w:rPr>
      </w:pPr>
    </w:p>
    <w:p>
      <w:pPr>
        <w:ind w:firstLine="996"/>
        <w:spacing w:after="0" w:line="287" w:lineRule="auto"/>
        <w:tabs>
          <w:tab w:leader="none" w:pos="123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Tax Distributions</w:t>
      </w:r>
      <w:r>
        <w:rPr>
          <w:rFonts w:ascii="Arial" w:cs="Arial" w:eastAsia="Arial" w:hAnsi="Arial"/>
          <w:sz w:val="16"/>
          <w:szCs w:val="16"/>
          <w:color w:val="auto"/>
        </w:rPr>
        <w:t xml:space="preserve">. Notwithstanding any other provision of this Section 5.03 to the contrary, to the extent permitted by Applicable Law and consistent with the Company’s obligations to its creditors as reasonably determined by the Board, the Company, subject to availability of sufficient cash, shall make quarterly cash distributions by wire transfer of immediately available funds pursuant to this Section 5.03(e) to each Economic Member pro rata, in accordance with the Member’s Economic Percentage Interest, at least two Business Days prior to the date on which any U.S. federal corporate estimated tax payments are due, until each Member has received an amount at least equal to its Assumed Tax Liability, if any, less the amounts previously distributed under Section 5.03 in the then-current taxable year (or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Board or any Manager, officer or employee of the Company shall have any liability to any Member in connection with any underpayment of estimated taxes, so long as cash distributions are made in accordance with this Section 5.03(e) and the Assumed Tax Liability is determined as provided in the definition of Assumed Tax Liability. For the avoidance of doubt, Tax Distributions shall be made to all Members on a pro rata basis in accordance with their Economic Percentage Interests, notwithstanding the differing actual tax liabilities of such Members. If, on a Tax Distribution date, there are insufficient funds on hand to distribute to the Members the full amount of the Tax Distributions to which such Members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63" w:name="page64"/>
    <w:bookmarkEnd w:id="6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entitled, Tax Distributions pursuant to this Section 5.03(e) shall be made to the Members to the extent of available funds in proportion to the amounts that would be otherwise distributable under this Section 5.03(e), and the Company shall make future Tax Distributions as soon as funds become available sufficient to pay the remaining portion of the Tax Distributions to which such Members are otherwise entitled.</w:t>
      </w:r>
    </w:p>
    <w:p>
      <w:pPr>
        <w:spacing w:after="0" w:line="57" w:lineRule="exact"/>
        <w:rPr>
          <w:sz w:val="20"/>
          <w:szCs w:val="20"/>
          <w:color w:val="auto"/>
        </w:rPr>
      </w:pPr>
    </w:p>
    <w:p>
      <w:pPr>
        <w:ind w:right="320" w:firstLine="996"/>
        <w:spacing w:after="0" w:line="264" w:lineRule="auto"/>
        <w:tabs>
          <w:tab w:leader="none" w:pos="121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Holdings shall have the right to assign to any Transferee of Nonvoting Common Units, pursuant to a Transfer made in compliance with this Agreement, the right to receive any portion of the amounts distributable or otherwise payable to Holdings pursuant to Section 5.03(b).</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Allocations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4" w:lineRule="auto"/>
        <w:tabs>
          <w:tab w:leader="none" w:pos="1236"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Net Income and Net Loss</w:t>
      </w:r>
      <w:r>
        <w:rPr>
          <w:rFonts w:ascii="Arial" w:cs="Arial" w:eastAsia="Arial" w:hAnsi="Arial"/>
          <w:sz w:val="16"/>
          <w:szCs w:val="16"/>
          <w:color w:val="auto"/>
        </w:rPr>
        <w:t>. Except as otherwise provided in this Agreement, and after giving effect to the special allocations set forth in Section 5.04(b), Section 5.04(c) and Section 5.04(d), Net Income and Net Loss (and, to the extent necessary, individual items of income, gain, loss, deduction or credit) of the Company shall be allocated among the Economic Members in a manner such that the Capital Account of each Economic Member, immediately after making such allocation, is, as nearly as possible, equal to (i) the distributions that would be made to such Economic Member pursuant to Section 5.03(b)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in accordance with Section 5.03(b), to the Economic Members immediately after making such allocation minus</w:t>
      </w:r>
    </w:p>
    <w:p>
      <w:pPr>
        <w:spacing w:after="0" w:line="2" w:lineRule="exact"/>
        <w:rPr>
          <w:rFonts w:ascii="Arial" w:cs="Arial" w:eastAsia="Arial" w:hAnsi="Arial"/>
          <w:sz w:val="16"/>
          <w:szCs w:val="16"/>
          <w:color w:val="auto"/>
        </w:rPr>
      </w:pPr>
    </w:p>
    <w:p>
      <w:pPr>
        <w:ind w:right="260" w:firstLine="4"/>
        <w:spacing w:after="0" w:line="261"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Economic Member’s share of Company Minimum Gain and Member Nonrecourse Debt Minimum Gain, computed immediately prior to the hypothetical sale of assets.</w:t>
      </w:r>
    </w:p>
    <w:p>
      <w:pPr>
        <w:spacing w:after="0" w:line="75" w:lineRule="exact"/>
        <w:rPr>
          <w:rFonts w:ascii="Arial" w:cs="Arial" w:eastAsia="Arial" w:hAnsi="Arial"/>
          <w:sz w:val="18"/>
          <w:szCs w:val="18"/>
          <w:color w:val="auto"/>
        </w:rPr>
      </w:pPr>
    </w:p>
    <w:p>
      <w:pPr>
        <w:ind w:left="1260" w:hanging="264"/>
        <w:spacing w:after="0"/>
        <w:tabs>
          <w:tab w:leader="none" w:pos="126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Special Allocations</w:t>
      </w:r>
      <w:r>
        <w:rPr>
          <w:rFonts w:ascii="Arial" w:cs="Arial" w:eastAsia="Arial" w:hAnsi="Arial"/>
          <w:sz w:val="18"/>
          <w:szCs w:val="18"/>
          <w:color w:val="auto"/>
        </w:rPr>
        <w:t>. The following special allocations shall be made in the following order:</w:t>
      </w:r>
    </w:p>
    <w:p>
      <w:pPr>
        <w:spacing w:after="0" w:line="117" w:lineRule="exact"/>
        <w:rPr>
          <w:rFonts w:ascii="Arial" w:cs="Arial" w:eastAsia="Arial" w:hAnsi="Arial"/>
          <w:sz w:val="18"/>
          <w:szCs w:val="18"/>
          <w:color w:val="auto"/>
        </w:rPr>
      </w:pPr>
    </w:p>
    <w:p>
      <w:pPr>
        <w:ind w:right="20" w:firstLine="1436"/>
        <w:spacing w:after="0" w:line="290" w:lineRule="auto"/>
        <w:tabs>
          <w:tab w:leader="none" w:pos="1647" w:val="left"/>
        </w:tabs>
        <w:numPr>
          <w:ilvl w:val="2"/>
          <w:numId w:val="74"/>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Except as otherwise provided in Treasury Regulations Section 1.704-2(f), notwithstanding any other provision of this Article V, if there is a net decrease in Company Minimum Gain during any Fiscal Year, each Economic Member shall be specially allocated items of Company income and gain for such Fiscal Year (and, if necessary, subsequent Fiscal Years) in an amount equal to such Economic Member’s share of the net decrease in Company Minimum Gain, determined in accordance with Treasury Regulations Section 1.704-2(g). Allocations pursuant to the immediately preceding sentence shall be made in proportion to the respective amounts required to be allocated to each Economic Member pursuant thereto, and shall be calculated so as to result in the smallest and non-duplicative minimum gain chargebacks. The items to be so allocated shall be determined in accordance with Treasury Regulations Section 1.704-2(f)(6) and 1.704-2(j)(2). This Section 5.04(b)(i) is intended to comply with the minimum gain chargeback requirement in Treasury Regulations Section 1.704-2(f) and shall be interpreted consistently therewith.</w:t>
      </w:r>
    </w:p>
    <w:p>
      <w:pPr>
        <w:spacing w:after="0" w:line="58" w:lineRule="exact"/>
        <w:rPr>
          <w:rFonts w:ascii="Arial" w:cs="Arial" w:eastAsia="Arial" w:hAnsi="Arial"/>
          <w:sz w:val="16"/>
          <w:szCs w:val="16"/>
          <w:color w:val="auto"/>
        </w:rPr>
      </w:pPr>
    </w:p>
    <w:p>
      <w:pPr>
        <w:ind w:firstLine="1436"/>
        <w:spacing w:after="0" w:line="255" w:lineRule="auto"/>
        <w:tabs>
          <w:tab w:leader="none" w:pos="1698"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Member Minimum Gain Chargeback</w:t>
      </w:r>
      <w:r>
        <w:rPr>
          <w:rFonts w:ascii="Arial" w:cs="Arial" w:eastAsia="Arial" w:hAnsi="Arial"/>
          <w:sz w:val="18"/>
          <w:szCs w:val="18"/>
          <w:color w:val="auto"/>
        </w:rPr>
        <w:t>. Except as otherwise provided in Treasury Regulations Section 1.704-2(i)(4), notwithstanding any other provision of this Article V, if there is a net decrease in Member Nonrecourse Debt Minimum Gain attributable to a Member Nonrecourse Debt during any Fiscal Year, each Economic Member who has a share of the Member Nonrecourse Debt Minimum Gain attributable to such Member Nonrecourse Debt, determined in accordance with Treasury Regulations Section 1.704-2(i)(5), shall be specially allocated items of Company income and gain for such Fiscal Year (and, if necessary, subsequent Fiscal Years) in an amount equal to such Economic Member’s share of the net decrease in Member Nonrecourse Debt Minimum Gain attributable to such Member Nonrecourse Debt, determined in accordance with Treasury Regulations Section 1.704-2(i)(4).</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Allocations pursuant to the previous sentence shall be made in proportion to the respective amounts required to be allocated to each Economic Member pursuant thereto. The items to be so allocated shall be determined in accordance with Treasury Regulations Sections 1.704-2(i)(4) and 1.704-2(j)(2). This Section 5.04(b)(ii) is intended to comply with the minimum gain chargeback requirement in Treasury Regulations Section 1.704-2(i)(4) and shall be interpreted consistently therewith.</w:t>
      </w:r>
    </w:p>
    <w:p>
      <w:pPr>
        <w:spacing w:after="0" w:line="79" w:lineRule="exact"/>
        <w:rPr>
          <w:sz w:val="20"/>
          <w:szCs w:val="20"/>
          <w:color w:val="auto"/>
        </w:rPr>
      </w:pPr>
    </w:p>
    <w:p>
      <w:pPr>
        <w:ind w:right="400" w:firstLine="1436"/>
        <w:spacing w:after="0" w:line="255" w:lineRule="auto"/>
        <w:tabs>
          <w:tab w:leader="none" w:pos="174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xml:space="preserve">. In the event any Economic Member unexpectedly receives any adjustments, allocations or distributions described in Treasury Regulations Sections 1.704-1(b)(2)(ii)(d)(4), 1.704-1(b)(2)(ii)(d)(5) or Section 1.704-1(b)(2)(ii)(d)(6), items of Company income and gain shall be specially allocated to such Economic Member in an amount and manner sufficient to eliminate, to the extent required by the Treasury Regulations, the Adjusted Capital Account Deficit of the Economic Member as promptly as possible;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allocation pursuant to this Section 5.04(b)(iii) shall be made only if and to the extent that the Economic Member would have an Adjusted Capital Account Deficit after all other allocations provided for in this Article V have been tentatively made as if this Section 5.04(b)(iii) were not in this Agreement.</w:t>
      </w:r>
    </w:p>
    <w:p>
      <w:pPr>
        <w:spacing w:after="0" w:line="81" w:lineRule="exact"/>
        <w:rPr>
          <w:rFonts w:ascii="Arial" w:cs="Arial" w:eastAsia="Arial" w:hAnsi="Arial"/>
          <w:sz w:val="18"/>
          <w:szCs w:val="18"/>
          <w:color w:val="auto"/>
        </w:rPr>
      </w:pPr>
    </w:p>
    <w:p>
      <w:pPr>
        <w:ind w:right="80" w:firstLine="1436"/>
        <w:spacing w:after="0" w:line="277" w:lineRule="auto"/>
        <w:tabs>
          <w:tab w:leader="none" w:pos="173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Nonrecourse Deductions</w:t>
      </w:r>
      <w:r>
        <w:rPr>
          <w:rFonts w:ascii="Arial" w:cs="Arial" w:eastAsia="Arial" w:hAnsi="Arial"/>
          <w:sz w:val="18"/>
          <w:szCs w:val="18"/>
          <w:color w:val="auto"/>
        </w:rPr>
        <w:t>. Nonrecourse Deductions for any Fiscal Year shall be specially allocated to the Members in a manner determined by the Board consistent with Treasury Regulations Sections 1.704-2(b) and 1.704-2(c).</w:t>
      </w:r>
    </w:p>
    <w:p>
      <w:pPr>
        <w:spacing w:after="0" w:line="62" w:lineRule="exact"/>
        <w:rPr>
          <w:rFonts w:ascii="Arial" w:cs="Arial" w:eastAsia="Arial" w:hAnsi="Arial"/>
          <w:sz w:val="18"/>
          <w:szCs w:val="18"/>
          <w:color w:val="auto"/>
        </w:rPr>
      </w:pPr>
    </w:p>
    <w:p>
      <w:pPr>
        <w:ind w:right="20" w:firstLine="1436"/>
        <w:spacing w:after="0" w:line="264" w:lineRule="auto"/>
        <w:tabs>
          <w:tab w:leader="none" w:pos="168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Any Member Nonrecourse Deductions for any Fiscal Year shall be specially allocated to the Economic Member who bears the economic risk of loss with respect to the Member Nonrecourse Debt to which such Member Nonrecourse Deductions are attributable in accordance with Treasury Regulations Sections 1.704-2(i)(1) and 1.704-2(j)(1).</w:t>
      </w:r>
    </w:p>
    <w:p>
      <w:pPr>
        <w:spacing w:after="0" w:line="73" w:lineRule="exact"/>
        <w:rPr>
          <w:rFonts w:ascii="Arial" w:cs="Arial" w:eastAsia="Arial" w:hAnsi="Arial"/>
          <w:sz w:val="18"/>
          <w:szCs w:val="18"/>
          <w:color w:val="auto"/>
        </w:rPr>
      </w:pPr>
    </w:p>
    <w:p>
      <w:pPr>
        <w:ind w:left="1740" w:hanging="304"/>
        <w:spacing w:after="0"/>
        <w:tabs>
          <w:tab w:leader="none" w:pos="174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Section 754 Adjustments</w:t>
      </w:r>
      <w:r>
        <w:rPr>
          <w:rFonts w:ascii="Arial" w:cs="Arial" w:eastAsia="Arial" w:hAnsi="Arial"/>
          <w:sz w:val="17"/>
          <w:szCs w:val="17"/>
          <w:color w:val="auto"/>
        </w:rPr>
        <w:t>. (A) To the extent an adjustment to the adjusted tax basis of any Company asset pursuant to</w:t>
      </w:r>
    </w:p>
    <w:p>
      <w:pPr>
        <w:spacing w:after="0" w:line="35"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Sections 734(b) or 743(b) of the Code is required pursuant to Treasury Regulations Section 1.704-1(b)(2)(iv)(m)(4) to be taken into account in determining Capital Accounts as a result of a distribution other than in liquidation of an Economic Member’s interest in the Company, the amount of such adjustment shall be treated as an item of gain (if the adjustment increases the basis of such asset) or loss (if the adjustment decreases the basis of such asset) from the disposition of the asset and shall be taken into account for purposes of computing Net Income and Net Loss. (B) To the extent an adjustment to the adjusted tax basis of any Company asset pursuant to Sections 734(b) or 743(b) of the Code is required, pursuant to Treasury Regulations Sections 1.704-1(b)(2)(iv)(m)(2) or 1.704-1(b)(2)(iv)(m)(4), to be taken into account in determining Capital Accounts as the result of a distribution to an Economic Member in complete liquidation of such Economic Member’s interest in the Company, the amount of such adjustment to Capital Accounts shall be treated as an item of gain (if the adjustment increases the basis of the asset) or loss (if the adjustment decreases such basis) and such gain or loss shall be specially allocated to such Economic Members in accordance with their interests in the Company in the event Treasury Regulations Section 1.704-1(b)(2)(iv)(m)(2) applies, or to the Economic Member to whom such distribution was made in the event Treasury Regulations Section 1.704-1(b)(2)(iv)(m)(4) applies.</w:t>
      </w:r>
    </w:p>
    <w:p>
      <w:pPr>
        <w:spacing w:after="0" w:line="79" w:lineRule="exact"/>
        <w:rPr>
          <w:sz w:val="20"/>
          <w:szCs w:val="20"/>
          <w:color w:val="auto"/>
        </w:rPr>
      </w:pPr>
    </w:p>
    <w:p>
      <w:pPr>
        <w:ind w:firstLine="996"/>
        <w:spacing w:after="0" w:line="276"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Curative Allocations</w:t>
      </w:r>
      <w:r>
        <w:rPr>
          <w:rFonts w:ascii="Arial" w:cs="Arial" w:eastAsia="Arial" w:hAnsi="Arial"/>
          <w:sz w:val="17"/>
          <w:szCs w:val="17"/>
          <w:color w:val="auto"/>
        </w:rPr>
        <w:t>. The allocations set forth in Section 5.04(b)(i) through Section 5.04(b)(vi) and Section 5.04(d) (the “</w:t>
      </w:r>
      <w:r>
        <w:rPr>
          <w:rFonts w:ascii="Arial" w:cs="Arial" w:eastAsia="Arial" w:hAnsi="Arial"/>
          <w:sz w:val="17"/>
          <w:szCs w:val="17"/>
          <w:u w:val="single" w:color="auto"/>
          <w:color w:val="auto"/>
        </w:rPr>
        <w:t>Regulatory</w:t>
      </w:r>
      <w:r>
        <w:rPr>
          <w:rFonts w:ascii="Arial" w:cs="Arial" w:eastAsia="Arial" w:hAnsi="Arial"/>
          <w:sz w:val="17"/>
          <w:szCs w:val="17"/>
          <w:color w:val="auto"/>
        </w:rPr>
        <w:t xml:space="preserve"> </w:t>
      </w:r>
      <w:r>
        <w:rPr>
          <w:rFonts w:ascii="Arial" w:cs="Arial" w:eastAsia="Arial" w:hAnsi="Arial"/>
          <w:sz w:val="17"/>
          <w:szCs w:val="17"/>
          <w:u w:val="single" w:color="auto"/>
          <w:color w:val="auto"/>
        </w:rPr>
        <w:t>Allocations</w:t>
      </w:r>
      <w:r>
        <w:rPr>
          <w:rFonts w:ascii="Arial" w:cs="Arial" w:eastAsia="Arial" w:hAnsi="Arial"/>
          <w:sz w:val="17"/>
          <w:szCs w:val="17"/>
          <w:color w:val="auto"/>
        </w:rPr>
        <w:t>”) are intended to comply with certain requirements of the Treasury Regulations. It is the intent of the Economic Members that, to the extent possible, all Regulatory Allocations shall be offset either with other Regulatory Allocations or with special allocations of other items of Company income, gain, loss or deduction pursuant to this Section 5.04(c). Therefore, notwithstanding any other provision of this Article V (other than the Regulatory Allocations), the Board shall make such offsetting special allocations of Company income,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65" w:name="page66"/>
    <w:bookmarkEnd w:id="65"/>
    <w:p>
      <w:pPr>
        <w:jc w:val="both"/>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gain, loss or deduction in whatever manner it determines appropriate so that, after such offsetting allocations are made, each Economic Member’s Capital Account balance is, to the extent possible, equal to the Capital Account balance such Economic Member would have had if the Regulatory Allocations were not part of this Agreement and all Company items were allocated pursuant to Section 5.04(a).</w:t>
      </w:r>
    </w:p>
    <w:p>
      <w:pPr>
        <w:spacing w:after="0" w:line="57" w:lineRule="exact"/>
        <w:rPr>
          <w:sz w:val="20"/>
          <w:szCs w:val="20"/>
          <w:color w:val="auto"/>
        </w:rPr>
      </w:pPr>
    </w:p>
    <w:p>
      <w:pPr>
        <w:jc w:val="both"/>
        <w:ind w:right="20" w:firstLine="996"/>
        <w:spacing w:after="0" w:line="286" w:lineRule="auto"/>
        <w:tabs>
          <w:tab w:leader="none" w:pos="124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Loss Limitation</w:t>
      </w:r>
      <w:r>
        <w:rPr>
          <w:rFonts w:ascii="Arial" w:cs="Arial" w:eastAsia="Arial" w:hAnsi="Arial"/>
          <w:sz w:val="16"/>
          <w:szCs w:val="16"/>
          <w:color w:val="auto"/>
        </w:rPr>
        <w:t>. Net Loss (or individual items of loss or deduction) allocated pursuant to Section 5.04 shall not exceed the maximum amount of Net Loss (or individual items of loss or deduction) that can be allocated without causing any Economic Member to have an Adjusted Capital Account Deficit at the end of any Fiscal Year. In the event some but not all of the Economic Members would have Adjusted Capital Account Deficits as a consequence of an allocation of Net Loss (or individual items of loss or deduction) pursuant to Section 5.04, the limitation set forth in this</w:t>
      </w:r>
    </w:p>
    <w:p>
      <w:pPr>
        <w:spacing w:after="0" w:line="1" w:lineRule="exact"/>
        <w:rPr>
          <w:rFonts w:ascii="Arial" w:cs="Arial" w:eastAsia="Arial" w:hAnsi="Arial"/>
          <w:sz w:val="16"/>
          <w:szCs w:val="16"/>
          <w:color w:val="auto"/>
        </w:rPr>
      </w:pPr>
    </w:p>
    <w:p>
      <w:pPr>
        <w:ind w:right="160"/>
        <w:spacing w:after="0" w:line="281" w:lineRule="auto"/>
        <w:rPr>
          <w:rFonts w:ascii="Arial" w:cs="Arial" w:eastAsia="Arial" w:hAnsi="Arial"/>
          <w:sz w:val="16"/>
          <w:szCs w:val="16"/>
          <w:color w:val="auto"/>
        </w:rPr>
      </w:pPr>
      <w:r>
        <w:rPr>
          <w:rFonts w:ascii="Arial" w:cs="Arial" w:eastAsia="Arial" w:hAnsi="Arial"/>
          <w:sz w:val="16"/>
          <w:szCs w:val="16"/>
          <w:color w:val="auto"/>
        </w:rPr>
        <w:t>Section 5.04(d) shall be applied on a Member by Member basis and Net Loss (or individual items of loss or deduction) not allocable to any Economic Member as a result of such limitation shall be allocated to the other Economic Members in accordance with the positive balances in such Economic Members’ Capital Accounts so as to allocate the maximum permissible Net Loss to each Economic Member under Treasury Regulations</w:t>
      </w:r>
    </w:p>
    <w:p>
      <w:pPr>
        <w:spacing w:after="0" w:line="2" w:lineRule="exact"/>
        <w:rPr>
          <w:rFonts w:ascii="Arial" w:cs="Arial" w:eastAsia="Arial" w:hAnsi="Arial"/>
          <w:sz w:val="16"/>
          <w:szCs w:val="16"/>
          <w:color w:val="auto"/>
        </w:rPr>
      </w:pPr>
    </w:p>
    <w:p>
      <w:pPr>
        <w:ind w:right="540"/>
        <w:spacing w:after="0" w:line="261" w:lineRule="auto"/>
        <w:rPr>
          <w:rFonts w:ascii="Arial" w:cs="Arial" w:eastAsia="Arial" w:hAnsi="Arial"/>
          <w:sz w:val="16"/>
          <w:szCs w:val="16"/>
          <w:color w:val="auto"/>
        </w:rPr>
      </w:pPr>
      <w:r>
        <w:rPr>
          <w:rFonts w:ascii="Arial" w:cs="Arial" w:eastAsia="Arial" w:hAnsi="Arial"/>
          <w:sz w:val="18"/>
          <w:szCs w:val="18"/>
          <w:color w:val="auto"/>
        </w:rPr>
        <w:t>Section 1.704-1(b)(2)(ii)(d). Any reallocation of Net Loss pursuant to this Section 5.04(d) shall be subject to chargeback pursuant to the curative allocation provision of Section 5.04(c).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Other Allocation Rules</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70" w:lineRule="auto"/>
        <w:tabs>
          <w:tab w:leader="none" w:pos="123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Interim Allocations Due to Percentage Adjustment</w:t>
      </w:r>
      <w:r>
        <w:rPr>
          <w:rFonts w:ascii="Arial" w:cs="Arial" w:eastAsia="Arial" w:hAnsi="Arial"/>
          <w:sz w:val="17"/>
          <w:szCs w:val="17"/>
          <w:color w:val="auto"/>
        </w:rPr>
        <w:t>. If an Economic Percentage Interest is the subject of a Transfer or the Economic Members’ interests in the Company change pursuant to the terms of this Agreement during any Fiscal Year, the amount of Net Income and Net Loss (or items thereof) to be allocated to the Economic Members for such entire Fiscal Year shall be allocated to the portion of such Fiscal Year which precedes the date of such Transfer or change (and if there shall have been a prior Transfer or change in such Fiscal Year, which commences on the date of such prior Transfer or change) and to the portion of such Fiscal Year which occurs on and after the date of such Transfer or change (and if there shall be a subsequent Transfer or change in such Fiscal Year, which precedes the date of such subsequent Transfer or change) in accordance with Section 706 of the Code and the Treasury Regulations promulgated thereunder as determined by the Board and the amounts of the items so allocated to each such portion shall be credited or charged to the Members, with the consent of Holdings (so long as it remains a Member), in accordance with Section 5.04 as in effect during each such portion of the Fiscal Year in question.</w:t>
      </w:r>
    </w:p>
    <w:p>
      <w:pPr>
        <w:spacing w:after="0" w:line="73" w:lineRule="exact"/>
        <w:rPr>
          <w:rFonts w:ascii="Arial" w:cs="Arial" w:eastAsia="Arial" w:hAnsi="Arial"/>
          <w:sz w:val="17"/>
          <w:szCs w:val="17"/>
          <w:color w:val="auto"/>
        </w:rPr>
      </w:pPr>
    </w:p>
    <w:p>
      <w:pPr>
        <w:ind w:firstLine="996"/>
        <w:spacing w:after="0" w:line="270" w:lineRule="auto"/>
        <w:tabs>
          <w:tab w:leader="none" w:pos="1247"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Tax Allocations</w:t>
      </w:r>
      <w:r>
        <w:rPr>
          <w:rFonts w:ascii="Arial" w:cs="Arial" w:eastAsia="Arial" w:hAnsi="Arial"/>
          <w:sz w:val="17"/>
          <w:szCs w:val="17"/>
          <w:color w:val="auto"/>
        </w:rPr>
        <w:t>. In accordance with Section 704(c) of the Code and the Treasury Regulations promulgated thereunder, income, gain, loss and deduction with respect to any Property contributed to the capital of the Company and with respect to reverse Code Section 704(c) allocations described in Treasury Regulations Section 1.704-3(a)(6) shall, solely for tax purposes, be allocated among the Members so as to take account of any variation between the adjusted basis of such Property to the Company for federal income tax purposes and its initial Carrying Value or its Carrying Value determined pursuant to Treasury Regulations Section 1.704-1(b)(2)(iv)(f) (computed in accordance with the definition of Carrying Value) using the traditional allocation method under Treasury Regulations Section 1.704-3(b). The Company shall make curative allocations of the resulting tax gain or loss from the sale or disposition of any Property in a manner that is intended to offset the effect of the cumulative amount of any “ceiling rule limitations” with respect to allocations of depreciation or amortization deductions in respect of such Property in the current and all prior Fiscal Years, as outlined in Treasury Regulations Section 1.704-3(c)(3).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66" w:name="page67"/>
    <w:bookmarkEnd w:id="66"/>
    <w:p>
      <w:pPr>
        <w:ind w:right="140" w:firstLine="996"/>
        <w:spacing w:after="0" w:line="284" w:lineRule="auto"/>
        <w:tabs>
          <w:tab w:leader="none" w:pos="1237" w:val="left"/>
        </w:tabs>
        <w:numPr>
          <w:ilvl w:val="0"/>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elections or other decisions relating to such allocations shall be made by the Board in any manner that reasonably reflects the purpose and intention of this Agreement. Allocations pursuant to this Section 5.05(b), Section 704(c) of the Code (and the principles thereof) and Treasury Regulations Section 1.704-1(b)(4)(i) are solely for purposes of federal, state and local taxes and shall not affect, or in any way be taken into account in computing, any Economic Member’s Capital Account or share of Net Income, Net Loss, other items or distributions pursuant to any provision of this Agreement. To the extent permissible under Applicable Law, the Board shall allocate the “nonrecourse liabilities” of the Company for purposes of Treasury Regulations Section 1.752-3(a) in a manner that avoids the recognition by the Economic Members of gain pursuant to</w:t>
      </w:r>
    </w:p>
    <w:p>
      <w:pPr>
        <w:spacing w:after="0" w:line="4" w:lineRule="exact"/>
        <w:rPr>
          <w:rFonts w:ascii="Arial" w:cs="Arial" w:eastAsia="Arial" w:hAnsi="Arial"/>
          <w:sz w:val="16"/>
          <w:szCs w:val="16"/>
          <w:color w:val="auto"/>
        </w:rPr>
      </w:pPr>
    </w:p>
    <w:p>
      <w:pPr>
        <w:ind w:right="10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Section 731(a) of the Code or reduces the aggregate recognition of such gain by the Economic Members for the relevant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allocation shall be subject to the approval of Holdings (such approval not to be unreasonably withheld, conditioned or delayed).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Tax Withholding; Withholding Advances</w:t>
      </w:r>
      <w:r>
        <w:rPr>
          <w:rFonts w:ascii="Arial" w:cs="Arial" w:eastAsia="Arial" w:hAnsi="Arial"/>
          <w:sz w:val="18"/>
          <w:szCs w:val="18"/>
          <w:color w:val="auto"/>
        </w:rPr>
        <w:t>.</w:t>
      </w:r>
    </w:p>
    <w:p>
      <w:pPr>
        <w:spacing w:after="0" w:line="117" w:lineRule="exact"/>
        <w:rPr>
          <w:sz w:val="20"/>
          <w:szCs w:val="20"/>
          <w:color w:val="auto"/>
        </w:rPr>
      </w:pPr>
    </w:p>
    <w:p>
      <w:pPr>
        <w:ind w:left="1240" w:hanging="244"/>
        <w:spacing w:after="0"/>
        <w:tabs>
          <w:tab w:leader="none" w:pos="124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36"/>
        <w:spacing w:after="0" w:line="288" w:lineRule="auto"/>
        <w:tabs>
          <w:tab w:leader="none" w:pos="1648" w:val="left"/>
        </w:tabs>
        <w:numPr>
          <w:ilvl w:val="2"/>
          <w:numId w:val="80"/>
        </w:numPr>
        <w:rPr>
          <w:rFonts w:ascii="Arial" w:cs="Arial" w:eastAsia="Arial" w:hAnsi="Arial"/>
          <w:sz w:val="16"/>
          <w:szCs w:val="16"/>
          <w:color w:val="auto"/>
        </w:rPr>
      </w:pPr>
      <w:r>
        <w:rPr>
          <w:rFonts w:ascii="Arial" w:cs="Arial" w:eastAsia="Arial" w:hAnsi="Arial"/>
          <w:sz w:val="16"/>
          <w:szCs w:val="16"/>
          <w:color w:val="auto"/>
        </w:rPr>
        <w:t>If requested by the Company, each Economic Member shall, if able to do so, deliver to the Company: (A) an affidavit, in a form satisfactory to the Company, that the applicable Economic Member (or its partners, as the case may be) is not subject to withholding under the provisions of any federal, state, local, foreign or other law (including under the Centralized Partnership Audit Regime and Section 1446(f) of the Code);</w:t>
      </w:r>
    </w:p>
    <w:p>
      <w:pPr>
        <w:ind w:firstLine="4"/>
        <w:spacing w:after="0" w:line="254" w:lineRule="auto"/>
        <w:tabs>
          <w:tab w:leader="none" w:pos="2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certificate that the Company may reasonably request with respect to any such laws; and/or (C) any other form or instrument reasonably requested by the Company relating to any Economic Member’s status under such law. In the event that an Economic Member fails or is unable to deliver to the Company an affidavit described in subclause (A) of this clause (i), the Company may withhold amounts from such Economic Member in accordance with Section 5.06(b).</w:t>
      </w:r>
    </w:p>
    <w:p>
      <w:pPr>
        <w:spacing w:after="0" w:line="81" w:lineRule="exact"/>
        <w:rPr>
          <w:rFonts w:ascii="Arial" w:cs="Arial" w:eastAsia="Arial" w:hAnsi="Arial"/>
          <w:sz w:val="18"/>
          <w:szCs w:val="18"/>
          <w:color w:val="auto"/>
        </w:rPr>
      </w:pPr>
    </w:p>
    <w:p>
      <w:pPr>
        <w:ind w:right="80" w:firstLine="1436"/>
        <w:spacing w:after="0" w:line="270" w:lineRule="auto"/>
        <w:tabs>
          <w:tab w:leader="none" w:pos="1698" w:val="left"/>
        </w:tabs>
        <w:numPr>
          <w:ilvl w:val="2"/>
          <w:numId w:val="81"/>
        </w:numPr>
        <w:rPr>
          <w:rFonts w:ascii="Arial" w:cs="Arial" w:eastAsia="Arial" w:hAnsi="Arial"/>
          <w:sz w:val="17"/>
          <w:szCs w:val="17"/>
          <w:color w:val="auto"/>
        </w:rPr>
      </w:pPr>
      <w:r>
        <w:rPr>
          <w:rFonts w:ascii="Arial" w:cs="Arial" w:eastAsia="Arial" w:hAnsi="Arial"/>
          <w:sz w:val="17"/>
          <w:szCs w:val="17"/>
          <w:color w:val="auto"/>
        </w:rPr>
        <w:t xml:space="preserve">After receipt of a written request of any Economic Member, the Company shall provide such information to such Economic Member and take such other action as may be reasonably necessary to assist such Economic Member in making any necessary filings, applications or elections to obtain any available exemption from, or any available refund of, any withholding imposed by any taxing authority with respect to amounts distributable or items of income allocable to such Economic Member hereunder to the extent not adverse to the Company or any Member. In addition, the Company shall, at the request of any Economic Member, make or cause to be made any such filings, applications or elections referred to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requesting Economic Member shall cooperate with the Company with respect to any such filing, application or election to the extent reasonably determined by the Company and that any filing fees, taxes or other out-of-pocket expenses reasonably incurred and related thereto shall be paid and borne by such requesting Economic Member or, if there is more than one requesting Economic Member, by such requesting Economic Members in accordance with their Relative Percentage Interests.</w:t>
      </w:r>
    </w:p>
    <w:p>
      <w:pPr>
        <w:spacing w:after="0" w:line="73" w:lineRule="exact"/>
        <w:rPr>
          <w:rFonts w:ascii="Arial" w:cs="Arial" w:eastAsia="Arial" w:hAnsi="Arial"/>
          <w:sz w:val="17"/>
          <w:szCs w:val="17"/>
          <w:color w:val="auto"/>
        </w:rPr>
      </w:pPr>
    </w:p>
    <w:p>
      <w:pPr>
        <w:ind w:right="100" w:firstLine="996"/>
        <w:spacing w:after="0" w:line="257" w:lineRule="auto"/>
        <w:tabs>
          <w:tab w:leader="none" w:pos="124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Withholding Advances</w:t>
      </w:r>
      <w:r>
        <w:rPr>
          <w:rFonts w:ascii="Arial" w:cs="Arial" w:eastAsia="Arial" w:hAnsi="Arial"/>
          <w:sz w:val="18"/>
          <w:szCs w:val="18"/>
          <w:color w:val="auto"/>
        </w:rPr>
        <w:t>. To the extent the Company is required by Applicable Law to withhold or to otherwise make tax payments on behalf of or with respect to any Economic Member (e.g., backup withholding, or withholding (or deduction from amounts otherwise due to such Member under this Agreement) of amounts due under the Centralized Partnership Audit Regime or Section 1446(f) of the Code)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Advances</w:t>
      </w:r>
      <w:r>
        <w:rPr>
          <w:rFonts w:ascii="Arial" w:cs="Arial" w:eastAsia="Arial" w:hAnsi="Arial"/>
          <w:sz w:val="18"/>
          <w:szCs w:val="18"/>
          <w:color w:val="auto"/>
        </w:rPr>
        <w:t>”), the Company may withhold or deduct from amounts otherwise due under this Agreement such amounts and make such tax payments as so required.</w:t>
      </w:r>
    </w:p>
    <w:p>
      <w:pPr>
        <w:spacing w:after="0" w:line="80" w:lineRule="exact"/>
        <w:rPr>
          <w:rFonts w:ascii="Arial" w:cs="Arial" w:eastAsia="Arial" w:hAnsi="Arial"/>
          <w:sz w:val="18"/>
          <w:szCs w:val="18"/>
          <w:color w:val="auto"/>
        </w:rPr>
      </w:pPr>
    </w:p>
    <w:p>
      <w:pPr>
        <w:jc w:val="both"/>
        <w:ind w:right="160" w:firstLine="996"/>
        <w:spacing w:after="0" w:line="259" w:lineRule="auto"/>
        <w:tabs>
          <w:tab w:leader="none" w:pos="123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Repayment of Withholding Advances</w:t>
      </w:r>
      <w:r>
        <w:rPr>
          <w:rFonts w:ascii="Arial" w:cs="Arial" w:eastAsia="Arial" w:hAnsi="Arial"/>
          <w:sz w:val="18"/>
          <w:szCs w:val="18"/>
          <w:color w:val="auto"/>
        </w:rPr>
        <w:t>. All Withholding Advances made on behalf of an Economic Member, plus interest thereon at a rate equal to the Prime Rate as of the date of such Withholding Advances plus 2.0% per annum, shall (i) be paid on demand by the Economic Member on whose behalf such Withholding Advances were made (it being understood that no such payment shall increase such Member’s Capital Account), or (ii) with the consent of the Board, be repaid by reducing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67" w:name="page68"/>
    <w:bookmarkEnd w:id="67"/>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the current or next succeeding distribution or distributions that would otherwise have been made to such Economic Member or, if such distributions are not sufficient for that purpose, by so reducing the proceeds of liquidation otherwise payable to such Economic Member. Whenever repayment of a Withholding Advance by an Economic Member is made as described in clause (ii) of this Section 5.06(c), for all other purposes of this Agreement, such Economic Member shall be treated as having received all distributions (whether before or upon any Dissolution Event) unreduced by the amount of such Withholding Advance and interest thereon.</w:t>
      </w:r>
    </w:p>
    <w:p>
      <w:pPr>
        <w:spacing w:after="0" w:line="80" w:lineRule="exact"/>
        <w:rPr>
          <w:sz w:val="20"/>
          <w:szCs w:val="20"/>
          <w:color w:val="auto"/>
        </w:rPr>
      </w:pPr>
    </w:p>
    <w:p>
      <w:pPr>
        <w:jc w:val="both"/>
        <w:ind w:right="280" w:firstLine="996"/>
        <w:spacing w:after="0" w:line="264" w:lineRule="auto"/>
        <w:tabs>
          <w:tab w:leader="none" w:pos="124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Withholding Advances — Reimbursement of Liabilities</w:t>
      </w:r>
      <w:r>
        <w:rPr>
          <w:rFonts w:ascii="Arial" w:cs="Arial" w:eastAsia="Arial" w:hAnsi="Arial"/>
          <w:sz w:val="18"/>
          <w:szCs w:val="18"/>
          <w:color w:val="auto"/>
        </w:rPr>
        <w:t>. Each Economic Member hereby agrees to reimburse the Company for any liability with respect to Withholding Advances (including interest thereon) required or made on behalf of or with respect to such Economic Member (including penalties imposed with respect thereto).</w:t>
      </w:r>
    </w:p>
    <w:p>
      <w:pPr>
        <w:spacing w:after="0" w:line="73" w:lineRule="exact"/>
        <w:rPr>
          <w:rFonts w:ascii="Arial" w:cs="Arial" w:eastAsia="Arial" w:hAnsi="Arial"/>
          <w:sz w:val="18"/>
          <w:szCs w:val="18"/>
          <w:color w:val="auto"/>
        </w:rPr>
      </w:pPr>
    </w:p>
    <w:p>
      <w:pPr>
        <w:ind w:right="20" w:firstLine="996"/>
        <w:spacing w:after="0" w:line="277"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5.06, including any obligations arising therefrom, shall survive the dissolution of the Company or the termination of the Member’s interest in the Company and shall remain binding on the Member.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TAX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7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Initial Partnership Representative</w:t>
      </w:r>
      <w:r>
        <w:rPr>
          <w:rFonts w:ascii="Arial" w:cs="Arial" w:eastAsia="Arial" w:hAnsi="Arial"/>
          <w:sz w:val="18"/>
          <w:szCs w:val="18"/>
          <w:color w:val="auto"/>
        </w:rPr>
        <w:t>. The Board shall designate the Partnership Representative (and if the Partnership Representative is an entity, an individual to serve as the Designated Individual) of the Company.</w:t>
      </w:r>
    </w:p>
    <w:p>
      <w:pPr>
        <w:spacing w:after="0" w:line="62" w:lineRule="exact"/>
        <w:rPr>
          <w:rFonts w:ascii="Arial" w:cs="Arial" w:eastAsia="Arial" w:hAnsi="Arial"/>
          <w:sz w:val="18"/>
          <w:szCs w:val="18"/>
          <w:color w:val="auto"/>
        </w:rPr>
      </w:pPr>
    </w:p>
    <w:p>
      <w:pPr>
        <w:ind w:firstLine="996"/>
        <w:spacing w:after="0" w:line="287" w:lineRule="auto"/>
        <w:tabs>
          <w:tab w:leader="none" w:pos="124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Notwithstanding anything to the contrary herein, all decisions and all actions, including the making of (and decision not to make) elections, that the Partnership Representative is authorized to make or do under the Centralized Partnership Audit Regime or this Agreement may be made by the Partnership Representative only as directed by the Board. The Partnership Representative shall keep the Board fully and timely informed by written notice of any pending or threatened tax action, investigation, claim, controversy or other proceedings involving the Company (each, an “</w:t>
      </w:r>
      <w:r>
        <w:rPr>
          <w:rFonts w:ascii="Arial" w:cs="Arial" w:eastAsia="Arial" w:hAnsi="Arial"/>
          <w:sz w:val="16"/>
          <w:szCs w:val="16"/>
          <w:u w:val="single" w:color="auto"/>
          <w:color w:val="auto"/>
        </w:rPr>
        <w:t>Audit</w:t>
      </w:r>
      <w:r>
        <w:rPr>
          <w:rFonts w:ascii="Arial" w:cs="Arial" w:eastAsia="Arial" w:hAnsi="Arial"/>
          <w:sz w:val="16"/>
          <w:szCs w:val="16"/>
          <w:color w:val="auto"/>
        </w:rPr>
        <w:t xml:space="preserve">”), as well as the commencement of any Audit, the current developments and status of any Audit and the availability of elections, options and different possible actions involving any Audit. Each Member shall fully and timely cooperate with the Partnership Representative for purposes of carrying out the Partnership Representative’s duties as set forth under the Centralized Partnership Audit Regime. The Partnership Representative shall keep each Member informed of all administrative and judicial tax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Partnership Representative settle any Audit (i) that could reasonably be expected to have a significant adverse effect on Pubco without the consent (not to be unreasonably withheld) of Pubco and (ii) without the consent of Holdings if such settlement relates to the treatment of Holdings’ transfer of assets and liabilities to the Company. In addition, the Company shall, upon reasonable request by the Members, cooperate and provide information and access to books and records as is necessary or desirable to assist Members in connection with any Audit related to income of the Company.</w:t>
      </w:r>
    </w:p>
    <w:p>
      <w:pPr>
        <w:spacing w:after="0" w:line="60" w:lineRule="exact"/>
        <w:rPr>
          <w:rFonts w:ascii="Arial" w:cs="Arial" w:eastAsia="Arial" w:hAnsi="Arial"/>
          <w:sz w:val="16"/>
          <w:szCs w:val="16"/>
          <w:color w:val="auto"/>
        </w:rPr>
      </w:pPr>
    </w:p>
    <w:p>
      <w:pPr>
        <w:ind w:right="240" w:firstLine="996"/>
        <w:spacing w:after="0" w:line="276" w:lineRule="auto"/>
        <w:tabs>
          <w:tab w:leader="none" w:pos="123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Elections/Adjustments</w:t>
      </w:r>
      <w:r>
        <w:rPr>
          <w:rFonts w:ascii="Arial" w:cs="Arial" w:eastAsia="Arial" w:hAnsi="Arial"/>
          <w:sz w:val="17"/>
          <w:szCs w:val="17"/>
          <w:color w:val="auto"/>
        </w:rPr>
        <w:t>. The Partnership Representative shall have the right to make an annual election under Section 6221(b) of the Code (if eligible) on the Company’s tax return or in connection with an audit, an election under Section 6226 of the Code. If an election under Section 6226 of the Code is made, the Partnership Representative shall furnish to each Member for the year under Audit a statement of the Member’s share of the Member’s assessment as set forth in the Notice of Final Partnership Administrative Adjustment, and each Member shall take such adjustment into account as required under Section 6226(b) of the Code. If the Partnership Representative elects to apply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68" w:name="page69"/>
    <w:bookmarkEnd w:id="6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procedures set forth in Section 6225(c)(2)(A) of the Code (the “amended return option”) or Section 6225(c)(2)(B) of the Code (the “pull in option”), each Member agrees (i) to cooperate with, and to provide on a timely basis to the Partnership Representative, all information required to comply with either the amended return option or the pull in option, and (ii) upon the request of the Partnership Representative, to file any amended U.S. federal income tax return and pay any tax due in connection with such tax return in accordance with Section 6225(c) of the Code (as determined in the Board’s reasonable discretion, taking into account relevant factors) within ten calendar days prior to the date the amount is owed to the IRS (which amount shall not be treated as a Capital Contribution);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Holdings or Pubco be required to file any such amended U.S. federal income tax return without its prior written consent.</w:t>
      </w:r>
    </w:p>
    <w:p>
      <w:pPr>
        <w:spacing w:after="0" w:line="81" w:lineRule="exact"/>
        <w:rPr>
          <w:sz w:val="20"/>
          <w:szCs w:val="20"/>
          <w:color w:val="auto"/>
        </w:rPr>
      </w:pPr>
    </w:p>
    <w:p>
      <w:pPr>
        <w:ind w:right="200" w:firstLine="996"/>
        <w:spacing w:after="0" w:line="277" w:lineRule="auto"/>
        <w:tabs>
          <w:tab w:leader="none" w:pos="124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Any direct or indirect cost incurred by the Partnership Representative, acting in its capacity as such, shall be deemed costs and expenses of the Company, and the Company shall reimburse the Partnership Representative for such amounts.</w:t>
      </w:r>
    </w:p>
    <w:p>
      <w:pPr>
        <w:spacing w:after="0" w:line="62" w:lineRule="exact"/>
        <w:rPr>
          <w:rFonts w:ascii="Arial" w:cs="Arial" w:eastAsia="Arial" w:hAnsi="Arial"/>
          <w:sz w:val="18"/>
          <w:szCs w:val="18"/>
          <w:color w:val="auto"/>
        </w:rPr>
      </w:pPr>
    </w:p>
    <w:p>
      <w:pPr>
        <w:jc w:val="both"/>
        <w:ind w:firstLine="996"/>
        <w:spacing w:after="0" w:line="259" w:lineRule="auto"/>
        <w:tabs>
          <w:tab w:leader="none" w:pos="123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6.01, including any obligations arising therefrom, shall survive the termination of the Company or the termination of the Member’s interest in the Company and shall remain binding on the Member, the Board, and the Company for the period of time necessary to resolve with the IRS or other federal, state or applicable local tax agency any and all tax matters relating to the Company for taxable years that are subject to the Centralized Partnership Audit Regime.</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Section 754 Election</w:t>
      </w:r>
      <w:r>
        <w:rPr>
          <w:rFonts w:ascii="Arial" w:cs="Arial" w:eastAsia="Arial" w:hAnsi="Arial"/>
          <w:sz w:val="18"/>
          <w:szCs w:val="18"/>
          <w:color w:val="auto"/>
        </w:rPr>
        <w:t>. The Company and each of its Subsidiaries that is treated as a partnership for U.S. federal income tax purposes shall have in effect an election under Section 754 of the Code (and a corresponding election under state and local law, as applicable) for each taxable year, and the Board shall not take any action to revoke such election.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OF THE COMPANY</w:t>
      </w:r>
    </w:p>
    <w:p>
      <w:pPr>
        <w:spacing w:after="0" w:line="211"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Establishment of the Board</w:t>
      </w:r>
      <w:r>
        <w:rPr>
          <w:rFonts w:ascii="Arial" w:cs="Arial" w:eastAsia="Arial" w:hAnsi="Arial"/>
          <w:sz w:val="17"/>
          <w:szCs w:val="17"/>
          <w:color w:val="auto"/>
        </w:rPr>
        <w:t>. A board of managers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established and shall be comprised of natural Persons (each, a “</w:t>
      </w:r>
      <w:r>
        <w:rPr>
          <w:rFonts w:ascii="Arial" w:cs="Arial" w:eastAsia="Arial" w:hAnsi="Arial"/>
          <w:sz w:val="17"/>
          <w:szCs w:val="17"/>
          <w:u w:val="single" w:color="auto"/>
          <w:color w:val="auto"/>
        </w:rPr>
        <w:t>Manager</w:t>
      </w:r>
      <w:r>
        <w:rPr>
          <w:rFonts w:ascii="Arial" w:cs="Arial" w:eastAsia="Arial" w:hAnsi="Arial"/>
          <w:sz w:val="17"/>
          <w:szCs w:val="17"/>
          <w:color w:val="auto"/>
        </w:rPr>
        <w:t>”) who shall be appointed in accordance with the provisions of Section 7.02. No Manager need be a Member. Except as otherwise specifically set forth in this Agreement, each member of the Board shall be deemed to be a “manager” for purposes of applying the Delaware LLC Act. Except as expressly provided in this Agreement or the Delaware LLC Act, none of the Members shall have management authority or rights over the Company or its Subsidiaries. The Board and the Officers of the Company are, to the extent of their respective rights and powers set forth in this Agreement, agents of the Company for the purpose of the Company’s and its Subsidiaries’ business, and the actions of the Board and the Officers of the Company, taken in accordance with such rights and powers shall bind the Company (and none of the Members shall have such right). The Board shall be responsible for the oversight of the Company’s operations and overall performance and strategy, while the management of the day-to-day operations of the business of the Company and the execution of business strategy shall be the responsibility of the Officers and employees of the Company and the officers and employees of its Subsidiaries. Except as expressly provided in this Agreement, the Board shall have all necessary powers to carry out the purposes, business and objectives of the Company and its Subsidiaries. The Board may delegate to Members, employees, Officers or agents of the Company or any Subsidiary in its discretion the authority to sign agreements and other documents on behalf of the Company or any Subsidiary.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8"/>
          <w:szCs w:val="18"/>
          <w:u w:val="single" w:color="auto"/>
          <w:color w:val="auto"/>
        </w:rPr>
        <w:t>Board Composition; Vacancies</w:t>
      </w:r>
      <w:r>
        <w:rPr>
          <w:rFonts w:ascii="Arial" w:cs="Arial" w:eastAsia="Arial" w:hAnsi="Arial"/>
          <w:sz w:val="18"/>
          <w:szCs w:val="18"/>
          <w:color w:val="auto"/>
        </w:rPr>
        <w:t>.</w:t>
      </w:r>
    </w:p>
    <w:p>
      <w:pPr>
        <w:spacing w:after="0" w:line="117" w:lineRule="exact"/>
        <w:rPr>
          <w:sz w:val="20"/>
          <w:szCs w:val="20"/>
          <w:color w:val="auto"/>
        </w:rPr>
      </w:pPr>
    </w:p>
    <w:p>
      <w:pPr>
        <w:ind w:right="120" w:firstLine="996"/>
        <w:spacing w:after="0" w:line="264" w:lineRule="auto"/>
        <w:tabs>
          <w:tab w:leader="none" w:pos="12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Managers constituting the Board shall be fixed by the Voting Member from time to time, but shall not be less than five nor more than twelve members. Any vacancies in the Board that occur for any reason, including vacancies that occur by reason of an increase in the number of Managers, may be filled only by the Voting Member.</w:t>
      </w:r>
    </w:p>
    <w:p>
      <w:pPr>
        <w:spacing w:after="0" w:line="73" w:lineRule="exact"/>
        <w:rPr>
          <w:rFonts w:ascii="Arial" w:cs="Arial" w:eastAsia="Arial" w:hAnsi="Arial"/>
          <w:sz w:val="18"/>
          <w:szCs w:val="18"/>
          <w:color w:val="auto"/>
        </w:rPr>
      </w:pPr>
    </w:p>
    <w:p>
      <w:pPr>
        <w:ind w:right="20" w:firstLine="996"/>
        <w:spacing w:after="0" w:line="264" w:lineRule="auto"/>
        <w:tabs>
          <w:tab w:leader="none" w:pos="12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Managers shall elect one of the members of the Board to be chairperson of the Board. The chairperson shall preside at all meetings of the Board, unless absent from such meeting, in which case, if there is a quorum, the Managers present may elect another Manager to preside at such meeting.</w:t>
      </w:r>
    </w:p>
    <w:p>
      <w:pPr>
        <w:spacing w:after="0" w:line="18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 Manager may be removed at any time, with or without cause, by the Voting Member. A Manager may resign at any time from the Board by delivering his or her written resignation to the Board. Any such resignation shall be effective upon receipt thereof unless it is specified to be effective at some other time or upon the occurrence of some other event. The Board’s acceptance of a resignation shall not be necessary to make it effective.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Meetings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70" w:lineRule="auto"/>
        <w:tabs>
          <w:tab w:leader="none" w:pos="123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Regular meetings of the Board shall be held on such days and at such times and places either within or without the State of Delaware as shall from time to time be fixed by the chairperson of the Board. Notice of such regular meetings need not be given. Special meetings of the Board may be held at any day, time and place, within or without the State of Delaware, upon the call of the chairperson of the Board or the president or other chief executive officer of the Company, by oral, written, e-mail or other electronically transmitted notice duly given, sent or mailed to each Manager, at such Manager’s last known address, not less than twenty-four hours before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Manager may, at any time, in writing or by e-mail or other electronic transmission, waive notice of any meeting at which he or she may not be or may not have been present. Attendance of a Manager at any meeting shall constitute a waiver of notice of the meeting, except where a Manager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69" w:lineRule="exact"/>
        <w:rPr>
          <w:rFonts w:ascii="Arial" w:cs="Arial" w:eastAsia="Arial" w:hAnsi="Arial"/>
          <w:sz w:val="17"/>
          <w:szCs w:val="17"/>
          <w:color w:val="auto"/>
        </w:rPr>
      </w:pPr>
    </w:p>
    <w:p>
      <w:pPr>
        <w:jc w:val="both"/>
        <w:ind w:right="80" w:firstLine="996"/>
        <w:spacing w:after="0" w:line="264" w:lineRule="auto"/>
        <w:tabs>
          <w:tab w:leader="none" w:pos="12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73" w:lineRule="exact"/>
        <w:rPr>
          <w:rFonts w:ascii="Arial" w:cs="Arial" w:eastAsia="Arial" w:hAnsi="Arial"/>
          <w:sz w:val="18"/>
          <w:szCs w:val="18"/>
          <w:color w:val="auto"/>
        </w:rPr>
      </w:pPr>
    </w:p>
    <w:p>
      <w:pPr>
        <w:ind w:left="1240" w:hanging="244"/>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Manager shall have one vote on all matters submitted to the Board or any committee thereof.</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Notwithstanding anything herein to the contrary, any action required or permitted to be taken at any meeting of the Board or of any committee thereof may be taken without a meeting if a majority of the Managers or the majority of the members of such committee, as the case may be, execute a consent thereto in writing, or by electronic transmission, setting forth the action so taken. Such consent shall have the same force and effect as a vote at a meeting where a quorum was present and shall be filed with the minutes of proceedings of the Board or such committee, as applicable.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70" w:name="page71"/>
    <w:bookmarkEnd w:id="70"/>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Board then in office shall constitute a quorum at all meetings of the Board, and the act of the majority of the Managers present at any meeting at which a quorum is present shall be the act of the Board, unless a greater number of Managers is required by the Company’s Certificate of Formation, this Agreement or by Applicable Law. At any meeting of Managers, whether or not a quorum is present, the Managers present thereat may adjourn the same from time to time without notice other than announcement at the meeting. A Manager who may be disqualified, by reason of personal interest, from voting on any particular matter before a meeting of the Board may nevertheless be counted for the purpose of constituting a quorum of the Board.</w:t>
      </w:r>
    </w:p>
    <w:p>
      <w:pPr>
        <w:spacing w:after="0" w:line="193"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The Board may, by resolution passed by a majority of the Board, fix the terms and amount of compensation payable to any Person for his or her services as Manager, if he or she is not otherwise compensated for services rendered as an Officer or employee of the Company, as an officer or employee of any Subsidiary of the Company, as an officer or employee of Holdings or any Subsidiary of Holdings or as a director of Pubco;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Manager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Managers also may be allowed compensation and expenses similarly incurred. Nothing herein contained shall be construed to preclude any Manager from serving the Company, any Subsidiary of the Company, Holdings, any Subsidiary of Holdings (other than the Company and its Subsidiaries), Pubco or any of their respective Affiliates in any other capacity and receiving compensation therefor.</w:t>
      </w:r>
    </w:p>
    <w:p>
      <w:pPr>
        <w:spacing w:after="0" w:line="179"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by resolution passed by a majority of the entire Board, designate two or more Managers to constitute an executive committee of the Board which shall have and exercise all of the authority of the Board in the management of the Company, in the intervals between meetings of the Board. In addition, the Board may appoint any other committee or committees, with such members, functions and powers as the Board may designate. The Board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Manager who may be disqualified, by reason of personal interest, from voting on any particular matter before a meeting of a committee may nevertheless be counted for the purpose of constituting a quorum of the committee.</w:t>
      </w:r>
    </w:p>
    <w:p>
      <w:pPr>
        <w:spacing w:after="0" w:line="16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Decisions by the Members</w:t>
      </w:r>
      <w:r>
        <w:rPr>
          <w:rFonts w:ascii="Arial" w:cs="Arial" w:eastAsia="Arial" w:hAnsi="Arial"/>
          <w:sz w:val="18"/>
          <w:szCs w:val="18"/>
          <w:color w:val="auto"/>
        </w:rPr>
        <w:t>. Except as expressly provided herein (including with respect to any special approval rights granted to Holdings hereunder), no Members nor any class of Members shall have any voting rights nor the power or authority to vote, approve or consent to any matter or action taken by the Company. Except as otherwise provided herein, any proposed matter or action subject to the vote, approval or consent of the Members shall require the approval of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342" w:lineRule="auto"/>
        <w:tabs>
          <w:tab w:leader="none" w:pos="123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Appointment of Officers</w:t>
      </w:r>
      <w:r>
        <w:rPr>
          <w:rFonts w:ascii="Arial" w:cs="Arial" w:eastAsia="Arial" w:hAnsi="Arial"/>
          <w:sz w:val="16"/>
          <w:szCs w:val="16"/>
          <w:color w:val="auto"/>
        </w:rPr>
        <w:t>. The Board may appoint individuals as officers (“</w:t>
      </w:r>
      <w:r>
        <w:rPr>
          <w:rFonts w:ascii="Arial" w:cs="Arial" w:eastAsia="Arial" w:hAnsi="Arial"/>
          <w:sz w:val="16"/>
          <w:szCs w:val="16"/>
          <w:u w:val="single" w:color="auto"/>
          <w:color w:val="auto"/>
        </w:rPr>
        <w:t>Officers</w:t>
      </w:r>
      <w:r>
        <w:rPr>
          <w:rFonts w:ascii="Arial" w:cs="Arial" w:eastAsia="Arial" w:hAnsi="Arial"/>
          <w:sz w:val="16"/>
          <w:szCs w:val="16"/>
          <w:color w:val="auto"/>
        </w:rPr>
        <w:t>”) of the Company, which may include such officers as the Board determines are necessary and appropriate. No Officer need be a Member. An individual may be appointed to more than one office.</w:t>
      </w:r>
    </w:p>
    <w:p>
      <w:pPr>
        <w:spacing w:after="0" w:line="15" w:lineRule="exact"/>
        <w:rPr>
          <w:rFonts w:ascii="Arial" w:cs="Arial" w:eastAsia="Arial" w:hAnsi="Arial"/>
          <w:sz w:val="16"/>
          <w:szCs w:val="16"/>
          <w:color w:val="auto"/>
        </w:rPr>
      </w:pPr>
    </w:p>
    <w:p>
      <w:pPr>
        <w:jc w:val="both"/>
        <w:ind w:right="60" w:firstLine="996"/>
        <w:spacing w:after="0" w:line="264" w:lineRule="auto"/>
        <w:tabs>
          <w:tab w:leader="none" w:pos="124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Authority of Officers</w:t>
      </w:r>
      <w:r>
        <w:rPr>
          <w:rFonts w:ascii="Arial" w:cs="Arial" w:eastAsia="Arial" w:hAnsi="Arial"/>
          <w:sz w:val="18"/>
          <w:szCs w:val="18"/>
          <w:color w:val="auto"/>
        </w:rPr>
        <w:t>. The Officers shall have the duties, rights, powers and authority as may be prescribed by the Board from time to time, and shall be responsible for carrying out the Company’s business and affairs on a day-to-day basis, including the execution of business strategy of the Company and its Subsidiaries.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71" w:name="page72"/>
    <w:bookmarkEnd w:id="71"/>
    <w:p>
      <w:pPr>
        <w:ind w:right="60" w:firstLine="996"/>
        <w:spacing w:after="0" w:line="276" w:lineRule="auto"/>
        <w:tabs>
          <w:tab w:leader="none" w:pos="123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Removal, Resignation and Filling of Vacancy of Officers</w:t>
      </w:r>
      <w:r>
        <w:rPr>
          <w:rFonts w:ascii="Arial" w:cs="Arial" w:eastAsia="Arial" w:hAnsi="Arial"/>
          <w:sz w:val="17"/>
          <w:szCs w:val="17"/>
          <w:color w:val="auto"/>
        </w:rPr>
        <w:t xml:space="preserve">. The Board may remove any Officer, for any reason or for no reason, at any time. Any Officer may resign at any time by giving written notice to the Company, and such resignation shall take effect at the date of the receipt of that notice or any later time specified in that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by the Board.</w:t>
      </w:r>
    </w:p>
    <w:p>
      <w:pPr>
        <w:spacing w:after="0" w:line="173"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Reimbursement for Expenses</w:t>
      </w:r>
      <w:r>
        <w:rPr>
          <w:rFonts w:ascii="Arial" w:cs="Arial" w:eastAsia="Arial" w:hAnsi="Arial"/>
          <w:sz w:val="16"/>
          <w:szCs w:val="16"/>
          <w:color w:val="auto"/>
        </w:rPr>
        <w:t>. The Members acknowledge and agree that, upon consummation of the IPO, Pubco’s Class A Common Stock is and will continue to be publicly traded and therefore Pubco will have access to the public capital markets and that such status and the services performed by Pubco will inure to the benefit of the Company and all Members; therefore, Pubco shall be reimbursed by the Company for any reasonable out-of-pocket expenses incurred on behalf of the Company, including all fees, expenses and costs of Pubco associated with being a public company (including public reporting obligations, proxy statements, stockholder meetings, stock exchange fees, transfer agent fees, SEC and FINRA filing fees and offering expenses) and maintaining its corporate existence. To the extent practicable, expenses incurred by Pubco on behalf of or for the benefit of the Company shall be billed directly to and paid by the Company and, if and to the extent any reimbursements to Pubco or any of its Affiliates by the Company pursuant to this Section 7.11 constitute gross income to such Person (as opposed to the repayment of advances made by such Person on behalf of the Company), such amounts shall be treated as “guaranteed payments” within the meaning of Code Section 707(c) and shall not be treated as distributions for purposes of computing the Members’ Capital Accounts. Notwithstanding the foregoing, the Company shall not bear any income tax obligations of Pubco or any payments made pursuant to the Tax Matters Agreement or Tax Receivable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TRANSFERS OF INTERESTS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Restrictions on Transfers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55" w:lineRule="auto"/>
        <w:tabs>
          <w:tab w:leader="none" w:pos="12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expressly permitted by Section 8.02, and subject to Section 8.01(b), Section 8.01(c), Section 8.01(d) and Section 8.04, any underwriter lock-up agreement applicable to such Member and/or any other agreement between such Member and the Company, Pubco or any of their controlled Affiliates, without the prior written approval of the Board, no Member shall directly or indirectly Transfer all or any part of its Units or any right or economic interest pertaining thereto, including the right to vote or consent on any matter or to receive or have any economic interest in distributions or advances from the Company pursuant thereto. Any such Transfer which is not in compliance with the provisions of this Agreement shall be deemed a Transfer by such Member of Units in violation of this Agreement (and a breach of this Agreement by such Member) and shall be null and void ab initio.</w:t>
      </w:r>
    </w:p>
    <w:p>
      <w:pPr>
        <w:spacing w:after="0" w:line="81" w:lineRule="exact"/>
        <w:rPr>
          <w:rFonts w:ascii="Arial" w:cs="Arial" w:eastAsia="Arial" w:hAnsi="Arial"/>
          <w:sz w:val="18"/>
          <w:szCs w:val="18"/>
          <w:color w:val="auto"/>
        </w:rPr>
      </w:pPr>
    </w:p>
    <w:p>
      <w:pPr>
        <w:ind w:right="520" w:firstLine="996"/>
        <w:spacing w:after="0" w:line="277" w:lineRule="auto"/>
        <w:tabs>
          <w:tab w:leader="none" w:pos="12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otherwise expressly provided herein, it shall be a condition precedent to any Transfer otherwise permitted or approved pursuant to this Article VIII that:</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Transferor shall have provided to the Company prior written notice of such Transfer; and</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Transfer shall comply with all Applicable Laws.</w:t>
      </w:r>
    </w:p>
    <w:p>
      <w:pPr>
        <w:spacing w:after="0" w:line="117" w:lineRule="exact"/>
        <w:rPr>
          <w:rFonts w:ascii="Arial" w:cs="Arial" w:eastAsia="Arial" w:hAnsi="Arial"/>
          <w:sz w:val="18"/>
          <w:szCs w:val="18"/>
          <w:color w:val="auto"/>
        </w:rPr>
      </w:pPr>
    </w:p>
    <w:p>
      <w:pPr>
        <w:jc w:val="both"/>
        <w:ind w:firstLine="996"/>
        <w:spacing w:after="0" w:line="312" w:lineRule="auto"/>
        <w:tabs>
          <w:tab w:leader="none" w:pos="12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no Member shall directly or indirectly Transfer all or any part of its Units or any right or economic interest pertaining thereto if such Transfer, in the reasonable discretion of the Board, would cause the Company to be classified as a “publicly traded partnership” as that term is defined in Section 7704 of the Code and the Treasury Regulations promulgated thereunder.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72" w:name="page73"/>
    <w:bookmarkEnd w:id="72"/>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Any Transfer of Units pursuant to this Agreement, including this Article VIII, shall be subject to the provisions of Section 3.01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3.02.</w:t>
      </w:r>
    </w:p>
    <w:p>
      <w:pPr>
        <w:spacing w:after="0" w:line="21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Certain Permitted Transfers</w:t>
      </w:r>
      <w:r>
        <w:rPr>
          <w:rFonts w:ascii="Arial" w:cs="Arial" w:eastAsia="Arial" w:hAnsi="Arial"/>
          <w:sz w:val="18"/>
          <w:szCs w:val="18"/>
          <w:color w:val="auto"/>
        </w:rPr>
        <w:t>. Notwithstanding anything to the contrary herein, the following Transfers shall be permitted without the prior written consent of the Board pursuant to Section 8.01:</w:t>
      </w:r>
    </w:p>
    <w:p>
      <w:pPr>
        <w:spacing w:after="0" w:line="62" w:lineRule="exact"/>
        <w:rPr>
          <w:sz w:val="20"/>
          <w:szCs w:val="20"/>
          <w:color w:val="auto"/>
        </w:rPr>
      </w:pPr>
    </w:p>
    <w:p>
      <w:pPr>
        <w:ind w:left="1240" w:hanging="244"/>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Transfer by any Member of its Units pursuant to a Pubco Offer or Disposition Event;</w:t>
      </w:r>
    </w:p>
    <w:p>
      <w:pPr>
        <w:spacing w:after="0" w:line="117" w:lineRule="exact"/>
        <w:rPr>
          <w:rFonts w:ascii="Arial" w:cs="Arial" w:eastAsia="Arial" w:hAnsi="Arial"/>
          <w:sz w:val="18"/>
          <w:szCs w:val="18"/>
          <w:color w:val="auto"/>
        </w:rPr>
      </w:pPr>
    </w:p>
    <w:p>
      <w:pPr>
        <w:ind w:right="300" w:firstLine="996"/>
        <w:spacing w:after="0" w:line="286" w:lineRule="auto"/>
        <w:tabs>
          <w:tab w:leader="none" w:pos="124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Transfer of Units or other Equity Securities by Holdings or its Affiliates (other than Pubco or any of its Subsidiaries) 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Section 8.02(b) shall not apply to any Transfers otherwise described in Section 8.02(c), Section 8.02(d), Section 8.02(e) or Section 8.02(f);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Transfer in reliance on this Section 8.02(b) shall be subject to Section 8.04;</w:t>
      </w:r>
    </w:p>
    <w:p>
      <w:pPr>
        <w:spacing w:after="0" w:line="57" w:lineRule="exact"/>
        <w:rPr>
          <w:rFonts w:ascii="Arial" w:cs="Arial" w:eastAsia="Arial" w:hAnsi="Arial"/>
          <w:sz w:val="17"/>
          <w:szCs w:val="17"/>
          <w:color w:val="auto"/>
        </w:rPr>
      </w:pPr>
    </w:p>
    <w:p>
      <w:pPr>
        <w:ind w:left="1240" w:hanging="244"/>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Transfer by any Member of its Units in connection with a Redemption pursuant to Article IX;</w:t>
      </w:r>
    </w:p>
    <w:p>
      <w:pPr>
        <w:spacing w:after="0" w:line="117" w:lineRule="exact"/>
        <w:rPr>
          <w:rFonts w:ascii="Arial" w:cs="Arial" w:eastAsia="Arial" w:hAnsi="Arial"/>
          <w:sz w:val="18"/>
          <w:szCs w:val="18"/>
          <w:color w:val="auto"/>
        </w:rPr>
      </w:pPr>
    </w:p>
    <w:p>
      <w:pPr>
        <w:ind w:right="440" w:firstLine="996"/>
        <w:spacing w:after="0" w:line="277" w:lineRule="auto"/>
        <w:tabs>
          <w:tab w:leader="none" w:pos="12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Transfer of Registrable Securities (as such term is defined in the Investor Rights Agreement) in accordance with the Investor Rights Agreement;</w:t>
      </w:r>
    </w:p>
    <w:p>
      <w:pPr>
        <w:spacing w:after="0" w:line="62" w:lineRule="exact"/>
        <w:rPr>
          <w:rFonts w:ascii="Arial" w:cs="Arial" w:eastAsia="Arial" w:hAnsi="Arial"/>
          <w:sz w:val="18"/>
          <w:szCs w:val="18"/>
          <w:color w:val="auto"/>
        </w:rPr>
      </w:pPr>
    </w:p>
    <w:p>
      <w:pPr>
        <w:ind w:firstLine="996"/>
        <w:spacing w:after="0" w:line="259" w:lineRule="auto"/>
        <w:tabs>
          <w:tab w:leader="none" w:pos="12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Transfer by Holdings of Units or any other Equity Securities to the shareholders of Holdings in connection with any distribution of any direct or indirect interest of Holdings in the Company (including transfers to a Subsidiary of Holdings in connection with a transaction that is intended to satisfy the requirements of Section 355 or Section 368 of the Code (whether or not accompanied by a merger of such Subsidiary with Pubco or any of its Subsidiaries)); or</w:t>
      </w:r>
    </w:p>
    <w:p>
      <w:pPr>
        <w:spacing w:after="0" w:line="78" w:lineRule="exact"/>
        <w:rPr>
          <w:rFonts w:ascii="Arial" w:cs="Arial" w:eastAsia="Arial" w:hAnsi="Arial"/>
          <w:sz w:val="18"/>
          <w:szCs w:val="18"/>
          <w:color w:val="auto"/>
        </w:rPr>
      </w:pPr>
    </w:p>
    <w:p>
      <w:pPr>
        <w:ind w:left="1220" w:hanging="224"/>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Transfer of shares of Class A Common Stock.</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Registration of Transfers</w:t>
      </w:r>
      <w:r>
        <w:rPr>
          <w:rFonts w:ascii="Arial" w:cs="Arial" w:eastAsia="Arial" w:hAnsi="Arial"/>
          <w:sz w:val="18"/>
          <w:szCs w:val="18"/>
          <w:color w:val="auto"/>
        </w:rPr>
        <w:t>. When any Units are Transferred in accordance with the terms of this Agreement, the Company shall cause such Transfer to be registered on the books of the Company.</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Class B Common Stock Voting Rights</w:t>
      </w:r>
      <w:r>
        <w:rPr>
          <w:rFonts w:ascii="Arial" w:cs="Arial" w:eastAsia="Arial" w:hAnsi="Arial"/>
          <w:sz w:val="18"/>
          <w:szCs w:val="18"/>
          <w:color w:val="auto"/>
        </w:rPr>
        <w:t>. In connection with any (i) Transfer by Holdings or its Affiliates (other than Pubco or any of its Subsidiaries) of any Nonvoting Common Units to any Person other than Holdings, any Affiliates of Holdings or Pubco or any of its Subsidiaries (each, a “</w:t>
      </w:r>
      <w:r>
        <w:rPr>
          <w:rFonts w:ascii="Arial" w:cs="Arial" w:eastAsia="Arial" w:hAnsi="Arial"/>
          <w:sz w:val="18"/>
          <w:szCs w:val="18"/>
          <w:u w:val="single" w:color="auto"/>
          <w:color w:val="auto"/>
        </w:rPr>
        <w:t>Non-Affiliated Transferee</w:t>
      </w:r>
      <w:r>
        <w:rPr>
          <w:rFonts w:ascii="Arial" w:cs="Arial" w:eastAsia="Arial" w:hAnsi="Arial"/>
          <w:sz w:val="18"/>
          <w:szCs w:val="18"/>
          <w:color w:val="auto"/>
        </w:rPr>
        <w:t>”) in reliance on Section 8.02(b), or (ii) issuance of additional Nonvoting Common Units by the Company to any Non-Affiliated Transferee, in either case, the holder of the share of Class B Common Stock shall either grant to such Non-Affiliated Transferee a written proxy, or enter into a written voting agreement or other voting arrangement with such Non-Affiliated Transferee, in either case, which shall provide as follows:</w:t>
      </w:r>
    </w:p>
    <w:p>
      <w:pPr>
        <w:spacing w:after="0" w:line="85" w:lineRule="exact"/>
        <w:rPr>
          <w:sz w:val="20"/>
          <w:szCs w:val="20"/>
          <w:color w:val="auto"/>
        </w:rPr>
      </w:pPr>
    </w:p>
    <w:p>
      <w:pPr>
        <w:ind w:right="460" w:firstLine="996"/>
        <w:spacing w:after="0" w:line="277" w:lineRule="auto"/>
        <w:tabs>
          <w:tab w:leader="none" w:pos="12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specific number or percentage of votes to which the share of Class B Common Stock is entitled that is covered by such proxy, agreement or other arrangement;</w:t>
      </w:r>
    </w:p>
    <w:p>
      <w:pPr>
        <w:spacing w:after="0" w:line="62" w:lineRule="exact"/>
        <w:rPr>
          <w:rFonts w:ascii="Arial" w:cs="Arial" w:eastAsia="Arial" w:hAnsi="Arial"/>
          <w:sz w:val="18"/>
          <w:szCs w:val="18"/>
          <w:color w:val="auto"/>
        </w:rPr>
      </w:pPr>
    </w:p>
    <w:p>
      <w:pPr>
        <w:ind w:right="60" w:firstLine="996"/>
        <w:spacing w:after="0" w:line="255" w:lineRule="auto"/>
        <w:tabs>
          <w:tab w:leader="none" w:pos="12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 long as the holder of the share of Class B Common Stock and its Affiliates (other than Pubco or any of its Subsidiaries) hold in the aggregate more than fifty percent (50%) of the Nonvoting Common Units, such Non-Affiliated Transferee shall have the right, in its discretion, to direct the holder of the share of Class B Common Stock to cast a number of votes to which the outstanding share of Class B Common Stock is entitled on all matters on which stockholders in Pubco generally are entitled to vote (whether at a meeting of stockholders or by written consent) as set forth in such proxy, agreement or other arrangement, which, for the avoidance of doubt, need not provide for any such right until the occurrence of the event described in Section 8.04(c);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73" w:name="page74"/>
    <w:bookmarkEnd w:id="73"/>
    <w:p>
      <w:pPr>
        <w:ind w:firstLine="996"/>
        <w:spacing w:after="0" w:line="254" w:lineRule="auto"/>
        <w:tabs>
          <w:tab w:leader="none" w:pos="1237"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as of the record date for any meeting of the Pubco stockholders at which such stockholders are entitled to vote, the holder of the share of Class B Common Stock and its Affiliates (other than Pubco or any of its Subsidiaries) holds in the aggregate fifty percent (50%) or less of the Nonvoting Common Units outstanding as of such record date, such Non-Affiliated Transferee shall have the right, in its discretion, to direct the holder of the share of Class B Common Stock to cast a number of votes to which the outstanding share of Class B Common Stock is entitled on all matters on which stockholders in Pubco generally are entitled to vote equal to the number of Nonvoting Common Units held by such Non-Affiliated Transferee (and, for the avoidance of doubt, in the event no such direction is provided by such Non-Affiliated Transferee, the holder of the share of Class B Common Stock shall not otherwise have the right to cast such number of votes subject to such proxy, agreement or other arrangement for which no direction was provided); and</w:t>
      </w:r>
    </w:p>
    <w:p>
      <w:pPr>
        <w:spacing w:after="0" w:line="84" w:lineRule="exact"/>
        <w:rPr>
          <w:rFonts w:ascii="Arial" w:cs="Arial" w:eastAsia="Arial" w:hAnsi="Arial"/>
          <w:sz w:val="18"/>
          <w:szCs w:val="18"/>
          <w:color w:val="auto"/>
        </w:rPr>
      </w:pPr>
    </w:p>
    <w:p>
      <w:pPr>
        <w:ind w:right="80" w:firstLine="996"/>
        <w:spacing w:after="0" w:line="272" w:lineRule="auto"/>
        <w:tabs>
          <w:tab w:leader="none" w:pos="124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in the event of a subsequent Transfer by the Non-Affiliated Transferee of Nonvoting Common Units to another Person (which must be permitted by and pursuant to the terms of this Agreement), the Transferor’s rights under the proxy, agreement or other arrangement referenced in this Section 8.04 shall automatically be deemed assigned or transferred, in whole or in part, to such acquiring Person to the extent it acquires associated Nonvoting Common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rights shall not extend to any Affiliates of the holder of the share of Class B Common Stock, and the Transfer of any Nonvoting Common Units by any Non-Affiliated Transferee to the holder of the share of Class B Common Stock or any of its Affiliates (including, for the avoidance of doubt, Pubco or the Company) shall constitute a revocation of the rights granted under such proxy, agreement or other arrangement with respect to such Nonvoting Common Units.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Redemption Right of a Member</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86" w:lineRule="auto"/>
        <w:tabs>
          <w:tab w:leader="none" w:pos="12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Subject to the provisions set forth in this Section 9.01, each Member (other than Pubco) shall be entitled to cause the Company to redeem (a “</w:t>
      </w:r>
      <w:r>
        <w:rPr>
          <w:rFonts w:ascii="Arial" w:cs="Arial" w:eastAsia="Arial" w:hAnsi="Arial"/>
          <w:sz w:val="16"/>
          <w:szCs w:val="16"/>
          <w:u w:val="single" w:color="auto"/>
          <w:color w:val="auto"/>
        </w:rPr>
        <w:t>Redemption</w:t>
      </w:r>
      <w:r>
        <w:rPr>
          <w:rFonts w:ascii="Arial" w:cs="Arial" w:eastAsia="Arial" w:hAnsi="Arial"/>
          <w:sz w:val="16"/>
          <w:szCs w:val="16"/>
          <w:color w:val="auto"/>
        </w:rPr>
        <w:t>”) its Nonvoting Common Units (the “</w:t>
      </w:r>
      <w:r>
        <w:rPr>
          <w:rFonts w:ascii="Arial" w:cs="Arial" w:eastAsia="Arial" w:hAnsi="Arial"/>
          <w:sz w:val="16"/>
          <w:szCs w:val="16"/>
          <w:u w:val="single" w:color="auto"/>
          <w:color w:val="auto"/>
        </w:rPr>
        <w:t>Redemption Right</w:t>
      </w:r>
      <w:r>
        <w:rPr>
          <w:rFonts w:ascii="Arial" w:cs="Arial" w:eastAsia="Arial" w:hAnsi="Arial"/>
          <w:sz w:val="16"/>
          <w:szCs w:val="16"/>
          <w:color w:val="auto"/>
        </w:rPr>
        <w:t>”) at any time (subject to any applicable lock-up agreements). A Member desiring to exercise its Redemption Right (the “</w:t>
      </w:r>
      <w:r>
        <w:rPr>
          <w:rFonts w:ascii="Arial" w:cs="Arial" w:eastAsia="Arial" w:hAnsi="Arial"/>
          <w:sz w:val="16"/>
          <w:szCs w:val="16"/>
          <w:u w:val="single" w:color="auto"/>
          <w:color w:val="auto"/>
        </w:rPr>
        <w:t>Redeeming Member</w:t>
      </w:r>
      <w:r>
        <w:rPr>
          <w:rFonts w:ascii="Arial" w:cs="Arial" w:eastAsia="Arial" w:hAnsi="Arial"/>
          <w:sz w:val="16"/>
          <w:szCs w:val="16"/>
          <w:color w:val="auto"/>
        </w:rPr>
        <w:t>”) shall exercise such right by giving written notice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to the Company with a copy to Pubco. The Redemption Notice shall specify the number of Nonvoting Common Units (the “</w:t>
      </w:r>
      <w:r>
        <w:rPr>
          <w:rFonts w:ascii="Arial" w:cs="Arial" w:eastAsia="Arial" w:hAnsi="Arial"/>
          <w:sz w:val="16"/>
          <w:szCs w:val="16"/>
          <w:u w:val="single" w:color="auto"/>
          <w:color w:val="auto"/>
        </w:rPr>
        <w:t>Redeemed Units</w:t>
      </w:r>
      <w:r>
        <w:rPr>
          <w:rFonts w:ascii="Arial" w:cs="Arial" w:eastAsia="Arial" w:hAnsi="Arial"/>
          <w:sz w:val="16"/>
          <w:szCs w:val="16"/>
          <w:color w:val="auto"/>
        </w:rPr>
        <w:t>”) that the Redeeming Member intends to have the Company redeem and a date, not less than seven (7) Business Days nor more than ten (10) Business Days after delivery of such Redemption Notice (unless and to the extent that the Board in its sole discretion agrees in writing to waive such time periods), on which exercise of the Redemption Right shall be completed (the “</w:t>
      </w:r>
      <w:r>
        <w:rPr>
          <w:rFonts w:ascii="Arial" w:cs="Arial" w:eastAsia="Arial" w:hAnsi="Arial"/>
          <w:sz w:val="16"/>
          <w:szCs w:val="16"/>
          <w:u w:val="single" w:color="auto"/>
          <w:color w:val="auto"/>
        </w:rPr>
        <w:t>Redemption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Pubco and the Redeeming Member may change the number of Redeemed Units and/or the Redemption Date specified in such Redemption Notice to another number and/or date by mutual agreement signed in writing by each of them;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Redemption may be conditioned on (i) the Redeeming Member having entered into a valid and binding agreement with a third party for the sale of shares of Class A Common Stock that may be distributed to the Redeeming Member in connection with such proposed Redemption (whether in a tender or exchange offer, private sale or otherwise) and such agreement is subject to customary closing conditions for agreements of such kind and the delivery of the Class A Common Stock by the Redeeming Member to such third party, (ii) the closing of an announced merger, consolidation or other transaction in which the shares of Class A Common Stock that may be distributed to the Redeeming Member in connection with such proposed Redemption would be exchanged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74" w:name="page75"/>
    <w:bookmarkEnd w:id="7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converted or become exchangeable for or convertible into cash or other securities or property and/or (iii) the closing of an underwritten distribution of the shares of Class A Common Stock that may be distributed to the Redeeming Member in connection with such proposed Redemption. Unless the Redeeming Member timely has delivered a Retraction Notice as provided in Section 9.01(b) or has revoked or delayed a Redemption as provided in Section 9.01(c), on the Redemption Date (to be effective immediately prior to the close of business on the Redemption Date): (A) the Redeeming Member shall transfer and surrender the Redeemed Units to the Company, free and clear of all liens and encumbrances, and (B) the Company shall (x) cancel the Redeemed Units, (y) transfer to the Redeeming Member the consideration to which the Redeeming Member is entitled under</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9.01(b), and (z) if the Units are certificated, issue to the Redeeming Member a certificate for a number of Nonvoting Common Units equal to the difference (if any) between the number of Nonvoting Common Units evidenced by the certificate surrendered by the Redeeming Member pursuant to clause (A) of this Section 9.01(a) and the Redeemed Units.</w:t>
      </w:r>
    </w:p>
    <w:p>
      <w:pPr>
        <w:spacing w:after="0" w:line="82" w:lineRule="exact"/>
        <w:rPr>
          <w:sz w:val="20"/>
          <w:szCs w:val="20"/>
          <w:color w:val="auto"/>
        </w:rPr>
      </w:pPr>
    </w:p>
    <w:p>
      <w:pPr>
        <w:ind w:firstLine="996"/>
        <w:spacing w:after="0" w:line="284" w:lineRule="auto"/>
        <w:tabs>
          <w:tab w:leader="none" w:pos="12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In exercising its Redemption Right, a Redeeming Member shall be entitled to receive the Share Settlement or the Cash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the option (as determined by the Board) as provided in Section 9.02 and subject to Section 9.01(d) to select whether the redemption payment is made by means of a Share Settlement or a Cash Settlement. Within three (3) Business Days of delivery of the Redemption Notice, the Company shall give written notice (the “</w:t>
      </w:r>
      <w:r>
        <w:rPr>
          <w:rFonts w:ascii="Arial" w:cs="Arial" w:eastAsia="Arial" w:hAnsi="Arial"/>
          <w:sz w:val="16"/>
          <w:szCs w:val="16"/>
          <w:u w:val="single" w:color="auto"/>
          <w:color w:val="auto"/>
        </w:rPr>
        <w:t>Contribution Notice</w:t>
      </w:r>
      <w:r>
        <w:rPr>
          <w:rFonts w:ascii="Arial" w:cs="Arial" w:eastAsia="Arial" w:hAnsi="Arial"/>
          <w:sz w:val="16"/>
          <w:szCs w:val="16"/>
          <w:color w:val="auto"/>
        </w:rPr>
        <w:t xml:space="preserve">”) to Pubco and to the Redeeming Member of its intended settlement method;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does not timely deliver a Contribution Notice, the Company shall be deemed to have elected the Share Settlement method. If the Company elects the Cash Settlement method, the Redeeming Member may retract its Redemption Notice by giving written notice (the “</w:t>
      </w:r>
      <w:r>
        <w:rPr>
          <w:rFonts w:ascii="Arial" w:cs="Arial" w:eastAsia="Arial" w:hAnsi="Arial"/>
          <w:sz w:val="16"/>
          <w:szCs w:val="16"/>
          <w:u w:val="single" w:color="auto"/>
          <w:color w:val="auto"/>
        </w:rPr>
        <w:t>Retraction Notice</w:t>
      </w:r>
      <w:r>
        <w:rPr>
          <w:rFonts w:ascii="Arial" w:cs="Arial" w:eastAsia="Arial" w:hAnsi="Arial"/>
          <w:sz w:val="16"/>
          <w:szCs w:val="16"/>
          <w:color w:val="auto"/>
        </w:rPr>
        <w:t>”) to the Company (with a copy to Pubco) within two (2) Business Days of delivery of the Contribution Notice. The timely delivery of a Retraction Notice shall terminate all of the Redeeming Member’s, the Company’s and Pubco’s rights and obligations under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9.01 arising from the Redemption Notice.</w:t>
      </w:r>
    </w:p>
    <w:p>
      <w:pPr>
        <w:spacing w:after="0" w:line="102" w:lineRule="exact"/>
        <w:rPr>
          <w:rFonts w:ascii="Arial" w:cs="Arial" w:eastAsia="Arial" w:hAnsi="Arial"/>
          <w:sz w:val="16"/>
          <w:szCs w:val="16"/>
          <w:color w:val="auto"/>
        </w:rPr>
      </w:pPr>
    </w:p>
    <w:p>
      <w:pPr>
        <w:ind w:firstLine="996"/>
        <w:spacing w:after="0" w:line="285" w:lineRule="auto"/>
        <w:tabs>
          <w:tab w:leader="none" w:pos="12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the Company elects a Share Settlement in connection with a Redemption, a Redeeming Member shall be entitled to revoke its Redemption Notice or delay the consummation of a Redemption if any of the following conditions exists: (i) 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 (ii) Pubco shall have failed to cause any related prospectus to be supplemented by any required prospectus supplement necessary to effect such Redemption; (iii) Pubco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(iv) Pubco shall have disclosed to such Redeeming Member any material non-public information concerning Pubco, the receipt of which could reasonably be determined to result in such Redeeming Member being prohibited or restricted from selling Class A Common Stock at or immediately following the Redemption without disclosure of such information, and Pubco does not permit such Redeeming Member to disclose such information; (v) any stop order relating to the registration statement pursuant to which the Class A Common Stock was to be registered by such Redeeming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Authority that restrains or prohibits the Redemption; (viii) Pubco shall have failed to comply in all material respects with its obligations under the Investor Rights Agreement, and such failure shall have affected the ability of such Redeeming Member to consummate the resale of the Class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to be received upon such redemption pursuant to an effective registration statement or (ix) the Redemption Date would occur three</w:t>
      </w:r>
    </w:p>
    <w:p>
      <w:pPr>
        <w:spacing w:after="0" w:line="46" w:lineRule="exact"/>
        <w:rPr>
          <w:sz w:val="20"/>
          <w:szCs w:val="20"/>
          <w:color w:val="auto"/>
        </w:rPr>
      </w:pPr>
    </w:p>
    <w:p>
      <w:pPr>
        <w:ind w:right="20" w:firstLine="4"/>
        <w:spacing w:after="0" w:line="269"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Business Days or less prior to, or during, a Black-Out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Redeeming Member seek to revoke its Redemption Notice or delay the consummation of such Redemption in reliance on any of the matters contemplated in clauses (i) through (ix) above if the Redeeming Member shall have controlled or intentionally materially influenced any facts, circumstances or Persons in connection therewith (except in the good faith performance of his or her duties as an officer or director of Pubco) in order to provide such Redeeming Member with a basis for such delay or revocation. If a Redeeming Member delays the consummation of a Redemption pursuant to this Section 9.01(c), the Redemption Date shall occur on the fifth (5th) Business Day following the date on which the conditions giving rise to such delay cease to exist (or such earlier day as Pubco, the Company and such Redeeming Member may agree in writing).</w:t>
      </w:r>
    </w:p>
    <w:p>
      <w:pPr>
        <w:spacing w:after="0" w:line="72" w:lineRule="exact"/>
        <w:rPr>
          <w:rFonts w:ascii="Arial" w:cs="Arial" w:eastAsia="Arial" w:hAnsi="Arial"/>
          <w:sz w:val="17"/>
          <w:szCs w:val="17"/>
          <w:color w:val="auto"/>
        </w:rPr>
      </w:pPr>
    </w:p>
    <w:p>
      <w:pPr>
        <w:ind w:right="40" w:firstLine="996"/>
        <w:spacing w:after="0" w:line="253" w:lineRule="auto"/>
        <w:tabs>
          <w:tab w:leader="none" w:pos="12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number of shares of Class A Common Stock or the Redeemed Units Equivalent that a Redeeming Member is entitled to receive under Section 9.01(b) shall not be adjusted on account of any distributions previously made with respect to the Redeemed Units or dividends previously paid with respect to Class A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however,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w:t>
      </w:r>
    </w:p>
    <w:p>
      <w:pPr>
        <w:spacing w:after="0" w:line="89" w:lineRule="exact"/>
        <w:rPr>
          <w:rFonts w:ascii="Arial" w:cs="Arial" w:eastAsia="Arial" w:hAnsi="Arial"/>
          <w:sz w:val="18"/>
          <w:szCs w:val="18"/>
          <w:color w:val="auto"/>
        </w:rPr>
      </w:pPr>
    </w:p>
    <w:p>
      <w:pPr>
        <w:ind w:right="40" w:firstLine="996"/>
        <w:spacing w:after="0" w:line="254" w:lineRule="auto"/>
        <w:tabs>
          <w:tab w:leader="none" w:pos="1237"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event of a reclassification, reorganization, recapitalization or other similar transaction as a result of which the shares of Class A Common Stock are converted into another security, securities or other property, then in exercising its Redemption Right a Redeeming Member shall be entitled, in the case of a Redemption effected using the Share Settlement method, to receive the amount of such security, securities or other property that the Redeeming Member would have received if such Redemption Right had been exercised and the Redemption Date had occurred immediately prior to the record date of such reclassification, reorganization, recapitalization or other similar transaction. For the avoidance of doubt, if there is any reclassification, reorganization, recapitalization or other similar transaction as a result of which the shares of Class A Common Stock are converted into another security, securities or other property, this Section 9.01(e) shall continue to be applicable, mutatis mutandis, with respect to such security or other property.</w:t>
      </w:r>
    </w:p>
    <w:p>
      <w:pPr>
        <w:spacing w:after="0" w:line="84" w:lineRule="exact"/>
        <w:rPr>
          <w:rFonts w:ascii="Arial" w:cs="Arial" w:eastAsia="Arial" w:hAnsi="Arial"/>
          <w:sz w:val="18"/>
          <w:szCs w:val="18"/>
          <w:color w:val="auto"/>
        </w:rPr>
      </w:pPr>
    </w:p>
    <w:p>
      <w:pPr>
        <w:ind w:firstLine="996"/>
        <w:spacing w:after="0" w:line="269" w:lineRule="auto"/>
        <w:tabs>
          <w:tab w:leader="none" w:pos="1217" w:val="left"/>
        </w:tabs>
        <w:numPr>
          <w:ilvl w:val="1"/>
          <w:numId w:val="95"/>
        </w:numPr>
        <w:rPr>
          <w:rFonts w:ascii="Arial" w:cs="Arial" w:eastAsia="Arial" w:hAnsi="Arial"/>
          <w:sz w:val="17"/>
          <w:szCs w:val="17"/>
          <w:color w:val="auto"/>
        </w:rPr>
      </w:pPr>
      <w:r>
        <w:rPr>
          <w:rFonts w:ascii="Arial" w:cs="Arial" w:eastAsia="Arial" w:hAnsi="Arial"/>
          <w:sz w:val="17"/>
          <w:szCs w:val="17"/>
          <w:color w:val="auto"/>
        </w:rPr>
        <w:t>In the event that a tender offer, share exchange offer, issuer bid, take-over bid, recapitalization or similar transaction with respect to Class A Common Stock (a “</w:t>
      </w:r>
      <w:r>
        <w:rPr>
          <w:rFonts w:ascii="Arial" w:cs="Arial" w:eastAsia="Arial" w:hAnsi="Arial"/>
          <w:sz w:val="17"/>
          <w:szCs w:val="17"/>
          <w:u w:val="single" w:color="auto"/>
          <w:color w:val="auto"/>
        </w:rPr>
        <w:t>Pubco Offer</w:t>
      </w:r>
      <w:r>
        <w:rPr>
          <w:rFonts w:ascii="Arial" w:cs="Arial" w:eastAsia="Arial" w:hAnsi="Arial"/>
          <w:sz w:val="17"/>
          <w:szCs w:val="17"/>
          <w:color w:val="auto"/>
        </w:rPr>
        <w:t>”) is proposed by Pubco or is proposed to Pubco or its stockholders and approved by the board of directors of Pubco or is otherwise effected or to be effected with the consent or approval of the board of directors of Pubco, each Member (other than Pubco) shall be permitted to participate in such Pubco Offer by delivery of a Redemption Notice (which Redemption Notice shall be effective immediately prior to the consummation of such Pubco Offer (and, for the avoidance of doubt, shall be contingent upon such Pubco Offer and not be effective if such Pubco Offer is not consummated)). In the case of a Pubco Offer proposed by Pubco, Pubco shall use its reasonable best efforts expeditiously and in good faith to take all such actions and do all such things as are necessary or desirable to enable and permit the Economic Members to participate in such Pubco Offer to the same extent or on an economically equivalent basis as the holders of shares of Class A Common Stock without discrimination. For the avoidance of doubt (but subject to Section 9.01(g)), in no event shall the Members be entitled to receive in such Pubco Offer aggregate consideration for each Nonvoting Common Unit that is greater than the consideration payable in respect of each share of Class A Common Stock in connection with a Pubco Offer.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76" w:name="page77"/>
    <w:bookmarkEnd w:id="76"/>
    <w:p>
      <w:pPr>
        <w:ind w:right="200" w:firstLine="996"/>
        <w:spacing w:after="0" w:line="264" w:lineRule="auto"/>
        <w:tabs>
          <w:tab w:leader="none" w:pos="1247"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herein, in Pubco Offer, payments under or in respect of the Tax Receivable Agreement shall not be considered part of the consideration payable in respect of any Nonvoting Common Unit or share of Class A Common Stock in connection with such Pubco Offer for the purposes of Section 9.01(f).</w:t>
      </w:r>
    </w:p>
    <w:p>
      <w:pPr>
        <w:spacing w:after="0" w:line="73" w:lineRule="exact"/>
        <w:rPr>
          <w:rFonts w:ascii="Arial" w:cs="Arial" w:eastAsia="Arial" w:hAnsi="Arial"/>
          <w:sz w:val="18"/>
          <w:szCs w:val="18"/>
          <w:color w:val="auto"/>
        </w:rPr>
      </w:pPr>
    </w:p>
    <w:p>
      <w:pPr>
        <w:ind w:right="660" w:firstLine="996"/>
        <w:spacing w:after="0" w:line="286" w:lineRule="auto"/>
        <w:tabs>
          <w:tab w:leader="none" w:pos="1247"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neither the Company nor Pubco shall be obligated to effectuate a Redemption if such Redemption could (as determined in the sole discretion of the Board) cause the Company to be treated as a “publicly traded partnership” or to be taxed as corporation pursuant Section 7704 of the Code or successor provisions of the Code.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Election and Contribution of Pubco</w:t>
      </w:r>
      <w:r>
        <w:rPr>
          <w:rFonts w:ascii="Arial" w:cs="Arial" w:eastAsia="Arial" w:hAnsi="Arial"/>
          <w:sz w:val="17"/>
          <w:szCs w:val="17"/>
          <w:color w:val="auto"/>
        </w:rPr>
        <w:t>. In connection with the exercise of a Redeeming Member’s Redemption Rights under</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Section 9.01(a), Pubco shall contribute to the Company the consideration the Redeeming Member is entitled to receive under Section 9.01(b). Unless the Redeeming Member has timely delivered a Retraction Notice as provided in Section 9.01(b), or has revoked or delayed a Redemption as provided in Section 9.01(c), on the Redemption Date (to be effective immediately prior to the close of business on the Redemption Date) (i) Pubco shall make its Capital Contribution to the Company (in the form of the Share Settlement or the Cash Settlement) required under this Section 9.02, and (ii) in the event of a Share Settlement, the Company shall issue to Pubco a number of Nonvoting Common Units equal to the number of Redeemed Units surrendered by the Redeeming Member. Notwithstanding any other provisions of this Agreement to the contrary, in the event that the Company elects a Cash Settlement, Pubco shall be obligated to contribute to the Company only an amount in respect of such Cash Settlement equal to the net proceeds (after deduction of any underwriters’ discounts or commissions and brokers’ fees or commissions) from the sale by Pubco of a number of shares of Class A Common Stock equal to the number of Redeemed Units to be redeemed with such Cash Settlement, which in no event shall exceed the amount paid by the Company to the Redeeming Member as Cash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if the Cash Settlement to which the Redeeming Member is entitled exceeds the amount that is contributed to the Company by Pubco, the Company shall still be required to pay the Redeeming Member the full amount of the Cash Settlement. The timely delivery of a Retraction Notice shall terminate all of the Company’s and Pubco’s rights and obligations under this Section 9.02 arising from the Redemption Notice.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Reservation of Shares of Class A Common Stock and other Procedures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7" w:lineRule="auto"/>
        <w:tabs>
          <w:tab w:leader="none" w:pos="123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At all times Pubco shall reserve and keep available out of its authorized but unissued Class A Common Stock, solely for the purpose of issuance upon a Redemption, such number of shares of Class A Common Stock as shall be issuable upon any such Redemption pursuant to Share Settlements;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be construed to preclude Pubco from satisfying its obligations in respect of any such Redemption by delivery of purchased shares of Class A Common Stock (which may or may not be held in the treasury of Pubco) or the delivery of cash pursuant to a Cash Settlement. Pubco shall deliver shares of Class A Common Stock that have been registered under the Securities Act with respect to any Redemption to the extent a registration statement is effective and available for such shares. Pubco shall use its commercially reasonable efforts to list the shares of Class A Common Stock required to be delivered upon any such Redemption prior to such delivery upon each national securities exchange upon which the outstanding shares of Class A Common Stock are listed or quoted on at the time of such Redemption (it being understood that any such shares may be subject to transfer restrictions under applicable securities laws). Pubco covenants that all shares of Class A Common Stock issued upon a Redemption will, upon issuance, be validly issued, fully paid and non-assessable. The provisions of this Article IX shall be interpreted and applied in a manner consistent with the corresponding provisions of Pubco’s certificate of incorporation.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77" w:name="page78"/>
    <w:bookmarkEnd w:id="77"/>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shares of Class A Common Stock issued upon a Redemption, if any, shall bear a legend in substantially the following form:</w:t>
      </w:r>
    </w:p>
    <w:p>
      <w:pPr>
        <w:spacing w:after="0" w:line="237"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79" w:lineRule="exact"/>
        <w:rPr>
          <w:sz w:val="20"/>
          <w:szCs w:val="20"/>
          <w:color w:val="auto"/>
        </w:rPr>
      </w:pPr>
    </w:p>
    <w:p>
      <w:pPr>
        <w:ind w:firstLine="996"/>
        <w:spacing w:after="0" w:line="255" w:lineRule="auto"/>
        <w:tabs>
          <w:tab w:leader="none" w:pos="12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(i) any shares of Class A Common Stock may be sold pursuant to a registration statement that has been declared effective by the SEC, (ii) all of the applicable conditions of Rule 144 are met or (iii) the legend (or a portion thereof) otherwise ceases to be applicable, Pubco, as applicable, upon the written request of the Member thereof shall promptly provide such Member or its respective transferees, without any expense to such Persons (other than applicable transfer taxes and similar governmental charges, if any), with new certificates (or evidence of book-entry shares) for securities of like tenor not bearing the provisions of the legend with respect to which the restriction has terminated. In connection therewith, such Member shall provide Pubco with such information in its possession as Pubco may reasonably request in connection with the removal of any such legend.</w:t>
      </w:r>
    </w:p>
    <w:p>
      <w:pPr>
        <w:spacing w:after="0" w:line="189" w:lineRule="exact"/>
        <w:rPr>
          <w:rFonts w:ascii="Arial" w:cs="Arial" w:eastAsia="Arial" w:hAnsi="Arial"/>
          <w:sz w:val="18"/>
          <w:szCs w:val="18"/>
          <w:color w:val="auto"/>
        </w:rPr>
      </w:pPr>
    </w:p>
    <w:p>
      <w:pPr>
        <w:ind w:firstLine="996"/>
        <w:spacing w:after="0" w:line="272" w:lineRule="auto"/>
        <w:tabs>
          <w:tab w:leader="none" w:pos="1247"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Pubco shall bear all expenses in connection with the consummation of any Redemption, whether or not any such Redemption is ultimately consummated, including any transfer taxes, stamp taxes or duties or other similar taxes in connection with, or arising by reason of, any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shares of Class A Common Stock are to be delivered in a name other than that of the Member that requested the Redemption (or The Depository Trust Company or its nominee for the account of a participant of The Depository Trust Company that will hold the shares for the account of such Member), then such Member and/or the Person in whose name such shares are to be delivered shall pay to Pubco the amount of any transfer taxes, stamp taxes or duties or other similar taxes in connection with, or arising by reason of, such Redemption or shall establish to the reasonable satisfaction of Pubco that such tax has been paid or is not payable.</w:t>
      </w:r>
    </w:p>
    <w:p>
      <w:pPr>
        <w:spacing w:after="0" w:line="178"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Exercise of Redemption</w:t>
      </w:r>
      <w:r>
        <w:rPr>
          <w:rFonts w:ascii="Arial" w:cs="Arial" w:eastAsia="Arial" w:hAnsi="Arial"/>
          <w:sz w:val="16"/>
          <w:szCs w:val="16"/>
          <w:color w:val="auto"/>
        </w:rPr>
        <w:t>. This Agreement shall continue notwithstanding the consummation of a Redemption and all governance or other rights set forth herein shall be exercised by the remaining Members and the Redeeming Member (to the extent of such Redeeming Member’s remaining interest in the Company). No Redemption shall relieve such Redeeming Member of any prior breach of this Agreement.</w:t>
      </w:r>
    </w:p>
    <w:p>
      <w:pPr>
        <w:spacing w:after="0" w:line="14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Tax Treatment</w:t>
      </w:r>
      <w:r>
        <w:rPr>
          <w:rFonts w:ascii="Arial" w:cs="Arial" w:eastAsia="Arial" w:hAnsi="Arial"/>
          <w:sz w:val="18"/>
          <w:szCs w:val="18"/>
          <w:color w:val="auto"/>
        </w:rPr>
        <w:t>. The parties hereto acknowledge and agree that each Redemption pursuant to this Article IX shall be treated as a taxable sale of Units by the Redeeming Member from Pubco pursuant to Section 707(a)(2)(B) of the Code (or any similar provisions of applicable state, local or foreign tax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ON LIABILITY, EXCULPATION AND INDEMNIFICATION</w:t>
      </w:r>
    </w:p>
    <w:p>
      <w:pPr>
        <w:spacing w:after="0" w:line="21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Limitation on Liability</w:t>
      </w:r>
      <w:r>
        <w:rPr>
          <w:rFonts w:ascii="Arial" w:cs="Arial" w:eastAsia="Arial" w:hAnsi="Arial"/>
          <w:sz w:val="17"/>
          <w:szCs w:val="17"/>
          <w:color w:val="auto"/>
        </w:rPr>
        <w:t xml:space="preserve">. The debts, obligations and liabilities of the Company, whether arising in contract, tort or otherwise, shall be solely the debts, obligations and liabilities of the Company, and no Covered Person shall be obligated personally for any such debt, obligation or liability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alter a Member’s obligation to return funds wrongfully distributed to it.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Exculpation and Indemnification</w:t>
      </w:r>
      <w:r>
        <w:rPr>
          <w:rFonts w:ascii="Arial" w:cs="Arial" w:eastAsia="Arial" w:hAnsi="Arial"/>
          <w:sz w:val="18"/>
          <w:szCs w:val="18"/>
          <w:color w:val="auto"/>
        </w:rPr>
        <w:t>.</w:t>
      </w:r>
    </w:p>
    <w:p>
      <w:pPr>
        <w:spacing w:after="0" w:line="117" w:lineRule="exact"/>
        <w:rPr>
          <w:sz w:val="20"/>
          <w:szCs w:val="20"/>
          <w:color w:val="auto"/>
        </w:rPr>
      </w:pPr>
    </w:p>
    <w:p>
      <w:pPr>
        <w:ind w:right="180" w:firstLine="996"/>
        <w:spacing w:after="0" w:line="259" w:lineRule="auto"/>
        <w:tabs>
          <w:tab w:leader="none" w:pos="12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Covered Person shall be liable, including under any legal or equitable theory of fiduciary duty or other theory of liability, to the Company or to any other Covered Person for any losses, claims, damages or liabilities incurred by reason of any act or omission performed or omitted by the Board or such Covered Person in good faith on behalf of the Company. There shall be, and each Covered Person shall be entitled to, a presumption that such Covered Person acted in good faith.</w:t>
      </w:r>
    </w:p>
    <w:p>
      <w:pPr>
        <w:spacing w:after="0" w:line="78" w:lineRule="exact"/>
        <w:rPr>
          <w:rFonts w:ascii="Arial" w:cs="Arial" w:eastAsia="Arial" w:hAnsi="Arial"/>
          <w:sz w:val="18"/>
          <w:szCs w:val="18"/>
          <w:color w:val="auto"/>
        </w:rPr>
      </w:pPr>
    </w:p>
    <w:p>
      <w:pPr>
        <w:ind w:right="140" w:firstLine="996"/>
        <w:spacing w:after="0" w:line="264" w:lineRule="auto"/>
        <w:tabs>
          <w:tab w:leader="none" w:pos="12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w:t>
      </w:r>
    </w:p>
    <w:p>
      <w:pPr>
        <w:spacing w:after="0" w:line="73" w:lineRule="exact"/>
        <w:rPr>
          <w:rFonts w:ascii="Arial" w:cs="Arial" w:eastAsia="Arial" w:hAnsi="Arial"/>
          <w:sz w:val="18"/>
          <w:szCs w:val="18"/>
          <w:color w:val="auto"/>
        </w:rPr>
      </w:pPr>
    </w:p>
    <w:p>
      <w:pPr>
        <w:ind w:right="20" w:firstLine="996"/>
        <w:spacing w:after="0" w:line="284" w:lineRule="auto"/>
        <w:tabs>
          <w:tab w:leader="none" w:pos="123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Company shall indemnify, defend and hold harmless each Covered Person against any losses, claims, damages, liabilities, expenses (including all reasonable out-of-pocket fees and expenses of outside counsel and other advisors), judgments, fines, settlements and other amounts arising from any and all claims, demands, actions, suits or proceedings in which such Covered Person may be involved or become subject to, in connection with any matter arising out of or in connection with the Company’s business or affairs, or this Agreement or any related document, unless such loss, claim, damage, liability, expense, judgment, fine, settlement or other amount (i) is as a result of a Covered Person not acting in good faith on behalf of the Company or arose as a result of the willful commission by such Covered Person of any act that is dishonest and materially injurious to the Company, (ii) results from its contractual obligations under any Formation Document to be performed in a capacity other than as a Covered Person or</w:t>
      </w:r>
    </w:p>
    <w:p>
      <w:pPr>
        <w:spacing w:after="0" w:line="2" w:lineRule="exact"/>
        <w:rPr>
          <w:rFonts w:ascii="Arial" w:cs="Arial" w:eastAsia="Arial" w:hAnsi="Arial"/>
          <w:sz w:val="16"/>
          <w:szCs w:val="16"/>
          <w:color w:val="auto"/>
        </w:rPr>
      </w:pPr>
    </w:p>
    <w:p>
      <w:pPr>
        <w:ind w:firstLine="4"/>
        <w:spacing w:after="0" w:line="284" w:lineRule="auto"/>
        <w:tabs>
          <w:tab w:leader="none" w:pos="3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results from the breach by any Member (in such capacity) of its contractual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Company be required to indemnify a Member for any loss of such Member’s Capital Contribution or other investment loss or taxes imposed in connection with such Member’s interest in the Company. If any Covered Person becomes involved in any capacity in any action, suit, proceeding or investigation in connection with any matter arising out of or in connection with the Company’s business or affairs, or this Agreement or any related document (other than any Formation Document), other than by reason of any act or omission performed or omitted by such Covered Person that was not in good faith on behalf of the Company or constituted a willful commission by such Covered Person of an act that is dishonest and materially injurious to the Company, the Company shall reimburse such Covered Person for its reasonable outside counsel legal and other reasonable out-of-pocket expenses (including the cost of any investigation and preparation) as they are incurred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Covered Person shall promptly repay to the Company the amount of any such reimbursed expenses paid to it if it shall be finally judicially determined that such Covered Person was not entitled to indemnification by, or contribution from, the Company in connection with such action, suit, proceeding or investigation. If for any reason (other than the bad faith of a Covered Person or the willful commission by such Covered Person of an act that is dishonest and materially injurious to the Company) the foregoing indemnification is unavailable to such Covered Person, or insufficient to hold it harmless, then the Company shall contribute to the amount paid or payable by such Covered Person as a result of such loss, claim, damage, liability, expense, judgment, fine, settlement or other amount in such proportion as is appropriate to reflect any relevant equitable considerations. There shall be, and each Covered Person shall be entitled to, a rebuttable presumption that such Covered Person acted in good faith.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79" w:name="page80"/>
    <w:bookmarkEnd w:id="79"/>
    <w:p>
      <w:pPr>
        <w:ind w:left="-20" w:right="160" w:firstLine="996"/>
        <w:spacing w:after="0" w:line="277" w:lineRule="auto"/>
        <w:tabs>
          <w:tab w:leader="none" w:pos="1227"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under Section 10.02(c) shall be satisfied solely out of and to the extent of the Company’s assets, and no Covered Person shall have any personal liability on account thereof.</w:t>
      </w:r>
    </w:p>
    <w:p>
      <w:pPr>
        <w:spacing w:after="0" w:line="62" w:lineRule="exact"/>
        <w:rPr>
          <w:rFonts w:ascii="Arial" w:cs="Arial" w:eastAsia="Arial" w:hAnsi="Arial"/>
          <w:sz w:val="18"/>
          <w:szCs w:val="18"/>
          <w:color w:val="auto"/>
        </w:rPr>
      </w:pPr>
    </w:p>
    <w:p>
      <w:pPr>
        <w:ind w:left="-20" w:firstLine="996"/>
        <w:spacing w:after="0" w:line="284" w:lineRule="auto"/>
        <w:tabs>
          <w:tab w:leader="none" w:pos="12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Given that certain Jointly Indemnifiable Claims may arise by reason of the service of a Covered Person to the Company and/or as a director, trustee, officer, partner, member, manager, employee, consultant, fiduciary or agent of other corporations, limited liability companies, partnerships, joint ventures, trusts, employee benefit plans or other enterprises controlled by the Company (collectively, the “</w:t>
      </w:r>
      <w:r>
        <w:rPr>
          <w:rFonts w:ascii="Arial" w:cs="Arial" w:eastAsia="Arial" w:hAnsi="Arial"/>
          <w:sz w:val="16"/>
          <w:szCs w:val="16"/>
          <w:u w:val="single" w:color="auto"/>
          <w:color w:val="auto"/>
        </w:rPr>
        <w:t>Controlled Entities</w:t>
      </w:r>
      <w:r>
        <w:rPr>
          <w:rFonts w:ascii="Arial" w:cs="Arial" w:eastAsia="Arial" w:hAnsi="Arial"/>
          <w:sz w:val="16"/>
          <w:szCs w:val="16"/>
          <w:color w:val="auto"/>
        </w:rPr>
        <w:t>”), or by reason of any action alleged to have been taken or omitted in any such capacity, the Company acknowledges and agrees that the Company shall, and to the extent applicable shall cause the Controlled Entities to, be fully and primarily responsible for the payment to the Covered Person in respect of indemnification or advancement of all out-of-pocket costs of any type or nature whatsoever (including, without limitation, all outside attorneys’ fees and 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hereunder (collectively, “</w:t>
      </w:r>
      <w:r>
        <w:rPr>
          <w:rFonts w:ascii="Arial" w:cs="Arial" w:eastAsia="Arial" w:hAnsi="Arial"/>
          <w:sz w:val="16"/>
          <w:szCs w:val="16"/>
          <w:u w:val="single" w:color="auto"/>
          <w:color w:val="auto"/>
        </w:rPr>
        <w:t>Expenses</w:t>
      </w:r>
      <w:r>
        <w:rPr>
          <w:rFonts w:ascii="Arial" w:cs="Arial" w:eastAsia="Arial" w:hAnsi="Arial"/>
          <w:sz w:val="16"/>
          <w:szCs w:val="16"/>
          <w:color w:val="auto"/>
        </w:rPr>
        <w:t>”) in connection with any such Jointly Indemnifiable Claim, pursuant to and in accordance with (as applicable) the terms of (i) the Delaware LLC Act, (ii) this Agreement, (iii) any other agreement between the Company or any Controlled Entity and the Covered Person pursuant to which the Covered Person has rights to indemnification, advancement of expenses and/or insurance, (iv) the laws of the jurisdiction of incorporation or organization of any Controlled Entity and/or (v) the certificate of incorporation, certificate of organization, bylaws, partnership agreement, operating agreement, certificate of formation, certificate of limited partnership, certificate of qualification or other organizational or governing documents of any Controlled Entity ((i) through (v) collectively, the “</w:t>
      </w:r>
      <w:r>
        <w:rPr>
          <w:rFonts w:ascii="Arial" w:cs="Arial" w:eastAsia="Arial" w:hAnsi="Arial"/>
          <w:sz w:val="16"/>
          <w:szCs w:val="16"/>
          <w:u w:val="single" w:color="auto"/>
          <w:color w:val="auto"/>
        </w:rPr>
        <w:t>Indemnification Sources</w:t>
      </w:r>
      <w:r>
        <w:rPr>
          <w:rFonts w:ascii="Arial" w:cs="Arial" w:eastAsia="Arial" w:hAnsi="Arial"/>
          <w:sz w:val="16"/>
          <w:szCs w:val="16"/>
          <w:color w:val="auto"/>
        </w:rPr>
        <w:t>”), irrespective of any right of recovery the Covered Person may have from the Indemnitee- Related Entities. Under no circumstance shall the Company or any Controlled Entity be entitled to any right of subrogation or contribution by the Indemnitee-Related Entities and no right of advancement or recovery the Covered Person may have from the Indemnitee-Related Entities shall reduce or otherwise alter the rights of the Covered Person or the obligations of the Company or any Controlled Entity under the Indemnification Sources. In the event that any of the Indemnitee-Related Entities shall make any payment to the Covered Person in respect of indemnification or advancement of Expenses with respect to any Jointly Indemnifiable Claim, (i) the Company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Company and/or any Controlled Entity pursuant to clause (i), the Indemnitee-Related Entity making such payment shall be subrogated to the extent of the outstanding balance of such payment to all of the rights of recovery of the Covered Person against the Company and/or any Controlled Entity, as applicable, and (iii) the Covered Person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the Covered Person agree that each of the Indemnitee-Related Entities shall be third party beneficiaries with respect to this Section 10.02(e), entitled to enforce this Section 10.02(e) as though each such Indemnitee-Related Entity were a party to this Agreement. For the avoidance of doubt, the Company acknowledges and agrees that insurance policies carried by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4" w:right="459" w:bottom="1440" w:gutter="0" w:footer="0" w:header="0"/>
        </w:sectPr>
      </w:pPr>
    </w:p>
    <w:bookmarkStart w:id="80" w:name="page81"/>
    <w:bookmarkEnd w:id="80"/>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Indemnitee-Related Entities may have provisions reflecting the allocation of liability set forth in this Section 10.02(e). The Company shall cause each of the Controlled Entities to perform the terms and obligations of this Section 10.02(e) as though each such Controlled Entity was the “Company” under this Agreement. For purposes of this Section 10.02(e), the following terms shall have the following meanings:</w:t>
      </w:r>
    </w:p>
    <w:p>
      <w:pPr>
        <w:spacing w:after="0" w:line="73" w:lineRule="exact"/>
        <w:rPr>
          <w:sz w:val="20"/>
          <w:szCs w:val="20"/>
          <w:color w:val="auto"/>
        </w:rPr>
      </w:pPr>
    </w:p>
    <w:p>
      <w:pPr>
        <w:ind w:right="60" w:firstLine="1436"/>
        <w:spacing w:after="0" w:line="279" w:lineRule="auto"/>
        <w:tabs>
          <w:tab w:leader="none" w:pos="164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Company, any Controlled Entity or the insurer under and pursuant to an insurance policy of the Company or any Controlled Entity) from whom a Covered Person may be entitled to indemnification or advancement of Expenses with respect to which, in whole or in part, the Company or any Controlled Entity also may have an indemnification or advancement obligation.</w:t>
      </w:r>
    </w:p>
    <w:p>
      <w:pPr>
        <w:spacing w:after="0" w:line="63" w:lineRule="exact"/>
        <w:rPr>
          <w:rFonts w:ascii="Arial" w:cs="Arial" w:eastAsia="Arial" w:hAnsi="Arial"/>
          <w:sz w:val="17"/>
          <w:szCs w:val="17"/>
          <w:color w:val="auto"/>
        </w:rPr>
      </w:pPr>
    </w:p>
    <w:p>
      <w:pPr>
        <w:ind w:firstLine="1436"/>
        <w:spacing w:after="0" w:line="255" w:lineRule="auto"/>
        <w:tabs>
          <w:tab w:leader="none" w:pos="169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claim, demand, action, suit or proceeding for which the Covered Person shall be entitled to indemnification or advancement of Expenses from both (i) the Company and/or any Controlled Entity pursuant to the Indemnification Sources, on the one hand, and (ii) any Indemnitee-Related Entity pursuant to any other agreement between any Indemnitee-Related Entity and the Covered Person pursuant to which the Covered Person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DISSOLUTION AND 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117" w:lineRule="exact"/>
        <w:rPr>
          <w:sz w:val="20"/>
          <w:szCs w:val="20"/>
          <w:color w:val="auto"/>
        </w:rPr>
      </w:pPr>
    </w:p>
    <w:p>
      <w:pPr>
        <w:ind w:left="1240" w:hanging="244"/>
        <w:spacing w:after="0"/>
        <w:tabs>
          <w:tab w:leader="none" w:pos="12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shall not be dissolved by the admission of Additional Members or Substitute Members pursuant to Section 3.02.</w:t>
      </w:r>
    </w:p>
    <w:p>
      <w:pPr>
        <w:spacing w:after="0" w:line="128" w:lineRule="exact"/>
        <w:rPr>
          <w:rFonts w:ascii="Arial" w:cs="Arial" w:eastAsia="Arial" w:hAnsi="Arial"/>
          <w:sz w:val="17"/>
          <w:szCs w:val="17"/>
          <w:color w:val="auto"/>
        </w:rPr>
      </w:pPr>
    </w:p>
    <w:p>
      <w:pPr>
        <w:ind w:right="280" w:firstLine="996"/>
        <w:spacing w:after="0" w:line="276" w:lineRule="auto"/>
        <w:tabs>
          <w:tab w:leader="none" w:pos="1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Member shall (i) resign from the Company prior to the dissolution and winding up of the Company except in connection with a Transfer of Units pursuant to the terms of this Agreement or (ii)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Applicable Law, hereby waives any rights to take any such actions under Applicable Law, including any right to petition a court for judicial dissolution under Section 18-802 of the Delaware LLC Act.</w:t>
      </w:r>
    </w:p>
    <w:p>
      <w:pPr>
        <w:spacing w:after="0" w:line="64" w:lineRule="exact"/>
        <w:rPr>
          <w:rFonts w:ascii="Arial" w:cs="Arial" w:eastAsia="Arial" w:hAnsi="Arial"/>
          <w:sz w:val="17"/>
          <w:szCs w:val="17"/>
          <w:color w:val="auto"/>
        </w:rPr>
      </w:pPr>
    </w:p>
    <w:p>
      <w:pPr>
        <w:jc w:val="both"/>
        <w:ind w:right="160" w:firstLine="996"/>
        <w:spacing w:after="0" w:line="264" w:lineRule="auto"/>
        <w:tabs>
          <w:tab w:leader="none" w:pos="12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shall be dissolved and its business wound up only upon the earliest to occur of any one of the following events (each a “</w:t>
      </w:r>
      <w:r>
        <w:rPr>
          <w:rFonts w:ascii="Arial" w:cs="Arial" w:eastAsia="Arial" w:hAnsi="Arial"/>
          <w:sz w:val="18"/>
          <w:szCs w:val="18"/>
          <w:u w:val="single" w:color="auto"/>
          <w:color w:val="auto"/>
        </w:rPr>
        <w:t>Dissolution Event</w:t>
      </w:r>
      <w:r>
        <w:rPr>
          <w:rFonts w:ascii="Arial" w:cs="Arial" w:eastAsia="Arial" w:hAnsi="Arial"/>
          <w:sz w:val="18"/>
          <w:szCs w:val="18"/>
          <w:color w:val="auto"/>
        </w:rPr>
        <w:t>”): (i) the expiration of forty-five (45) days after the sale or other disposition of all or substantially all of the assets of the Company; or (ii) upon the approval of the Board.</w:t>
      </w:r>
    </w:p>
    <w:p>
      <w:pPr>
        <w:spacing w:after="0" w:line="73" w:lineRule="exact"/>
        <w:rPr>
          <w:rFonts w:ascii="Arial" w:cs="Arial" w:eastAsia="Arial" w:hAnsi="Arial"/>
          <w:sz w:val="18"/>
          <w:szCs w:val="18"/>
          <w:color w:val="auto"/>
        </w:rPr>
      </w:pPr>
    </w:p>
    <w:p>
      <w:pPr>
        <w:ind w:right="140" w:firstLine="996"/>
        <w:spacing w:after="0" w:line="308" w:lineRule="auto"/>
        <w:tabs>
          <w:tab w:leader="none" w:pos="124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death, retirement, resignation, expulsion, bankruptcy, insolvency or dissolution of a Member or the occurrence of any other event that terminates the continued membership of a Member of the Company shall not in and of itself cause dissolution of the Company.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Winding Up of the Company</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96"/>
        <w:spacing w:after="0" w:line="302" w:lineRule="auto"/>
        <w:tabs>
          <w:tab w:leader="none" w:pos="12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Board shall promptly notify the other Members of any Dissolution Event. Upon dissolution, the Company’s business shall be liquidated in an orderly manner. The Board shall appoint a liquidating trustee to wind up the affairs of the Company pursuant to this Agreement. In performing its duties, the liquidating trustee is authorized to sell, distribute, exchange or otherwise dispose of the assets of the Company in accordance with the Delaware LLC Act and in any reasonable manner that the liquidating trustee shall determine to be in the best interest of the Members.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81" w:name="page82"/>
    <w:bookmarkEnd w:id="81"/>
    <w:p>
      <w:pPr>
        <w:ind w:left="1260" w:hanging="26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of the liquidation of the Company shall be distributed in the following order and priority:</w:t>
      </w:r>
    </w:p>
    <w:p>
      <w:pPr>
        <w:spacing w:after="0" w:line="117" w:lineRule="exact"/>
        <w:rPr>
          <w:rFonts w:ascii="Arial" w:cs="Arial" w:eastAsia="Arial" w:hAnsi="Arial"/>
          <w:sz w:val="18"/>
          <w:szCs w:val="18"/>
          <w:color w:val="auto"/>
        </w:rPr>
      </w:pPr>
    </w:p>
    <w:p>
      <w:pPr>
        <w:jc w:val="both"/>
        <w:ind w:firstLine="1436"/>
        <w:spacing w:after="0" w:line="264" w:lineRule="auto"/>
        <w:tabs>
          <w:tab w:leader="none" w:pos="1647"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creditors (including any Members or their respective Affiliates that are creditors) of the Company in satisfaction of all of the Company’s liabilities (whether by payment or by making reasonable provision for payment thereof, including the setting up of any reserves which are, in the judgment of the liquidating trustee, reasonably necessary therefor); and</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the Economic Members in the same manner as distributions under Section 5.03(b), subject to Section 5.03(e).</w:t>
      </w:r>
    </w:p>
    <w:p>
      <w:pPr>
        <w:spacing w:after="0" w:line="128" w:lineRule="exact"/>
        <w:rPr>
          <w:rFonts w:ascii="Arial" w:cs="Arial" w:eastAsia="Arial" w:hAnsi="Arial"/>
          <w:sz w:val="17"/>
          <w:szCs w:val="17"/>
          <w:color w:val="auto"/>
        </w:rPr>
      </w:pPr>
    </w:p>
    <w:p>
      <w:pPr>
        <w:ind w:firstLine="996"/>
        <w:spacing w:after="0" w:line="273" w:lineRule="auto"/>
        <w:tabs>
          <w:tab w:leader="none" w:pos="123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Distribution of Property</w:t>
      </w:r>
      <w:r>
        <w:rPr>
          <w:rFonts w:ascii="Arial" w:cs="Arial" w:eastAsia="Arial" w:hAnsi="Arial"/>
          <w:sz w:val="17"/>
          <w:szCs w:val="17"/>
          <w:color w:val="auto"/>
        </w:rPr>
        <w:t>. In the event it becomes necessary in connection with the liquidation of the Company to make a distribution of Property in-kind, subject to the priority set forth in Section 11.02, the liquidating trustee shall have the right to compel each Economic Member to accept a distribution of any Property in-kind (with such Property, as a percentage of the total liquidating distributions to such Economic Member, corresponding as nearly as possible to such Economic Member’s Economic Percentage Interest), with such distribution being based upon the amount of cash that would be distributed to such Members if such Property were sold for an amount of cash equal to the fair market value of such Property, as determined by the liquidating trustee in good faith, subject to the last sentence of Section 5.03(d).</w:t>
      </w:r>
    </w:p>
    <w:p>
      <w:pPr>
        <w:spacing w:after="0" w:line="178"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Termination</w:t>
      </w:r>
      <w:r>
        <w:rPr>
          <w:rFonts w:ascii="Arial" w:cs="Arial" w:eastAsia="Arial" w:hAnsi="Arial"/>
          <w:sz w:val="17"/>
          <w:szCs w:val="17"/>
          <w:color w:val="auto"/>
        </w:rPr>
        <w:t>. The Company shall terminate when all of the assets of the Company, after payment of or reasonable provision for the payment of all debts and liabilities of the Company shall have been distributed to the Members in the manner provided for in this Article XI, and the certificate of formation of the Company shall have been cancelled in the manner required by the Delaware LLC Act.</w:t>
      </w:r>
    </w:p>
    <w:p>
      <w:pPr>
        <w:spacing w:after="0" w:line="166"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Survival</w:t>
      </w:r>
      <w:r>
        <w:rPr>
          <w:rFonts w:ascii="Arial" w:cs="Arial" w:eastAsia="Arial" w:hAnsi="Arial"/>
          <w:sz w:val="18"/>
          <w:szCs w:val="18"/>
          <w:color w:val="auto"/>
        </w:rPr>
        <w:t>. Termination, dissolution, liquidation or winding up of the Company for any reason shall not release any party from any liability which at the time of such termination, dissolution, liquidation or winding up already had accrued to any other party or which thereafter may accrue in respect to any act or omission prior to such termination, dissolution, liquidation or winding up.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Expenses</w:t>
      </w:r>
      <w:r>
        <w:rPr>
          <w:rFonts w:ascii="Arial" w:cs="Arial" w:eastAsia="Arial" w:hAnsi="Arial"/>
          <w:sz w:val="17"/>
          <w:szCs w:val="17"/>
          <w:color w:val="auto"/>
        </w:rPr>
        <w:t>. Subject to the terms and conditions of the Master Transaction Agreement, all costs and expenses incurred in connection with this Agreement and the transactions contemplated hereby shall be paid by the party incurring such cost or expense.</w:t>
      </w:r>
    </w:p>
    <w:p>
      <w:pPr>
        <w:spacing w:after="0" w:line="14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Member agrees to execute, acknowledge, deliver, file and record such further certificates, amendments, instruments and documents, and to do all such other acts and things, as may be required by Applicable Law or as, in the reasonable judgment of the Board, may be necessary or advisable to carry out the intent and purposes of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in writing (including electronic mail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e-mail</w:t>
      </w:r>
      <w:r>
        <w:rPr>
          <w:rFonts w:ascii="Arial" w:cs="Arial" w:eastAsia="Arial" w:hAnsi="Arial"/>
          <w:sz w:val="16"/>
          <w:szCs w:val="16"/>
          <w:color w:val="auto"/>
        </w:rPr>
        <w:t>”) transmission, so long as a receipt of such e-mail is requested and received) and shall be given to such party at the address or e-mail address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specified for such party on the Member Schedule hereto, or to such other address or e-mail address as such party may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82" w:name="page83"/>
    <w:bookmarkEnd w:id="82"/>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Binding Effect; Benefit; Assignment</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57" w:lineRule="auto"/>
        <w:tabs>
          <w:tab w:leader="none" w:pos="12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shall inure to the benefit of the parties hereto and their respective successors and assigns. No provision of this Agreement is intended to confer any rights, benefits, remedies, obligations or liabilities hereunder upon any Person other than the parties hereto and their respective successors and assigns, except to the extent provided herein with respect to Indemnitee-Related Entities and Covered Parties, each of whom are intended third party beneficiaries of those provisions that specifically relate to them with the right to enforce such provisions as if they were a party hereto.</w:t>
      </w:r>
    </w:p>
    <w:p>
      <w:pPr>
        <w:spacing w:after="0" w:line="80" w:lineRule="exact"/>
        <w:rPr>
          <w:rFonts w:ascii="Arial" w:cs="Arial" w:eastAsia="Arial" w:hAnsi="Arial"/>
          <w:sz w:val="18"/>
          <w:szCs w:val="18"/>
          <w:color w:val="auto"/>
        </w:rPr>
      </w:pPr>
    </w:p>
    <w:p>
      <w:pPr>
        <w:ind w:right="300" w:firstLine="996"/>
        <w:spacing w:after="0" w:line="277" w:lineRule="auto"/>
        <w:tabs>
          <w:tab w:leader="none" w:pos="12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Except as provided in Article VIII, no Member may assign, delegate or otherwise transfer any of its rights or obligations under this Agreement without the consent of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Jurisdiction</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9" w:lineRule="auto"/>
        <w:tabs>
          <w:tab w:leader="none" w:pos="123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Court of Chancery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12.03 shall be deemed effective service of process on such party.</w:t>
      </w:r>
    </w:p>
    <w:p>
      <w:pPr>
        <w:spacing w:after="0" w:line="58" w:lineRule="exact"/>
        <w:rPr>
          <w:rFonts w:ascii="Arial" w:cs="Arial" w:eastAsia="Arial" w:hAnsi="Arial"/>
          <w:sz w:val="16"/>
          <w:szCs w:val="16"/>
          <w:color w:val="auto"/>
        </w:rPr>
      </w:pPr>
    </w:p>
    <w:p>
      <w:pPr>
        <w:ind w:right="20" w:firstLine="996"/>
        <w:spacing w:after="0" w:line="269" w:lineRule="auto"/>
        <w:tabs>
          <w:tab w:leader="none" w:pos="124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THE COMPANY AND THE MEMBERS HEREBY IRREVOCABLY DESIGNATES CORPORATION SERVICE COMPANY (IN SUCH CAPACITY, THE “</w:t>
      </w:r>
      <w:r>
        <w:rPr>
          <w:rFonts w:ascii="Arial" w:cs="Arial" w:eastAsia="Arial" w:hAnsi="Arial"/>
          <w:sz w:val="17"/>
          <w:szCs w:val="17"/>
          <w:u w:val="single" w:color="auto"/>
          <w:color w:val="auto"/>
        </w:rPr>
        <w:t>PROCESS AGENT</w:t>
      </w:r>
      <w:r>
        <w:rPr>
          <w:rFonts w:ascii="Arial" w:cs="Arial" w:eastAsia="Arial" w:hAnsi="Arial"/>
          <w:sz w:val="17"/>
          <w:szCs w:val="17"/>
          <w:color w:val="auto"/>
        </w:rPr>
        <w:t xml:space="preserve">”), WITH AN OFFICE AT 251 LITTLE FALLS DRIVE, WILMINGTON, NEW CASTLE COUNTY, DELAWARE 19808, AS ITS DESIGNEE, APPOINTEE AND AGENT TO RECEIVE, FOR AND ON ITS BEHALF, SERVICE OF PROCESS IN SUCH JURISDICTION IN ANY LEGAL ACTION OR PROCEEDINGS WITH RESPECT TO THIS AGREEMENT, AND SUCH SERVICE SHALL BE DEEMED COMPLETE UPON DELIVERY THEREOF TO THE PROCESS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SUCH SERVICE UPON THE PROCESS AGENT, THE PARTY EFFECTING SUCH SERVICE SHALL ALSO DELIVER A COPY THEREOF TO EACH OTHER SUCH PARTY IN THE MANNER PROVIDED IN SECTION 12.03 OF THIS AGREEMENT. EACH PARTY SHALL TAKE ALL SUCH ACTION AS MAY BE NECESSARY TO CONTINUE SAID APPOINTMENT IN FULL FORCE AND EFFECT OR TO APPOINT ANOTHER AGENT SO THAT SUCH PARTY SHALL AT ALL TIMES HAVE AN AGENT FOR SERVICE OF PROCESS FOR THE ABOVE PURPOSES IN WILMINGTON, DELAWARE. NOTHING HEREIN SHALL AFFECT THE RIGHT OF ANY PARTY TO SERVE PROCESS IN ANY MANNER PERMITTED BY APPLICABLE LAW. EACH PARTY EXPRESSLY ACKNOWLEDGES THAT THE FOREGOING WAIVER IS INTENDED TO BE IRREVOCABLE UNDER THE LAWS OF THE STATE OF DELAWARE AND OF THE UNITED STATES OF AMERICA.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83" w:name="page84"/>
    <w:bookmarkEnd w:id="83"/>
    <w:p>
      <w:pPr>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87"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Formation Documents constitute the entire agreement between the parties with respect to the subject matter of this Agreement and supersede all prior agreements and understandings, both oral and written, among the parties with respect to the subject matter of this Agreement. Nothing in this Agreement shall create any third party beneficiary rights in favor of any Person or other party, except to the extent provided herein with respect to Indemnitee-Related Entities and Covered Parties, each of whom are intended third party beneficiaries of those provisions that specifically relate to them with the right to enforce such provisions as if they were a party hereto.</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12.09.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are consummated as originally contemplated to the fullest extent possible.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17" w:lineRule="exact"/>
        <w:rPr>
          <w:sz w:val="20"/>
          <w:szCs w:val="20"/>
          <w:color w:val="auto"/>
        </w:rPr>
      </w:pPr>
    </w:p>
    <w:p>
      <w:pPr>
        <w:ind w:right="180" w:firstLine="996"/>
        <w:spacing w:after="0" w:line="277" w:lineRule="auto"/>
        <w:tabs>
          <w:tab w:leader="none" w:pos="12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set forth in Section 12.10(b), no amendment to this Agreement may be made without the prior written consent of the Board and a majority in interest of the Economic Members.</w:t>
      </w:r>
    </w:p>
    <w:p>
      <w:pPr>
        <w:spacing w:after="0" w:line="62" w:lineRule="exact"/>
        <w:rPr>
          <w:rFonts w:ascii="Arial" w:cs="Arial" w:eastAsia="Arial" w:hAnsi="Arial"/>
          <w:sz w:val="18"/>
          <w:szCs w:val="18"/>
          <w:color w:val="auto"/>
        </w:rPr>
      </w:pPr>
    </w:p>
    <w:p>
      <w:pPr>
        <w:ind w:right="40" w:firstLine="996"/>
        <w:spacing w:after="0" w:line="257" w:lineRule="auto"/>
        <w:tabs>
          <w:tab w:leader="none" w:pos="12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Notwithstanding Section 12.10(a), this Agreement, including the Member Schedule, can be amended at any time and from time to time by the Board, acting alone: (i) to reflect the admission of new Members or Transfers of Units, each as provided by and in accordance with the terms of this Agreement, (ii) to effect any subdivisions or combinations of Units made in compliance with Section 4.02(c) and (iii) to issue additional Nonvoting Common Units or any new class of Units (whether or not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Nonvoting Common Units) in accordance with the terms of this Agreement.</w:t>
      </w:r>
    </w:p>
    <w:p>
      <w:pPr>
        <w:spacing w:after="0" w:line="80" w:lineRule="exact"/>
        <w:rPr>
          <w:rFonts w:ascii="Arial" w:cs="Arial" w:eastAsia="Arial" w:hAnsi="Arial"/>
          <w:sz w:val="18"/>
          <w:szCs w:val="18"/>
          <w:color w:val="auto"/>
        </w:rPr>
      </w:pPr>
    </w:p>
    <w:p>
      <w:pPr>
        <w:ind w:firstLine="996"/>
        <w:spacing w:after="0" w:line="264" w:lineRule="auto"/>
        <w:tabs>
          <w:tab w:leader="none" w:pos="12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waiver of any provision or default under, nor consent to any exception to, the terms of this Agreement or any agreement contemplated hereby shall be effective unless in writing and signed by the party to be bound and then only to the specific purpose, extent and instance so provided.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12.11.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80" w:firstLine="996"/>
        <w:spacing w:after="0" w:line="255" w:lineRule="auto"/>
        <w:tabs>
          <w:tab w:leader="none" w:pos="12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Member shall, and shall direct those of its Affiliates and their respective directors, officers, members, managers, stockholders, partners, employees, attorneys, accountants, consultants, trustees and other advisors (the “</w:t>
      </w:r>
      <w:r>
        <w:rPr>
          <w:rFonts w:ascii="Arial" w:cs="Arial" w:eastAsia="Arial" w:hAnsi="Arial"/>
          <w:sz w:val="18"/>
          <w:szCs w:val="18"/>
          <w:u w:val="single" w:color="auto"/>
          <w:color w:val="auto"/>
        </w:rPr>
        <w:t>Member Parties</w:t>
      </w:r>
      <w:r>
        <w:rPr>
          <w:rFonts w:ascii="Arial" w:cs="Arial" w:eastAsia="Arial" w:hAnsi="Arial"/>
          <w:sz w:val="18"/>
          <w:szCs w:val="18"/>
          <w:color w:val="auto"/>
        </w:rPr>
        <w:t>”) who have access to Confidential Information to, keep confidential and not disclose any Confidential Information to any Person other than a Member Party who agrees to keep such Confidential Information confidential in accordance with this Section 12.11, in each case without the express consent, in the case of Confidential Information acquired from the Company, of the Company or, in the case of Confidential Information acquired from another Member, such other Member, unless:</w:t>
      </w:r>
    </w:p>
    <w:p>
      <w:pPr>
        <w:spacing w:after="0" w:line="85" w:lineRule="exact"/>
        <w:rPr>
          <w:rFonts w:ascii="Arial" w:cs="Arial" w:eastAsia="Arial" w:hAnsi="Arial"/>
          <w:sz w:val="18"/>
          <w:szCs w:val="18"/>
          <w:color w:val="auto"/>
        </w:rPr>
      </w:pPr>
    </w:p>
    <w:p>
      <w:pPr>
        <w:ind w:left="1660" w:hanging="224"/>
        <w:spacing w:after="0"/>
        <w:tabs>
          <w:tab w:leader="none" w:pos="1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disclosure shall be required by Applicable Law;</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such disclosure is reasonably required in connection with any Audit involving the Company or any Member or its Affiliates;</w:t>
      </w:r>
    </w:p>
    <w:p>
      <w:pPr>
        <w:spacing w:after="0" w:line="128" w:lineRule="exact"/>
        <w:rPr>
          <w:rFonts w:ascii="Arial" w:cs="Arial" w:eastAsia="Arial" w:hAnsi="Arial"/>
          <w:sz w:val="17"/>
          <w:szCs w:val="17"/>
          <w:color w:val="auto"/>
        </w:rPr>
      </w:pPr>
    </w:p>
    <w:p>
      <w:pPr>
        <w:ind w:left="1760" w:hanging="324"/>
        <w:spacing w:after="0"/>
        <w:tabs>
          <w:tab w:leader="none" w:pos="17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such disclosure is reasonably required in connection with any litigation against or involving the Company or any Member;</w:t>
      </w:r>
    </w:p>
    <w:p>
      <w:pPr>
        <w:spacing w:after="0" w:line="128" w:lineRule="exact"/>
        <w:rPr>
          <w:rFonts w:ascii="Arial" w:cs="Arial" w:eastAsia="Arial" w:hAnsi="Arial"/>
          <w:sz w:val="17"/>
          <w:szCs w:val="17"/>
          <w:color w:val="auto"/>
        </w:rPr>
      </w:pPr>
    </w:p>
    <w:p>
      <w:pPr>
        <w:ind w:left="1740" w:hanging="304"/>
        <w:spacing w:after="0"/>
        <w:tabs>
          <w:tab w:leader="none" w:pos="17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such information is publicly disclosed in connection with or as part of Holdings’ or Pubco’s ordinary course investor relations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activities; or</w:t>
      </w:r>
    </w:p>
    <w:p>
      <w:pPr>
        <w:spacing w:after="0" w:line="102" w:lineRule="exact"/>
        <w:rPr>
          <w:rFonts w:ascii="Arial" w:cs="Arial" w:eastAsia="Arial" w:hAnsi="Arial"/>
          <w:sz w:val="16"/>
          <w:szCs w:val="16"/>
          <w:color w:val="auto"/>
        </w:rPr>
      </w:pPr>
    </w:p>
    <w:p>
      <w:pPr>
        <w:ind w:right="40" w:firstLine="1436"/>
        <w:spacing w:after="0" w:line="279" w:lineRule="auto"/>
        <w:tabs>
          <w:tab w:leader="none" w:pos="168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such disclosure is reasonably required in connection with any proposed Transfer of all or any part of such Member’s Units in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use of any Confidential Information referred to in this clause (v), advance notice must be given to the Company so that it may require any proposed Transferee that is not a Member to enter into a confidentiality agreement with terms substantially similar to the terms of this Section 12.11 (excluding this clause (v)) prior to the disclosure of such Confidential Information.</w:t>
      </w:r>
    </w:p>
    <w:p>
      <w:pPr>
        <w:spacing w:after="0" w:line="63" w:lineRule="exact"/>
        <w:rPr>
          <w:rFonts w:ascii="Arial" w:cs="Arial" w:eastAsia="Arial" w:hAnsi="Arial"/>
          <w:sz w:val="17"/>
          <w:szCs w:val="17"/>
          <w:color w:val="auto"/>
        </w:rPr>
      </w:pPr>
    </w:p>
    <w:p>
      <w:pPr>
        <w:ind w:firstLine="996"/>
        <w:spacing w:after="0" w:line="253" w:lineRule="auto"/>
        <w:tabs>
          <w:tab w:leader="none" w:pos="12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any information related to the activities of the Company, the Members and their respective Affiliates that a Member may acquire from the Company or the Members, other than information that (i) is already available through publicly available sources of information (other than as a result of disclosure by such Member in violation of this Agreement or any other applicable agreement containing confidentiality provisions signed by such Member), (ii) was available to a Member on a non-confidential basis prior to its disclosure to such Member by the Company, or (iii) becomes available to a Member on a non-confidential basis from a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third party is not known by such Member, after reasonable inquiry, to be bound by this Agreement or another confidentiality agreement with the Company. Such Confidential Information may include information that pertains or relates to the business and affairs of any other Member or any other Company matters. Confidential Information may be used by a Member and its Member Parties only in connection with Company matters and in connection with the maintenance of its interest in the Company.</w:t>
      </w:r>
    </w:p>
    <w:p>
      <w:pPr>
        <w:spacing w:after="0" w:line="89" w:lineRule="exact"/>
        <w:rPr>
          <w:rFonts w:ascii="Arial" w:cs="Arial" w:eastAsia="Arial" w:hAnsi="Arial"/>
          <w:sz w:val="18"/>
          <w:szCs w:val="18"/>
          <w:color w:val="auto"/>
        </w:rPr>
      </w:pPr>
    </w:p>
    <w:p>
      <w:pPr>
        <w:ind w:right="40" w:firstLine="996"/>
        <w:spacing w:after="0" w:line="272" w:lineRule="auto"/>
        <w:tabs>
          <w:tab w:leader="none" w:pos="123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event that any Member or any Member Parties of such Member is required to disclose any of the Confidential Information, such Member shall use reasonable efforts to provide the Company with prompt written notice so that the Company may seek a protective order or other appropriate remedy and/or waive compliance with the provisions of this Agreement, and such Member shall use reasonable efforts to cooperate with the Company in any effort any such Person undertakes to obtain a protective order or other remedy. In the event that such protective order or other remedy is not obtained, or that the Company waives compliance with the provisions of this Section 12.11, such Member and its Member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85" w:name="page86"/>
    <w:bookmarkEnd w:id="85"/>
    <w:p>
      <w:pPr>
        <w:ind w:right="100" w:firstLine="1436"/>
        <w:spacing w:after="0" w:line="259" w:lineRule="auto"/>
        <w:tabs>
          <w:tab w:leader="none" w:pos="16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this Agreement to the contrary, each Member may disclose to any persons the U.S. federal income tax treatment and tax structure of the Company and the transactions set out in the Master Transaction Agreement. For this purpose, “tax structure” is limited to any facts relevant to the U.S. federal income tax treatment of the Company and does not include information relating to the identity of the Company or any Member.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 that would result in the application of the laws of any other State.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86" w:name="page87"/>
    <w:bookmarkEnd w:id="8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Amended and Restated Limited Liability Company Agreement to be duly executed as of the day and year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BELLRING BRANDS,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POST HOLDINGS,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Missouri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jc w:val="center"/>
        <w:ind w:left="6880"/>
        <w:spacing w:after="0"/>
        <w:tabs>
          <w:tab w:leader="none" w:pos="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w:t>
      </w:r>
    </w:p>
    <w:p>
      <w:pPr>
        <w:spacing w:after="0" w:line="9"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L</w:t>
      </w:r>
      <w:r>
        <w:rPr>
          <w:rFonts w:ascii="Arial" w:cs="Arial" w:eastAsia="Arial" w:hAnsi="Arial"/>
          <w:sz w:val="15"/>
          <w:szCs w:val="15"/>
          <w:color w:val="auto"/>
        </w:rPr>
        <w:t>IMITED</w:t>
      </w:r>
      <w:r>
        <w:rPr>
          <w:rFonts w:ascii="Arial" w:cs="Arial" w:eastAsia="Arial" w:hAnsi="Arial"/>
          <w:sz w:val="18"/>
          <w:szCs w:val="18"/>
          <w:color w:val="auto"/>
        </w:rPr>
        <w:t xml:space="preserve"> L</w:t>
      </w:r>
      <w:r>
        <w:rPr>
          <w:rFonts w:ascii="Arial" w:cs="Arial" w:eastAsia="Arial" w:hAnsi="Arial"/>
          <w:sz w:val="15"/>
          <w:szCs w:val="15"/>
          <w:color w:val="auto"/>
        </w:rPr>
        <w:t>IABILITY</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MATTERS AGREEMENT</w:t>
      </w:r>
    </w:p>
    <w:p>
      <w:pPr>
        <w:spacing w:after="0" w:line="21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This EMPLOYEE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21, 2019,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920" w:firstLine="444"/>
        <w:spacing w:after="0" w:line="277" w:lineRule="auto"/>
        <w:tabs>
          <w:tab w:leader="none" w:pos="79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BellRing Inc., BellRing LLC, and Post are parties to that certain Master Transaction Agreement, dated as of October 7, 2019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444"/>
        <w:spacing w:after="0" w:line="312" w:lineRule="auto"/>
        <w:tabs>
          <w:tab w:leader="none" w:pos="7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facilitate the transaction described in the Transaction Agreement, the parties deem it appropriate and in the best interests of the parties to enter into this Agreement for the purpose of, together with the Master Services Agreement, allocating assets, Liabilities and responsibilities with respect to certain employment matters, employee compensation and benefit plans and programs described herein between and among them.</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defined or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Benefit Plans</w:t>
      </w:r>
      <w:r>
        <w:rPr>
          <w:rFonts w:ascii="Arial" w:cs="Arial" w:eastAsia="Arial" w:hAnsi="Arial"/>
          <w:sz w:val="18"/>
          <w:szCs w:val="18"/>
          <w:color w:val="auto"/>
        </w:rPr>
        <w:t>” means any Benefit Plan sponsored or maintained or contributed to by BellRing Inc. or any member of the BellRing Group (or their predecessors), and any Benefit Plan assumed or adopted by BellRing Inc. or any member of the BellRing Group, specifically excluding any Post Benefit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Employees</w:t>
      </w:r>
      <w:r>
        <w:rPr>
          <w:rFonts w:ascii="Arial" w:cs="Arial" w:eastAsia="Arial" w:hAnsi="Arial"/>
          <w:sz w:val="18"/>
          <w:szCs w:val="18"/>
          <w:color w:val="auto"/>
        </w:rPr>
        <w:t>” means employees of and service providers to BellRing Inc. or any member of the BellRing Group.</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with respect to an entity, each plan, program, arrangement, agreement or commitment (whether written or unwritten, formal or informal) that is an employment, consulting, non-competition or deferred compensation agreement, or an executive compensation, incentive bonus or other bonus, employee pension, profit-sharing, savings, retirement, supplemental retirement, stock option, stock purchase, stock appreciation rights, restricted stock, other equity-based compensation, severance pay, salary continuation, life, health, hospitalization, wellness, sick leave, vacation pay, disability or accident insurance plan, or other employee benefit plan, program, arrangement, agreement or commitment, (a) including any “employee benefit plan” (as defined in Section 3(3) of ERISA), sponsored or maintained by such entity (or to which such entity contributes or is required to contribute or has any Liabilities, directly or indirectly, contingent or fixed) and (b) excluding any indemnification obligations, other than any obligations contained in any of the foregoing.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8" w:name="page89"/>
    <w:bookmarkEnd w:id="88"/>
    <w:p>
      <w:pPr>
        <w:ind w:right="10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7"/>
          <w:szCs w:val="17"/>
          <w:u w:val="single" w:color="auto"/>
          <w:color w:val="auto"/>
        </w:rPr>
        <w:t>Change of Control</w:t>
      </w:r>
      <w:r>
        <w:rPr>
          <w:rFonts w:ascii="Arial" w:cs="Arial" w:eastAsia="Arial" w:hAnsi="Arial"/>
          <w:sz w:val="17"/>
          <w:szCs w:val="17"/>
          <w:color w:val="auto"/>
        </w:rPr>
        <w:t>” of BellRing Inc. and BellRing LLC shall have occurred in the event any transaction or series of transactions (however structured or evidenced) is/are consummated which (a) results in Post no longer controlling more than 50% of the combined voting power of the capital stock of BellRing Inc. entitled to vote generally in the election of directors of BellRing Inc. (including, for avoidance of doubt, (i) the granting or entry into by Post or any of its Affiliates (other than BellRing Inc. or any of its Subsidiaries) of proxies, voting agreements or other voting arrangements with third parties in accordance with the BellRing Limited Liability Company Agreement pursuant to which such third parties have the right to direct how Post or any of its Affiliates (other than BellRing Inc. or any of its Subsidiaries) shall cast all or a portion of the votes to which the Class B Common Stock of BellRing Inc. is entitled, or (ii) the distribution by Post of its retained beneficial interest in BellRing Inc. by means of a spin-off or split-off to its shareholders (however structured or evidenced)), or (b) involves the sale, assignment, conveyance, transfer, lease or other disposition of all or substantially all of the assets of BellRing Inc. and its Subsidiaries taken as a whole; and a “Change of Control” of BellRing LLC shall have occurred in the event any transaction or series of transactions (however structured or evidenced) is/are consummated which (x) results in BellRing LLC no longer being a direct or indirect Subsidiary of BellRing Inc. or (y) involves the sale, assignment, conveyance, transfer, lease or other disposition of all or substantially all of the assets of BellRing LLC.</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and Reconciliation Act of 1985,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BellRing Employees</w:t>
      </w:r>
      <w:r>
        <w:rPr>
          <w:rFonts w:ascii="Arial" w:cs="Arial" w:eastAsia="Arial" w:hAnsi="Arial"/>
          <w:sz w:val="18"/>
          <w:szCs w:val="18"/>
          <w:color w:val="auto"/>
        </w:rPr>
        <w:t>” means former employees of and service providers to BellRing Inc. or any member of the BellRing Group, or any predecessor company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Benefit Plans</w:t>
      </w:r>
      <w:r>
        <w:rPr>
          <w:rFonts w:ascii="Arial" w:cs="Arial" w:eastAsia="Arial" w:hAnsi="Arial"/>
          <w:sz w:val="18"/>
          <w:szCs w:val="18"/>
          <w:color w:val="auto"/>
        </w:rPr>
        <w:t>” means any Benefit Plan sponsored or maintained by Post or any member of the Post Group, specifically excluding any BellRing Benefit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401(K) AND HEALTH AND WELFARE PLANS</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401(k) Plan</w:t>
      </w:r>
      <w:r>
        <w:rPr>
          <w:rFonts w:ascii="Arial" w:cs="Arial" w:eastAsia="Arial" w:hAnsi="Arial"/>
          <w:sz w:val="16"/>
          <w:szCs w:val="16"/>
          <w:color w:val="auto"/>
        </w:rPr>
        <w:t>. Members of the BellRing Group which employ employees eligible for the Post Holdings, Inc. Savings Investment Plan (“</w:t>
      </w:r>
      <w:r>
        <w:rPr>
          <w:rFonts w:ascii="Arial" w:cs="Arial" w:eastAsia="Arial" w:hAnsi="Arial"/>
          <w:sz w:val="16"/>
          <w:szCs w:val="16"/>
          <w:u w:val="single" w:color="auto"/>
          <w:color w:val="auto"/>
        </w:rPr>
        <w:t>Post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SIP</w:t>
      </w:r>
      <w:r>
        <w:rPr>
          <w:rFonts w:ascii="Arial" w:cs="Arial" w:eastAsia="Arial" w:hAnsi="Arial"/>
          <w:sz w:val="16"/>
          <w:szCs w:val="16"/>
          <w:color w:val="auto"/>
        </w:rPr>
        <w:t>”) shall remain “participating employers” (as such term is defined in the Post SIP) in the Post SIP through December 31, 2019. BellRing Inc. shall establish and adopt, effective January 1, 2020, a safe harbor 401(k) plan meeting the requirements of Code Section 401(k)(12)(B) and 401(m)(11) (the “</w:t>
      </w:r>
      <w:r>
        <w:rPr>
          <w:rFonts w:ascii="Arial" w:cs="Arial" w:eastAsia="Arial" w:hAnsi="Arial"/>
          <w:sz w:val="16"/>
          <w:szCs w:val="16"/>
          <w:u w:val="single" w:color="auto"/>
          <w:color w:val="auto"/>
        </w:rPr>
        <w:t>BellRing Brands, Inc. 401(k) Plan</w:t>
      </w:r>
      <w:r>
        <w:rPr>
          <w:rFonts w:ascii="Arial" w:cs="Arial" w:eastAsia="Arial" w:hAnsi="Arial"/>
          <w:sz w:val="16"/>
          <w:szCs w:val="16"/>
          <w:color w:val="auto"/>
        </w:rPr>
        <w:t>”) and require that the trust that funds the BellRing Brands, Inc. 401(k) Plan shall accept a direct trust-to-trust transfer of the account balances of such eligible employees of BellRing Inc. and the BellRing Group from the trust that funds the Post SIP, which transfer shall include without limitation such employees’ loans taken out under the Post SIP. Without limiting the foregoing, BellRing Inc. shall ensure that the terms of the BellRing Brands, Inc. 401(k) Plan proposed to be adopted in accordance with the immediately preceding sentence and maintained thereafter may not differ significantly from those of the Post SIP to the extent that: (a) the difference in such terms would result in the service provider(s) selected for the BellRing Brands, Inc. 401(k) Plan not being able to establish the plan and accept contributions into the accounts for the BellRing Brands, Inc. 401(k) Plan effective January 1, 2020, as determined by such service provider(s); or (b) in the reasonable assessment of Post, the difference in such proposed terms (i) would pose a material risk that the Post SIP may fail any applicable nondiscrimination testing under the Code or (ii)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89" w:name="page90"/>
    <w:bookmarkEnd w:id="8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otherwise be legally inadvisable with respect to Post or the Post SIP. As soon as feasibly possible and without unreasonable delay BellRing Inc. shall submit an application to the IRS seeking a favorable determination or opinion letter from the IRS that the BellRing Brands, Inc. 401(k) Plan is tax-qualified under Section 401(a) of the Code. Upon the adoption of the BellRing Brands, Inc. 401(k) Plan, BellRing Inc. and BellRing LLC shall permit and facilitate the participation of eligible employees of BellRing Inc. or any member of the BellRing Group who, as of December 31, 2019, were eligible to participate in the Post SIP.</w:t>
      </w:r>
    </w:p>
    <w:p>
      <w:pPr>
        <w:spacing w:after="0" w:line="33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U.S. Health and Welfare Benefit Plan.</w:t>
      </w:r>
    </w:p>
    <w:p>
      <w:pPr>
        <w:spacing w:after="0" w:line="117" w:lineRule="exact"/>
        <w:rPr>
          <w:sz w:val="20"/>
          <w:szCs w:val="20"/>
          <w:color w:val="auto"/>
        </w:rPr>
      </w:pPr>
    </w:p>
    <w:p>
      <w:pPr>
        <w:ind w:firstLine="996"/>
        <w:spacing w:after="0" w:line="285" w:lineRule="auto"/>
        <w:tabs>
          <w:tab w:leader="none" w:pos="137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Unless otherwise determined by Post, BellRing Inc. and its Subsidiaries’ participation in the Post Holdings, Inc. Health and Welfare Benefit Plan, including the Post severance plans which form part of the Post Holdings, Inc. Health and Welfare Benefit Plan (“</w:t>
      </w:r>
      <w:r>
        <w:rPr>
          <w:rFonts w:ascii="Arial" w:cs="Arial" w:eastAsia="Arial" w:hAnsi="Arial"/>
          <w:sz w:val="16"/>
          <w:szCs w:val="16"/>
          <w:u w:val="single" w:color="auto"/>
          <w:color w:val="auto"/>
        </w:rPr>
        <w:t>Post H&amp;W Plan</w:t>
      </w:r>
      <w:r>
        <w:rPr>
          <w:rFonts w:ascii="Arial" w:cs="Arial" w:eastAsia="Arial" w:hAnsi="Arial"/>
          <w:sz w:val="16"/>
          <w:szCs w:val="16"/>
          <w:color w:val="auto"/>
        </w:rPr>
        <w:t>”), shall cease December 31, 2019. Provided such participation in the Post H&amp;W Plan ceases December 31, 2019, (i) BellRing Inc. or BellRing LLC shall adopt, or BellRing LLC shall cause one of its Subsidiaries to adopt, with Post’s good faith and reasonable efforts to assist, a health and welfare benefit plan subject to ERISA (“</w:t>
      </w:r>
      <w:r>
        <w:rPr>
          <w:rFonts w:ascii="Arial" w:cs="Arial" w:eastAsia="Arial" w:hAnsi="Arial"/>
          <w:sz w:val="16"/>
          <w:szCs w:val="16"/>
          <w:u w:val="single" w:color="auto"/>
          <w:color w:val="auto"/>
        </w:rPr>
        <w:t>BellRing Health and Welfare Benefit Plan</w:t>
      </w:r>
      <w:r>
        <w:rPr>
          <w:rFonts w:ascii="Arial" w:cs="Arial" w:eastAsia="Arial" w:hAnsi="Arial"/>
          <w:sz w:val="16"/>
          <w:szCs w:val="16"/>
          <w:color w:val="auto"/>
        </w:rPr>
        <w:t>”), and (ii) effective January 1, 2020, BellRing Inc. or BellRing LLC (or its Subsidiary) shall, subject to any actively-at-work requirements, permit and facilitate participation of eligible employees of BellRing Inc. and each member of the BellRing Group (and their dependents and beneficiaries), who, as of December 31, 2019, were eligible to participate in the Post H&amp;W Plan, with such component benefits and under such terms and conditions as are substantially comparable in the aggregate to those that comprise the Post H&amp;W Plan applicable to such employees as of December 31, 2019. BellRing Inc. or BellRing LLC shall, or BellRing LLC shall cause its applicable Subsidiary to, enter into HIPAA business associate agreements with applicable vendors of and service providers to the BellRing Health and Welfare Benefit Plan in accordance with applicable Law. For so long as BellRing Inc. or its Subsidiary(ies) that employ(s) or employed participants in the BellRing Health and Welfare Benefit Plan or participants in any other employee benefit program (x) are, when combined with Post or any of its Subsidiaries (other than BellRing Inc. or any of its Subsidiaries) treated as a “single employer” under Code Section 414(b) or 414(c) or successor provisions and the regulations thereunder, or (y) would otherwise be aggregated with Post or any of its Subsidiaries (other than BellRing Inc. or any of its Subsidiaries) for purposes of performing applicable nondiscrimination tests (all as determined by Post in its reasonable discretion), BellRing Inc. or BellRing LLC shall ensure or BellRing LLC shall cause its applicable Subsidiary to ensure that the BellRing Health and Welfare Benefit Plan shall not contain terms or conditions that vary from those of the Post H&amp;W Plan in a manner that creates, in the reasonable assessment of Post, a risk that the Post H&amp;W Plan would fail nondiscrimination requirements under any applicable provision of the Code or other applicable Law (including, without limitation, Code Section 105(h) with respect to any medical reimbursement plan and/or Code Section 79 with respect to any life insurance plan (or any successor Law(s) thereto)).</w:t>
      </w:r>
    </w:p>
    <w:p>
      <w:pPr>
        <w:spacing w:after="0" w:line="170" w:lineRule="exact"/>
        <w:rPr>
          <w:rFonts w:ascii="Arial" w:cs="Arial" w:eastAsia="Arial" w:hAnsi="Arial"/>
          <w:sz w:val="16"/>
          <w:szCs w:val="16"/>
          <w:color w:val="auto"/>
        </w:rPr>
      </w:pPr>
    </w:p>
    <w:p>
      <w:pPr>
        <w:ind w:firstLine="996"/>
        <w:spacing w:after="0" w:line="257" w:lineRule="auto"/>
        <w:tabs>
          <w:tab w:leader="none" w:pos="13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any Liabilities associated with the participation in the Post H&amp;W Plan of BellRing Employees and former BellRing Employees (and their dependents or beneficiaries) incurred prior to terminating participation in the Post H&amp;W Plan, no matter when such claims or Liabilities are filed, reported or payable; provided however, that any premiums, claims and other administrative costs shall be allocated or passed through in accordance with Section 5.1(a) of this Agreement and with the Master Services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COMPENSATION</w:t>
      </w:r>
    </w:p>
    <w:p>
      <w:pPr>
        <w:spacing w:after="0" w:line="21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Nonqualified Deferred Compensation</w:t>
      </w:r>
      <w:r>
        <w:rPr>
          <w:rFonts w:ascii="Arial" w:cs="Arial" w:eastAsia="Arial" w:hAnsi="Arial"/>
          <w:sz w:val="16"/>
          <w:szCs w:val="16"/>
          <w:color w:val="auto"/>
        </w:rPr>
        <w:t>.</w:t>
      </w:r>
    </w:p>
    <w:p>
      <w:pPr>
        <w:spacing w:after="0" w:line="117" w:lineRule="exact"/>
        <w:rPr>
          <w:sz w:val="20"/>
          <w:szCs w:val="20"/>
          <w:color w:val="auto"/>
        </w:rPr>
      </w:pPr>
    </w:p>
    <w:p>
      <w:pPr>
        <w:ind w:left="-20" w:firstLine="996"/>
        <w:spacing w:after="0" w:line="259" w:lineRule="auto"/>
        <w:tabs>
          <w:tab w:leader="none" w:pos="13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participation of employees of BellRing Inc. or any member of the BellRing Group in the Post Holdings, Inc. Deferred Compensation Plan for Key Employees and the Post Holdings, Inc. Executive Savings Investment Plan (either or both, a “</w:t>
      </w:r>
      <w:r>
        <w:rPr>
          <w:rFonts w:ascii="Arial" w:cs="Arial" w:eastAsia="Arial" w:hAnsi="Arial"/>
          <w:sz w:val="18"/>
          <w:szCs w:val="18"/>
          <w:u w:val="single" w:color="auto"/>
          <w:color w:val="auto"/>
        </w:rPr>
        <w:t>Post Nonqualified Plan</w:t>
      </w:r>
      <w:r>
        <w:rPr>
          <w:rFonts w:ascii="Arial" w:cs="Arial" w:eastAsia="Arial" w:hAnsi="Arial"/>
          <w:sz w:val="18"/>
          <w:szCs w:val="18"/>
          <w:color w:val="auto"/>
        </w:rPr>
        <w:t>”) shall cease December 31, 2019. All deferral elections under the Post Nonqualified Plans shall remain in effect for the year(s) to which they relate subject to all of the terms and conditions of the Post Nonqualified Plans.</w:t>
      </w:r>
    </w:p>
    <w:p>
      <w:pPr>
        <w:spacing w:after="0" w:line="186" w:lineRule="exact"/>
        <w:rPr>
          <w:rFonts w:ascii="Arial" w:cs="Arial" w:eastAsia="Arial" w:hAnsi="Arial"/>
          <w:sz w:val="18"/>
          <w:szCs w:val="18"/>
          <w:color w:val="auto"/>
        </w:rPr>
      </w:pPr>
    </w:p>
    <w:p>
      <w:pPr>
        <w:ind w:left="-20" w:right="260" w:firstLine="996"/>
        <w:spacing w:after="0" w:line="259" w:lineRule="auto"/>
        <w:tabs>
          <w:tab w:leader="none" w:pos="13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Should BellRing Inc. or any member of the BellRing Group adopt a nonqualified deferred compensation plan for employees, BellRing Inc. (or the applicable member of the BellRing Group that adopted such plan) agrees to assume all Liabilities associated with payment of account balances attributable to BellRing Employees or Former BellRing Employees under the Post Nonqualified Plans, all in accordance with Code Section 409A.</w:t>
      </w:r>
    </w:p>
    <w:p>
      <w:pPr>
        <w:spacing w:after="0" w:line="186" w:lineRule="exact"/>
        <w:rPr>
          <w:rFonts w:ascii="Arial" w:cs="Arial" w:eastAsia="Arial" w:hAnsi="Arial"/>
          <w:sz w:val="18"/>
          <w:szCs w:val="18"/>
          <w:color w:val="auto"/>
        </w:rPr>
      </w:pPr>
    </w:p>
    <w:p>
      <w:pPr>
        <w:ind w:left="-20" w:right="60" w:firstLine="996"/>
        <w:spacing w:after="0" w:line="255" w:lineRule="auto"/>
        <w:tabs>
          <w:tab w:leader="none" w:pos="13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BellRing Inc. shall establish and adopt, effective January 1, 2020, a non-qualified deferred compensation plan for eligible members of its Board of Directors (the “</w:t>
      </w:r>
      <w:r>
        <w:rPr>
          <w:rFonts w:ascii="Arial" w:cs="Arial" w:eastAsia="Arial" w:hAnsi="Arial"/>
          <w:sz w:val="18"/>
          <w:szCs w:val="18"/>
          <w:u w:val="single" w:color="auto"/>
          <w:color w:val="auto"/>
        </w:rPr>
        <w:t>BellRing Directors’ Deferred Compensation Plan</w:t>
      </w:r>
      <w:r>
        <w:rPr>
          <w:rFonts w:ascii="Arial" w:cs="Arial" w:eastAsia="Arial" w:hAnsi="Arial"/>
          <w:sz w:val="18"/>
          <w:szCs w:val="18"/>
          <w:color w:val="auto"/>
        </w:rPr>
        <w:t>”), and shall ensure that the terms of the BellRing Brands, Inc. Directors’ Deferred Compensation Plan proposed to be adopted are largely based on those of the Post Holdings, Inc. Deferred Compensation Plan for Non-Management Directors. Upon the adoption of the BellRing Brands, Inc. Directors’ Deferred Compensation Plan, BellRing Inc. shall permit and facilitate the participation in such plan of eligible directors of BellRing Inc. BellRing Inc. shall be responsible for any payments due under or Liabilities associated with the BellRing Directors’ Deferred Compensation Plan.</w:t>
      </w:r>
    </w:p>
    <w:p>
      <w:pPr>
        <w:spacing w:after="0" w:line="30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Equity Compensation/SEC Registration</w:t>
      </w:r>
      <w:r>
        <w:rPr>
          <w:rFonts w:ascii="Arial" w:cs="Arial" w:eastAsia="Arial" w:hAnsi="Arial"/>
          <w:sz w:val="16"/>
          <w:szCs w:val="16"/>
          <w:color w:val="auto"/>
        </w:rPr>
        <w:t>.</w:t>
      </w:r>
    </w:p>
    <w:p>
      <w:pPr>
        <w:spacing w:after="0" w:line="117" w:lineRule="exact"/>
        <w:rPr>
          <w:sz w:val="20"/>
          <w:szCs w:val="20"/>
          <w:color w:val="auto"/>
        </w:rPr>
      </w:pPr>
    </w:p>
    <w:p>
      <w:pPr>
        <w:ind w:left="-20" w:right="20" w:firstLine="996"/>
        <w:spacing w:after="0" w:line="290" w:lineRule="auto"/>
        <w:tabs>
          <w:tab w:leader="none" w:pos="13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BellRing Inc. agrees to use commercially reasonable efforts to maintain effective registration statements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with respect to the BellRing Brands, Inc. 2019 Long-Term Incentive Plan (the “</w:t>
      </w:r>
      <w:r>
        <w:rPr>
          <w:rFonts w:ascii="Arial" w:cs="Arial" w:eastAsia="Arial" w:hAnsi="Arial"/>
          <w:sz w:val="16"/>
          <w:szCs w:val="16"/>
          <w:u w:val="single" w:color="auto"/>
          <w:color w:val="auto"/>
        </w:rPr>
        <w:t>BellRing LTIP</w:t>
      </w:r>
      <w:r>
        <w:rPr>
          <w:rFonts w:ascii="Arial" w:cs="Arial" w:eastAsia="Arial" w:hAnsi="Arial"/>
          <w:sz w:val="16"/>
          <w:szCs w:val="16"/>
          <w:color w:val="auto"/>
        </w:rPr>
        <w:t>”) and any successor plan and any equity awards issued under the BellRing LTIP and any successor plan, to the extent any such registration statement is required by applicable Law. BellRing Inc. shall be responsible for taking all appropriate action (i) to operate the BellRing LTIP and any successor plan so that they comply with applicable Law, including compliance with, and qualification under, Section 16 of the Securities Exchange Act of 1934, as amended; (ii) to the extent shares for issuance under the BellRing LTIP are not already registered as of the IPO Closing Date, to timely register shares for issuance under the BellRing LTIP, including the filing of a registration statement on an appropriate form with the SEC; and (iii) to timely register shares for issuance under any successor plan to the BellRing LTIP, including the filing of a registration statement on an appropriate form with the SEC.</w:t>
      </w:r>
    </w:p>
    <w:p>
      <w:pPr>
        <w:spacing w:after="0" w:line="166" w:lineRule="exact"/>
        <w:rPr>
          <w:rFonts w:ascii="Arial" w:cs="Arial" w:eastAsia="Arial" w:hAnsi="Arial"/>
          <w:sz w:val="16"/>
          <w:szCs w:val="16"/>
          <w:color w:val="auto"/>
        </w:rPr>
      </w:pPr>
    </w:p>
    <w:p>
      <w:pPr>
        <w:ind w:left="-20" w:right="20" w:firstLine="996"/>
        <w:spacing w:after="0" w:line="255" w:lineRule="auto"/>
        <w:tabs>
          <w:tab w:leader="none" w:pos="13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respect to restricted stock unit awards and nonqualified stock option awards issued to employees of BellRing LLC or any member of the BellRing Group (or such entities’ predecessors) under the Post 2012 Long-Term Incentive Plan, the Post 2016 Long-Term Incentive Plan and/or the Post 2019 Long-Term Incentive Plan (each or all, the “</w:t>
      </w:r>
      <w:r>
        <w:rPr>
          <w:rFonts w:ascii="Arial" w:cs="Arial" w:eastAsia="Arial" w:hAnsi="Arial"/>
          <w:sz w:val="18"/>
          <w:szCs w:val="18"/>
          <w:u w:val="single" w:color="auto"/>
          <w:color w:val="auto"/>
        </w:rPr>
        <w:t>Post LTIP</w:t>
      </w:r>
      <w:r>
        <w:rPr>
          <w:rFonts w:ascii="Arial" w:cs="Arial" w:eastAsia="Arial" w:hAnsi="Arial"/>
          <w:sz w:val="18"/>
          <w:szCs w:val="18"/>
          <w:color w:val="auto"/>
        </w:rPr>
        <w:t>”) which awards remain unsettled or outstanding as of the IPO Closing Date and any awards made to employees of BellRing Inc., BellRing LLC or a member of the BellRing Group under the Post LTIP or its successor LTIP made after the IPO Closing Date (“</w:t>
      </w:r>
      <w:r>
        <w:rPr>
          <w:rFonts w:ascii="Arial" w:cs="Arial" w:eastAsia="Arial" w:hAnsi="Arial"/>
          <w:sz w:val="18"/>
          <w:szCs w:val="18"/>
          <w:u w:val="single" w:color="auto"/>
          <w:color w:val="auto"/>
        </w:rPr>
        <w:t>Outstanding Post Awards</w:t>
      </w:r>
      <w:r>
        <w:rPr>
          <w:rFonts w:ascii="Arial" w:cs="Arial" w:eastAsia="Arial" w:hAnsi="Arial"/>
          <w:sz w:val="18"/>
          <w:szCs w:val="18"/>
          <w:color w:val="auto"/>
        </w:rPr>
        <w:t>”): (i) such Outstanding Post Awards shall vest or continue to vest and be settled or forfeited according to their terms, or (ii) later, following the Effective Time, if legally permissible as determined by Post, and in the determination of the Post Board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91" w:name="page92"/>
    <w:bookmarkEnd w:id="91"/>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or its Corporate Governance and Compensation Committee, and agreed to by the BellRing Inc. Board of Directors, be converted (in whole or in part, as applicable) into awards issued under the BellRing LTIP or any successor thereto, all according to the terms of the applicable Post LTIP and award agreement and the applicable BellRing LTIP and award agreement, it being understood that all or any portion of such Outstanding Post Award that is elected to be converted into awards issued under the BellRing LTIP or any successor thereto shall be forfeited under the applicable Post LTIP in exchange for such awards issued under the BellRing LTIP. Notwithstanding anything to the contrary in the foregoing, Post’s Board of Directors or its Corporate Governance and Compensation Committee shall have the exclusive authority to determine the treatment of any Outstanding Post Awards in the event of a subsequent spin-off or sale of Post’s retained interest in BellRing Inc. and its Subsidiaries consistent with the terms of the Post LTIP or its successor LTIP and award agreements applicable thereunder.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CANADIAN EMPLOYMENT MATTERS</w:t>
      </w:r>
    </w:p>
    <w:p>
      <w:pPr>
        <w:spacing w:after="0" w:line="211"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Canadian Benefit Plans</w:t>
      </w:r>
      <w:r>
        <w:rPr>
          <w:rFonts w:ascii="Arial" w:cs="Arial" w:eastAsia="Arial" w:hAnsi="Arial"/>
          <w:sz w:val="16"/>
          <w:szCs w:val="16"/>
          <w:color w:val="auto"/>
        </w:rPr>
        <w:t>.</w:t>
      </w:r>
    </w:p>
    <w:p>
      <w:pPr>
        <w:spacing w:after="0" w:line="117" w:lineRule="exact"/>
        <w:rPr>
          <w:sz w:val="20"/>
          <w:szCs w:val="20"/>
          <w:color w:val="auto"/>
        </w:rPr>
      </w:pPr>
    </w:p>
    <w:p>
      <w:pPr>
        <w:ind w:firstLine="996"/>
        <w:spacing w:after="0" w:line="253" w:lineRule="auto"/>
        <w:tabs>
          <w:tab w:leader="none" w:pos="13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of the IPO Closing Date, certain employees located in Canada employed by a Canadian Subsidiary of Post are performing work in Canada exclusively for the BellRing Group (the “</w:t>
      </w:r>
      <w:r>
        <w:rPr>
          <w:rFonts w:ascii="Arial" w:cs="Arial" w:eastAsia="Arial" w:hAnsi="Arial"/>
          <w:sz w:val="18"/>
          <w:szCs w:val="18"/>
          <w:u w:val="single" w:color="auto"/>
          <w:color w:val="auto"/>
        </w:rPr>
        <w:t>Canadian Employees</w:t>
      </w:r>
      <w:r>
        <w:rPr>
          <w:rFonts w:ascii="Arial" w:cs="Arial" w:eastAsia="Arial" w:hAnsi="Arial"/>
          <w:sz w:val="18"/>
          <w:szCs w:val="18"/>
          <w:color w:val="auto"/>
        </w:rPr>
        <w:t>”). Post may determine, in its sole discretion, to cease the participation of the Canadian Employees in (i) the Post Foods Canada Inc. Retirement Plan for Canadian Employees maintained by Post or the Post Group (the “</w:t>
      </w:r>
      <w:r>
        <w:rPr>
          <w:rFonts w:ascii="Arial" w:cs="Arial" w:eastAsia="Arial" w:hAnsi="Arial"/>
          <w:sz w:val="18"/>
          <w:szCs w:val="18"/>
          <w:u w:val="single" w:color="auto"/>
          <w:color w:val="auto"/>
        </w:rPr>
        <w:t>Post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Canadian Defined Contribution Plan</w:t>
      </w:r>
      <w:r>
        <w:rPr>
          <w:rFonts w:ascii="Arial" w:cs="Arial" w:eastAsia="Arial" w:hAnsi="Arial"/>
          <w:sz w:val="18"/>
          <w:szCs w:val="18"/>
          <w:color w:val="auto"/>
        </w:rPr>
        <w:t>”) and/or (ii) the Canadian health and welfare plans maintained by Post or the Post Group (the “</w:t>
      </w:r>
      <w:r>
        <w:rPr>
          <w:rFonts w:ascii="Arial" w:cs="Arial" w:eastAsia="Arial" w:hAnsi="Arial"/>
          <w:sz w:val="18"/>
          <w:szCs w:val="18"/>
          <w:u w:val="single" w:color="auto"/>
          <w:color w:val="auto"/>
        </w:rPr>
        <w:t>Post Canadian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Health and Welfare Benefit Plan</w:t>
      </w:r>
      <w:r>
        <w:rPr>
          <w:rFonts w:ascii="Arial" w:cs="Arial" w:eastAsia="Arial" w:hAnsi="Arial"/>
          <w:sz w:val="18"/>
          <w:szCs w:val="18"/>
          <w:color w:val="auto"/>
        </w:rPr>
        <w:t>”) if (A) Post otherwise determines that it would be legally inadvisable with respect to Post, the Post Group or the Post Canadian Defined Contribution Plan or the Post Canadian Health and Welfare Benefit Plan to continue to permit such plan participation or (B) such Canadian Subsidiary of Post is no longer at least 50% owned or controlled by Post. Notwithstanding the foregoing, any continued participation of Canadian Employees in the Post Canadian Defined Contribution Plan or the Post Canadian Health and Welfare Plan is subject to the complete terms of the applicable plan.</w:t>
      </w:r>
    </w:p>
    <w:p>
      <w:pPr>
        <w:spacing w:after="0" w:line="197" w:lineRule="exact"/>
        <w:rPr>
          <w:rFonts w:ascii="Arial" w:cs="Arial" w:eastAsia="Arial" w:hAnsi="Arial"/>
          <w:sz w:val="18"/>
          <w:szCs w:val="18"/>
          <w:color w:val="auto"/>
        </w:rPr>
      </w:pPr>
    </w:p>
    <w:p>
      <w:pPr>
        <w:ind w:right="360" w:firstLine="996"/>
        <w:spacing w:after="0" w:line="259" w:lineRule="auto"/>
        <w:tabs>
          <w:tab w:leader="none" w:pos="138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BellRing LLC shall be responsible for: (i) any and all claims and Liabilities attributable to the Canadian Employees’ (and their dependents’ and beneficiaries’) participation in the Post Canadian Health and Welfare Benefit Plan incurred prior to their ceasing participation, no matter when such claims are filed, reported or payable, and (ii) any and all claims or Liabilities attributable to the employment of the Canadian Employees.</w:t>
      </w:r>
    </w:p>
    <w:p>
      <w:pPr>
        <w:spacing w:after="0" w:line="18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Services of Canadian Employees</w:t>
      </w:r>
      <w:r>
        <w:rPr>
          <w:rFonts w:ascii="Arial" w:cs="Arial" w:eastAsia="Arial" w:hAnsi="Arial"/>
          <w:sz w:val="16"/>
          <w:szCs w:val="16"/>
          <w:color w:val="auto"/>
        </w:rPr>
        <w:t>. In the event that Post’s Canadian Subsidiary terminates the employment of the Canadian Employees (other than in connection with Section 4.1(a)(B) above), Post shall work with its Canadian Subsidiary to hire employee(s) in Canada in order to fulfill Post’s obligations as a Service Provider (as such term is defined under the Master Services Agreement) under the Master Services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COSTS AND LIABILITIES</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Self-funded Workers Compensation and Benefits/Compensation Costs</w:t>
      </w:r>
      <w:r>
        <w:rPr>
          <w:rFonts w:ascii="Arial" w:cs="Arial" w:eastAsia="Arial" w:hAnsi="Arial"/>
          <w:sz w:val="16"/>
          <w:szCs w:val="16"/>
          <w:color w:val="auto"/>
        </w:rPr>
        <w:t>.</w:t>
      </w:r>
    </w:p>
    <w:p>
      <w:pPr>
        <w:spacing w:after="0" w:line="117" w:lineRule="exact"/>
        <w:rPr>
          <w:sz w:val="20"/>
          <w:szCs w:val="20"/>
          <w:color w:val="auto"/>
        </w:rPr>
      </w:pPr>
    </w:p>
    <w:p>
      <w:pPr>
        <w:ind w:left="1380" w:hanging="384"/>
        <w:spacing w:after="0"/>
        <w:tabs>
          <w:tab w:leader="none" w:pos="13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so long as BellRing Inc. or any member of the BellRing Group continues to participate in, or the Canadian Employees participate</w:t>
      </w:r>
    </w:p>
    <w:p>
      <w:pPr>
        <w:spacing w:after="0" w:line="4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in: (i) any workers compensation programs of Post or any member of the Post Group that are not insured, (ii) any health and welfare plans of Post or any member of the Post Group (whether self-funded or insured, and including but not necessarily limited to the Post H&amp;W Plan and the Post Canadian Health and Welfare Benefit Plan, and for the sake of clarity, including any COBRA participation), (iii) severance plans or programs of Post or any member of the Post Group, (iv) the Post SIP, (v) the Post Nonqualified Plans or (vi) the Post Canadian Defined Contribution Plan, Post shall allocate or pass through, as applicable, the premiums, claims and other costs under any such program or plan, as applicable, to BellRing Inc. and members of the BellRing Group in the same manner that Post administers and allocates or passes through such premiums, claims and costs thereunder to members of the BellRing Group as of the date of this Agreement.</w:t>
      </w:r>
    </w:p>
    <w:p>
      <w:pPr>
        <w:spacing w:after="0" w:line="180" w:lineRule="exact"/>
        <w:rPr>
          <w:rFonts w:ascii="Arial" w:cs="Arial" w:eastAsia="Arial" w:hAnsi="Arial"/>
          <w:sz w:val="16"/>
          <w:szCs w:val="16"/>
          <w:color w:val="auto"/>
        </w:rPr>
      </w:pPr>
    </w:p>
    <w:p>
      <w:pPr>
        <w:ind w:right="80" w:firstLine="996"/>
        <w:spacing w:after="0" w:line="276" w:lineRule="auto"/>
        <w:tabs>
          <w:tab w:leader="none" w:pos="138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BellRing Inc. and BellRing LLC may elect to discontinue their and any member of the BellRing Group’s participation in Post’s workers compensation programs that are not insured, provided that BellRing Inc. or BellRing LLC gives Post written notice of such election at least ninety (90) days prior to such discontinuance. BellRing Inc. and BellRing LLC will provide Post with all information reasonably requested by Post as it relates to BellRing Inc. and its Subsidiaries’ participation in Post’s workers compensation insurance programs, its withdrawal therefrom or its participation in its own workers compensation insurance programs, subject to the terms of the Master Services Agreement.</w:t>
      </w:r>
    </w:p>
    <w:p>
      <w:pPr>
        <w:spacing w:after="0" w:line="172" w:lineRule="exact"/>
        <w:rPr>
          <w:rFonts w:ascii="Arial" w:cs="Arial" w:eastAsia="Arial" w:hAnsi="Arial"/>
          <w:sz w:val="17"/>
          <w:szCs w:val="17"/>
          <w:color w:val="auto"/>
        </w:rPr>
      </w:pPr>
    </w:p>
    <w:p>
      <w:pPr>
        <w:ind w:right="20" w:firstLine="996"/>
        <w:spacing w:after="0" w:line="276" w:lineRule="auto"/>
        <w:tabs>
          <w:tab w:leader="none" w:pos="136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the Outstanding Post Awards are equity compensation for services rendered to BellRing LLC or member(s) of the BellRing Group (or their predecessors), the monthly actual expense and the employer-related payroll expense of the Outstanding Post Awards while outstanding and due to their settlement and/or exercise shall be borne by BellRing LLC or a member of the BellRing Group. The actual expense of the Outstanding Post Awards while outstanding will be allocated to BellRing LLC or one or more member(s) of the BellRing Group through a monthly cash settlement process via cash-settlement inter-company accounts or through any other applicable related-party accounts.</w:t>
      </w:r>
    </w:p>
    <w:p>
      <w:pPr>
        <w:spacing w:after="0" w:line="172" w:lineRule="exact"/>
        <w:rPr>
          <w:rFonts w:ascii="Arial" w:cs="Arial" w:eastAsia="Arial" w:hAnsi="Arial"/>
          <w:sz w:val="17"/>
          <w:szCs w:val="17"/>
          <w:color w:val="auto"/>
        </w:rPr>
      </w:pPr>
    </w:p>
    <w:p>
      <w:pPr>
        <w:ind w:right="260" w:firstLine="996"/>
        <w:spacing w:after="0" w:line="264" w:lineRule="auto"/>
        <w:tabs>
          <w:tab w:leader="none" w:pos="13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BellRing LLC or the applicable employer member of the BellRing Group shall remain responsible for payment of any short-term incentive/annual bonuses or any other bonuses, incentives, performance-based compensation, or other perquisites payable to employees employed by BellRing LLC or a member of the BellRing Group.</w:t>
      </w:r>
    </w:p>
    <w:p>
      <w:pPr>
        <w:spacing w:after="0" w:line="289"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Liabilities</w:t>
      </w:r>
      <w:r>
        <w:rPr>
          <w:rFonts w:ascii="Arial" w:cs="Arial" w:eastAsia="Arial" w:hAnsi="Arial"/>
          <w:sz w:val="17"/>
          <w:szCs w:val="17"/>
          <w:color w:val="auto"/>
        </w:rPr>
        <w:t>.</w:t>
      </w:r>
    </w:p>
    <w:p>
      <w:pPr>
        <w:spacing w:after="0" w:line="117" w:lineRule="exact"/>
        <w:rPr>
          <w:sz w:val="20"/>
          <w:szCs w:val="20"/>
          <w:color w:val="auto"/>
        </w:rPr>
      </w:pPr>
    </w:p>
    <w:p>
      <w:pPr>
        <w:ind w:right="60" w:firstLine="996"/>
        <w:spacing w:after="0" w:line="254" w:lineRule="auto"/>
        <w:tabs>
          <w:tab w:leader="none" w:pos="13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of the Effective Time, except as otherwise expressly provided for in this Agreement, BellRing LLC shall, or shall cause one or more members of the BellRing Group to, assume or retain, as applicable, and BellRing LLC shall, or shall cause one or more members of the BellRing Group, to pay, perform, fulfill and discharge, in due course in full (i) all Liabilities, whenever incurred, under all BellRing Benefit Plans and (ii) all Liabilities, whenever incurred, with respect to the employment, service, termination of employment or termination of service of all BellRing Employees and of all Former BellRing Employees, and the respective dependents and beneficiaries of such BellRing Employees and Former BellRing Employees;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if the BellRing Employee or Former BellRing Employee to which any such Liability relates is or was an employee or service provider exclusively of BellRing Inc. at the time such Liability arose, BellRing Inc. shall pay, perform, fulfill and discharge, in due course in full, such Liability.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3" w:name="page94"/>
    <w:bookmarkEnd w:id="93"/>
    <w:p>
      <w:pPr>
        <w:ind w:firstLine="996"/>
        <w:spacing w:after="0" w:line="255" w:lineRule="auto"/>
        <w:tabs>
          <w:tab w:leader="none" w:pos="13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after the Effective Time, BellRing LLC (acting directly or through a member of the BellRing Group) shall promptly reimburse Post, upon Post’s reasonable request and the presentation by Post of such substantiating documentation as the payor may reasonably request, for the cost of any Liabilities satisfied by Post or any member of the Post Group that are, pursuant to this Agreement, the responsibility of BellRing Inc. or BellRing LLC or any member of the BellRing Group;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if the BellRing Employee or Former BellRing Employee to which any such Liability relates is or was an employee or service provider exclusively of BellRing, Inc. at the time such Liability arose, BellRing Inc. shall reimburse Post for the cost of such Liabilities.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Sharing of Information</w:t>
      </w:r>
      <w:r>
        <w:rPr>
          <w:rFonts w:ascii="Arial" w:cs="Arial" w:eastAsia="Arial" w:hAnsi="Arial"/>
          <w:sz w:val="17"/>
          <w:szCs w:val="17"/>
          <w:color w:val="auto"/>
        </w:rPr>
        <w:t>. Subject to any limitations imposed by applicable Law, Post, BellRing Inc. and BellRing LLC (acting directly or through members of the Post Group or the BellRing Group, respectively) shall provide to the other and their respective representatives, agents and vendors all information relevant to the performance of the parties to this Agreement. Post, BellRing Inc. and BellRing LLC also hereby agree to enter into, or cause the applicable member of the BellRing Group to enter into, any business associate agreements that may be required for the sharing of any information pursuant to this Agreement to comply with the requirements of HIPAA.</w:t>
      </w:r>
    </w:p>
    <w:p>
      <w:pPr>
        <w:spacing w:after="0" w:line="173"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Post Benefit Plans/Right to Amend</w:t>
      </w:r>
      <w:r>
        <w:rPr>
          <w:rFonts w:ascii="Arial" w:cs="Arial" w:eastAsia="Arial" w:hAnsi="Arial"/>
          <w:sz w:val="18"/>
          <w:szCs w:val="18"/>
          <w:color w:val="auto"/>
        </w:rPr>
        <w:t>. Nothing in this Agreement shall prohibit Post or any other member of the Post Group from amending, modifying or terminating any Post Benefit Plan at any time within its sole discretion, provided that any such amendment, modification or termination shall not relieve Post from any obligation herein.</w:t>
      </w:r>
    </w:p>
    <w:p>
      <w:pPr>
        <w:spacing w:after="0" w:line="18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Consent of Third Parties</w:t>
      </w:r>
      <w:r>
        <w:rPr>
          <w:rFonts w:ascii="Arial" w:cs="Arial" w:eastAsia="Arial" w:hAnsi="Arial"/>
          <w:sz w:val="17"/>
          <w:szCs w:val="17"/>
          <w:color w:val="auto"/>
        </w:rPr>
        <w:t>. If any provision of this Agreement is dependent on the consent of a third party and such consent is withheld, the parties to this Agreement shall use their commercially reasonable efforts to implement the applicable provisions of this Agreement to the fullest extent practicable. If any provision of this Agreement cannot be implemented due to the failure to obtain any such third party consent, the parties to this Agreement shall negotiate in good faith to implement the provision in a mutually satisfactory manner.</w:t>
      </w:r>
    </w:p>
    <w:p>
      <w:pPr>
        <w:spacing w:after="0" w:line="17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 The parties to this Agreement shall, in connection with the actions taken pursuant to this Agreement, reasonably cooperate in making any and all appropriate filings required under the Code, ERISA and any applicable securities Laws.</w:t>
      </w:r>
    </w:p>
    <w:p>
      <w:pPr>
        <w:spacing w:after="0" w:line="170"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Fiduciary Matters</w:t>
      </w:r>
      <w:r>
        <w:rPr>
          <w:rFonts w:ascii="Arial" w:cs="Arial" w:eastAsia="Arial" w:hAnsi="Arial"/>
          <w:sz w:val="16"/>
          <w:szCs w:val="16"/>
          <w:color w:val="auto"/>
        </w:rPr>
        <w:t>. It is acknowledged that actions required to be taken pursuant to this Agreement may be subject to fiduciary duties or standards of conduct under ERISA, and no party to this Agreement shall be deemed to be in violation of this Agreement if it fails to comply with any provisions hereof based upon its good faith determination that to do so would violate such a fiduciary duty or standard. Each party to this Agreement shall be responsible for taking such actions as are deemed necessary and appropriate to comply with its own fiduciary responsibilities and shall fully release and indemnify the other party hereto for any Liabilities caused by the failure to satisfy any such responsibility.</w:t>
      </w:r>
    </w:p>
    <w:p>
      <w:pPr>
        <w:spacing w:after="0" w:line="158"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Third Party Rights</w:t>
      </w:r>
      <w:r>
        <w:rPr>
          <w:rFonts w:ascii="Arial" w:cs="Arial" w:eastAsia="Arial" w:hAnsi="Arial"/>
          <w:sz w:val="18"/>
          <w:szCs w:val="18"/>
          <w:color w:val="auto"/>
        </w:rPr>
        <w:t>. The provisions of this Agreement are solely for the benefit of the parties hereto (and the other members of the Post Group and the BellRing Group) and nothing in this Agreement, express or implied, is intended to or shall confer upon any other Person or Persons any rights, benefits or remedies of any nature whatsoever under or by reason of this Agreement, including any employee, former employee or service provider (and each of the foregoing Person’s dependents and beneficiaries) of the Post Group, BellRing Inc. or the BellRing Group. Furthermore, nothing in this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94" w:name="page95"/>
    <w:bookmarkEnd w:id="9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is (a) intended to confer upon any employee or former employee of Post, BellRing Inc. or any member of the Post Group or the BellRing Group any right to continued employment, or any recall or similar rights to an individual on layoff or any type of leave, or (b) to be construed to relieve any insurance company of any responsibility for any employee benefit under any Benefit Plan or any other Liability. Nothing in this Agreement is intended as an amendment to any Benefit Plan or employment practice.</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Relation to Other Transaction Documents</w:t>
      </w:r>
      <w:r>
        <w:rPr>
          <w:rFonts w:ascii="Arial" w:cs="Arial" w:eastAsia="Arial" w:hAnsi="Arial"/>
          <w:sz w:val="18"/>
          <w:szCs w:val="18"/>
          <w:color w:val="auto"/>
        </w:rPr>
        <w:t>. In the event of a conflict between this Agreement and the Transaction Agreement, this Agreement shall control. This Agreement, together with the applicable portions of the Transaction Agreement and the Master Services Agreement, constitute the entire agreement between the parties to this Agreement with respect to the subject matter of this Agreement.</w:t>
      </w:r>
    </w:p>
    <w:p>
      <w:pPr>
        <w:spacing w:after="0" w:line="18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This Agreement constitutes an “Ancillary Agreement” as defined by the Transaction Agreement, and any provision of the Transaction Agreement which applies to an Ancillary Agreement shall be deemed to be incorporated herein by reference as though set forth herein, </w:t>
      </w:r>
      <w:r>
        <w:rPr>
          <w:rFonts w:ascii="Arial" w:cs="Arial" w:eastAsia="Arial" w:hAnsi="Arial"/>
          <w:sz w:val="18"/>
          <w:szCs w:val="18"/>
          <w:i w:val="1"/>
          <w:iCs w:val="1"/>
          <w:color w:val="auto"/>
        </w:rPr>
        <w:t>mutatis mutandis</w:t>
      </w:r>
      <w:r>
        <w:rPr>
          <w:rFonts w:ascii="Arial" w:cs="Arial" w:eastAsia="Arial" w:hAnsi="Arial"/>
          <w:sz w:val="18"/>
          <w:szCs w:val="18"/>
          <w:color w:val="auto"/>
        </w:rPr>
        <w:t>, and made a part of this Agreement.</w:t>
      </w:r>
    </w:p>
    <w:p>
      <w:pPr>
        <w:spacing w:after="0" w:line="18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Effective Date of this Agreement</w:t>
      </w:r>
      <w:r>
        <w:rPr>
          <w:rFonts w:ascii="Arial" w:cs="Arial" w:eastAsia="Arial" w:hAnsi="Arial"/>
          <w:sz w:val="18"/>
          <w:szCs w:val="18"/>
          <w:color w:val="auto"/>
        </w:rPr>
        <w:t>. Once executed by Post, BellRing Inc. and BellRing LLC, this Agreement shall be effective upon the Effective Time.</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modified or supplemented except by a written instrument signed by an authorized representative of each of Post, BellRing Inc. and BellRing LLC. Notwithstanding the foregoing, in the event that BellRing Inc. directly or indirectly acquires or creates a subsidiary which is not otherwise a direct or indirect subsidiary of BellRing LLC and which employs employees, the parties to this Agreement agree to re-negotiate this Agreement in good faith in order to, among other items, reflect that BellRing Inc. or such new subsidiary shall be responsible for Liabilities associated with such employees, including but not limited to their (and their dependents’) participation in BellRing Benefit Plans and/or Post Benefit Plans.</w:t>
      </w:r>
    </w:p>
    <w:p>
      <w:pPr>
        <w:spacing w:after="0" w:line="30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17" w:lineRule="exact"/>
        <w:rPr>
          <w:sz w:val="20"/>
          <w:szCs w:val="20"/>
          <w:color w:val="auto"/>
        </w:rPr>
      </w:pPr>
    </w:p>
    <w:p>
      <w:pPr>
        <w:ind w:left="1380" w:hanging="384"/>
        <w:spacing w:after="0"/>
        <w:tabs>
          <w:tab w:leader="none" w:pos="1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Except as provided in subsection (b) below, this Agreement may be terminated only by the mutual consent of each of the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320" w:firstLine="996"/>
        <w:spacing w:after="0" w:line="286" w:lineRule="auto"/>
        <w:tabs>
          <w:tab w:leader="none" w:pos="138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Upon the occurrence of a Change of Control (as defined in this Agreement) of BellRing Inc. or BellRing LLC, or upon the occurrence of a change in control (as defined in the Post Holdings, Inc. 2019 Long-Term Incentive Plan) of Post, Post or its successor, as applicable, shall have the right, upon delivery of written notice to BellRing Inc. and BellRing LLC, to terminate this Agreement.</w:t>
      </w:r>
    </w:p>
    <w:p>
      <w:pPr>
        <w:spacing w:after="0" w:line="16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expressly set forth in this Agreement, the provisions contained in:</w:t>
      </w:r>
    </w:p>
    <w:p>
      <w:pPr>
        <w:spacing w:after="0" w:line="225" w:lineRule="exact"/>
        <w:rPr>
          <w:sz w:val="20"/>
          <w:szCs w:val="20"/>
          <w:color w:val="auto"/>
        </w:rPr>
      </w:pPr>
    </w:p>
    <w:p>
      <w:pPr>
        <w:ind w:right="20" w:firstLine="996"/>
        <w:spacing w:after="0" w:line="312" w:lineRule="auto"/>
        <w:tabs>
          <w:tab w:leader="none" w:pos="137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Sections 2.2(b) (Health and Welfare Liabilities), 3.1(b) (Nonqualified Deferred Compensation Liabilities), 3.2(b)(ii) (Outstanding Post Awards – Potential Later Conversion), 4.1(b) (Canadian Liabilities), 5.1(a), 5.1(c) and 5.1(d) (Certain Benefit and Program Costs), 5.2 (Liabilities), 6.5 (Fiduciary Matters) and 6.6 (No Third-Party Rights) of this Agreement any Liabilities for the breach of any obligations contained herein;</w:t>
      </w:r>
    </w:p>
    <w:p>
      <w:pPr>
        <w:spacing w:after="0" w:line="146" w:lineRule="exact"/>
        <w:rPr>
          <w:rFonts w:ascii="Arial" w:cs="Arial" w:eastAsia="Arial" w:hAnsi="Arial"/>
          <w:sz w:val="16"/>
          <w:szCs w:val="16"/>
          <w:color w:val="auto"/>
        </w:rPr>
      </w:pPr>
    </w:p>
    <w:p>
      <w:pPr>
        <w:ind w:right="240" w:firstLine="996"/>
        <w:spacing w:after="0" w:line="342" w:lineRule="auto"/>
        <w:tabs>
          <w:tab w:leader="none" w:pos="137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Article V (Mutual Releases; Indemnification), Article VIII (Dispute Resolution) and Sections 9.4 (Governing Law), 9.7 (Notices), and 9.17(b) (No Recourse) of the Transaction Agreement incorporated herein by reference (as set forth in Section 6.8 of this Agreement);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95" w:name="page96"/>
    <w:bookmarkEnd w:id="95"/>
    <w:p>
      <w:pPr>
        <w:ind w:firstLine="996"/>
        <w:spacing w:after="0" w:line="277" w:lineRule="auto"/>
        <w:tabs>
          <w:tab w:leader="none" w:pos="1372"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provision of the Transaction Agreement incorporated herein by reference which survives the Formation Transactions and the IPO, or the termination or expiration of the Transaction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survive the termination or expiration of this Agreement and shall remain in full force and effect.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440" w:top="274" w:right="659" w:bottom="1440" w:gutter="0" w:footer="0" w:header="0"/>
        </w:sectPr>
      </w:pPr>
    </w:p>
    <w:bookmarkStart w:id="96" w:name="page97"/>
    <w:bookmarkEnd w:id="96"/>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to this Agreement have caused this Agreement to be signed by their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Diedre J. Gray</w:t>
      </w:r>
    </w:p>
    <w:p>
      <w:pPr>
        <w:spacing w:after="0" w:line="37" w:lineRule="exact"/>
        <w:rPr>
          <w:sz w:val="20"/>
          <w:szCs w:val="20"/>
          <w:color w:val="auto"/>
        </w:rPr>
      </w:pPr>
    </w:p>
    <w:p>
      <w:pPr>
        <w:jc w:val="center"/>
        <w:ind w:left="6420"/>
        <w:spacing w:after="0"/>
        <w:tabs>
          <w:tab w:leader="none" w:pos="1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Darcy Horn Davenport</w:t>
      </w:r>
    </w:p>
    <w:p>
      <w:pPr>
        <w:spacing w:after="0" w:line="3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3700" w:right="880" w:firstLine="2913"/>
        <w:spacing w:after="0" w:line="433" w:lineRule="auto"/>
        <w:rPr>
          <w:sz w:val="20"/>
          <w:szCs w:val="20"/>
          <w:color w:val="auto"/>
        </w:rPr>
      </w:pPr>
      <w:r>
        <w:rPr>
          <w:rFonts w:ascii="Arial" w:cs="Arial" w:eastAsia="Arial" w:hAnsi="Arial"/>
          <w:sz w:val="18"/>
          <w:szCs w:val="18"/>
          <w:color w:val="auto"/>
        </w:rPr>
        <w:t xml:space="preserve">Title: President and Chief Executive Officer </w:t>
      </w:r>
      <w:r>
        <w:rPr>
          <w:rFonts w:ascii="Arial" w:cs="Arial" w:eastAsia="Arial" w:hAnsi="Arial"/>
          <w:sz w:val="18"/>
          <w:szCs w:val="18"/>
          <w:i w:val="1"/>
          <w:iCs w:val="1"/>
          <w:color w:val="auto"/>
        </w:rPr>
        <w:t>[Signature Page to Employee Matters Agreement]</w:t>
      </w:r>
    </w:p>
    <w:p>
      <w:pPr>
        <w:sectPr>
          <w:pgSz w:w="11900" w:h="16838" w:orient="portrait"/>
          <w:cols w:equalWidth="0" w:num="1">
            <w:col w:w="10820"/>
          </w:cols>
          <w:pgMar w:left="440" w:top="270" w:right="6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INVESTOR RIGHTS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October 21, 2019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POST HOLDINGS, INC.</w:t>
      </w:r>
    </w:p>
    <w:p>
      <w:pPr>
        <w:sectPr>
          <w:pgSz w:w="11900" w:h="16838" w:orient="portrait"/>
          <w:cols w:equalWidth="0" w:num="1">
            <w:col w:w="10020"/>
          </w:cols>
          <w:pgMar w:left="1440" w:top="121" w:right="4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6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906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1.02. Other Definitional and Interpretative Provisions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II.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2.01. Demand Registration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2.02. Shelf and Piggyback Registration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2.03. Lock-Up Agreements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2.04. Registration Procedures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2.05. Indemnification by the Company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2.06. Indemnification by Registering Stockholders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2.07. Conduct of Indemnification Proceedings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2.08. Contribution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2.09. Participation in Public Offering</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2.10. Other Indemnification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2.11. Cooperation by the Company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2.12. Transfer of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2.13. Limitations on Subsequent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2.14. Free Writing Prospectuses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2.15. Information from Registering Stockholders; Obligations of Registering Stockholders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III. BOARD OF DIRECTORS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3.01. Board of Directors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3.02. Reduction of Post’s Board and Committee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IV. TERMINATION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4.01. Termination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V. MISCELLANEOUS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5.01. Successors and Assigns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5.02. Notices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5.03. Amendments and Waivers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5.04. Governing Law</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5.05. Jurisdiction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5.06. WAIVER OF JURY TRIAL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5.07. Specific Enforcement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5.08. Counterparts; Effectiveness; Third Party Beneficiaries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5.09. Entire Agreement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5.10. Severability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Joinder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RIGHTS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INVESTOR RIGHTS AGREEMENT dated as of October 21,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BellRing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(iii) other Persons (as defined below) party hereto from time to time.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WHEREAS, the parties hereto are entering into this Agreement to provide (i) certain registration rights under the Securities Act (as defined below) and applicable state securities laws to each Stockholder (as defined below) with respect to Registrable Securities (as defined below) each may hold and (ii) certain governance rights to Post.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117"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4"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Governance Rules</w:t>
      </w:r>
      <w:r>
        <w:rPr>
          <w:rFonts w:ascii="Arial" w:cs="Arial" w:eastAsia="Arial" w:hAnsi="Arial"/>
          <w:sz w:val="18"/>
          <w:szCs w:val="18"/>
          <w:color w:val="auto"/>
        </w:rPr>
        <w:t>” means applicable federal and Delaware laws and the rules of the NYSE relating to the Board and the corporate governance of the Company, including, without limitation, Rule 10A-3 of the Exchange Act and NYSE Rule 303A, in each case, subject to applicable phase-in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Shelf Registration Statement</w:t>
      </w:r>
      <w:r>
        <w:rPr>
          <w:rFonts w:ascii="Arial" w:cs="Arial" w:eastAsia="Arial" w:hAnsi="Arial"/>
          <w:sz w:val="17"/>
          <w:szCs w:val="17"/>
          <w:color w:val="auto"/>
        </w:rPr>
        <w:t>” means an “automatic shelf registration statement” as defined in Rule 405 under the Securities Act.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Agreement</w:t>
      </w:r>
      <w:r>
        <w:rPr>
          <w:rFonts w:ascii="Arial" w:cs="Arial" w:eastAsia="Arial" w:hAnsi="Arial"/>
          <w:sz w:val="18"/>
          <w:szCs w:val="18"/>
          <w:color w:val="auto"/>
        </w:rPr>
        <w:t>” means the Amended and Restated Limited Liability Company Agreement of BellRing LLC, dated as of the date hereof,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Units</w:t>
      </w:r>
      <w:r>
        <w:rPr>
          <w:rFonts w:ascii="Arial" w:cs="Arial" w:eastAsia="Arial" w:hAnsi="Arial"/>
          <w:sz w:val="18"/>
          <w:szCs w:val="18"/>
          <w:color w:val="auto"/>
        </w:rPr>
        <w:t>” means the Nonvoting Common Units of BellRing LLC as defined in the BellRing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ectPr>
          <w:pgSz w:w="11900" w:h="16838" w:orient="portrait"/>
          <w:cols w:equalWidth="0" w:num="1">
            <w:col w:w="10960"/>
          </w:cols>
          <w:pgMar w:left="440" w:top="274" w:right="499" w:bottom="1440" w:gutter="0" w:footer="0" w:header="0"/>
        </w:sectPr>
      </w:pPr>
    </w:p>
    <w:bookmarkStart w:id="100" w:name="page101"/>
    <w:bookmarkEnd w:id="10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modified, supplemented and/or restated from time to time.</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the same may be amended, modified, supplemented and/or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Company.</w:t>
      </w:r>
    </w:p>
    <w:p>
      <w:pPr>
        <w:spacing w:after="0" w:line="225" w:lineRule="exact"/>
        <w:rPr>
          <w:sz w:val="20"/>
          <w:szCs w:val="20"/>
          <w:color w:val="auto"/>
        </w:rPr>
      </w:pPr>
    </w:p>
    <w:p>
      <w:pPr>
        <w:jc w:val="both"/>
        <w:ind w:right="1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Securities</w:t>
      </w:r>
      <w:r>
        <w:rPr>
          <w:rFonts w:ascii="Arial" w:cs="Arial" w:eastAsia="Arial" w:hAnsi="Arial"/>
          <w:sz w:val="16"/>
          <w:szCs w:val="16"/>
          <w:color w:val="auto"/>
        </w:rPr>
        <w:t>” means (i) the Class A Common Stock, (ii) any securities of the Company or any successor or assign of the Company into which such Class A Common Stock is reclassified or reconstituted or into which such Class A Common Stock is converted or otherwise exchanged in connection with a split or combination of shares, recapitalization, merger, sale of assets, consolidation or other reorganization or otherwise or (iii) any securities received as a dividend or a distribution in respect of the securities described in clauses (i) or (ii) above.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under the Securities Act relating to the Registrable Securities included in the applicable Registration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a director who qualifies as an “independent director” of the Company under the NYSE Listed Company Manual.</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means the initial underwritten public offering of the Class A Common Stock of the Company on October 21, 2019.</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 and shall include any successor (by merger or otherwise)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Party</w:t>
      </w:r>
      <w:r>
        <w:rPr>
          <w:rFonts w:ascii="Arial" w:cs="Arial" w:eastAsia="Arial" w:hAnsi="Arial"/>
          <w:sz w:val="18"/>
          <w:szCs w:val="18"/>
          <w:color w:val="auto"/>
        </w:rPr>
        <w:t>” means Post and its Affiliates (other than the Company and its Subsidiaries).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Nominee</w:t>
      </w:r>
      <w:r>
        <w:rPr>
          <w:rFonts w:ascii="Arial" w:cs="Arial" w:eastAsia="Arial" w:hAnsi="Arial"/>
          <w:sz w:val="18"/>
          <w:szCs w:val="18"/>
          <w:color w:val="auto"/>
        </w:rPr>
        <w:t>” means any individual nominated or designated by Post for election or appointment to the Board in accordance with, and subject to the terms and conditions of, Article III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Stockholder</w:t>
      </w:r>
      <w:r>
        <w:rPr>
          <w:rFonts w:ascii="Arial" w:cs="Arial" w:eastAsia="Arial" w:hAnsi="Arial"/>
          <w:sz w:val="18"/>
          <w:szCs w:val="18"/>
          <w:color w:val="auto"/>
        </w:rPr>
        <w:t>” means each Post Party that is a Stockholder.</w:t>
      </w:r>
    </w:p>
    <w:p>
      <w:pPr>
        <w:spacing w:after="0" w:line="225"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 underwritten public offering of Company Securities pursuant to an effective registration statement under the Securities Act, other than pursuant to a registration statement on Form S-4 or Form S-8 or any similar or successor form under the Securities Act.</w:t>
      </w:r>
    </w:p>
    <w:p>
      <w:pPr>
        <w:spacing w:after="0" w:line="12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Stockholder</w:t>
      </w:r>
      <w:r>
        <w:rPr>
          <w:rFonts w:ascii="Arial" w:cs="Arial" w:eastAsia="Arial" w:hAnsi="Arial"/>
          <w:sz w:val="18"/>
          <w:szCs w:val="18"/>
          <w:color w:val="auto"/>
        </w:rPr>
        <w:t>” means, with respect to any Registration Statement, each Stockholder whose Registrable Securities are or are to be registered pursuant to such Registration Statement.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01" w:name="page102"/>
    <w:bookmarkEnd w:id="101"/>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Registrable Class Securities</w:t>
      </w:r>
      <w:r>
        <w:rPr>
          <w:rFonts w:ascii="Arial" w:cs="Arial" w:eastAsia="Arial" w:hAnsi="Arial"/>
          <w:sz w:val="18"/>
          <w:szCs w:val="18"/>
          <w:color w:val="auto"/>
        </w:rPr>
        <w:t>” means the Registrable Securities and any other securities of the Company that are of the same class as the relevant Registrable Securities.</w:t>
      </w:r>
    </w:p>
    <w:p>
      <w:pPr>
        <w:spacing w:after="0" w:line="170" w:lineRule="exact"/>
        <w:rPr>
          <w:sz w:val="20"/>
          <w:szCs w:val="20"/>
          <w:color w:val="auto"/>
        </w:rPr>
      </w:pPr>
    </w:p>
    <w:p>
      <w:pPr>
        <w:ind w:right="160"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at any time, any Company Securities beneficially owned (whether beneficially owned as of the date hereof or hereinafter beneficially owned) by a Stockholder until (i) a registration statement covering such securities has been declared effective by the SEC and such securities have been disposed of pursuant to such effective registration statement, (ii) such securities are sold pursuant to Rule 144 (or any similar provisions then in force) under the Securities Act, (iii) such securities are otherwise transferred, assigned, sold, conveyed or otherwise disposed of and thereafter such securities may be resold without subsequent registration under the Securities Act or (iv) with respect to any such securities held by any single Stockholder (or group of Stockholders that are aggregated for purposes of Rule 144), all of such securities held by any Stockholder or group of Stockholders that are able to be sold in a single transaction pursuant to Rule 144 (or any similar provisions then in force) and such securities of such Stockholder (or group of Stockholders) represent no more than 2.5% of the relevant class of Company Securities.</w:t>
      </w:r>
    </w:p>
    <w:p>
      <w:pPr>
        <w:spacing w:after="0" w:line="166"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incident to the performance of or compliance with any registration or marketing of Registrable Securities, regardless of whether such Registration Statement is declared effective, including all (i) registration and filing fees, and all other fees and expenses payable in connection with the listing of securities on any securities exchange or automated interdealer quotation system, (ii) fees and expenses incurred in complying with any securities or “blue sky” laws (including reasonable fees and disbursements of counsel in connection with “blue sky” qualifications of the Registrable Securities as may be set forth in any underwriting agreement),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 or any special audits incidental to or required by any registration or qualification), (vii) reasonable fees and expenses of any special experts retained by the Company in connection with such registration, (viii) reasonable fees, out-of-pocket costs and expenses of one firm of counsel selected by the holder(s) of a majority of the Registrable Securities covered by each Registration Statement (the “</w:t>
      </w:r>
      <w:r>
        <w:rPr>
          <w:rFonts w:ascii="Arial" w:cs="Arial" w:eastAsia="Arial" w:hAnsi="Arial"/>
          <w:sz w:val="16"/>
          <w:szCs w:val="16"/>
          <w:u w:val="single" w:color="auto"/>
          <w:color w:val="auto"/>
        </w:rPr>
        <w:t>Holders’ Counsel</w:t>
      </w:r>
      <w:r>
        <w:rPr>
          <w:rFonts w:ascii="Arial" w:cs="Arial" w:eastAsia="Arial" w:hAnsi="Arial"/>
          <w:sz w:val="16"/>
          <w:szCs w:val="16"/>
          <w:color w:val="auto"/>
        </w:rPr>
        <w:t>”), (ix) fees and expenses in connection with any review by FINRA of the underwriting arrangements or other terms of the offering, and all fees and expenses of any qualified independent underwriter, including the reasonable fees and expenses of any counsel thereto, (x) fees and disbursements of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w:t>
      </w:r>
    </w:p>
    <w:p>
      <w:pPr>
        <w:spacing w:after="0" w:line="12" w:lineRule="exact"/>
        <w:rPr>
          <w:sz w:val="20"/>
          <w:szCs w:val="20"/>
          <w:color w:val="auto"/>
        </w:rPr>
      </w:pPr>
    </w:p>
    <w:p>
      <w:pPr>
        <w:ind w:right="20" w:firstLine="4"/>
        <w:spacing w:after="0" w:line="255" w:lineRule="auto"/>
        <w:tabs>
          <w:tab w:leader="none" w:pos="3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out-of pocket costs and expenses incurred by the Company or its appropriate officers in connection with their compliance with Section 2.04(m) and (xvi) any liability insurance or other premiums for insurance obtained in connection with any Demand Registration, Piggyback Registration or Shelf Registration pursuant to the terms of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2" w:name="page103"/>
    <w:bookmarkEnd w:id="102"/>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any of the Registrable Securities pursuant to the provisions of this Agreement.</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Stockholder</w:t>
      </w:r>
      <w:r>
        <w:rPr>
          <w:rFonts w:ascii="Arial" w:cs="Arial" w:eastAsia="Arial" w:hAnsi="Arial"/>
          <w:sz w:val="18"/>
          <w:szCs w:val="18"/>
          <w:color w:val="auto"/>
        </w:rPr>
        <w:t>” means, with respect to any Demand Registration or Shelf Registration, any Stockholder holding any Registrable Securities initially making the request for such Demand Registration or Shelf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governmental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collectively, the shares of Class A Common Stock and the share of Class B Common Stock.</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Registered Securities</w:t>
      </w:r>
      <w:r>
        <w:rPr>
          <w:rFonts w:ascii="Arial" w:cs="Arial" w:eastAsia="Arial" w:hAnsi="Arial"/>
          <w:sz w:val="18"/>
          <w:szCs w:val="18"/>
          <w:color w:val="auto"/>
        </w:rPr>
        <w:t>” means any Registrable Securities whose offer and sale is registered pursuant to a Registration Statement filed in connection with a Shelf Registration (including an Automatic Shelf Registration Statement).</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Period</w:t>
      </w:r>
      <w:r>
        <w:rPr>
          <w:rFonts w:ascii="Arial" w:cs="Arial" w:eastAsia="Arial" w:hAnsi="Arial"/>
          <w:sz w:val="18"/>
          <w:szCs w:val="18"/>
          <w:color w:val="auto"/>
        </w:rPr>
        <w:t>” means 90 days; provided that such period may be extended as may be reasonably requested by the managing or co-managing underwriter of a registered offering required hereunder to accommodate regulatory restrictions on (i) the publication or other distribution of research reports and (ii) analyst recommendations and opinions, including, but not limited to, the restrictions contained in FINRA rules or any successor provisions or amendments thereto.</w:t>
      </w:r>
    </w:p>
    <w:p>
      <w:pPr>
        <w:spacing w:after="0" w:line="187" w:lineRule="exact"/>
        <w:rPr>
          <w:sz w:val="20"/>
          <w:szCs w:val="20"/>
          <w:color w:val="auto"/>
        </w:rPr>
      </w:pPr>
    </w:p>
    <w:p>
      <w:pPr>
        <w:jc w:val="both"/>
        <w:ind w:right="5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at any time, each Post Party or any transferee or assignee of a Post Party pursuant to Section 2.12 of this Agreement, beneficially owning Company Securities or BellRing LLC Units that shall be a party to or bound by this Agreement, so long as such Person shall beneficially own any Company Securities or BellRing LLC Units.</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at the time are directly or indirectly owned by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Section</w:t>
            </w:r>
          </w:p>
        </w:tc>
      </w:tr>
      <w:tr>
        <w:trPr>
          <w:trHeight w:val="200"/>
        </w:trPr>
        <w:tc>
          <w:tcPr>
            <w:tcW w:w="3300" w:type="dxa"/>
            <w:vAlign w:val="bottom"/>
            <w:gridSpan w:val="2"/>
          </w:tcPr>
          <w:p>
            <w:pPr>
              <w:spacing w:after="0" w:line="200" w:lineRule="exact"/>
              <w:rPr>
                <w:sz w:val="20"/>
                <w:szCs w:val="20"/>
                <w:color w:val="auto"/>
              </w:rPr>
            </w:pPr>
            <w:r>
              <w:rPr>
                <w:rFonts w:ascii="Arial" w:cs="Arial" w:eastAsia="Arial" w:hAnsi="Arial"/>
                <w:sz w:val="18"/>
                <w:szCs w:val="18"/>
                <w:color w:val="auto"/>
              </w:rPr>
              <w:t>Alternative Transaction</w:t>
            </w:r>
          </w:p>
        </w:tc>
        <w:tc>
          <w:tcPr>
            <w:tcW w:w="2540" w:type="dxa"/>
            <w:vAlign w:val="bottom"/>
          </w:tcPr>
          <w:p>
            <w:pPr>
              <w:spacing w:after="0"/>
              <w:rPr>
                <w:sz w:val="17"/>
                <w:szCs w:val="17"/>
                <w:color w:val="auto"/>
              </w:rPr>
            </w:pPr>
          </w:p>
        </w:tc>
        <w:tc>
          <w:tcPr>
            <w:tcW w:w="1640" w:type="dxa"/>
            <w:vAlign w:val="bottom"/>
          </w:tcPr>
          <w:p>
            <w:pPr>
              <w:jc w:val="right"/>
              <w:spacing w:after="0" w:line="200" w:lineRule="exact"/>
              <w:rPr>
                <w:sz w:val="20"/>
                <w:szCs w:val="20"/>
                <w:color w:val="auto"/>
              </w:rPr>
            </w:pPr>
            <w:r>
              <w:rPr>
                <w:rFonts w:ascii="Arial" w:cs="Arial" w:eastAsia="Arial" w:hAnsi="Arial"/>
                <w:sz w:val="20"/>
                <w:szCs w:val="20"/>
                <w:color w:val="auto"/>
              </w:rPr>
              <w:t>Section 2.02(d)</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Audit Committee Independent Directors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w w:val="99"/>
              </w:rPr>
              <w:t>Section 3.01(a)(iv)</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Committees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3.01(c)</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2.05</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2.01(a)</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2.02(f)</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Holders’ Counsel</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1.01(a)</w:t>
            </w:r>
          </w:p>
        </w:tc>
      </w:tr>
      <w:tr>
        <w:trPr>
          <w:trHeight w:val="230"/>
        </w:trPr>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(Definition of</w:t>
            </w:r>
          </w:p>
        </w:tc>
      </w:tr>
      <w:tr>
        <w:trPr>
          <w:trHeight w:val="230"/>
        </w:trPr>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“Registration</w:t>
            </w:r>
          </w:p>
        </w:tc>
      </w:tr>
      <w:tr>
        <w:trPr>
          <w:trHeight w:val="250"/>
        </w:trPr>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Expenses”)</w:t>
            </w:r>
          </w:p>
        </w:tc>
      </w:tr>
      <w:tr>
        <w:trPr>
          <w:trHeight w:val="361"/>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40" w:type="dxa"/>
            <w:vAlign w:val="bottom"/>
          </w:tcPr>
          <w:p>
            <w:pPr>
              <w:jc w:val="right"/>
              <w:ind w:right="197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7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5600" w:type="dxa"/>
            <w:vAlign w:val="bottom"/>
          </w:tcPr>
          <w:p>
            <w:pPr>
              <w:spacing w:after="0"/>
              <w:rPr>
                <w:sz w:val="16"/>
                <w:szCs w:val="16"/>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Section</w:t>
            </w:r>
          </w:p>
        </w:tc>
      </w:tr>
      <w:tr>
        <w:trPr>
          <w:trHeight w:val="200"/>
        </w:trPr>
        <w:tc>
          <w:tcPr>
            <w:tcW w:w="5920" w:type="dxa"/>
            <w:vAlign w:val="bottom"/>
            <w:gridSpan w:val="2"/>
          </w:tcPr>
          <w:p>
            <w:pPr>
              <w:spacing w:after="0" w:line="200" w:lineRule="exact"/>
              <w:rPr>
                <w:sz w:val="20"/>
                <w:szCs w:val="20"/>
                <w:color w:val="auto"/>
              </w:rPr>
            </w:pPr>
            <w:r>
              <w:rPr>
                <w:rFonts w:ascii="Arial" w:cs="Arial" w:eastAsia="Arial" w:hAnsi="Arial"/>
                <w:sz w:val="18"/>
                <w:szCs w:val="18"/>
                <w:color w:val="auto"/>
              </w:rPr>
              <w:t>Indemnified Party</w:t>
            </w:r>
          </w:p>
        </w:tc>
        <w:tc>
          <w:tcPr>
            <w:tcW w:w="1560" w:type="dxa"/>
            <w:vAlign w:val="bottom"/>
          </w:tcPr>
          <w:p>
            <w:pPr>
              <w:jc w:val="right"/>
              <w:spacing w:after="0" w:line="200" w:lineRule="exact"/>
              <w:rPr>
                <w:sz w:val="20"/>
                <w:szCs w:val="20"/>
                <w:color w:val="auto"/>
              </w:rPr>
            </w:pPr>
            <w:r>
              <w:rPr>
                <w:rFonts w:ascii="Arial" w:cs="Arial" w:eastAsia="Arial" w:hAnsi="Arial"/>
                <w:sz w:val="20"/>
                <w:szCs w:val="20"/>
                <w:color w:val="auto"/>
              </w:rPr>
              <w:t>Section 2.07</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2.07</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2.04(g)</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Issuer Free Writing Prospectus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2.14</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2.01(d)</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2.02(h)(i)</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Post</w:t>
            </w:r>
          </w:p>
        </w:tc>
        <w:tc>
          <w:tcPr>
            <w:tcW w:w="156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Records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2.04(g)</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Registration Actions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Requested Shelf Registered Securities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Request</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Requesting Stockholder</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2.02(a)</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Stockholder Parties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2.05</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Suspension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color w:val="auto"/>
              </w:rPr>
              <w:t>Well-Known Seasoned Issuer</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2.02(f)</w:t>
            </w:r>
          </w:p>
        </w:tc>
      </w:tr>
    </w:tbl>
    <w:p>
      <w:pPr>
        <w:spacing w:after="0" w:line="19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laws, rules, regulations and forms shall be deemed to be references to such laws, rules, regulations and forms as amended, succeeded or replaced.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Demand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444"/>
        <w:spacing w:after="0" w:line="257"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any time following the Initial Public Offering, any Stockholder may give a written request to the Company to effect the registration under the Securities Act (other than pursuant to a registration statement on Form S-4 or Form S-8 or any similar or successor form under the Securities Act) of all or any portion of such Requesting Stockholder’s Registrable Securities, which written request shall specify the number of Registrable Securities to be registered and the intended method of disposition thereof. Such registration may be for the offering of the Stockholder’s Registrable Securities on a delayed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104" w:name="page105"/>
    <w:bookmarkEnd w:id="104"/>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continuous basis under Rule 415 under the Securities Act. At any time the Company is eligible to use Form S-3ASR, such registration shall occur on such form. Upon the receipt of such written request, the Company shall promptly give notice (via electronic transmission) of such requested registration (each such registration shall be referred to herein as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at least 10 Business Days prior to the anticipated filing date of the Registration Statement relating to such Demand Registration to any other Stockholders. Thereafter, the Company shall use its commercially reasonable efforts to effect, as soon as possible, the registration under the Securities Act of:</w:t>
      </w:r>
    </w:p>
    <w:p>
      <w:pPr>
        <w:spacing w:after="0" w:line="64" w:lineRule="exact"/>
        <w:rPr>
          <w:sz w:val="20"/>
          <w:szCs w:val="20"/>
          <w:color w:val="auto"/>
        </w:rPr>
      </w:pPr>
    </w:p>
    <w:p>
      <w:pPr>
        <w:ind w:left="1080" w:hanging="21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Registrable Securities for which the Requesting Stockholder has requested registration under this Section 2.01;</w:t>
      </w:r>
    </w:p>
    <w:p>
      <w:pPr>
        <w:spacing w:after="0" w:line="117" w:lineRule="exact"/>
        <w:rPr>
          <w:rFonts w:ascii="Arial" w:cs="Arial" w:eastAsia="Arial" w:hAnsi="Arial"/>
          <w:sz w:val="18"/>
          <w:szCs w:val="18"/>
          <w:color w:val="auto"/>
        </w:rPr>
      </w:pPr>
    </w:p>
    <w:p>
      <w:pPr>
        <w:ind w:left="440" w:right="340" w:firstLine="428"/>
        <w:spacing w:after="0" w:line="264" w:lineRule="auto"/>
        <w:tabs>
          <w:tab w:leader="none" w:pos="11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or series as those requested to be registered by the Requesting Stockholder that any other Stockholder has requested the Company register by request received by the Company and Post within 10 Business Days after such Stockholders receive the Company’s notice of the Demand Registration; and</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Company Securities to be offered or sold by the Company;</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to the extent necessary to permit the disposition (in accordance with the intended methods thereof as described in the Requesting Stockholder’s written request) of the Registrable Securities so to be registered; provided that the Company shall not be obligated to effect (1) any such Demand Registration (i) within the Specified Period after the effective date of any other registration statement of the Company in connection with which Stockholders were given Piggyback Registration rights (other than a registration statement filed in connection with an employee benefit plan or business combination transaction or a registration statement on Form S-8 or Form S-4) or (ii) in accordance with Section 2.01(e), or (2) any Demand Registration if the aggregate proceeds expected to be received from the sale of the Registrable Securities requested to be included in such Demand Registration is less than $25,000,000. A Requesting Stockholder may require any Demand Registration that involves a Public Offering of at least $25,000,000 to be conducted as an underwritten offering. Notwithstanding the foregoing, a Requesting Stockholder may request that a Demand Registration take the form of a primary offering by the Company of a number of shares of Class A Common Stock, the net proceeds of which shall be used by the Company and BellRing LLC, pursuant to and subject to the terms and conditions of the BellRing LLC Agreement, to acquire for cash the same number of BellRing LLC Units, in which case, (i) the Demand Registration shall cover the primary sale of the number of shares of Class A Common Stock requested by the Requesting Stockholder, (ii) the Requesting Stockholder shall exercise its right, pursuant to Article IX of the BellRing LLC Agreement, to submit for redemption, as provided under and subject to the terms and conditions of the BellRing LLC Agreement, the number of BellRing LLC Units that is equal to the number of shares of Class A Common Stock sold in such Public Offering, contingent on (among other things) the closing of such Public Offering and receipt by the Company of net proceeds therefrom, (iii) upon the Company’s receipt of the net proceeds from such Public Offering, BellRing LLC shall elect, pursuant to Article IX of the BellRing LLC Agreement, to acquire from the Requesting Stockholder the number of BellRing LLC Units equal to the number of shares of Class A Common Stock sold pursuant to such Public Offering in exchange for such net proceeds and (iv) except where the context otherwise requires, references to “Registrable Securities” with respect to such Demand Registration shall be to such shares of Class A Common Stock requested to be offered in such Public Offering.</w:t>
      </w:r>
    </w:p>
    <w:p>
      <w:pPr>
        <w:spacing w:after="0" w:line="62" w:lineRule="exact"/>
        <w:rPr>
          <w:sz w:val="20"/>
          <w:szCs w:val="20"/>
          <w:color w:val="auto"/>
        </w:rPr>
      </w:pPr>
    </w:p>
    <w:p>
      <w:pPr>
        <w:ind w:right="240" w:firstLine="444"/>
        <w:spacing w:after="0" w:line="286" w:lineRule="auto"/>
        <w:tabs>
          <w:tab w:leader="none" w:pos="69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Demand Registration, the Requesting Stockholder may, upon notice to the Company, revoke such request in whole or in part with respect to the number of shares of Registrable Securities requested to be included in such Registration Statement, without liability to any of the other Registering Stockholders.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5" w:name="page106"/>
    <w:bookmarkEnd w:id="105"/>
    <w:p>
      <w:pPr>
        <w:ind w:right="240" w:firstLine="444"/>
        <w:spacing w:after="0" w:line="277"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be liable for and pay all Registration Expenses in connection with any Demand Registration, regardless of whether such Demand Registration becomes effective.</w:t>
      </w:r>
    </w:p>
    <w:p>
      <w:pPr>
        <w:spacing w:after="0" w:line="62" w:lineRule="exact"/>
        <w:rPr>
          <w:rFonts w:ascii="Arial" w:cs="Arial" w:eastAsia="Arial" w:hAnsi="Arial"/>
          <w:sz w:val="18"/>
          <w:szCs w:val="18"/>
          <w:color w:val="auto"/>
        </w:rPr>
      </w:pPr>
    </w:p>
    <w:p>
      <w:pPr>
        <w:ind w:right="80" w:firstLine="444"/>
        <w:spacing w:after="0" w:line="276" w:lineRule="auto"/>
        <w:tabs>
          <w:tab w:leader="none" w:pos="6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 Demand Registration involves a Public Offering and the lead managing underwriter advises the Company and the Requesting Stockholder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 material and adverse effect on such offering, including the price at which such shares can be sold (the “</w:t>
      </w:r>
      <w:r>
        <w:rPr>
          <w:rFonts w:ascii="Arial" w:cs="Arial" w:eastAsia="Arial" w:hAnsi="Arial"/>
          <w:sz w:val="17"/>
          <w:szCs w:val="17"/>
          <w:u w:val="single" w:color="auto"/>
          <w:color w:val="auto"/>
        </w:rPr>
        <w:t>Maximum Offering Size</w:t>
      </w:r>
      <w:r>
        <w:rPr>
          <w:rFonts w:ascii="Arial" w:cs="Arial" w:eastAsia="Arial" w:hAnsi="Arial"/>
          <w:sz w:val="17"/>
          <w:szCs w:val="17"/>
          <w:color w:val="auto"/>
        </w:rPr>
        <w:t>”), the Company shall include in such registration, in the priority listed below, up to the Maximum Offering Size:</w:t>
      </w:r>
    </w:p>
    <w:p>
      <w:pPr>
        <w:spacing w:after="0" w:line="64" w:lineRule="exact"/>
        <w:rPr>
          <w:rFonts w:ascii="Arial" w:cs="Arial" w:eastAsia="Arial" w:hAnsi="Arial"/>
          <w:sz w:val="17"/>
          <w:szCs w:val="17"/>
          <w:color w:val="auto"/>
        </w:rPr>
      </w:pPr>
    </w:p>
    <w:p>
      <w:pPr>
        <w:ind w:left="440" w:right="200" w:firstLine="428"/>
        <w:spacing w:after="0" w:line="264" w:lineRule="auto"/>
        <w:tabs>
          <w:tab w:leader="none" w:pos="107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first, all Registrable Securities requested to be registered by the Requesting Stockholder and all other Registering Stockholders pro rata on the basis of the relative number of shares of Registrable Securities so requested to be included in such registration by each such Registering Stockholder;</w:t>
      </w:r>
    </w:p>
    <w:p>
      <w:pPr>
        <w:spacing w:after="0" w:line="73" w:lineRule="exact"/>
        <w:rPr>
          <w:rFonts w:ascii="Arial" w:cs="Arial" w:eastAsia="Arial" w:hAnsi="Arial"/>
          <w:sz w:val="18"/>
          <w:szCs w:val="18"/>
          <w:color w:val="auto"/>
        </w:rPr>
      </w:pPr>
    </w:p>
    <w:p>
      <w:pPr>
        <w:ind w:left="1140" w:hanging="272"/>
        <w:spacing w:after="0"/>
        <w:tabs>
          <w:tab w:leader="none" w:pos="11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and</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7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62" w:lineRule="exact"/>
        <w:rPr>
          <w:rFonts w:ascii="Arial" w:cs="Arial" w:eastAsia="Arial" w:hAnsi="Arial"/>
          <w:sz w:val="18"/>
          <w:szCs w:val="18"/>
          <w:color w:val="auto"/>
        </w:rPr>
      </w:pPr>
    </w:p>
    <w:p>
      <w:pPr>
        <w:ind w:right="20" w:firstLine="444"/>
        <w:spacing w:after="0" w:line="286" w:lineRule="auto"/>
        <w:tabs>
          <w:tab w:leader="none" w:pos="6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but subject to the limitation set forth in the next succeeding paragraph, the Company shall be entitled to suspend its obligation to file (but not the preparation of) any Registration Statement in connection with a Demand Registration and any Shelf Registration, file any amendment to such a Registration Statement, furnish any supplement or amendment to a prospectus included in such a Registration Statement, make any other filing with the SEC, cause such a Registration Statement or other filing with the SEC to become or remain effective or take any similar action (collectively, “</w:t>
      </w:r>
      <w:r>
        <w:rPr>
          <w:rFonts w:ascii="Arial" w:cs="Arial" w:eastAsia="Arial" w:hAnsi="Arial"/>
          <w:sz w:val="16"/>
          <w:szCs w:val="16"/>
          <w:u w:val="single" w:color="auto"/>
          <w:color w:val="auto"/>
        </w:rPr>
        <w:t>Registration Actions</w:t>
      </w:r>
      <w:r>
        <w:rPr>
          <w:rFonts w:ascii="Arial" w:cs="Arial" w:eastAsia="Arial" w:hAnsi="Arial"/>
          <w:sz w:val="16"/>
          <w:szCs w:val="16"/>
          <w:color w:val="auto"/>
        </w:rPr>
        <w:t>”) upon (i) the issuance by the SEC of a stop order suspending the effectiveness of any such Registration Statement or the initiation of proceedings with respect to such a Registration Statement under Section 8(d) or Section 8(e) of the Securities Act, (ii) the Board’s determination, in its good faith judgment, that any such Registration Action should not be taken because it would reasonably be expected to materially interfere with or require the public disclosure of any material corporate development or plan, including any material financing, securities offering, acquisition, disposition, corporate reorganization or merger or other transaction involving the Company or any of its Subsidiaries or (iii) the Company possessing material non-public information the disclosure of which the Board determines, in its good faith judgment, would reasonably be expected to not be in the best interests of the Company. Upon the occurrence of any of the conditions described in (i), (ii) or (iii) above, the Company shall give prompt notice of such suspension (and whether such action is being taken pursuant to (i), (ii) or (iii) above)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to the Stockholders. Upon the termination of such condition, the Company shall give prompt notice thereof to the Stockholders and shall promptly proceed with all Registration Actions that were suspended pursuant to this paragraph.</w:t>
      </w:r>
    </w:p>
    <w:p>
      <w:pPr>
        <w:spacing w:after="0" w:line="17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may only suspend Registration Actions pursuant to the preceding paragraph on two occasions during any one-year period for a reasonable time specified in the Suspension Notice but not exceeding an aggregate of 90 days (which period may not be extended or renewed) (each such occasion, a “</w:t>
      </w:r>
      <w:r>
        <w:rPr>
          <w:rFonts w:ascii="Arial" w:cs="Arial" w:eastAsia="Arial" w:hAnsi="Arial"/>
          <w:sz w:val="18"/>
          <w:szCs w:val="18"/>
          <w:u w:val="single" w:color="auto"/>
          <w:color w:val="auto"/>
        </w:rPr>
        <w:t>Suspension Period</w:t>
      </w:r>
      <w:r>
        <w:rPr>
          <w:rFonts w:ascii="Arial" w:cs="Arial" w:eastAsia="Arial" w:hAnsi="Arial"/>
          <w:sz w:val="18"/>
          <w:szCs w:val="18"/>
          <w:color w:val="auto"/>
        </w:rPr>
        <w:t>”). Each Suspension Period shall be deemed to begin on the date the relevant Suspension Notice is given to the Stockholders and shall be deemed to end on the earlier to occur of (i) the date on which the Company gives the Stockholders a notice that the Suspension Period has terminated and (ii) the date on which the number of days during which a Suspension Period has been in effect exceeds the 90-day period. If the filing of any Demand Registration or Shelf Registration is suspended pursuant to this Section 2.01(e), once the Suspension Period ends, the Requesting Stockholder may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6" w:name="page107"/>
    <w:bookmarkEnd w:id="106"/>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a new Demand Registration and a Stockholder that requested a Shelf Registration may request a new Shelf Registration. Notwithstanding anything to the contrary in this Agreement, the Company shall not be in breach of, or have failed to comply with, any obligation under this Agreement (including without limitation obligations under this Section 2.01(e)) where the Company acts or omits to take any action in order to comply with applicable law, any interpretation of the staff of the SEC or any order or decree of any court or governmental agency.</w:t>
      </w:r>
    </w:p>
    <w:p>
      <w:pPr>
        <w:spacing w:after="0" w:line="63" w:lineRule="exact"/>
        <w:rPr>
          <w:sz w:val="20"/>
          <w:szCs w:val="20"/>
          <w:color w:val="auto"/>
        </w:rPr>
      </w:pPr>
    </w:p>
    <w:p>
      <w:pPr>
        <w:ind w:right="60" w:firstLine="444"/>
        <w:spacing w:after="0" w:line="286" w:lineRule="auto"/>
        <w:tabs>
          <w:tab w:leader="none" w:pos="66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 shall have no obligation to file a Registration Statement under this Section 2.01 or Section 2.02 or proceed with Registration Actions related thereto during any time such filing or Registration Actions are prohibited by any applicable underwriting or lock-up agreement to which the Company is a party relating to the Initial Public Offering or an offering pursuant to a Registration Statement.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Shelf and Piggyback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firstLine="444"/>
        <w:spacing w:after="0" w:line="282" w:lineRule="auto"/>
        <w:tabs>
          <w:tab w:leader="none" w:pos="68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At any time when (i) the Company is eligible to use Form S-3 in connection with a secondary public offering of its equity securities and (ii) a Shelf Registration on a Form S-3 registering Registrable Securities for resale is not then effective (subject to any applicable Suspension Period), upon the written request of any Stockholder, the Company shall use its commercially reasonable efforts to register, under the Securities Act on Form S-3 for an offering on a delayed or continuous basis pursuant to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offer and sale of all or a portion of the Registrable Securities owned by such Requesting Stockholder. Upon the receipt of such written request, the Company shall promptly give notice (via electronic transmission) of such requested Shelf Registration at least 10 Business Days prior to the anticipated filing date of such Shelf Registration to any Stockholders, and such notice shall describe the proposed Shelf Registration, the intended method of disposition of such Registrable Securities and any other information that at the time would be appropriate to include in such notice, and offer such Stockholders the opportunity to register such number of Registrable Securities as each such Stockholder may request in writing to the Company, given within 10 Business Days after such Stockholders receive the Company’s notice of the Shelf Registration. The “Plan of Distribution” section of such Shelf Registration shall permit all lawful means of disposition of Registrable Securities, including firm-commitment underwritten public offerings, block trades, agented transactions, sales directly into the market, purchases or sales by brokers and sales not involving a public offering. With respect to each Shelf Registration, the Company shall, subject to any Suspension Period, (i) as promptly as practicable after the written request of the Requesting Stockholder, file a Registration Statement and (ii) use its commercially reasonable efforts to cause such Registration Statement to be declared effective as promptly as practicable, and remain effective until the date set forth in Section 2.04(a)(ii). No Stockholder shall be entitled to include any of its Registrable Securities in a Shelf Registration unless such Stockholder has complied with Section 2.15. The Company shall not be required to amend a Shelf Registration (or the related prospectus) to add or change the disclosure regarding selling security holders during any Suspension Period. The obligations set forth in this</w:t>
      </w:r>
    </w:p>
    <w:p>
      <w:pPr>
        <w:spacing w:after="0" w:line="1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2.02(a) shall not apply if the Company has a currently effective Automatic Shelf Registration Statement covering all Registrable Securities in accordance with Section 2.02(f) and has otherwise complied with its obligations pursuant to this Agreement.</w:t>
      </w:r>
    </w:p>
    <w:p>
      <w:pPr>
        <w:spacing w:after="0" w:line="75" w:lineRule="exact"/>
        <w:rPr>
          <w:rFonts w:ascii="Arial" w:cs="Arial" w:eastAsia="Arial" w:hAnsi="Arial"/>
          <w:sz w:val="16"/>
          <w:szCs w:val="16"/>
          <w:color w:val="auto"/>
        </w:rPr>
      </w:pPr>
    </w:p>
    <w:p>
      <w:pPr>
        <w:ind w:right="200" w:firstLine="444"/>
        <w:spacing w:after="0" w:line="297" w:lineRule="auto"/>
        <w:tabs>
          <w:tab w:leader="none" w:pos="69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written request by a Requesting Stockholder holding Shelf Registered Securities (such Stockholder, the “</w:t>
      </w:r>
      <w:r>
        <w:rPr>
          <w:rFonts w:ascii="Arial" w:cs="Arial" w:eastAsia="Arial" w:hAnsi="Arial"/>
          <w:sz w:val="16"/>
          <w:szCs w:val="16"/>
          <w:u w:val="single" w:color="auto"/>
          <w:color w:val="auto"/>
        </w:rPr>
        <w:t>Shelf Public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Requesting Stockholder</w:t>
      </w:r>
      <w:r>
        <w:rPr>
          <w:rFonts w:ascii="Arial" w:cs="Arial" w:eastAsia="Arial" w:hAnsi="Arial"/>
          <w:sz w:val="16"/>
          <w:szCs w:val="16"/>
          <w:color w:val="auto"/>
        </w:rPr>
        <w:t>”), which request (the “</w:t>
      </w:r>
      <w:r>
        <w:rPr>
          <w:rFonts w:ascii="Arial" w:cs="Arial" w:eastAsia="Arial" w:hAnsi="Arial"/>
          <w:sz w:val="16"/>
          <w:szCs w:val="16"/>
          <w:u w:val="single" w:color="auto"/>
          <w:color w:val="auto"/>
        </w:rPr>
        <w:t>Shelf Public Offering Request</w:t>
      </w:r>
      <w:r>
        <w:rPr>
          <w:rFonts w:ascii="Arial" w:cs="Arial" w:eastAsia="Arial" w:hAnsi="Arial"/>
          <w:sz w:val="16"/>
          <w:szCs w:val="16"/>
          <w:color w:val="auto"/>
        </w:rPr>
        <w:t>”) shall specify the class or series and amount of such Shelf Public Offering Requesting Stockholder’s Shelf Registered Securities to be sold (the “</w:t>
      </w:r>
      <w:r>
        <w:rPr>
          <w:rFonts w:ascii="Arial" w:cs="Arial" w:eastAsia="Arial" w:hAnsi="Arial"/>
          <w:sz w:val="16"/>
          <w:szCs w:val="16"/>
          <w:u w:val="single" w:color="auto"/>
          <w:color w:val="auto"/>
        </w:rPr>
        <w:t>Requested Shelf Registered Securities</w:t>
      </w:r>
      <w:r>
        <w:rPr>
          <w:rFonts w:ascii="Arial" w:cs="Arial" w:eastAsia="Arial" w:hAnsi="Arial"/>
          <w:sz w:val="16"/>
          <w:szCs w:val="16"/>
          <w:color w:val="auto"/>
        </w:rPr>
        <w:t>”), the Company shall (subject to any Suspension Period) perform its obligations hereunder with respect to the sale of such Requested Shelf Registered Securities in the form of a firm commitment underwritten public offering (unless otherwise consented to by the Shelf Public Offering Requesting Stockholder) (a “</w:t>
      </w:r>
      <w:r>
        <w:rPr>
          <w:rFonts w:ascii="Arial" w:cs="Arial" w:eastAsia="Arial" w:hAnsi="Arial"/>
          <w:sz w:val="16"/>
          <w:szCs w:val="16"/>
          <w:u w:val="single" w:color="auto"/>
          <w:color w:val="auto"/>
        </w:rPr>
        <w:t>Shelf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Offering</w:t>
      </w:r>
      <w:r>
        <w:rPr>
          <w:rFonts w:ascii="Arial" w:cs="Arial" w:eastAsia="Arial" w:hAnsi="Arial"/>
          <w:sz w:val="17"/>
          <w:szCs w:val="17"/>
          <w:color w:val="auto"/>
        </w:rPr>
        <w:t>”) if the aggregate proceeds expected to be received from the sale of the Requested Shelf Registered Securities equals or exceeds</w:t>
      </w:r>
    </w:p>
    <w:p>
      <w:pPr>
        <w:spacing w:after="0" w:line="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$25,000,000. Promptly upon receipt of a Shelf Public Offering Request, the Company shall provide notice (the “</w:t>
      </w:r>
      <w:r>
        <w:rPr>
          <w:rFonts w:ascii="Arial" w:cs="Arial" w:eastAsia="Arial" w:hAnsi="Arial"/>
          <w:sz w:val="16"/>
          <w:szCs w:val="16"/>
          <w:u w:val="single" w:color="auto"/>
          <w:color w:val="auto"/>
        </w:rPr>
        <w:t>Shelf Public Offering Notice</w:t>
      </w:r>
      <w:r>
        <w:rPr>
          <w:rFonts w:ascii="Arial" w:cs="Arial" w:eastAsia="Arial" w:hAnsi="Arial"/>
          <w:sz w:val="16"/>
          <w:szCs w:val="16"/>
          <w:color w:val="auto"/>
        </w:rPr>
        <w:t>”) of such proposed Shelf Public Offering (which notice shall state the material terms of such proposed Shelf Public Offering, to the extent known, as well as the identity of the Shelf Public Offering Requesting Stockholder) to any other Stockholders holding Shelf Registered Securities. Such other Stockholders may, by written request to the Company and the Shelf Public Offering Requesting Stockholder, within two Business Days after receipt of such Shelf Public Offering Notice, include up to all of their Shelf Registered Securities of the same class or series as the Requested Shelf Registered Securities in such proposed Shelf Public Offering; provided, that any such Shelf Registered Securities shall be sold subject to the same terms as are applicable to the Shelf Registered Securities of the Shelf Public Offering Requesting Stockholder. No Stockholder shall be entitled to include any of its Registrable Securities in a Shelf Public Offering unless such Stockholder has complied with Section 2.15. The lead managing underwriter or underwriters selected for such Shelf Public Offering shall be selected in accordance with Section 2.04(f)(i).</w:t>
      </w:r>
    </w:p>
    <w:p>
      <w:pPr>
        <w:spacing w:after="0" w:line="58" w:lineRule="exact"/>
        <w:rPr>
          <w:sz w:val="20"/>
          <w:szCs w:val="20"/>
          <w:color w:val="auto"/>
        </w:rPr>
      </w:pPr>
    </w:p>
    <w:p>
      <w:pPr>
        <w:ind w:right="140" w:firstLine="444"/>
        <w:spacing w:after="0" w:line="259" w:lineRule="auto"/>
        <w:tabs>
          <w:tab w:leader="none" w:pos="6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 Shelf Public Offering, if the lead managing underwriter advises the Company and the Shelf Public Offering Requesting Stockholder that, in its view, the number of shares of Registrable Securities requested to be included in such Shelf Public Offering (including any securities that the Company proposes to be included that are not Registrable Securities) exceeds the Maximum Offering Size, the Company shall include in such Shelf Public Offering, in the priority listed below, up to the Maximum Offering Size:</w:t>
      </w:r>
    </w:p>
    <w:p>
      <w:pPr>
        <w:spacing w:after="0" w:line="78" w:lineRule="exact"/>
        <w:rPr>
          <w:rFonts w:ascii="Arial" w:cs="Arial" w:eastAsia="Arial" w:hAnsi="Arial"/>
          <w:sz w:val="18"/>
          <w:szCs w:val="18"/>
          <w:color w:val="auto"/>
        </w:rPr>
      </w:pPr>
    </w:p>
    <w:p>
      <w:pPr>
        <w:ind w:left="440" w:right="380" w:firstLine="428"/>
        <w:spacing w:after="0" w:line="264" w:lineRule="auto"/>
        <w:tabs>
          <w:tab w:leader="none" w:pos="10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first, all Shelf Registered Securities requested to be included in the Shelf Public Offering by the Shelf Public Offering Requesting Stockholder and all other Stockholders, pro rata on the basis of the relative number of shares of Shelf Registered Securities so requested to be included in the Shelf Public Offering by each such Stockholder;</w:t>
      </w:r>
    </w:p>
    <w:p>
      <w:pPr>
        <w:spacing w:after="0" w:line="73" w:lineRule="exact"/>
        <w:rPr>
          <w:rFonts w:ascii="Arial" w:cs="Arial" w:eastAsia="Arial" w:hAnsi="Arial"/>
          <w:sz w:val="18"/>
          <w:szCs w:val="18"/>
          <w:color w:val="auto"/>
        </w:rPr>
      </w:pPr>
    </w:p>
    <w:p>
      <w:pPr>
        <w:ind w:left="1140" w:hanging="272"/>
        <w:spacing w:after="0"/>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second, any securities proposed to be included in the Shelf Public Offering by the Company; and</w:t>
      </w:r>
    </w:p>
    <w:p>
      <w:pPr>
        <w:spacing w:after="0" w:line="117" w:lineRule="exact"/>
        <w:rPr>
          <w:rFonts w:ascii="Arial" w:cs="Arial" w:eastAsia="Arial" w:hAnsi="Arial"/>
          <w:sz w:val="18"/>
          <w:szCs w:val="18"/>
          <w:color w:val="auto"/>
        </w:rPr>
      </w:pPr>
    </w:p>
    <w:p>
      <w:pPr>
        <w:ind w:left="440" w:right="480" w:firstLine="428"/>
        <w:spacing w:after="0" w:line="277" w:lineRule="auto"/>
        <w:tabs>
          <w:tab w:leader="none" w:pos="11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third, any securities proposed to be included in the Shelf Public Offering for the account of any other Persons, with such priorities among them as the Company shall determine.</w:t>
      </w:r>
    </w:p>
    <w:p>
      <w:pPr>
        <w:spacing w:after="0" w:line="62" w:lineRule="exact"/>
        <w:rPr>
          <w:rFonts w:ascii="Arial" w:cs="Arial" w:eastAsia="Arial" w:hAnsi="Arial"/>
          <w:sz w:val="18"/>
          <w:szCs w:val="18"/>
          <w:color w:val="auto"/>
        </w:rPr>
      </w:pPr>
    </w:p>
    <w:p>
      <w:pPr>
        <w:ind w:firstLine="444"/>
        <w:spacing w:after="0" w:line="288" w:lineRule="auto"/>
        <w:tabs>
          <w:tab w:leader="none" w:pos="69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cooperate in a timely manner with any request of the Stockholders in respect of any block trade, hedging transaction or other transaction that is registered pursuant to a Shelf Registration that is not a firm commitment underwritten offering (each, an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including, without limitation, entering into customary agreements with respect to such Alternative Transactions (and providing customary representations, warranties, covenants and indemnities in such agreements) as well as providing other reasonable assistance in respect of such Alternative Transactions of the type applicable to a Public Offering subject to Section 2.04, to the extent customary for such transactions. The Company shall bear all Registration Expenses in connection with any Shelf Registration, any Shelf Public Offering or any other transaction (including any Alternative Transaction) registered under a Shelf Registration pursuant to this Section 2.02, whether or not such Shelf Registration becomes effective or such Shelf Public Offering or other transaction is completed; provided, however, that if the Shelf Public Offering Requesting Stockholder revokes its request in whole with respect to a Shelf Public Offering, then the Shelf Public Offering Requesting Stockholder shall reimburse the Company for and/or pay directly all Registration Expenses incurred relating to such Shelf Public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8" w:name="page109"/>
    <w:bookmarkEnd w:id="108"/>
    <w:p>
      <w:pPr>
        <w:ind w:left="-40" w:right="100" w:firstLine="444"/>
        <w:spacing w:after="0" w:line="272" w:lineRule="auto"/>
        <w:tabs>
          <w:tab w:leader="none" w:pos="645"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Registration Statement with respect to a Shelf Registration is declared effective but subject to the Suspension Period, upon written request by one or more Stockholders (which written request shall specify the amount of such Stockholders’ Registrable Securities to be registered), the Company shall, as promptly as practicable after receiving such request, (i) if it is eligible for use of Form S-3 in connection with a secondary public offering of its equity securities, or if such Registration Statement is an Automatic Shelf Registration Statement, file a prospectus supplement to include such Stockholders as selling stockholders in such Registration Statement or (ii) if it is not eligible for use of Form S-3 in connection with a secondary public offering of its equity securities, file a post-effective amendment to the Registration Statement to include such Stockholders in such Shelf Registration and use commercially reasonable efforts to have such post-effective amendment declared effective.</w:t>
      </w:r>
    </w:p>
    <w:p>
      <w:pPr>
        <w:spacing w:after="0" w:line="69" w:lineRule="exact"/>
        <w:rPr>
          <w:rFonts w:ascii="Arial" w:cs="Arial" w:eastAsia="Arial" w:hAnsi="Arial"/>
          <w:sz w:val="17"/>
          <w:szCs w:val="17"/>
          <w:color w:val="auto"/>
        </w:rPr>
      </w:pPr>
    </w:p>
    <w:p>
      <w:pPr>
        <w:ind w:left="-40" w:right="20" w:firstLine="444"/>
        <w:spacing w:after="0" w:line="285" w:lineRule="auto"/>
        <w:tabs>
          <w:tab w:leader="none" w:pos="62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the Company becoming aware that it is a “</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(as defined in Rule 405 under the Securities Act), (i) the Company shall give written notice to all of the Stockholders as promptly as practicable but in no event later than 10 Business Days thereafter, and such notice shall describe, in reasonable detail, the basis on which the Company has become a Well-Known Seasoned Issuer, and (ii) the Company shall, as promptly as practicable and subject to any Suspension Period, register, under an Automatic Shelf Registration Statement, the sale of all of the Registrable Securities in accordance with the terms of this Agreement. The Company shall use its commercially reasonable efforts to file such Automatic Shelf Registration Statement as promptly as practicable, but in no event later than 20 Business Days after it becomes a Well-Known Seasoned Issuer, and to cause such Automatic Shelf Registration Statement to remain effective thereafter until the date set forth in Section 2.04(a)(ii). The Company shall give written notice of filing such Registration Statement to all of the Stockholders as promptly as practicable thereafter. The Company shall not be required to include any Stockholder as a selling stockholder in any Registration Statement or prospectus unless such Stockholder has complied with Section 2.15. At any time after the filing of an Automatic Shelf Registration Statement by the Company, if it is reasonably likely that it will no longer be a Well-Known Seasoned Issuer as of a future determination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at least 20 Business Days prior to such Determination Date, the Company shall (A) give written notice thereof to all of the Stockholders as promptly as practicable but in no event later than 10 Business Days prior to such Determination Date and (B) if the Company is eligible to file a Registration Statement on Form S-3 with respect to a secondary public offering of its equity securities, file a Registration Statement on Form S-3 with respect to a Shelf Registration in accordance with Section 2.02(a), treating all selling Stockholders identified as such in the Automatic Shelf Registration Statement (and amendments or supplements thereto) as Requesting Stockholders and use all commercially reasonable efforts to have such Registration Statement declared effective prior to the Determination Date. Any registration pursuant to this Section 2.02(f) shall be deemed a Shelf Registration for purposes of this Agreement.</w:t>
      </w:r>
    </w:p>
    <w:p>
      <w:pPr>
        <w:spacing w:after="0" w:line="67" w:lineRule="exact"/>
        <w:rPr>
          <w:rFonts w:ascii="Arial" w:cs="Arial" w:eastAsia="Arial" w:hAnsi="Arial"/>
          <w:sz w:val="16"/>
          <w:szCs w:val="16"/>
          <w:color w:val="auto"/>
        </w:rPr>
      </w:pPr>
    </w:p>
    <w:p>
      <w:pPr>
        <w:ind w:left="-40" w:right="440" w:firstLine="444"/>
        <w:spacing w:after="0" w:line="277" w:lineRule="auto"/>
        <w:tabs>
          <w:tab w:leader="none" w:pos="65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anything to the contrary, no Shelf Registration pursuant to this Section 2.02 shall be deemed a Demand Registration for purposes of Section 2.01.</w:t>
      </w:r>
    </w:p>
    <w:p>
      <w:pPr>
        <w:spacing w:after="0" w:line="62" w:lineRule="exact"/>
        <w:rPr>
          <w:rFonts w:ascii="Arial" w:cs="Arial" w:eastAsia="Arial" w:hAnsi="Arial"/>
          <w:sz w:val="18"/>
          <w:szCs w:val="18"/>
          <w:color w:val="auto"/>
        </w:rPr>
      </w:pPr>
    </w:p>
    <w:p>
      <w:pPr>
        <w:ind w:left="660" w:hanging="25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firstLine="428"/>
        <w:spacing w:after="0" w:line="290" w:lineRule="auto"/>
        <w:tabs>
          <w:tab w:leader="none" w:pos="103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If the Company proposes to register any Company Securities under the Securities Act (other than a registration on Form S-8 or Form S-4 relating to Shares or any other class of Company Securities issuable upon exercise of employee stock options or in connection with any employee benefit or similar plan of the Company or in connection with a direct or indirect acquisition by the Company of another Person) other than in connection with a rights offering, whether or not for sale for its own account, the Company shall each such time give prompt notice (via electronic transmission) at least 10 Business Days prior to the anticipated filing date of the registration statement relating to such registration to each Stockholder, which notice shall offer such Stockholder the opportunity to include in such registration statement the number of Registrable Securities of the same class or series as those proposed to be registered as each such Stockholder may request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subject to the provisions of Section 2.02(h)(ii). Upon the request of any such Stockholder made within 10 Business Days after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109" w:name="page110"/>
    <w:bookmarkEnd w:id="109"/>
    <w:p>
      <w:pPr>
        <w:ind w:left="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notice from the Company regarding a Piggyback Registration (which request shall specify the number of Registrable Securities intended to be registered by such Stockholder), the Company shall use its commercially reasonable efforts to effect the registration under the Securities Act of all Registrable Securities that the Company has been so requested to register by all such Requesting Stockholders, to the extent requisite to permit the disposition of the Registrable Securities so to be registered in accordance with the plan of distribution intended by the Company for such registration statement; provided that (i) if such registration involves a Public Offering, all such Registering Stockholders requesting to be included in the Company’s registration must sell their Registrable Securities to the underwriters selected as provided in Section 2.04(f)(i) on the same terms and conditions as apply to the Company and (ii) if, at any time after giving notice of its intention to register any Company Securities pursuant to this Section 2.02(h) and prior to the effective date of the registration statement filed in connection with such registration, the Company shall determine for any reason not to register such securities, the Company shall give notice to all Registering Stockholders and, thereupon, shall be relieved of its obligation to register any Registrable Securities in connection with such registration. No registration effected under this Section 2.02(h) shall relieve the Company of its obligations to effect a Demand Registration to the extent required by Section 2.01 or a Shelf Registration to the extent required by Section 2.02. The Company shall pay all Registration Expenses in connection with each Piggyback Registration.</w:t>
      </w:r>
    </w:p>
    <w:p>
      <w:pPr>
        <w:spacing w:after="0" w:line="80" w:lineRule="exact"/>
        <w:rPr>
          <w:sz w:val="20"/>
          <w:szCs w:val="20"/>
          <w:color w:val="auto"/>
        </w:rPr>
      </w:pPr>
    </w:p>
    <w:p>
      <w:pPr>
        <w:ind w:left="436" w:firstLine="428"/>
        <w:spacing w:after="0" w:line="302" w:lineRule="auto"/>
        <w:tabs>
          <w:tab w:leader="none" w:pos="112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 Piggyback Registration involves a Public Offering (other than any Demand Registration, in which case the provisions with respect to priority of inclusion in such offering set forth in Section 2.01(d) shall apply) and the lead managing underwriter advises the Company that, in its view, the number of Registrable Securities that the Company and such Registering Stockholders intend to include in such registration exceeds the Maximum Offering Size, the Company shall include in such registration, in the following priority, up to the Maximum Offering Size:</w:t>
      </w:r>
    </w:p>
    <w:p>
      <w:pPr>
        <w:spacing w:after="0" w:line="46" w:lineRule="exact"/>
        <w:rPr>
          <w:rFonts w:ascii="Arial" w:cs="Arial" w:eastAsia="Arial" w:hAnsi="Arial"/>
          <w:sz w:val="16"/>
          <w:szCs w:val="16"/>
          <w:color w:val="auto"/>
        </w:rPr>
      </w:pPr>
    </w:p>
    <w:p>
      <w:pPr>
        <w:ind w:left="996" w:right="500" w:firstLine="397"/>
        <w:spacing w:after="0" w:line="277" w:lineRule="auto"/>
        <w:tabs>
          <w:tab w:leader="none" w:pos="169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as would not cause the offering to exceed the Maximum Offering Size;</w:t>
      </w:r>
    </w:p>
    <w:p>
      <w:pPr>
        <w:spacing w:after="0" w:line="62" w:lineRule="exact"/>
        <w:rPr>
          <w:rFonts w:ascii="Arial" w:cs="Arial" w:eastAsia="Arial" w:hAnsi="Arial"/>
          <w:sz w:val="18"/>
          <w:szCs w:val="18"/>
          <w:color w:val="auto"/>
        </w:rPr>
      </w:pPr>
    </w:p>
    <w:p>
      <w:pPr>
        <w:jc w:val="both"/>
        <w:ind w:left="996" w:right="160" w:firstLine="397"/>
        <w:spacing w:after="0" w:line="259" w:lineRule="auto"/>
        <w:tabs>
          <w:tab w:leader="none" w:pos="168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Registering Stockholders pursuant to this Section 2.02(h) (allocated, if necessary for the offering not to exceed the Maximum Offering Size, pro rata among such Stockholders on the basis of the relative number of shares of Registrable Securities so requested to be included in such registration by each such Stockholder); and</w:t>
      </w:r>
    </w:p>
    <w:p>
      <w:pPr>
        <w:spacing w:after="0" w:line="78" w:lineRule="exact"/>
        <w:rPr>
          <w:rFonts w:ascii="Arial" w:cs="Arial" w:eastAsia="Arial" w:hAnsi="Arial"/>
          <w:sz w:val="18"/>
          <w:szCs w:val="18"/>
          <w:color w:val="auto"/>
        </w:rPr>
      </w:pPr>
    </w:p>
    <w:p>
      <w:pPr>
        <w:ind w:left="996" w:right="560" w:firstLine="397"/>
        <w:spacing w:after="0" w:line="277" w:lineRule="auto"/>
        <w:tabs>
          <w:tab w:leader="none" w:pos="168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86" w:lineRule="auto"/>
        <w:tabs>
          <w:tab w:leader="none" w:pos="68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Each Stockholder hereby agrees that it will not effect any public sale or distribution (including sales pursuant to Rule 144) of Registrable Securities (i) during (A) the 10 days prior to and the 90-day period beginning on the effective date of the registration of such Registrable Securities in connection with a Public Offering (which period following the effective date may, in each case, be extended as reasonably requested by the underwriters participating in such Public Offering to accommodate regulatory restrictions on (I) the publication or other distribution of research reports and</w:t>
      </w:r>
    </w:p>
    <w:p>
      <w:pPr>
        <w:spacing w:after="0" w:line="1" w:lineRule="exact"/>
        <w:rPr>
          <w:rFonts w:ascii="Arial" w:cs="Arial" w:eastAsia="Arial" w:hAnsi="Arial"/>
          <w:sz w:val="16"/>
          <w:szCs w:val="16"/>
          <w:color w:val="auto"/>
        </w:rPr>
      </w:pPr>
    </w:p>
    <w:p>
      <w:pPr>
        <w:ind w:left="-4" w:right="400" w:firstLine="4"/>
        <w:spacing w:after="0" w:line="255" w:lineRule="auto"/>
        <w:tabs>
          <w:tab w:leader="none" w:pos="2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analyst recommendations and opinions, including, but not limited to, the restrictions contained in FINRA rules or any successor provisions or amendments thereto) or (B) such shorter period as the underwriters participating in such Public Offering may require, and (ii) upon notice from the Company of the</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4" w:right="459" w:bottom="1440" w:gutter="0" w:footer="0" w:header="0"/>
        </w:sectPr>
      </w:pPr>
    </w:p>
    <w:bookmarkStart w:id="110" w:name="page111"/>
    <w:bookmarkEnd w:id="1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of a Public Offering in connection with any Shelf Registration, during (A) 10 days prior to and the 90-day period beginning on the date of commencement of such Public Offering or (B) such shorter period as the underwriters participating in such Public Offering may require, in each case except as part of such Public Offering. Each Stockholder agrees to execute a lock-up agreement in favor of the underwriters in form and substance reasonably acceptable to the Company and the underwriters to such effect and, in any event, that the underwriters in any relevant offering shall be third party beneficiaries of this Section 2.03(a). The lock-up agreement to be executed by each Stockholder pursuant to this Section 2.03(a) shall be no less favorable to such Stockholder than the lock-up agreements (or provisions in any underwriting agreement) executed by the Company or any of the executive officers or directors of the Company pursuant to Section 2.03(b).</w:t>
      </w:r>
    </w:p>
    <w:p>
      <w:pPr>
        <w:spacing w:after="0" w:line="70" w:lineRule="exact"/>
        <w:rPr>
          <w:sz w:val="20"/>
          <w:szCs w:val="20"/>
          <w:color w:val="auto"/>
        </w:rPr>
      </w:pPr>
    </w:p>
    <w:p>
      <w:pPr>
        <w:ind w:firstLine="444"/>
        <w:spacing w:after="0" w:line="268" w:lineRule="auto"/>
        <w:tabs>
          <w:tab w:leader="none" w:pos="69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securities of the same type and class as Registrable Securities (except pursuant to registrations on Form S-8 or Form S-4) (i) with respect to any Public Offering pursuant to a Demand Registration or any Piggyback Registration in which the holders of Registrable Securities are participating, during (A) the 10 days prior to and the 90-day period beginning on the effective date of such registration (which period following the effective date may, in each case, be extended as reasonably requested by the underwriters participating in such Public Offering to accommodate regulatory restrictions on (I) the publication or other distribution of research reports and (II) analyst recommendations and opinions, including, but not limited to, the restrictions contained in FINRA rules or any successor provisions or amendments thereto) or (B) such shorter period as the underwriters participating in such Public Offering may require, and (ii) upon notice from any holder(s) of Registrable Securities subject to a Shelf Registration that such holder(s) intend to effect a Public Offering of Registrable Securities pursuant to such Shelf Registration (upon receipt of which, the Company will promptly notify all other Stockholders of the date of commencement of such Public Offering), during (A) the 10 days prior to and the 90-day period beginning on the date of commencement of such Public Offering and (B) such shorter period as the underwriters participating in such Public Offering may require), in each case except as part of such Public Offering. To the extent required by any underwriter participating in such Public Offering, the Company shall use commercially reasonable efforts to cause its executive officers and directors to execute customary lock-up agreements in connection with such Public Offering, which lock-up agreements shall not have a duration shorter than that of the lock-up agreement or provisions applicable to the Company.</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i w:val="1"/>
          <w:iCs w:val="1"/>
          <w:color w:val="auto"/>
        </w:rPr>
        <w:t>.</w:t>
      </w:r>
      <w:r>
        <w:rPr>
          <w:rFonts w:ascii="Arial" w:cs="Arial" w:eastAsia="Arial" w:hAnsi="Arial"/>
          <w:sz w:val="18"/>
          <w:szCs w:val="18"/>
          <w:color w:val="auto"/>
        </w:rPr>
        <w:t xml:space="preserve"> Whenever a Stockholder requests that any Registrable Securities be registered pursuant to Section 2.01 or Section 2.02, subject to the provisions of such Sections, the Company shall use its commercially reasonable efforts to effect the registration and the sale of such Registrable Securities in accordance with the intended method of disposition thereof as soon as reasonably practicable and, in connection with any such request:</w:t>
      </w:r>
    </w:p>
    <w:p>
      <w:pPr>
        <w:spacing w:after="0" w:line="79" w:lineRule="exact"/>
        <w:rPr>
          <w:sz w:val="20"/>
          <w:szCs w:val="20"/>
          <w:color w:val="auto"/>
        </w:rPr>
      </w:pPr>
    </w:p>
    <w:p>
      <w:pPr>
        <w:ind w:right="40" w:firstLine="444"/>
        <w:spacing w:after="0" w:line="291" w:lineRule="auto"/>
        <w:tabs>
          <w:tab w:leader="none" w:pos="6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shall as soon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(i) not less than 180 days (or, if sooner, until all Registrable Securities have been sold under such Registration Statement), or (ii) in the case of a Shelf Registration, until the earlier of the date (x) on which all of the securities covered by such Shelf Registration are no longer Registrable Securities and (y) on which the Company cannot extend the effectiveness of such Shelf Registration because it is no longer eligible for use of Form S-3; subject in each case to any Suspension Period.</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11" w:name="page112"/>
    <w:bookmarkEnd w:id="111"/>
    <w:p>
      <w:pPr>
        <w:ind w:right="40" w:firstLine="444"/>
        <w:spacing w:after="0" w:line="285" w:lineRule="auto"/>
        <w:tabs>
          <w:tab w:leader="none" w:pos="696"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filing a Registration Statement or related prospectus or any amendment or supplement thereto, or before using any Free Writing Prospectus, the Company shall provide each Registering Stockholder, the Holders’ Counsel and each underwriter, if any, with an adequate and appropriate opportunity to review and comment on such Registration Statement, each prospectus included therein (and each amendment or supplement thereto) and each Free Writing Prospectus proposed to be filed with the SEC, and thereafter the Company shall furnish to such Registering Stockholder, the Holders’ Counsel and underwriter, if any, such number of copies of such Registration Statement, each amendment and supplement thereto filed with the SEC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each Free Writing Prospectus and such other documents as such Registering Stockholder or underwriter may reasonably request in order to facilitate the disposition of the Registrable Securities owned by such Registering Stockholder. In addition, the Company shall, as expeditiously as practicable, keep Holders’ Counsel advised in writing as to the initiation and progress of any registration under Section 2.01 or Section 2.02 and provide Holders’ Counsel with copies of all correspondence (including any comment letter) with the SEC, any self-regulatory organization or other governmental agency in connection with any such Registration Statement. Each Registering Stockholder shall have the right to request that the Company modify any information pertaining to such Registering Stockholder contained in such Registration Statement, amendment and supplement thereto or any Free Writing Prospectus, and the Company shall use its commercially reasonable efforts to comply with such request; provided, however, that the Company shall not have any obligation to so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67" w:lineRule="exact"/>
        <w:rPr>
          <w:rFonts w:ascii="Arial" w:cs="Arial" w:eastAsia="Arial" w:hAnsi="Arial"/>
          <w:sz w:val="16"/>
          <w:szCs w:val="16"/>
          <w:color w:val="auto"/>
        </w:rPr>
      </w:pPr>
    </w:p>
    <w:p>
      <w:pPr>
        <w:ind w:right="20" w:firstLine="444"/>
        <w:spacing w:after="0" w:line="272" w:lineRule="auto"/>
        <w:tabs>
          <w:tab w:leader="none" w:pos="685"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applicable to the Company with respect to the disposition of all Registrable Securities covered by such Registration Statement during the applicable period in accordance with the intended methods of disposition by the Registering Stockholder thereof set forth in such Registration Statement or supplement to such prospectus and (iii) promptly notify each Registering Stockholder holding Registrable Securities covered by such Registration Statement and the Holders’ Counsel of any stop order issued or threatened by the SEC or any state securities commission and take all commercially reasonable actions required to prevent the entry of such stop order or to remove it if entered.</w:t>
      </w:r>
    </w:p>
    <w:p>
      <w:pPr>
        <w:spacing w:after="0" w:line="69" w:lineRule="exact"/>
        <w:rPr>
          <w:rFonts w:ascii="Arial" w:cs="Arial" w:eastAsia="Arial" w:hAnsi="Arial"/>
          <w:sz w:val="17"/>
          <w:szCs w:val="17"/>
          <w:color w:val="auto"/>
        </w:rPr>
      </w:pPr>
    </w:p>
    <w:p>
      <w:pPr>
        <w:ind w:firstLine="444"/>
        <w:spacing w:after="0" w:line="283" w:lineRule="auto"/>
        <w:tabs>
          <w:tab w:leader="none" w:pos="69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or qualify the Registrable Securities covered by such Registration Statement under such securities or “blue sky” laws of such jurisdictions in the United States as any Registering Stockholder holding such Registrable Securities reasonably (in light of such Registering Stockholder’s intended plan of distribution) requests, and continue such registration or qualification in effect in such jurisdiction for the shortest of (A) as long as permissible pursuant to the laws of such jurisdiction, (B) as long as any such Registering Stockholder requests or (C) until all such Registrable Securities are sold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Registering Stockholder to consummate the disposition of the Registrable Securities owned by such Registering Stockholder; provided that the Company shall not be required to (A) qualify generally to do business in any jurisdiction where it would not otherwise be required to qualify but for this Section 2.04(d), (B) subject itself to taxation in any such jurisdiction or</w:t>
      </w:r>
    </w:p>
    <w:p>
      <w:pPr>
        <w:spacing w:after="0" w:line="6" w:lineRule="exact"/>
        <w:rPr>
          <w:rFonts w:ascii="Arial" w:cs="Arial" w:eastAsia="Arial" w:hAnsi="Arial"/>
          <w:sz w:val="16"/>
          <w:szCs w:val="16"/>
          <w:color w:val="auto"/>
        </w:rPr>
      </w:pPr>
    </w:p>
    <w:p>
      <w:pPr>
        <w:ind w:left="280" w:hanging="276"/>
        <w:spacing w:after="0"/>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12" w:name="page113"/>
    <w:bookmarkEnd w:id="112"/>
    <w:p>
      <w:pPr>
        <w:ind w:left="676" w:hanging="236"/>
        <w:spacing w:after="0"/>
        <w:tabs>
          <w:tab w:leader="none" w:pos="676" w:val="left"/>
        </w:tabs>
        <w:numPr>
          <w:ilvl w:val="1"/>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promptly notify each Registering Stockholder holding such Registrable Securities covered by such Registration Statement</w:t>
      </w:r>
    </w:p>
    <w:p>
      <w:pPr>
        <w:spacing w:after="0" w:line="46" w:lineRule="exact"/>
        <w:rPr>
          <w:rFonts w:ascii="Arial" w:cs="Arial" w:eastAsia="Arial" w:hAnsi="Arial"/>
          <w:sz w:val="16"/>
          <w:szCs w:val="16"/>
          <w:color w:val="auto"/>
        </w:rPr>
      </w:pPr>
    </w:p>
    <w:p>
      <w:pPr>
        <w:ind w:left="-4" w:firstLine="4"/>
        <w:spacing w:after="0" w:line="267" w:lineRule="auto"/>
        <w:tabs>
          <w:tab w:leader="none" w:pos="21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at any time when a prospectus relating thereto is required to be delivered under the Securities Act, upon the discovery that, or upon the occurrence of an event as a result of which, the preparation of a supplement or amendment to such prospectus is required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the Company shall promptly (subject to any applicable Suspension Period) prepare and make available to each Registering Stockholder and file with the SEC any such supplement or amendment, (ii) as soon as the Company becomes aware of any request by the SEC or any federal or state governmental authority for amendments or supplements to a Registration Statement or related prospectus covering Registrable Securities or for additional information relating thereto, (iii) as soon as the Company becomes aware of the issuance or threatened issuance by the SEC of any stop order suspending or threatening to suspend the effectiveness of a Registration Statement covering the Registrable Securities or (iv) of the receipt by the Company of any notification with respect to the suspension of the qualification or exemption from qualification of any Registrable Securities for sale in any jurisdiction, or the initiation or threatening of any proceeding for such purpose.</w:t>
      </w:r>
    </w:p>
    <w:p>
      <w:pPr>
        <w:spacing w:after="0" w:line="78" w:lineRule="exact"/>
        <w:rPr>
          <w:rFonts w:ascii="Arial" w:cs="Arial" w:eastAsia="Arial" w:hAnsi="Arial"/>
          <w:sz w:val="17"/>
          <w:szCs w:val="17"/>
          <w:color w:val="auto"/>
        </w:rPr>
      </w:pPr>
    </w:p>
    <w:p>
      <w:pPr>
        <w:ind w:left="-4" w:right="40" w:firstLine="444"/>
        <w:spacing w:after="0" w:line="289" w:lineRule="auto"/>
        <w:tabs>
          <w:tab w:leader="none" w:pos="66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 The Registering Stockholders holding a majority of the Registrable Securities to be included in a Demand Registration or intended to be sold pursuant to a Public Offering pursuant to a “take down” under a Shelf Registration shall have the right to select an underwriter or underwriters in connection with such Public Offering or “take down” (as the case may be) (which underwriter or underwriters may include any Affiliate of any Registering Stockholder so long as including such Affiliate would not require the separate engagement of a qualified independent underwriter with respect to such offering), subject to the Company’s approval (which shall not be unreasonably withheld, conditioned or delayed) and (ii) the Company shall select an underwriter or underwriters in connection with any other Public Offering. In connection with any Public Offering, the Company shall enter into customary agreements (including an underwriting agreement in customary form) and take all other actions as are reasonably required in order to expedite or facilitate the disposition of such Registrable Securities in any such Public Offering, including, if required, the engagement of a “qualified independent underwriter” in connection with the qualification of the underwriting arrangements with FINRA.</w:t>
      </w:r>
    </w:p>
    <w:p>
      <w:pPr>
        <w:spacing w:after="0" w:line="58" w:lineRule="exact"/>
        <w:rPr>
          <w:rFonts w:ascii="Arial" w:cs="Arial" w:eastAsia="Arial" w:hAnsi="Arial"/>
          <w:sz w:val="16"/>
          <w:szCs w:val="16"/>
          <w:color w:val="auto"/>
        </w:rPr>
      </w:pPr>
    </w:p>
    <w:p>
      <w:pPr>
        <w:ind w:left="-4" w:right="80" w:firstLine="444"/>
        <w:spacing w:after="0" w:line="272" w:lineRule="auto"/>
        <w:tabs>
          <w:tab w:leader="none" w:pos="69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Subject to confidentiality arrangements customarily applicable to underwriters and the Registering Stockholders, the Company shall make available for inspection by any Registering Stockholder and any underwriter participating in any disposition pursuant to a Registration Statement being filed by the Company pursuant to this Section 2.04 and any attorney, accountant or other professional retained by any such Stockholder or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them to exercise their due diligence responsibility, and cause the Company’s officers, directors, managers and employees (and those of the Company’s Subsidiaries) to supply all information reasonably requested by any Inspectors in connection with such Registration Statement.</w:t>
      </w:r>
    </w:p>
    <w:p>
      <w:pPr>
        <w:spacing w:after="0" w:line="69" w:lineRule="exact"/>
        <w:rPr>
          <w:rFonts w:ascii="Arial" w:cs="Arial" w:eastAsia="Arial" w:hAnsi="Arial"/>
          <w:sz w:val="17"/>
          <w:szCs w:val="17"/>
          <w:color w:val="auto"/>
        </w:rPr>
      </w:pPr>
    </w:p>
    <w:p>
      <w:pPr>
        <w:ind w:left="-4" w:right="80" w:firstLine="444"/>
        <w:spacing w:after="0" w:line="279" w:lineRule="auto"/>
        <w:tabs>
          <w:tab w:leader="none" w:pos="69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shall furnish to each Registering Stockholder and to each such underwriter, if any, a signed counterpart, addressed to such Registering Stockholder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any Registering Stockholder or the lead managing underwriter therefor reasonably requests.</w:t>
      </w:r>
    </w:p>
    <w:p>
      <w:pPr>
        <w:spacing w:after="0" w:line="104"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76"/>
          </w:cols>
          <w:pgMar w:left="444" w:top="274" w:right="479" w:bottom="1440" w:gutter="0" w:footer="0" w:header="0"/>
        </w:sectPr>
      </w:pPr>
    </w:p>
    <w:bookmarkStart w:id="113" w:name="page114"/>
    <w:bookmarkEnd w:id="113"/>
    <w:p>
      <w:pPr>
        <w:ind w:right="180" w:firstLine="444"/>
        <w:spacing w:after="0" w:line="264" w:lineRule="auto"/>
        <w:tabs>
          <w:tab w:leader="none" w:pos="656" w:val="left"/>
        </w:tabs>
        <w:numPr>
          <w:ilvl w:val="1"/>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otherwise comply with all applicable rules and regulations of the SEC, and make available to its security holders, as soon as reasonably available, an earnings statement or such other document that shall satisfy the provisions of Section 11(a) of the Securities Act and the requirements of Rule 158 thereunder.</w:t>
      </w:r>
    </w:p>
    <w:p>
      <w:pPr>
        <w:spacing w:after="0" w:line="73" w:lineRule="exact"/>
        <w:rPr>
          <w:rFonts w:ascii="Arial" w:cs="Arial" w:eastAsia="Arial" w:hAnsi="Arial"/>
          <w:sz w:val="18"/>
          <w:szCs w:val="18"/>
          <w:color w:val="auto"/>
        </w:rPr>
      </w:pPr>
    </w:p>
    <w:p>
      <w:pPr>
        <w:ind w:right="260" w:firstLine="444"/>
        <w:spacing w:after="0" w:line="264" w:lineRule="auto"/>
        <w:tabs>
          <w:tab w:leader="none" w:pos="65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may require each Registering Stockholder promptly to furnish in writing to the Company such information regarding the distribution of the Registrable Securities as the Company may from time to time reasonably request and such other information as may be reasonably required in connection with such registration.</w:t>
      </w:r>
    </w:p>
    <w:p>
      <w:pPr>
        <w:spacing w:after="0" w:line="73" w:lineRule="exact"/>
        <w:rPr>
          <w:rFonts w:ascii="Arial" w:cs="Arial" w:eastAsia="Arial" w:hAnsi="Arial"/>
          <w:sz w:val="18"/>
          <w:szCs w:val="18"/>
          <w:color w:val="auto"/>
        </w:rPr>
      </w:pPr>
    </w:p>
    <w:p>
      <w:pPr>
        <w:ind w:firstLine="444"/>
        <w:spacing w:after="0" w:line="288" w:lineRule="auto"/>
        <w:tabs>
          <w:tab w:leader="none" w:pos="69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Each Registering Stockholder agrees that, upon receipt of any notice from the Company of the happening of any event of the kind described in Section 2.04(e), such Stockholder shall forthwith discontinue disposition of Registrable Securities pursuant to the Registration Statement (including any Shelf Registration) covering such Registrable Securities until such Stockholder’s receipt of (i) copies of the supplemented or amended prospectus from the Company or (ii) further notice from the Company that distribution can proceed without an amended or supplemented prospectus, and, in the circumstances described in clause (i), if so directed by the Company, such Stockholder shall deliver to the Company all copies, other than any permanent file copies then in such Stockholder’s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 (x) make available to such Stockholder a prospectus supplemented or amended to conform with the requirements of Section 2.04(e) or (y) deliver to such Stockholder the notice described in clause (ii).</w:t>
      </w:r>
    </w:p>
    <w:p>
      <w:pPr>
        <w:spacing w:after="0" w:line="61" w:lineRule="exact"/>
        <w:rPr>
          <w:rFonts w:ascii="Arial" w:cs="Arial" w:eastAsia="Arial" w:hAnsi="Arial"/>
          <w:sz w:val="16"/>
          <w:szCs w:val="16"/>
          <w:color w:val="auto"/>
        </w:rPr>
      </w:pPr>
    </w:p>
    <w:p>
      <w:pPr>
        <w:ind w:right="120" w:firstLine="444"/>
        <w:spacing w:after="0" w:line="342" w:lineRule="auto"/>
        <w:tabs>
          <w:tab w:leader="none" w:pos="65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list all Registrable Securities of any class or series covered by such Registration Statement on any national securities exchange on which any of the Registrable Securities of such class or series are then listed or traded.</w:t>
      </w:r>
    </w:p>
    <w:p>
      <w:pPr>
        <w:spacing w:after="0" w:line="15" w:lineRule="exact"/>
        <w:rPr>
          <w:rFonts w:ascii="Arial" w:cs="Arial" w:eastAsia="Arial" w:hAnsi="Arial"/>
          <w:sz w:val="16"/>
          <w:szCs w:val="16"/>
          <w:color w:val="auto"/>
        </w:rPr>
      </w:pPr>
    </w:p>
    <w:p>
      <w:pPr>
        <w:ind w:right="240" w:firstLine="444"/>
        <w:spacing w:after="0" w:line="291" w:lineRule="auto"/>
        <w:tabs>
          <w:tab w:leader="none" w:pos="74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Upon written request (which request shall be given with reasonable advance notice) to the Company by Registering Stockholders holding a majority of the Registrable Securities being sold in such offering, the Company shall have appropriate officers of the Company or its Subsidiaries</w:t>
      </w:r>
    </w:p>
    <w:p>
      <w:pPr>
        <w:ind w:right="140" w:firstLine="4"/>
        <w:spacing w:after="0" w:line="277" w:lineRule="auto"/>
        <w:tabs>
          <w:tab w:leader="none" w:pos="21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upon reasonable request and at reasonable times prepare and make presentations at any “road shows” and before analysts and rating agencies, as the case may be, (ii) take other actions to obtain ratings for any Registrable Securities and (iii) otherwise use its commercially reasonable efforts to cooperate as requested by the underwriters in the offering, marketing or selling of the Registrable Securities.</w:t>
      </w:r>
    </w:p>
    <w:p>
      <w:pPr>
        <w:spacing w:after="0" w:line="65" w:lineRule="exact"/>
        <w:rPr>
          <w:rFonts w:ascii="Arial" w:cs="Arial" w:eastAsia="Arial" w:hAnsi="Arial"/>
          <w:sz w:val="17"/>
          <w:szCs w:val="17"/>
          <w:color w:val="auto"/>
        </w:rPr>
      </w:pPr>
    </w:p>
    <w:p>
      <w:pPr>
        <w:ind w:right="160" w:firstLine="444"/>
        <w:spacing w:after="0" w:line="255" w:lineRule="auto"/>
        <w:tabs>
          <w:tab w:leader="none" w:pos="6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Company shall, as soon as possible following its actual knowledge thereof, notify each Registering Stockholder: (A) when a prospectus, any prospectus supplement, a Registration Statement or a post-effective amendment to a Registration Statement has been filed with the SEC, and, with respect to a Registration Statement or any post-effective amendment, when the same has become effective; (B) of any request by the SEC or any other federal or state governmental authority for amendments or supplements to a Registration Statement, a related prospectus (including a Free Writing Prospectus) or any other additional information; or (C) of the receipt by the Company of any notification with respect to the suspension of the qualification or exemption from qualification of any of the Registrable Securities for sale in any jurisdiction or the initiation or threatening of any proceedings for such purpose.</w:t>
      </w:r>
    </w:p>
    <w:p>
      <w:pPr>
        <w:spacing w:after="0" w:line="81" w:lineRule="exact"/>
        <w:rPr>
          <w:rFonts w:ascii="Arial" w:cs="Arial" w:eastAsia="Arial" w:hAnsi="Arial"/>
          <w:sz w:val="18"/>
          <w:szCs w:val="18"/>
          <w:color w:val="auto"/>
        </w:rPr>
      </w:pPr>
    </w:p>
    <w:p>
      <w:pPr>
        <w:ind w:right="440" w:firstLine="444"/>
        <w:spacing w:after="0" w:line="277" w:lineRule="auto"/>
        <w:tabs>
          <w:tab w:leader="none" w:pos="6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Company shall reasonably cooperate with each Registering Stockholder and each underwriter participating in the disposition of such Registrable Securities and their respective counsel in connection with any filings required to be made by FINRA.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14" w:name="page115"/>
    <w:bookmarkEnd w:id="114"/>
    <w:p>
      <w:pPr>
        <w:ind w:right="120" w:firstLine="444"/>
        <w:spacing w:after="0" w:line="277" w:lineRule="auto"/>
        <w:tabs>
          <w:tab w:leader="none" w:pos="6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take all other steps reasonably necessary to effect the registration of such Registrable Securities and reasonably cooperate with the holders of such Registrable Securities to facilitate the disposition of such Registrable Securities.</w:t>
      </w:r>
    </w:p>
    <w:p>
      <w:pPr>
        <w:spacing w:after="0" w:line="62" w:lineRule="exact"/>
        <w:rPr>
          <w:rFonts w:ascii="Arial" w:cs="Arial" w:eastAsia="Arial" w:hAnsi="Arial"/>
          <w:sz w:val="18"/>
          <w:szCs w:val="18"/>
          <w:color w:val="auto"/>
        </w:rPr>
      </w:pPr>
    </w:p>
    <w:p>
      <w:pPr>
        <w:ind w:right="220" w:firstLine="444"/>
        <w:spacing w:after="0" w:line="264" w:lineRule="auto"/>
        <w:tabs>
          <w:tab w:leader="none" w:pos="6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within the deadlines specified by the Securities Act, make all required filings of all prospectuses (including any Free Writing Prospectus) with the SEC and make all required filing fee payments in respect of any Registration Statement or related prospectus used under this Agreement (and any offering covered hereby).</w:t>
      </w:r>
    </w:p>
    <w:p>
      <w:pPr>
        <w:spacing w:after="0" w:line="73" w:lineRule="exact"/>
        <w:rPr>
          <w:rFonts w:ascii="Arial" w:cs="Arial" w:eastAsia="Arial" w:hAnsi="Arial"/>
          <w:sz w:val="18"/>
          <w:szCs w:val="18"/>
          <w:color w:val="auto"/>
        </w:rPr>
      </w:pPr>
    </w:p>
    <w:p>
      <w:pPr>
        <w:ind w:right="180" w:firstLine="444"/>
        <w:spacing w:after="0" w:line="264" w:lineRule="auto"/>
        <w:tabs>
          <w:tab w:leader="none" w:pos="6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if such registration is pursuant to a Registration Statement on Form S-3 or any similar short-form registration, include in such Registration Statement such additional information for marketing purposes as the managing underwriter with respect to an underwritten public offering reasonably requests.</w:t>
      </w:r>
    </w:p>
    <w:p>
      <w:pPr>
        <w:spacing w:after="0" w:line="18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Indemnification by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agrees to indemnify and hold harmless each Registering Stockholder holding Registrable Securities covered by a Registration Statement, its Affiliates, stockholders, members, directors, officers, managers, employees, partners and agents, and each Person, if any, who controls such Registering Stockholder within the meaning of Section 15 of the Securities Act or Section 20 of the Exchange Act (collectively, “</w:t>
      </w:r>
      <w:r>
        <w:rPr>
          <w:rFonts w:ascii="Arial" w:cs="Arial" w:eastAsia="Arial" w:hAnsi="Arial"/>
          <w:sz w:val="17"/>
          <w:szCs w:val="17"/>
          <w:u w:val="single" w:color="auto"/>
          <w:color w:val="auto"/>
        </w:rPr>
        <w:t>Stockholder Parties</w:t>
      </w:r>
      <w:r>
        <w:rPr>
          <w:rFonts w:ascii="Arial" w:cs="Arial" w:eastAsia="Arial" w:hAnsi="Arial"/>
          <w:sz w:val="17"/>
          <w:szCs w:val="17"/>
          <w:color w:val="auto"/>
        </w:rPr>
        <w:t>”) from and against any and all losses, claims, damages, liabilities and expenses (including reasonable expenses of investigation and reasonable attorneys’ fees and expenses) (“</w:t>
      </w:r>
      <w:r>
        <w:rPr>
          <w:rFonts w:ascii="Arial" w:cs="Arial" w:eastAsia="Arial" w:hAnsi="Arial"/>
          <w:sz w:val="17"/>
          <w:szCs w:val="17"/>
          <w:u w:val="single" w:color="auto"/>
          <w:color w:val="auto"/>
        </w:rPr>
        <w:t>Damages</w:t>
      </w:r>
      <w:r>
        <w:rPr>
          <w:rFonts w:ascii="Arial" w:cs="Arial" w:eastAsia="Arial" w:hAnsi="Arial"/>
          <w:sz w:val="17"/>
          <w:szCs w:val="17"/>
          <w:color w:val="auto"/>
        </w:rPr>
        <w:t>”)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provided, however, that the Company shall not be liable to any Stockholder Party for any Damages that are caused by or related to any such untrue statement or omission or alleged untrue statement or omission so made based upon information furnished in writing to the Company by or on behalf of such Registering Stockholder expressly for use therein. The Company also agrees to indemnify and hold harmless any underwriters of the Registrable Securities, their respective officers and directors and each Person who controls any underwriter within the meaning of Section 15 of the Securities Act or Section 20 of the Exchange Act on substantially the same basis as that of the indemnification of the Registering Stockholders provided in this Section 2.05.</w:t>
      </w:r>
    </w:p>
    <w:p>
      <w:pPr>
        <w:spacing w:after="0" w:line="183"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Indemnification by Registering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Each Registering Stockholder holding Registrable Securities included in any Registration Statement agrees, severally but not jointly, to indemnify and hold harmless (i) the Company, (ii) each Person, if any, who controls the Company within the meaning of either Section 15 of the Securities Act or Section 20 of the Exchange Act, (iii) each other Registering Stockholder participating in any offering of Registrable Securities and (iv) the respective Affiliates, stockholders, members, directors, officers, managers, employees, partners and agents of each of the Persons specified in clauses (i) through (iii) from and against all Damages to the same extent as the foregoing indemnity from the Company to such Registering Stockholder, but only with respect to information furnished in writing by or on behalf of such Registering Stockholder expressly for use in any Registration Statement or prospectus relating to the Registrable Securities, or any amendment or supplement thereto, or any preliminary prospectus or Free Writing Prospectus relating to the Registrable Securities (including any information that has been deemed to be a part of any prospectus under Rule 159 under the Securities Act). Each Registering Stockholder also agrees to indemnify and hold harmless any underwriters of the Registrable Securities, their respective officers and directors and each Person who controls any underwriter within the meaning of either Section 15 of the Securities Act or Section 20 of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15" w:name="page116"/>
    <w:bookmarkEnd w:id="115"/>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on substantially the same basis as that of the indemnification of the Company and the other Registering Stockholders provided in this Section 2.06. As a condition to including Registrable Securities in any Registration Statement filed in accordance with Article II, the Company may require that it shall have received an undertaking reasonably satisfactory to it from any underwriter to indemnify and hold the Company harmless to the extent customarily provided by underwriters with respect to similar securities and offerings. No Registering Stockholder shall be liable under this Section 2.06 for any Damages in excess of the net proceeds (after deducting the underwriters’ discounts and commissions) realized by such Registering Stockholder in the sale of Registrable Securities of such Registering Stockholder to which such Damages relate.</w:t>
      </w:r>
    </w:p>
    <w:p>
      <w:pPr>
        <w:spacing w:after="0" w:line="17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Indemnification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proceeding (including any investigation by any governmental authority) shall be instituted involving any Person in respect of which indemnity may be sought pursuant to Section 2.05 or Section 2.06,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such Indemnified Party, and shall assume the payment of all reasonable fees and expenses in connection therewith; provided that the failure of any Indemnified Party to so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or (iii) the Indemnified Party shall have reasonably concluded (based on the advice of counsel) that there may be legal defenses available to it that are different from or in addition to those available to the Indemnifying Party. It is understood that, in connection with any proceeding or related proceedings in the same jurisdiction, the Indemnifying Party shall not be liable for the fees and expenses of more than one separate firm of attorneys (in addition to any local counsel) at any time for all such Indemnified Parties, and that all such fees and expenses shall be reimbursed promptly after receipt of an invoice setting forth such fees and expenses in reasonable detail. In the case of any such separate firm for any Indemnified Party, such firm shall be designated in writing by the Indemnified Party. The Indemnifying Party shall not be liable for any settlement of any proceeding effected without its written consent, but if settled with such consent, or if there is a final judgment for the plaintiff, the Indemnifying Party shall indemnify and hold harmless each Indemnified Party from and against any Damages (to the extent obligated herein) by reason of such settlement or judgment. Without the prior written consent of an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384"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Contribution</w:t>
      </w:r>
      <w:r>
        <w:rPr>
          <w:rFonts w:ascii="Arial" w:cs="Arial" w:eastAsia="Arial" w:hAnsi="Arial"/>
          <w:sz w:val="16"/>
          <w:szCs w:val="16"/>
          <w:i w:val="1"/>
          <w:iCs w:val="1"/>
          <w:color w:val="auto"/>
        </w:rPr>
        <w:t>.</w:t>
      </w:r>
      <w:r>
        <w:rPr>
          <w:rFonts w:ascii="Arial" w:cs="Arial" w:eastAsia="Arial" w:hAnsi="Arial"/>
          <w:sz w:val="16"/>
          <w:szCs w:val="16"/>
          <w:color w:val="auto"/>
        </w:rPr>
        <w:t xml:space="preserve"> If the indemnification provided for in Section 2.05 or Section 2.06 is unavailable to an Indemnified Party or insufficient in respect of any Damages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then each such Indemnifying Party, in lieu of indemnifying such Indemnified Party, shall contribute to the amount paid or payable by such Indemnified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16" w:name="page117"/>
    <w:bookmarkEnd w:id="11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as a result of such Damages in such proportion as is appropriate to reflect the relative fault of the Indemnifying Party and the Indemnified Party in connection with such actions which resulted in such Damages, as well as any other relevant equitable considerations. The relative fault of such Indemnifying Party and the Indemnified Party shall be determined by reference to, among other things, whether any action in question, including any untrue or alleged untrue statement of a material fact or the omission or alleged omission to state a material fact has been made by, or relates to information supplied by, such Indemnifying Party or Indemnified Party and the parties’ relative intent, knowledge, access to information and opportunity to correct or prevent such action.</w:t>
      </w:r>
    </w:p>
    <w:p>
      <w:pPr>
        <w:spacing w:after="0" w:line="193"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parties agree that it would not be just and equitable if contribution pursuant to this Section 2.08 were determined by pro rata allocation or by any other method of allocation that does not take account of the equitable considerations referred to in the immediately preceding paragraph. The amount paid or payable by a party as a result of the Damages referred to in the preceding paragraph shall be deemed to include, subject to the limitations set forth in Section 2.05 and Section 2.06, any legal or other expenses reasonably incurred by a party in connection with investigating or defending any such action or claim. Notwithstanding the provisions of this Section 2.08, no Registering Stockholder shall be required to contribute any amount in excess of the net proceeds (after deducting the underwriters’ discounts and commissions) received by such Registering Stockholder in the applicable offering. No Person guilty of fraudulent misrepresentation (within the meaning of Section 11(f) of the Securities Act), and no Person under the control, within the meaning of either Section 15 of the Securities Act or Section 20 of the Exchange Act, of a Person guilty of such fraudulent misrepresentation, shall be entitled to contribution from any Person who was not guilty of such fraudulent misrepresentation. Each Registering Stockholder’s obligation to contribute pursuant to this Section 2.08 is several in the proportion that the net proceeds of the applicable offering received by such Registering Stockholder bears to the net total proceeds of the applicable offering received by all such Registering Stockholders and not joint.</w:t>
      </w:r>
    </w:p>
    <w:p>
      <w:pPr>
        <w:spacing w:after="0" w:line="17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Participation in Public 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No Stockholder may participate in any Public Offering hereunder unless such Stockholder (i) agrees to sell such Stockholder’s Registrable Securities on the basis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54"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Indemnification similar to that specified herein (with appropriate modifications) shall be given by the Company and each Registering Stockholder participating therein with respect to any required registration or other qualification of securities under any federal or state law or regulation or governmental authority other than the Securities Act.</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Cooperation by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At any time following the Initial Public Offering, if any Stockholder shall transfer, assign, sell, convey or otherwise dispose of any Registrable Securities pursuant to Rule 144, the Company shall reasonably cooperate with such Stockholder, provide to such Stockholder such information as such Stockholder shall reasonably request and make publicly available information necessary to permit sales pursuant to Rule 144 for so long as necessary.</w:t>
      </w:r>
    </w:p>
    <w:p>
      <w:pPr>
        <w:spacing w:after="0" w:line="18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Transfer of Registration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The rights of a Stockholder under this Article II may be transferred or assigned in connection with a transfer of BellRing LLC Units or Registrable Securities, provided that all of the following additional conditions are satisfied: (x) such transfer or assignment is effected in accordance with applicable securities laws, (y) such transfer is effected in accordance with the Certificate of Incorporation and the BellRing LLC Agreement, as applicable, and (z) such transferee or assignee executes and delivers to the Company an agreement to be bound by this Agreement in the form of Exhibit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17" w:name="page118"/>
    <w:bookmarkEnd w:id="117"/>
    <w:p>
      <w:pPr>
        <w:ind w:right="26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agrees that it shall not enter into any agreement with any holder or prospective holder of any securities of the Company (i) that would allow such holder or prospective holder to include such securities in any Demand Registration, Piggyback Registration or Shelf Registration unless, under the terms of such agreement, such holder or prospective holder may include such securities in any such registration only to the extent that their inclusion would not be on terms more favorable in the aggregate to such holder or prospective holder than this Agreement. The Company also represents and warrants to each Stockholder that it has not prior to the date of this Agreement entered into any agreement with respect to any of its securities granting any registration rights to any Person.</w:t>
      </w:r>
    </w:p>
    <w:p>
      <w:pPr>
        <w:spacing w:after="0" w:line="16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Free Writing Prospectuses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a prospectus relating to Registrable Securities included in a Registration Statement, an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(as defined in Rule 433 under the Securities Act) or other materials prepared by or on behalf of the Company, each Registering Stockholder represents and agrees that it (i) shall not make any offer relating to the Registrable Securities that would constitute an Issuer Free Writing Prospectus or that would otherwise constitute a Free Writing Prospectus, and (ii) has not distributed and will not distribute any written materials in connection with the offer or sale pursuant to a Registration Statement of Registrable Securities without the prior written consent of the Company and, in connection with any Public Offering, the underwriters.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Information from Registering Stockholders; Obligations of Registering Stockholders</w:t>
      </w:r>
      <w:r>
        <w:rPr>
          <w:rFonts w:ascii="Arial" w:cs="Arial" w:eastAsia="Arial" w:hAnsi="Arial"/>
          <w:sz w:val="18"/>
          <w:szCs w:val="18"/>
          <w:i w:val="1"/>
          <w:iCs w:val="1"/>
          <w:color w:val="auto"/>
        </w:rPr>
        <w:t>.</w:t>
      </w:r>
    </w:p>
    <w:p>
      <w:pPr>
        <w:spacing w:after="0" w:line="117" w:lineRule="exact"/>
        <w:rPr>
          <w:sz w:val="20"/>
          <w:szCs w:val="20"/>
          <w:color w:val="auto"/>
        </w:rPr>
      </w:pPr>
    </w:p>
    <w:p>
      <w:pPr>
        <w:ind w:right="260" w:firstLine="444"/>
        <w:spacing w:after="0" w:line="264"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include the Registrable Securities of any Registering Stockholder that has requested inclusion of its Registrable Securities in any Registration Statement or related prospectus, as the case may be, that such Registering Stockholder shall take the actions described in this Section 2.15.</w:t>
      </w:r>
    </w:p>
    <w:p>
      <w:pPr>
        <w:spacing w:after="0" w:line="73" w:lineRule="exact"/>
        <w:rPr>
          <w:rFonts w:ascii="Arial" w:cs="Arial" w:eastAsia="Arial" w:hAnsi="Arial"/>
          <w:sz w:val="18"/>
          <w:szCs w:val="18"/>
          <w:color w:val="auto"/>
        </w:rPr>
      </w:pPr>
    </w:p>
    <w:p>
      <w:pPr>
        <w:ind w:right="40" w:firstLine="444"/>
        <w:spacing w:after="0" w:line="289" w:lineRule="auto"/>
        <w:tabs>
          <w:tab w:leader="none" w:pos="6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Registering Stockholder that has requested inclusion of its Registrable Securities in any Registration Statement shall (i) furnish to the Company (as a condition precedent to such Registering Stockholder’s participation in such registration) in writing such information with respect to such Registering Stockholder, its ownership of Company Securities and the intended method of disposition of its Registrable Securities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Registering Stockholder not contain a material misstatement of fact or necessary to cause such Registration Statement or prospectus (or amendment or supplement thereto) not to omit a material fact with respect to such Registering Stockholder necessary in order to make the statements therein not misleading and (ii) comply with the Securities Act and the Exchange Act and all applicable state securities laws and comply with all applicable regulations in connection with the registration and the disposition of Registrable Securities.</w:t>
      </w:r>
    </w:p>
    <w:p>
      <w:pPr>
        <w:spacing w:after="0" w:line="58" w:lineRule="exact"/>
        <w:rPr>
          <w:rFonts w:ascii="Arial" w:cs="Arial" w:eastAsia="Arial" w:hAnsi="Arial"/>
          <w:sz w:val="16"/>
          <w:szCs w:val="16"/>
          <w:color w:val="auto"/>
        </w:rPr>
      </w:pPr>
    </w:p>
    <w:p>
      <w:pPr>
        <w:ind w:right="80" w:firstLine="444"/>
        <w:spacing w:after="0" w:line="272" w:lineRule="auto"/>
        <w:tabs>
          <w:tab w:leader="none" w:pos="6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Each Registering Stockholder shall promptly (i) following its actual knowledge thereof, notify the Company of the occurrence of any event that makes any statement made in a Registration Statement, prospectus, Issuer Free Writing Prospectus or other Free Writing Prospectus regarding such Registering Stockholder untrue in any material respect or that requires the making of any changes in a Registration Statement, prospectus, Issuer Free Writing Prospectus or other Free Writing Prospectus so that, in such regard, it shall not contain any untrue statement of a material fact or omit any material fact required to be stated therein or necessary to make the statements not misleading and (ii) provide the Company with such information as may be required to enable the Company to prepare a supplement or post-effective amendment to any such Registration Statement or a supplement to such prospectus or Free Writing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18" w:name="page119"/>
    <w:bookmarkEnd w:id="118"/>
    <w:p>
      <w:pPr>
        <w:ind w:left="-40" w:right="820" w:firstLine="444"/>
        <w:spacing w:after="0" w:line="277" w:lineRule="auto"/>
        <w:tabs>
          <w:tab w:leader="none" w:pos="656"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Registering Stockholder shall use commercially reasonable efforts to cooperate with the Company in preparing the applicable Registration Statement.</w:t>
      </w:r>
    </w:p>
    <w:p>
      <w:pPr>
        <w:spacing w:after="0" w:line="62" w:lineRule="exact"/>
        <w:rPr>
          <w:rFonts w:ascii="Arial" w:cs="Arial" w:eastAsia="Arial" w:hAnsi="Arial"/>
          <w:sz w:val="18"/>
          <w:szCs w:val="18"/>
          <w:color w:val="auto"/>
        </w:rPr>
      </w:pPr>
    </w:p>
    <w:p>
      <w:pPr>
        <w:ind w:left="-40" w:right="300" w:firstLine="444"/>
        <w:spacing w:after="0" w:line="259" w:lineRule="auto"/>
        <w:tabs>
          <w:tab w:leader="none" w:pos="64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Stockholder agrees that no Stockholder shall be entitled to sell any Registrable Securities pursuant to a Registration Statement or to receive a prospectus relating thereto unless such Stockholder has furnished the Company with all information required to be included in such Registration Statement by applicable securities laws in connection with the disposition of such Registrable Securities as reasonably requested by the Company.</w:t>
      </w:r>
    </w:p>
    <w:p>
      <w:pPr>
        <w:spacing w:after="0" w:line="78" w:lineRule="exact"/>
        <w:rPr>
          <w:rFonts w:ascii="Arial" w:cs="Arial" w:eastAsia="Arial" w:hAnsi="Arial"/>
          <w:sz w:val="18"/>
          <w:szCs w:val="18"/>
          <w:color w:val="auto"/>
        </w:rPr>
      </w:pPr>
    </w:p>
    <w:p>
      <w:pPr>
        <w:ind w:left="-40" w:firstLine="444"/>
        <w:spacing w:after="0" w:line="279" w:lineRule="auto"/>
        <w:tabs>
          <w:tab w:leader="none" w:pos="62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Registering Stockholder shall be required to make any representations or warranties to or agreements with the Company, the underwriters of any underwritten Public Offering, or any other Person in connection with a disposition of Registrable Securities other than representations, warranties or agreements regarding such Registering Stockholder, such Registering Stockholder’s ownership of Registrable Securities and such Registering Stockholder’s intended method of distribution of Registrable Securities.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Board of Directors</w:t>
      </w:r>
      <w:r>
        <w:rPr>
          <w:rFonts w:ascii="Arial" w:cs="Arial" w:eastAsia="Arial" w:hAnsi="Arial"/>
          <w:sz w:val="18"/>
          <w:szCs w:val="18"/>
          <w:i w:val="1"/>
          <w:iCs w:val="1"/>
          <w:color w:val="auto"/>
        </w:rPr>
        <w:t>.</w:t>
      </w:r>
    </w:p>
    <w:p>
      <w:pPr>
        <w:spacing w:after="0" w:line="117" w:lineRule="exact"/>
        <w:rPr>
          <w:sz w:val="20"/>
          <w:szCs w:val="20"/>
          <w:color w:val="auto"/>
        </w:rPr>
      </w:pPr>
    </w:p>
    <w:p>
      <w:pPr>
        <w:ind w:left="-40" w:right="60" w:firstLine="444"/>
        <w:spacing w:after="0" w:line="264" w:lineRule="auto"/>
        <w:tabs>
          <w:tab w:leader="none" w:pos="645"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Board Size and Structure</w:t>
      </w:r>
      <w:r>
        <w:rPr>
          <w:rFonts w:ascii="Arial" w:cs="Arial" w:eastAsia="Arial" w:hAnsi="Arial"/>
          <w:sz w:val="18"/>
          <w:szCs w:val="18"/>
          <w:color w:val="auto"/>
        </w:rPr>
        <w:t>. The Board may increase or decrease the number of Directors, subject to the rights of Post under this Agreement and Applicable Governance Rules, in accordance with the Certificate of Incorporation and Bylaws. Upon consummation of the Initial Public Offering, the Board shall consist of five directors, and of such five directors:</w:t>
      </w:r>
    </w:p>
    <w:p>
      <w:pPr>
        <w:spacing w:after="0" w:line="73" w:lineRule="exact"/>
        <w:rPr>
          <w:rFonts w:ascii="Arial" w:cs="Arial" w:eastAsia="Arial" w:hAnsi="Arial"/>
          <w:sz w:val="18"/>
          <w:szCs w:val="18"/>
          <w:color w:val="auto"/>
        </w:rPr>
      </w:pPr>
    </w:p>
    <w:p>
      <w:pPr>
        <w:ind w:left="1040" w:hanging="212"/>
        <w:spacing w:after="0"/>
        <w:tabs>
          <w:tab w:leader="none" w:pos="10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number of Post Nominees shall be three;</w:t>
      </w:r>
    </w:p>
    <w:p>
      <w:pPr>
        <w:spacing w:after="0" w:line="117" w:lineRule="exact"/>
        <w:rPr>
          <w:rFonts w:ascii="Arial" w:cs="Arial" w:eastAsia="Arial" w:hAnsi="Arial"/>
          <w:sz w:val="18"/>
          <w:szCs w:val="18"/>
          <w:color w:val="auto"/>
        </w:rPr>
      </w:pPr>
    </w:p>
    <w:p>
      <w:pPr>
        <w:ind w:left="1100" w:hanging="272"/>
        <w:spacing w:after="0"/>
        <w:tabs>
          <w:tab w:leader="none" w:pos="11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directors serving as Post Nominees shall be Darcy Horn Davenport, Thomas P. Erickson and Robert V. Vitale;</w:t>
      </w:r>
    </w:p>
    <w:p>
      <w:pPr>
        <w:spacing w:after="0" w:line="117" w:lineRule="exact"/>
        <w:rPr>
          <w:rFonts w:ascii="Arial" w:cs="Arial" w:eastAsia="Arial" w:hAnsi="Arial"/>
          <w:sz w:val="18"/>
          <w:szCs w:val="18"/>
          <w:color w:val="auto"/>
        </w:rPr>
      </w:pPr>
    </w:p>
    <w:p>
      <w:pPr>
        <w:ind w:left="1140" w:hanging="312"/>
        <w:spacing w:after="0"/>
        <w:tabs>
          <w:tab w:leader="none" w:pos="11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terms of office of the initial Post Nominees shall be as follows:</w:t>
      </w:r>
    </w:p>
    <w:p>
      <w:pPr>
        <w:spacing w:after="0" w:line="117" w:lineRule="exact"/>
        <w:rPr>
          <w:rFonts w:ascii="Arial" w:cs="Arial" w:eastAsia="Arial" w:hAnsi="Arial"/>
          <w:sz w:val="18"/>
          <w:szCs w:val="18"/>
          <w:color w:val="auto"/>
        </w:rPr>
      </w:pPr>
    </w:p>
    <w:p>
      <w:pPr>
        <w:ind w:left="1660" w:hanging="303"/>
        <w:spacing w:after="0"/>
        <w:tabs>
          <w:tab w:leader="none" w:pos="166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Darcy Horn Davenport shall serve for a term expiring at the Company’s annual meeting of stockholders in 2020;</w:t>
      </w:r>
    </w:p>
    <w:p>
      <w:pPr>
        <w:spacing w:after="0" w:line="117" w:lineRule="exact"/>
        <w:rPr>
          <w:rFonts w:ascii="Arial" w:cs="Arial" w:eastAsia="Arial" w:hAnsi="Arial"/>
          <w:sz w:val="18"/>
          <w:szCs w:val="18"/>
          <w:color w:val="auto"/>
        </w:rPr>
      </w:pPr>
    </w:p>
    <w:p>
      <w:pPr>
        <w:ind w:left="1640" w:hanging="283"/>
        <w:spacing w:after="0"/>
        <w:tabs>
          <w:tab w:leader="none" w:pos="16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Thomas P. Erickson shall serve for a term expiring at the Company’s annual meeting of stockholders in 2021; and</w:t>
      </w:r>
    </w:p>
    <w:p>
      <w:pPr>
        <w:spacing w:after="0" w:line="117" w:lineRule="exact"/>
        <w:rPr>
          <w:rFonts w:ascii="Arial" w:cs="Arial" w:eastAsia="Arial" w:hAnsi="Arial"/>
          <w:sz w:val="18"/>
          <w:szCs w:val="18"/>
          <w:color w:val="auto"/>
        </w:rPr>
      </w:pPr>
    </w:p>
    <w:p>
      <w:pPr>
        <w:ind w:left="1640" w:hanging="283"/>
        <w:spacing w:after="0"/>
        <w:tabs>
          <w:tab w:leader="none" w:pos="16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Robert V. Vitale shall serve for a term expiring at the Company’s annual meeting of stockholders in 2022; and</w:t>
      </w:r>
    </w:p>
    <w:p>
      <w:pPr>
        <w:spacing w:after="0" w:line="117" w:lineRule="exact"/>
        <w:rPr>
          <w:rFonts w:ascii="Arial" w:cs="Arial" w:eastAsia="Arial" w:hAnsi="Arial"/>
          <w:sz w:val="18"/>
          <w:szCs w:val="18"/>
          <w:color w:val="auto"/>
        </w:rPr>
      </w:pPr>
    </w:p>
    <w:p>
      <w:pPr>
        <w:jc w:val="both"/>
        <w:ind w:left="400" w:right="20" w:firstLine="428"/>
        <w:spacing w:after="0" w:line="291" w:lineRule="auto"/>
        <w:tabs>
          <w:tab w:leader="none" w:pos="112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at least three directors shall be independent directors permitted by SEC rules to serve on the Company’s audit committee (such persons, the “</w:t>
      </w:r>
      <w:r>
        <w:rPr>
          <w:rFonts w:ascii="Arial" w:cs="Arial" w:eastAsia="Arial" w:hAnsi="Arial"/>
          <w:sz w:val="16"/>
          <w:szCs w:val="16"/>
          <w:u w:val="single" w:color="auto"/>
          <w:color w:val="auto"/>
        </w:rPr>
        <w:t>Audit Committee Independent Directors</w:t>
      </w:r>
      <w:r>
        <w:rPr>
          <w:rFonts w:ascii="Arial" w:cs="Arial" w:eastAsia="Arial" w:hAnsi="Arial"/>
          <w:sz w:val="16"/>
          <w:szCs w:val="16"/>
          <w:color w:val="auto"/>
        </w:rPr>
        <w:t>”), at least one of whom shall be an audit committee financial expert as defined under Item 407(d)(5)</w:t>
      </w:r>
    </w:p>
    <w:p>
      <w:pPr>
        <w:ind w:left="660" w:hanging="256"/>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of SEC Regulation S-K.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119" w:name="page120"/>
    <w:bookmarkEnd w:id="119"/>
    <w:p>
      <w:pPr>
        <w:ind w:left="260" w:hanging="256"/>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 Nominees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28"/>
        <w:spacing w:after="0" w:line="308" w:lineRule="auto"/>
        <w:tabs>
          <w:tab w:leader="none" w:pos="63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For so long as the Company has a classified Board, each of the Post Nominees shall be assigned to a class of directors of the Company such that the number of Post Nominees in each class shall be as nearly equal in number as is reasonably possible.</w:t>
      </w:r>
    </w:p>
    <w:p>
      <w:pPr>
        <w:spacing w:after="0" w:line="38" w:lineRule="exact"/>
        <w:rPr>
          <w:rFonts w:ascii="Arial" w:cs="Arial" w:eastAsia="Arial" w:hAnsi="Arial"/>
          <w:sz w:val="17"/>
          <w:szCs w:val="17"/>
          <w:color w:val="auto"/>
        </w:rPr>
      </w:pPr>
    </w:p>
    <w:p>
      <w:pPr>
        <w:ind w:firstLine="428"/>
        <w:spacing w:after="0" w:line="288" w:lineRule="auto"/>
        <w:tabs>
          <w:tab w:leader="none" w:pos="68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Anything in the Bylaws to the contrary notwithstanding, with respect to any Post Nominees to be elected at any meeting of stockholders to be held after the date of the Initial Public Offering, Post shall designate the Post Nominees to be elected at such meeting by delivering to the Company written notice designating the Post Nominees to be elected at such meeting and setting forth such Post Nominees’ business address, telephone number and e-mail address, (A) in the case of an annual meeting, (1) within 10 days following its receipt of written notice from the Company notifying Post of the date of the first annual meeting after the date of the Initial Public Offering, in the case of the first annual meeting after the date of the Initial Public Offering, and (2) at least 120 days prior to the one year anniversary of the preceding annual meeting, in the case of subsequent annual meetings, and (B) in the case of a special meeting where directors will be elected, within 10 days following the date that Post receives written notice from the Company notifying Post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Post shall fail to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w:t>
      </w:r>
    </w:p>
    <w:p>
      <w:pPr>
        <w:spacing w:after="0" w:line="61" w:lineRule="exact"/>
        <w:rPr>
          <w:rFonts w:ascii="Arial" w:cs="Arial" w:eastAsia="Arial" w:hAnsi="Arial"/>
          <w:sz w:val="16"/>
          <w:szCs w:val="16"/>
          <w:color w:val="auto"/>
        </w:rPr>
      </w:pPr>
    </w:p>
    <w:p>
      <w:pPr>
        <w:ind w:right="20" w:firstLine="428"/>
        <w:spacing w:after="0" w:line="269" w:lineRule="auto"/>
        <w:tabs>
          <w:tab w:leader="none" w:pos="73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Notwithstanding the foregoing, and subject to Section 6 of the Certificate of Incorporation, (A) if the Board or the Company determines to elect directors by written consent and not at a meeting of stockholders, including election by a consent in lieu of a meeting of stockholders as provided under Section 211(b) of the Delaware General Corporation Law, the Company shall so notify Post in writing (the “</w:t>
      </w:r>
      <w:r>
        <w:rPr>
          <w:rFonts w:ascii="Arial" w:cs="Arial" w:eastAsia="Arial" w:hAnsi="Arial"/>
          <w:sz w:val="17"/>
          <w:szCs w:val="17"/>
          <w:u w:val="single" w:color="auto"/>
          <w:color w:val="auto"/>
        </w:rPr>
        <w:t>Consent Notice</w:t>
      </w:r>
      <w:r>
        <w:rPr>
          <w:rFonts w:ascii="Arial" w:cs="Arial" w:eastAsia="Arial" w:hAnsi="Arial"/>
          <w:sz w:val="17"/>
          <w:szCs w:val="17"/>
          <w:color w:val="auto"/>
        </w:rPr>
        <w:t xml:space="preserve">”), and Post shall designate the Post Nominees to be so elected by written consent, if any, by delivering to the Company written notice designating the Post Nominees, and setting forth such Post Nominees’ business address, telephone number and e-mail address, by the date that is 10 days following its receipt of the Consent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if Post shall fail to timely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 and (B) if Post determines to elect directors by written consent without action on the part of the Company or the Board, Post may effect by written consent the election of such Post Nominees and other directors as it deems necessary, appropriate or advisable, each director to serve for a term of office as provided in the Certificate of Incorporation and Bylaws of the Company.</w:t>
      </w:r>
    </w:p>
    <w:p>
      <w:pPr>
        <w:spacing w:after="0" w:line="74" w:lineRule="exact"/>
        <w:rPr>
          <w:rFonts w:ascii="Arial" w:cs="Arial" w:eastAsia="Arial" w:hAnsi="Arial"/>
          <w:sz w:val="17"/>
          <w:szCs w:val="17"/>
          <w:color w:val="auto"/>
        </w:rPr>
      </w:pPr>
    </w:p>
    <w:p>
      <w:pPr>
        <w:ind w:right="140" w:firstLine="428"/>
        <w:spacing w:after="0" w:line="255" w:lineRule="auto"/>
        <w:tabs>
          <w:tab w:leader="none" w:pos="72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hereby agrees that (A) at each annual or special meeting of stockholders of the Company at which directors are to be elected and (B) in connection with any election of directors by written consent, in each case subject to any rights of the holders of shares of any class or series of preferred stock of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the Post Nominees to be elected to the Board.</w:t>
      </w:r>
    </w:p>
    <w:p>
      <w:pPr>
        <w:spacing w:after="0" w:line="85" w:lineRule="exact"/>
        <w:rPr>
          <w:rFonts w:ascii="Arial" w:cs="Arial" w:eastAsia="Arial" w:hAnsi="Arial"/>
          <w:sz w:val="18"/>
          <w:szCs w:val="18"/>
          <w:color w:val="auto"/>
        </w:rPr>
      </w:pPr>
    </w:p>
    <w:p>
      <w:pPr>
        <w:ind w:right="340" w:firstLine="428"/>
        <w:spacing w:after="0" w:line="277" w:lineRule="auto"/>
        <w:tabs>
          <w:tab w:leader="none" w:pos="6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For avoidance of doubt, the notice and other requirements set forth in Sections 1(d) through 1(h) of Article II of the Bylaws shall not apply to Post or any Post Nominee.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120" w:name="page121"/>
    <w:bookmarkEnd w:id="120"/>
    <w:p>
      <w:pPr>
        <w:ind w:right="560" w:firstLine="444"/>
        <w:spacing w:after="0" w:line="277"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Committees</w:t>
      </w:r>
      <w:r>
        <w:rPr>
          <w:rFonts w:ascii="Arial" w:cs="Arial" w:eastAsia="Arial" w:hAnsi="Arial"/>
          <w:sz w:val="18"/>
          <w:szCs w:val="18"/>
          <w:color w:val="auto"/>
        </w:rPr>
        <w:t>. The Board shall have a corporate governance committee and compensation committee, an audit committee and such other committees as the Board may determine (collectively, the “</w:t>
      </w:r>
      <w:r>
        <w:rPr>
          <w:rFonts w:ascii="Arial" w:cs="Arial" w:eastAsia="Arial" w:hAnsi="Arial"/>
          <w:sz w:val="18"/>
          <w:szCs w:val="18"/>
          <w:u w:val="single" w:color="auto"/>
          <w:color w:val="auto"/>
        </w:rPr>
        <w:t>Committees</w:t>
      </w:r>
      <w:r>
        <w:rPr>
          <w:rFonts w:ascii="Arial" w:cs="Arial" w:eastAsia="Arial" w:hAnsi="Arial"/>
          <w:sz w:val="18"/>
          <w:szCs w:val="18"/>
          <w:color w:val="auto"/>
        </w:rPr>
        <w:t>”). Subject to Section 3.02:</w:t>
      </w:r>
    </w:p>
    <w:p>
      <w:pPr>
        <w:spacing w:after="0" w:line="62" w:lineRule="exact"/>
        <w:rPr>
          <w:rFonts w:ascii="Arial" w:cs="Arial" w:eastAsia="Arial" w:hAnsi="Arial"/>
          <w:sz w:val="18"/>
          <w:szCs w:val="18"/>
          <w:color w:val="auto"/>
        </w:rPr>
      </w:pPr>
    </w:p>
    <w:p>
      <w:pPr>
        <w:ind w:left="440" w:right="40" w:firstLine="428"/>
        <w:spacing w:after="0" w:line="264" w:lineRule="auto"/>
        <w:tabs>
          <w:tab w:leader="none" w:pos="107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audit committee shall consist of at least three Audit Committee Independent Directors under Rule 10A-3 under the Exchange Act and the NYSE Listed Company Manual, and Post shall have the right to designate from the members of the Board the members of the Audit Committee subject to Section 3.02(b); and</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each other Committee shall consist of at least three directors, and Post shall have the right to designate from the members of the Board the members of each such Committee subject to Section 3.02(b);</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however, that: (i) the membership of each Committee shall meet the requirements of Applicable Governance Rules, and (ii) subject to clause (i), each Committee shall have such number of directors as the Board may determine, which determination shall be made on the recommendation of the corporate governance and compensation committee. Each Committee shall have such powers and responsibilities as the Board may from time to time authorize.</w:t>
      </w:r>
    </w:p>
    <w:p>
      <w:pPr>
        <w:spacing w:after="0" w:line="79" w:lineRule="exact"/>
        <w:rPr>
          <w:sz w:val="20"/>
          <w:szCs w:val="20"/>
          <w:color w:val="auto"/>
        </w:rPr>
      </w:pPr>
    </w:p>
    <w:p>
      <w:pPr>
        <w:ind w:firstLine="444"/>
        <w:spacing w:after="0" w:line="269" w:lineRule="auto"/>
        <w:tabs>
          <w:tab w:leader="none" w:pos="695"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Removal and Replacement of Post Nominees</w:t>
      </w:r>
      <w:r>
        <w:rPr>
          <w:rFonts w:ascii="Arial" w:cs="Arial" w:eastAsia="Arial" w:hAnsi="Arial"/>
          <w:sz w:val="17"/>
          <w:szCs w:val="17"/>
          <w:color w:val="auto"/>
        </w:rPr>
        <w:t>. If a vacancy is created on the Board or a Committee as a result of the death, disability, retirement, resignation or removal of any Post Nominee, then Post shall have the right to designate such person’s replacement, and the person so designated shall be deemed to be a Post Nominee. If such vacancy shall be filled by the Board, the Company shall follow its applicable corporate governance policies and procedures to cause any such Post Nominee to be appointed to the Board. If such vacancy shall be filled at a meeting of stockholders or, subject to Section 6 of the Certificate of Incorporation, through written consents authorized or solicited by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such Post Nominees to be elected to the Board. Subject to Section 6 of the Certificate of Incorporation, Post may fill the vacancy by written consent, and the person so elected by such written consent shall be deemed to be a Post Nominee. No Post Nominee shall be required to resign or be removed from the Board or any Committee as a result of a decrease in the size of the Board or any Committee, except as required by Applicable Governance Rules.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Reduction of Post’s Board and Committee Rights</w:t>
      </w:r>
      <w:r>
        <w:rPr>
          <w:rFonts w:ascii="Arial" w:cs="Arial" w:eastAsia="Arial" w:hAnsi="Arial"/>
          <w:sz w:val="18"/>
          <w:szCs w:val="18"/>
          <w:i w:val="1"/>
          <w:iCs w:val="1"/>
          <w:color w:val="auto"/>
        </w:rPr>
        <w:t>.</w:t>
      </w:r>
    </w:p>
    <w:p>
      <w:pPr>
        <w:spacing w:after="0" w:line="117" w:lineRule="exact"/>
        <w:rPr>
          <w:sz w:val="20"/>
          <w:szCs w:val="20"/>
          <w:color w:val="auto"/>
        </w:rPr>
      </w:pPr>
    </w:p>
    <w:p>
      <w:pPr>
        <w:ind w:right="140" w:firstLine="444"/>
        <w:spacing w:after="0" w:line="259" w:lineRule="auto"/>
        <w:tabs>
          <w:tab w:leader="none" w:pos="68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Board Nominees</w:t>
      </w:r>
      <w:r>
        <w:rPr>
          <w:rFonts w:ascii="Arial" w:cs="Arial" w:eastAsia="Arial" w:hAnsi="Arial"/>
          <w:sz w:val="18"/>
          <w:szCs w:val="18"/>
          <w:color w:val="auto"/>
        </w:rPr>
        <w:t>. Notwithstanding anything to the contrary in this Agreement, after the Initial Public Offering, the number of Post Nominees that may be designated by Post pursuant to Section 3.01(a)(i) shall be determined based on the percentage of the votes that may be cast by the Post Stockholders under the Certificate of Incorporation on their own behalf without instructions or directions from Persons other than the Company or any of its Subsidiaries or the Post Stockholders, so that the Post Nominees constitute:</w:t>
      </w:r>
    </w:p>
    <w:p>
      <w:pPr>
        <w:spacing w:after="0" w:line="78" w:lineRule="exact"/>
        <w:rPr>
          <w:rFonts w:ascii="Arial" w:cs="Arial" w:eastAsia="Arial" w:hAnsi="Arial"/>
          <w:sz w:val="18"/>
          <w:szCs w:val="18"/>
          <w:color w:val="auto"/>
        </w:rPr>
      </w:pPr>
    </w:p>
    <w:p>
      <w:pPr>
        <w:ind w:left="440" w:right="140" w:firstLine="428"/>
        <w:spacing w:after="0" w:line="264" w:lineRule="auto"/>
        <w:tabs>
          <w:tab w:leader="none" w:pos="10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majority of the directors on the Board (and if the number of directors on the Board is even, one director more than 50% of the number of directors on the Board), if the votes that may be cast by the Post Stockholders on their own behalf are greater than 50% of the total voting power of all of the outstanding Shares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21" w:name="page122"/>
    <w:bookmarkEnd w:id="121"/>
    <w:p>
      <w:pPr>
        <w:ind w:left="440" w:firstLine="428"/>
        <w:spacing w:after="0" w:line="264" w:lineRule="auto"/>
        <w:tabs>
          <w:tab w:leader="none" w:pos="11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less than a majority of the directors on the Board (and if the number of directors on the Board is even, 50% of the number of directors on the Board), if the votes that may be cast by the Post Stockholders on their own behalf are greater than 25% but 50% or less of the total voting power of all of the outstanding Shares of the Company;</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one-third of the directors on the Board (rounded down to the nearest whole number), if the votes that may be cast by the Post</w:t>
      </w:r>
    </w:p>
    <w:p>
      <w:pPr>
        <w:spacing w:after="0" w:line="34" w:lineRule="exact"/>
        <w:rPr>
          <w:rFonts w:ascii="Arial" w:cs="Arial" w:eastAsia="Arial" w:hAnsi="Arial"/>
          <w:sz w:val="17"/>
          <w:szCs w:val="17"/>
          <w:color w:val="auto"/>
        </w:rPr>
      </w:pPr>
    </w:p>
    <w:p>
      <w:pPr>
        <w:ind w:left="440" w:right="120"/>
        <w:spacing w:after="0" w:line="261" w:lineRule="auto"/>
        <w:rPr>
          <w:rFonts w:ascii="Arial" w:cs="Arial" w:eastAsia="Arial" w:hAnsi="Arial"/>
          <w:sz w:val="17"/>
          <w:szCs w:val="17"/>
          <w:color w:val="auto"/>
        </w:rPr>
      </w:pPr>
      <w:r>
        <w:rPr>
          <w:rFonts w:ascii="Arial" w:cs="Arial" w:eastAsia="Arial" w:hAnsi="Arial"/>
          <w:sz w:val="18"/>
          <w:szCs w:val="18"/>
          <w:color w:val="auto"/>
        </w:rPr>
        <w:t>Stockholders on their own behalf are greater than 10% but 25% or less of the total voting power of all of the outstanding Shares of the Company; and</w:t>
      </w:r>
    </w:p>
    <w:p>
      <w:pPr>
        <w:spacing w:after="0" w:line="75" w:lineRule="exact"/>
        <w:rPr>
          <w:rFonts w:ascii="Arial" w:cs="Arial" w:eastAsia="Arial" w:hAnsi="Arial"/>
          <w:sz w:val="17"/>
          <w:szCs w:val="17"/>
          <w:color w:val="auto"/>
        </w:rPr>
      </w:pPr>
    </w:p>
    <w:p>
      <w:pPr>
        <w:ind w:left="440" w:right="60" w:firstLine="428"/>
        <w:spacing w:after="0" w:line="277"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directors if the votes that may be cast by the Post Stockholders on their own behalf are 10% or less of the total voting power of all of the outstanding Shares of the Company.</w:t>
      </w:r>
    </w:p>
    <w:p>
      <w:pPr>
        <w:spacing w:after="0" w:line="170"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color w:val="auto"/>
        </w:rPr>
        <w:t>Post shall cause the appropriate number of Post Nominees to resign as required to comply with this Section 3.02 upon the earlier to occur of (i) the date on which the current term of the resigning Post Nominee ends, and (ii) 12 months from the occurrence of an event resulting in the votes that may be cast by the Post Stockholders crossing a threshold described in Section 3.02(a)(i) through (iv). To the extent deemed reasonably necessary by the Board to comply with Applicable Governance Rules (including with respect to composition of committees), Post shall designate Independent Directors as Post Nominees; provided that directors who are affiliated with a Post Party shall not be automatically deemed not to be Independent Directors.</w:t>
      </w:r>
    </w:p>
    <w:p>
      <w:pPr>
        <w:spacing w:after="0" w:line="50" w:lineRule="exact"/>
        <w:rPr>
          <w:sz w:val="20"/>
          <w:szCs w:val="20"/>
          <w:color w:val="auto"/>
        </w:rPr>
      </w:pPr>
    </w:p>
    <w:p>
      <w:pPr>
        <w:ind w:right="180" w:firstLine="444"/>
        <w:spacing w:after="0" w:line="264"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Notwithstanding anything to the contrary in this Agreement, if the votes that may be cast by the Post Stockholders on their own behalf are less than 25% of the total voting power of all of the outstanding Shares of the Company, Post shall cease to have the rights to designate members of Committees pursuant to Section 3.01(c).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when the votes that may be cast by the Post Stockholders on their own behalf are less than 2.5% of the total voting power of all of the outstanding Shares; provided, however, that any Stockholder that ceases to own beneficially any Registrable Securities or BellRing LLC Units shall cease to be bound by the terms hereof other than (i) Section 2.05, Section 2.06, Section 2.07, Section 2.08 and Section 2.10 applicable to such Stockholder with respect to any offering of Registrable Securities completed before the date such Stockholder ceased to own any Registrable Securities or BellRing LLC Units and (ii) Section 5.01, Section 5.02 and Section 5.04 through Section 5.11.</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7"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62" w:lineRule="exact"/>
        <w:rPr>
          <w:rFonts w:ascii="Arial" w:cs="Arial" w:eastAsia="Arial" w:hAnsi="Arial"/>
          <w:sz w:val="18"/>
          <w:szCs w:val="18"/>
          <w:color w:val="auto"/>
        </w:rPr>
      </w:pPr>
    </w:p>
    <w:p>
      <w:pPr>
        <w:ind w:right="360" w:firstLine="444"/>
        <w:spacing w:after="0" w:line="277" w:lineRule="auto"/>
        <w:tabs>
          <w:tab w:leader="none" w:pos="6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Section 2.12, neither this Agreement nor any right, remedy, obligation or liability arising hereunder or by reason hereof shall be assignable by any party.</w:t>
      </w:r>
    </w:p>
    <w:p>
      <w:pPr>
        <w:spacing w:after="0" w:line="62" w:lineRule="exact"/>
        <w:rPr>
          <w:rFonts w:ascii="Arial" w:cs="Arial" w:eastAsia="Arial" w:hAnsi="Arial"/>
          <w:sz w:val="18"/>
          <w:szCs w:val="18"/>
          <w:color w:val="auto"/>
        </w:rPr>
      </w:pPr>
    </w:p>
    <w:p>
      <w:pPr>
        <w:ind w:right="200" w:firstLine="444"/>
        <w:spacing w:after="0" w:line="342" w:lineRule="auto"/>
        <w:tabs>
          <w:tab w:leader="none" w:pos="6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22" w:name="page123"/>
    <w:bookmarkEnd w:id="122"/>
    <w:p>
      <w:pPr>
        <w:ind w:right="9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Notices</w:t>
      </w:r>
      <w:r>
        <w:rPr>
          <w:rFonts w:ascii="Arial" w:cs="Arial" w:eastAsia="Arial" w:hAnsi="Arial"/>
          <w:sz w:val="18"/>
          <w:szCs w:val="18"/>
          <w:i w:val="1"/>
          <w:iCs w:val="1"/>
          <w:color w:val="auto"/>
        </w:rPr>
        <w:t>.</w:t>
      </w:r>
      <w:r>
        <w:rPr>
          <w:rFonts w:ascii="Arial" w:cs="Arial" w:eastAsia="Arial" w:hAnsi="Arial"/>
          <w:sz w:val="18"/>
          <w:szCs w:val="18"/>
          <w:color w:val="auto"/>
        </w:rPr>
        <w:t xml:space="preserve"> All notices, requests and other communications to any party hereunder shall be in writing (including electronic transmission) and shall be given,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President and CEO</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2305 S. Hanley 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if to any other party hereto, to the address (including electronic transmission) specified on the joinder to this Agreement signed by such party hereto,</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or such other address as such party may hereafter specify for the purpose by notice to the other parties hereto. 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Any Person that becomes a Stockholder shall provide its address and e-mail address to the Company, which shall promptly provide such information to each other Stockholder.</w:t>
      </w:r>
    </w:p>
    <w:p>
      <w:pPr>
        <w:spacing w:after="0" w:line="188"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Amendments and Waivers</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Agreement may be amended or waived if, but only if, such amendment or waiver is in writing and is signed by the Company and Post.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4" w:lineRule="exact"/>
        <w:rPr>
          <w:sz w:val="20"/>
          <w:szCs w:val="20"/>
          <w:color w:val="auto"/>
        </w:rPr>
      </w:pPr>
    </w:p>
    <w:p>
      <w:pPr>
        <w:jc w:val="both"/>
        <w:ind w:right="180" w:firstLine="441"/>
        <w:spacing w:after="0" w:line="30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Governing Law</w:t>
      </w:r>
      <w:r>
        <w:rPr>
          <w:rFonts w:ascii="Arial" w:cs="Arial" w:eastAsia="Arial" w:hAnsi="Arial"/>
          <w:sz w:val="16"/>
          <w:szCs w:val="16"/>
          <w:i w:val="1"/>
          <w:iCs w:val="1"/>
          <w:color w:val="auto"/>
        </w:rPr>
        <w:t>.</w:t>
      </w:r>
      <w:r>
        <w:rPr>
          <w:rFonts w:ascii="Arial" w:cs="Arial" w:eastAsia="Arial" w:hAnsi="Arial"/>
          <w:sz w:val="16"/>
          <w:szCs w:val="16"/>
          <w:color w:val="auto"/>
        </w:rPr>
        <w:t xml:space="preserve"> The corporate law of the State of Delaware shall govern all issues and questions concerning the relative rights of the Company and its stockholders pursuant to Article III hereto. All other issues and questions concerning the construction, validity, interpretation and enforcement of this Agreement and the exhibits and schedules hereto shall be governed by, and construed in accordance with, the laws of the State of Delaware, without regard to the choice of law or conflicts of law provisions that would indicate the applicability of the laws of any other jurisdiction.</w:t>
      </w:r>
    </w:p>
    <w:p>
      <w:pPr>
        <w:spacing w:after="0" w:line="154"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23" w:name="page124"/>
    <w:bookmarkEnd w:id="12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18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Specific Enforcement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 Effectiveness; Third Party Beneficiaries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initial party hereto shall have received a counterpart hereof signed by all of the other initial parties hereto. Until and unless each initial party has received a counterpart hereof signed by the other initial parties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8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Entire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together with the Exhibit hereto and any documents, instruments and writings that are delivered pursuant hereto, constitutes the entire agreement among the parties with respect to the subject matter of this Agreement and supersedes all prior agreements and understandings, both oral and written, among the parties hereto with respect to the subject matter of this Agreement.</w:t>
      </w:r>
    </w:p>
    <w:p>
      <w:pPr>
        <w:spacing w:after="0" w:line="14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7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Certificate of Incorporation Supersedes</w:t>
      </w:r>
      <w:r>
        <w:rPr>
          <w:rFonts w:ascii="Arial" w:cs="Arial" w:eastAsia="Arial" w:hAnsi="Arial"/>
          <w:sz w:val="18"/>
          <w:szCs w:val="18"/>
          <w:color w:val="auto"/>
        </w:rPr>
        <w:t>. Nothing in this Agreement is intended to conflict with any provision of the Certificate of Incorporation or Bylaws, each in effect on the date hereof and, in the event of any such conflict, the applicable provisions of the Certificate of Incorporation or Bylaws shall supersede the conflicting provision of this Agreement.</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left blank; signature pages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Darcy Horn Davenport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2040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-130810</wp:posOffset>
            </wp:positionV>
            <wp:extent cx="26073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6"/>
          <w:szCs w:val="16"/>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22040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I</w:t>
      </w:r>
      <w:r>
        <w:rPr>
          <w:rFonts w:ascii="Arial" w:cs="Arial" w:eastAsia="Arial" w:hAnsi="Arial"/>
          <w:sz w:val="14"/>
          <w:szCs w:val="14"/>
          <w:color w:val="auto"/>
        </w:rPr>
        <w:t>NVESTOR</w:t>
      </w:r>
      <w:r>
        <w:rPr>
          <w:rFonts w:ascii="Arial" w:cs="Arial" w:eastAsia="Arial" w:hAnsi="Arial"/>
          <w:sz w:val="17"/>
          <w:szCs w:val="17"/>
          <w:color w:val="auto"/>
        </w:rPr>
        <w:t xml:space="preserve"> R</w:t>
      </w:r>
      <w:r>
        <w:rPr>
          <w:rFonts w:ascii="Arial" w:cs="Arial" w:eastAsia="Arial" w:hAnsi="Arial"/>
          <w:sz w:val="14"/>
          <w:szCs w:val="14"/>
          <w:color w:val="auto"/>
        </w:rPr>
        <w:t>IGHTS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ELL</w:t>
      </w:r>
      <w:r>
        <w:rPr>
          <w:rFonts w:ascii="Arial" w:cs="Arial" w:eastAsia="Arial" w:hAnsi="Arial"/>
          <w:sz w:val="18"/>
          <w:szCs w:val="18"/>
          <w:color w:val="auto"/>
        </w:rPr>
        <w:t>R</w:t>
      </w:r>
      <w:r>
        <w:rPr>
          <w:rFonts w:ascii="Arial" w:cs="Arial" w:eastAsia="Arial" w:hAnsi="Arial"/>
          <w:sz w:val="15"/>
          <w:szCs w:val="15"/>
          <w:color w:val="auto"/>
        </w:rPr>
        <w:t>ING</w:t>
      </w:r>
      <w:r>
        <w:rPr>
          <w:rFonts w:ascii="Arial" w:cs="Arial" w:eastAsia="Arial" w:hAnsi="Arial"/>
          <w:sz w:val="18"/>
          <w:szCs w:val="18"/>
          <w:color w:val="auto"/>
        </w:rPr>
        <w:t xml:space="preserve"> B</w:t>
      </w:r>
      <w:r>
        <w:rPr>
          <w:rFonts w:ascii="Arial" w:cs="Arial" w:eastAsia="Arial" w:hAnsi="Arial"/>
          <w:sz w:val="15"/>
          <w:szCs w:val="15"/>
          <w:color w:val="auto"/>
        </w:rPr>
        <w:t>RANDS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ectPr>
          <w:pgSz w:w="11900" w:h="16838" w:orient="portrait"/>
          <w:cols w:equalWidth="0" w:num="1">
            <w:col w:w="9300"/>
          </w:cols>
          <w:pgMar w:left="1440" w:top="274" w:right="1159" w:bottom="1440" w:gutter="0" w:footer="0" w:header="0"/>
        </w:sectPr>
      </w:pPr>
    </w:p>
    <w:bookmarkStart w:id="126" w:name="page127"/>
    <w:bookmarkEnd w:id="12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Diedre J. Gray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2040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-130810</wp:posOffset>
            </wp:positionV>
            <wp:extent cx="26073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Counsel and Chief Administrative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5715</wp:posOffset>
            </wp:positionV>
            <wp:extent cx="22040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8"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I</w:t>
      </w:r>
      <w:r>
        <w:rPr>
          <w:rFonts w:ascii="Arial" w:cs="Arial" w:eastAsia="Arial" w:hAnsi="Arial"/>
          <w:sz w:val="14"/>
          <w:szCs w:val="14"/>
          <w:color w:val="auto"/>
        </w:rPr>
        <w:t>NVESTOR</w:t>
      </w:r>
      <w:r>
        <w:rPr>
          <w:rFonts w:ascii="Arial" w:cs="Arial" w:eastAsia="Arial" w:hAnsi="Arial"/>
          <w:sz w:val="17"/>
          <w:szCs w:val="17"/>
          <w:color w:val="auto"/>
        </w:rPr>
        <w:t xml:space="preserve"> R</w:t>
      </w:r>
      <w:r>
        <w:rPr>
          <w:rFonts w:ascii="Arial" w:cs="Arial" w:eastAsia="Arial" w:hAnsi="Arial"/>
          <w:sz w:val="14"/>
          <w:szCs w:val="14"/>
          <w:color w:val="auto"/>
        </w:rPr>
        <w:t>IGHTS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3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OST</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ectPr>
          <w:pgSz w:w="11900" w:h="16838" w:orient="portrait"/>
          <w:cols w:equalWidth="0" w:num="1">
            <w:col w:w="9620"/>
          </w:cols>
          <w:pgMar w:left="1440" w:top="274" w:right="8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TO INVESTOR RIGHTS AGREEMENT</w:t>
      </w:r>
    </w:p>
    <w:p>
      <w:pPr>
        <w:spacing w:after="0" w:line="225" w:lineRule="exact"/>
        <w:rPr>
          <w:sz w:val="20"/>
          <w:szCs w:val="20"/>
          <w:color w:val="auto"/>
        </w:rPr>
      </w:pPr>
    </w:p>
    <w:p>
      <w:pPr>
        <w:jc w:val="both"/>
        <w:ind w:right="120" w:firstLine="441"/>
        <w:spacing w:after="0" w:line="259"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u w:val="single" w:color="auto"/>
          <w:color w:val="auto"/>
        </w:rPr>
        <w:t>Joining Party</w:t>
      </w:r>
      <w:r>
        <w:rPr>
          <w:rFonts w:ascii="Arial" w:cs="Arial" w:eastAsia="Arial" w:hAnsi="Arial"/>
          <w:sz w:val="18"/>
          <w:szCs w:val="18"/>
          <w:color w:val="auto"/>
        </w:rPr>
        <w:t>”) in accordance with the Investor Rights Agreement dated as of October 21, 2019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among BellRing Brands, Inc. and the other parties thereto, as the same may be amended from time to time. Capitalized terms used, but not defined, herein shall have the meanings ascribed to such terms in the Investor Rights Agreement.</w:t>
      </w:r>
    </w:p>
    <w:p>
      <w:pPr>
        <w:spacing w:after="0" w:line="18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Investor Rights Agreement as of the date hereof and shall have all of the rights and obligations of a “Stockholder” thereunder as if it had executed the Investor Rights Agreement. The Joining Party hereby ratifies, as of the date hereof, and agrees to be bound by, all of the terms, provisions and conditions contained in the Investor Rights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___, 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14605</wp:posOffset>
            </wp:positionV>
            <wp:extent cx="22040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14605</wp:posOffset>
            </wp:positionV>
            <wp:extent cx="22040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Address: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XHIBIT</w:t>
      </w:r>
      <w:r>
        <w:rPr>
          <w:rFonts w:ascii="Arial" w:cs="Arial" w:eastAsia="Arial" w:hAnsi="Arial"/>
          <w:sz w:val="18"/>
          <w:szCs w:val="18"/>
          <w:color w:val="auto"/>
        </w:rPr>
        <w:t xml:space="preserve"> A - 1</w:t>
      </w:r>
    </w:p>
    <w:p>
      <w:pPr>
        <w:sectPr>
          <w:pgSz w:w="11900" w:h="16838" w:orient="portrait"/>
          <w:cols w:equalWidth="0" w:num="1">
            <w:col w:w="11020"/>
          </w:cols>
          <w:pgMar w:left="440"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TAX MATTERS AGREEMENT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BellRing Brands, LLC</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21, 2019</w:t>
      </w:r>
    </w:p>
    <w:p>
      <w:pPr>
        <w:sectPr>
          <w:pgSz w:w="11900" w:h="16838" w:orient="portrait"/>
          <w:cols w:equalWidth="0" w:num="1">
            <w:col w:w="10020"/>
          </w:cols>
          <w:pgMar w:left="1440" w:top="121" w:right="4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9"/>
              </w:rPr>
              <w:t>ARTICLE I</w:t>
            </w:r>
          </w:p>
        </w:tc>
        <w:tc>
          <w:tcPr>
            <w:tcW w:w="1540" w:type="dxa"/>
            <w:vAlign w:val="bottom"/>
          </w:tcPr>
          <w:p>
            <w:pPr>
              <w:spacing w:after="0"/>
              <w:rPr>
                <w:sz w:val="20"/>
                <w:szCs w:val="20"/>
                <w:color w:val="auto"/>
              </w:rPr>
            </w:pP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7"/>
              </w:rPr>
              <w:t>Definitions</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1.01</w:t>
            </w:r>
          </w:p>
        </w:tc>
        <w:tc>
          <w:tcPr>
            <w:tcW w:w="8440" w:type="dxa"/>
            <w:vAlign w:val="bottom"/>
          </w:tcPr>
          <w:p>
            <w:pPr>
              <w:ind w:left="80"/>
              <w:spacing w:after="0"/>
              <w:rPr>
                <w:sz w:val="20"/>
                <w:szCs w:val="20"/>
                <w:color w:val="auto"/>
              </w:rPr>
            </w:pPr>
            <w:r>
              <w:rPr>
                <w:rFonts w:ascii="Arial" w:cs="Arial" w:eastAsia="Arial" w:hAnsi="Arial"/>
                <w:sz w:val="18"/>
                <w:szCs w:val="18"/>
                <w:color w:val="auto"/>
              </w:rPr>
              <w:t>General</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1.02  Rules of Interpretation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8"/>
              </w:rPr>
              <w:t>ARTICLE II</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0"/>
              </w:rPr>
              <w:t>Preparation, Filing and Payment of Taxes Shown Due on Tax Returns</w:t>
            </w:r>
          </w:p>
        </w:tc>
        <w:tc>
          <w:tcPr>
            <w:tcW w:w="15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2.01  Post Consolidated Returns</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2.02  Allocation of Taxes</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2.03  Tax Treatment of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rPr>
              <w:t>ARTICLE III</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2"/>
              </w:rPr>
              <w:t>Indemnification for Taxes</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3.01</w:t>
            </w:r>
          </w:p>
        </w:tc>
        <w:tc>
          <w:tcPr>
            <w:tcW w:w="8440" w:type="dxa"/>
            <w:vAlign w:val="bottom"/>
          </w:tcPr>
          <w:p>
            <w:pPr>
              <w:ind w:left="80"/>
              <w:spacing w:after="0"/>
              <w:rPr>
                <w:sz w:val="20"/>
                <w:szCs w:val="20"/>
                <w:color w:val="auto"/>
              </w:rPr>
            </w:pPr>
            <w:r>
              <w:rPr>
                <w:rFonts w:ascii="Arial" w:cs="Arial" w:eastAsia="Arial" w:hAnsi="Arial"/>
                <w:sz w:val="18"/>
                <w:szCs w:val="18"/>
                <w:color w:val="auto"/>
              </w:rPr>
              <w:t>Indemnified Taxes</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3.02  Refunds of Pre-Closing Taxes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3.03</w:t>
            </w:r>
          </w:p>
        </w:tc>
        <w:tc>
          <w:tcPr>
            <w:tcW w:w="8440" w:type="dxa"/>
            <w:vAlign w:val="bottom"/>
          </w:tcPr>
          <w:p>
            <w:pPr>
              <w:ind w:left="80"/>
              <w:spacing w:after="0"/>
              <w:rPr>
                <w:sz w:val="20"/>
                <w:szCs w:val="20"/>
                <w:color w:val="auto"/>
              </w:rPr>
            </w:pPr>
            <w:r>
              <w:rPr>
                <w:rFonts w:ascii="Arial" w:cs="Arial" w:eastAsia="Arial" w:hAnsi="Arial"/>
                <w:sz w:val="18"/>
                <w:szCs w:val="18"/>
                <w:color w:val="auto"/>
              </w:rPr>
              <w:t>Apportionment</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3.04  Tax Treatment of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3.05</w:t>
            </w:r>
          </w:p>
        </w:tc>
        <w:tc>
          <w:tcPr>
            <w:tcW w:w="8440" w:type="dxa"/>
            <w:vAlign w:val="bottom"/>
          </w:tcPr>
          <w:p>
            <w:pPr>
              <w:ind w:left="80"/>
              <w:spacing w:after="0"/>
              <w:rPr>
                <w:sz w:val="20"/>
                <w:szCs w:val="20"/>
                <w:color w:val="auto"/>
              </w:rPr>
            </w:pPr>
            <w:r>
              <w:rPr>
                <w:rFonts w:ascii="Arial" w:cs="Arial" w:eastAsia="Arial" w:hAnsi="Arial"/>
                <w:sz w:val="18"/>
                <w:szCs w:val="18"/>
                <w:color w:val="auto"/>
              </w:rPr>
              <w:t>Survival</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9"/>
              </w:rPr>
              <w:t>ARTICLE IV</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50"/>
              <w:spacing w:after="0"/>
              <w:rPr>
                <w:sz w:val="20"/>
                <w:szCs w:val="20"/>
                <w:color w:val="auto"/>
              </w:rPr>
            </w:pPr>
            <w:r>
              <w:rPr>
                <w:rFonts w:ascii="Arial" w:cs="Arial" w:eastAsia="Arial" w:hAnsi="Arial"/>
                <w:sz w:val="18"/>
                <w:szCs w:val="18"/>
                <w:color w:val="auto"/>
                <w:w w:val="91"/>
              </w:rPr>
              <w:t>Cooperation</w:t>
            </w:r>
          </w:p>
        </w:tc>
        <w:tc>
          <w:tcPr>
            <w:tcW w:w="1540" w:type="dxa"/>
            <w:vAlign w:val="bottom"/>
          </w:tcPr>
          <w:p>
            <w:pPr>
              <w:spacing w:after="0"/>
              <w:rPr>
                <w:sz w:val="24"/>
                <w:szCs w:val="24"/>
                <w:color w:val="auto"/>
              </w:rPr>
            </w:pP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4.01  Cooperation for Spin-Off Transaction</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440" w:type="dxa"/>
            <w:vAlign w:val="bottom"/>
            <w:gridSpan w:val="2"/>
          </w:tcPr>
          <w:p>
            <w:pPr>
              <w:spacing w:after="0"/>
              <w:rPr>
                <w:sz w:val="20"/>
                <w:szCs w:val="20"/>
                <w:color w:val="auto"/>
              </w:rPr>
            </w:pPr>
            <w:r>
              <w:rPr>
                <w:rFonts w:ascii="Arial" w:cs="Arial" w:eastAsia="Arial" w:hAnsi="Arial"/>
                <w:sz w:val="18"/>
                <w:szCs w:val="18"/>
                <w:color w:val="auto"/>
              </w:rPr>
              <w:t>Section 4.02  Cooperation for Tax Audits</w:t>
            </w: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30"/>
              <w:spacing w:after="0"/>
              <w:rPr>
                <w:sz w:val="20"/>
                <w:szCs w:val="20"/>
                <w:color w:val="auto"/>
              </w:rPr>
            </w:pPr>
            <w:r>
              <w:rPr>
                <w:rFonts w:ascii="Arial" w:cs="Arial" w:eastAsia="Arial" w:hAnsi="Arial"/>
                <w:sz w:val="18"/>
                <w:szCs w:val="18"/>
                <w:color w:val="auto"/>
                <w:w w:val="98"/>
              </w:rPr>
              <w:t>ARTICLE V</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8440" w:type="dxa"/>
            <w:vAlign w:val="bottom"/>
          </w:tcPr>
          <w:p>
            <w:pPr>
              <w:jc w:val="center"/>
              <w:ind w:left="430"/>
              <w:spacing w:after="0"/>
              <w:rPr>
                <w:sz w:val="20"/>
                <w:szCs w:val="20"/>
                <w:color w:val="auto"/>
              </w:rPr>
            </w:pPr>
            <w:r>
              <w:rPr>
                <w:rFonts w:ascii="Arial" w:cs="Arial" w:eastAsia="Arial" w:hAnsi="Arial"/>
                <w:sz w:val="18"/>
                <w:szCs w:val="18"/>
                <w:color w:val="auto"/>
                <w:w w:val="91"/>
              </w:rPr>
              <w:t>Miscellaneous</w:t>
            </w:r>
          </w:p>
        </w:tc>
        <w:tc>
          <w:tcPr>
            <w:tcW w:w="154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5.01</w:t>
            </w:r>
          </w:p>
        </w:tc>
        <w:tc>
          <w:tcPr>
            <w:tcW w:w="84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5.02</w:t>
            </w:r>
          </w:p>
        </w:tc>
        <w:tc>
          <w:tcPr>
            <w:tcW w:w="8440" w:type="dxa"/>
            <w:vAlign w:val="bottom"/>
          </w:tcPr>
          <w:p>
            <w:pPr>
              <w:ind w:left="80"/>
              <w:spacing w:after="0"/>
              <w:rPr>
                <w:sz w:val="20"/>
                <w:szCs w:val="20"/>
                <w:color w:val="auto"/>
              </w:rPr>
            </w:pPr>
            <w:r>
              <w:rPr>
                <w:rFonts w:ascii="Arial" w:cs="Arial" w:eastAsia="Arial" w:hAnsi="Arial"/>
                <w:sz w:val="18"/>
                <w:szCs w:val="18"/>
                <w:color w:val="auto"/>
              </w:rPr>
              <w:t>Dispute Resolution</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5.03</w:t>
            </w:r>
          </w:p>
        </w:tc>
        <w:tc>
          <w:tcPr>
            <w:tcW w:w="84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000" w:type="dxa"/>
            <w:vAlign w:val="bottom"/>
          </w:tcPr>
          <w:p>
            <w:pPr>
              <w:spacing w:after="0"/>
              <w:rPr>
                <w:sz w:val="24"/>
                <w:szCs w:val="24"/>
                <w:color w:val="auto"/>
              </w:rPr>
            </w:pPr>
          </w:p>
        </w:tc>
        <w:tc>
          <w:tcPr>
            <w:tcW w:w="8440" w:type="dxa"/>
            <w:vAlign w:val="bottom"/>
          </w:tcPr>
          <w:p>
            <w:pPr>
              <w:ind w:left="4480"/>
              <w:spacing w:after="0"/>
              <w:rPr>
                <w:sz w:val="20"/>
                <w:szCs w:val="20"/>
                <w:color w:val="auto"/>
              </w:rPr>
            </w:pPr>
            <w:r>
              <w:rPr>
                <w:rFonts w:ascii="Arial" w:cs="Arial" w:eastAsia="Arial" w:hAnsi="Arial"/>
                <w:sz w:val="18"/>
                <w:szCs w:val="18"/>
                <w:color w:val="auto"/>
              </w:rPr>
              <w:t>i</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97"/>
              </w:rPr>
              <w:t>Section 5.04</w:t>
            </w:r>
          </w:p>
        </w:tc>
        <w:tc>
          <w:tcPr>
            <w:tcW w:w="60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5.05</w:t>
            </w:r>
          </w:p>
        </w:tc>
        <w:tc>
          <w:tcPr>
            <w:tcW w:w="606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5.06</w:t>
            </w:r>
          </w:p>
        </w:tc>
        <w:tc>
          <w:tcPr>
            <w:tcW w:w="606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3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5.07</w:t>
            </w:r>
          </w:p>
        </w:tc>
        <w:tc>
          <w:tcPr>
            <w:tcW w:w="6060" w:type="dxa"/>
            <w:vAlign w:val="bottom"/>
          </w:tcPr>
          <w:p>
            <w:pPr>
              <w:ind w:left="80"/>
              <w:spacing w:after="0"/>
              <w:rPr>
                <w:sz w:val="20"/>
                <w:szCs w:val="20"/>
                <w:color w:val="auto"/>
              </w:rPr>
            </w:pPr>
            <w:r>
              <w:rPr>
                <w:rFonts w:ascii="Arial" w:cs="Arial" w:eastAsia="Arial" w:hAnsi="Arial"/>
                <w:sz w:val="18"/>
                <w:szCs w:val="18"/>
                <w:color w:val="auto"/>
              </w:rPr>
              <w:t>Amendments; Waivers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5.08</w:t>
            </w:r>
          </w:p>
        </w:tc>
        <w:tc>
          <w:tcPr>
            <w:tcW w:w="60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60" w:type="dxa"/>
            <w:vAlign w:val="bottom"/>
            <w:gridSpan w:val="2"/>
          </w:tcPr>
          <w:p>
            <w:pPr>
              <w:spacing w:after="0"/>
              <w:rPr>
                <w:sz w:val="20"/>
                <w:szCs w:val="20"/>
                <w:color w:val="auto"/>
              </w:rPr>
            </w:pPr>
            <w:r>
              <w:rPr>
                <w:rFonts w:ascii="Arial" w:cs="Arial" w:eastAsia="Arial" w:hAnsi="Arial"/>
                <w:sz w:val="18"/>
                <w:szCs w:val="18"/>
                <w:color w:val="auto"/>
              </w:rPr>
              <w:t>Section 5.09  Waiver of Jury Trial</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060" w:type="dxa"/>
            <w:vAlign w:val="bottom"/>
            <w:gridSpan w:val="2"/>
          </w:tcPr>
          <w:p>
            <w:pPr>
              <w:spacing w:after="0"/>
              <w:rPr>
                <w:sz w:val="20"/>
                <w:szCs w:val="20"/>
                <w:color w:val="auto"/>
              </w:rPr>
            </w:pPr>
            <w:r>
              <w:rPr>
                <w:rFonts w:ascii="Arial" w:cs="Arial" w:eastAsia="Arial" w:hAnsi="Arial"/>
                <w:sz w:val="18"/>
                <w:szCs w:val="18"/>
                <w:color w:val="auto"/>
              </w:rPr>
              <w:t>Section 5.10  Jurisdiction; Service of Process</w:t>
            </w:r>
          </w:p>
        </w:tc>
        <w:tc>
          <w:tcPr>
            <w:tcW w:w="3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7"/>
              </w:rPr>
              <w:t>Section 5.11</w:t>
            </w:r>
          </w:p>
        </w:tc>
        <w:tc>
          <w:tcPr>
            <w:tcW w:w="6060" w:type="dxa"/>
            <w:vAlign w:val="bottom"/>
          </w:tcPr>
          <w:p>
            <w:pPr>
              <w:ind w:left="80"/>
              <w:spacing w:after="0"/>
              <w:rPr>
                <w:sz w:val="20"/>
                <w:szCs w:val="20"/>
                <w:color w:val="auto"/>
              </w:rPr>
            </w:pPr>
            <w:r>
              <w:rPr>
                <w:rFonts w:ascii="Arial" w:cs="Arial" w:eastAsia="Arial" w:hAnsi="Arial"/>
                <w:sz w:val="18"/>
                <w:szCs w:val="18"/>
                <w:color w:val="auto"/>
              </w:rPr>
              <w:t>Notices</w:t>
            </w:r>
          </w:p>
        </w:tc>
        <w:tc>
          <w:tcPr>
            <w:tcW w:w="39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382" w:right="47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MATTERS AGREEMENT</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21, 2019 (the “</w:t>
      </w:r>
      <w:r>
        <w:rPr>
          <w:rFonts w:ascii="Arial" w:cs="Arial" w:eastAsia="Arial" w:hAnsi="Arial"/>
          <w:sz w:val="18"/>
          <w:szCs w:val="18"/>
          <w:u w:val="single" w:color="auto"/>
          <w:color w:val="auto"/>
        </w:rPr>
        <w:t>Closing Date</w:t>
      </w:r>
      <w:r>
        <w:rPr>
          <w:rFonts w:ascii="Arial" w:cs="Arial" w:eastAsia="Arial" w:hAnsi="Arial"/>
          <w:sz w:val="18"/>
          <w:szCs w:val="18"/>
          <w:color w:val="auto"/>
        </w:rPr>
        <w:t>”) is entered into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 and, together with Post and BellRing Inc.,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WHEREAS, pursuant to the terms of the Master Transaction Agreement (the “</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dated as of October 7, 2019 by and among Post, BellRing Inc. and BellRing LLC, the parties thereto have agreed to consummate the separation of BellRing LLC and its business from Post as contemplated thereby, and to take the other actions contemplated in such Master Transaction Agreement (collectively, the “</w:t>
      </w:r>
      <w:r>
        <w:rPr>
          <w:rFonts w:ascii="Arial" w:cs="Arial" w:eastAsia="Arial" w:hAnsi="Arial"/>
          <w:sz w:val="18"/>
          <w:szCs w:val="18"/>
          <w:u w:val="single" w:color="auto"/>
          <w:color w:val="auto"/>
        </w:rPr>
        <w:t>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WHEREAS, pursuant to the Formation Transactions, assets of Post and its applicable Subsidiaries shall be transferred to, and liabilities assumed by, BellRing LLC and its applicable Subsidiaries, and the Parties intend for such transfer to be treated for U.S. federal Income Tax purposes as a tax-free contribution of such assets to BellRing LLC by Post and its applicable Subsidiaries under Section 721 of the Code;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following the Formation Transactions, Post and BellRing Inc. will own the common units in BellRing LLC; and</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WHEREAS, the Parties wish to allocate the burden for Income Taxes (as defined below) imposed on Post and the BellRing LLC Entities (as defined below) in respect of their income in a fair and equitable manner.</w:t>
      </w:r>
    </w:p>
    <w:p>
      <w:pPr>
        <w:spacing w:after="0" w:line="170"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General</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BellRing Inc.</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Entity</w:t>
      </w:r>
      <w:r>
        <w:rPr>
          <w:rFonts w:ascii="Arial" w:cs="Arial" w:eastAsia="Arial" w:hAnsi="Arial"/>
          <w:sz w:val="18"/>
          <w:szCs w:val="18"/>
          <w:color w:val="auto"/>
        </w:rPr>
        <w:t>” means BellRing LLC and any other entity that is a member of the BellRing LLC Group.</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LLC Group</w:t>
      </w:r>
      <w:r>
        <w:rPr>
          <w:rFonts w:ascii="Arial" w:cs="Arial" w:eastAsia="Arial" w:hAnsi="Arial"/>
          <w:sz w:val="16"/>
          <w:szCs w:val="16"/>
          <w:color w:val="auto"/>
        </w:rPr>
        <w:t>” means (a) BellRing LLC and each Person (including any Person treated as a disregarded entity for U.S. federal Income Tax purposes (or for purposes of any state, local, or foreign tax law)) in which BellRing LLC directly or indirectly has an interest, if such Person would be required to join in a Tax Return on a consolidated, combined or unitary basis with BellRing LLC if BellRing LLC or such Person, as applicable, were not required to join in a Tax Return on a consolidated, combined or unitary basis with Post, (b) any corporation (or other Person) that shall have merged or liquidated into any such Person and (c) any predecessor or successor to any Person otherwise described in this definition.</w:t>
      </w:r>
    </w:p>
    <w:p>
      <w:pPr>
        <w:spacing w:after="0" w:line="15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Separate Tax Attribute</w:t>
      </w:r>
      <w:r>
        <w:rPr>
          <w:rFonts w:ascii="Arial" w:cs="Arial" w:eastAsia="Arial" w:hAnsi="Arial"/>
          <w:sz w:val="18"/>
          <w:szCs w:val="18"/>
          <w:color w:val="auto"/>
        </w:rPr>
        <w:t>” means Tax Attributes of BellRing LLC or the relevant members of the BellRing LLC Group, in each case, to the extent arising after the Closing Date, treating all such Tax Attributes as being subject to the limitations under applicable Tax law (including limitations on carrybacks and carryforwards) that would apply to the extent that any such members of the BellRing LLC Group would (but for their inclusion in a Post Consolidated Return) be entitled to file a Tax Return on a consolidated, combined or unitary basis solely with other members of the BellRing LLC Group.</w:t>
      </w:r>
    </w:p>
    <w:p>
      <w:pPr>
        <w:spacing w:after="0" w:line="188"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BellRing LLC Taxes</w:t>
      </w:r>
      <w:r>
        <w:rPr>
          <w:rFonts w:ascii="Arial" w:cs="Arial" w:eastAsia="Arial" w:hAnsi="Arial"/>
          <w:sz w:val="17"/>
          <w:szCs w:val="17"/>
          <w:color w:val="auto"/>
        </w:rPr>
        <w:t>” means, in cases when any member of the BellRing LLC Group is included in a Post Consolidated Return, the hypothetical stand-alone Income Tax liability of the BellRing LLC Group or of any members of the BellRing LLC Group (as the case requires), for any taxable period (or portion thereof) beginning after the Closing Date, determined on the following basis: (i) to the extent that members of the BellRing LLC Group would (but for their inclusion in a Post Consolidated Return) be entitled to file a Tax Return on a consolidated, combined or unitary basis solely with other members of the BellRing LLC Group, such Income Tax liability shall be determined as though such members filed on a consolidated, combined or unitary basis, as applicable, solely with such other members of the BellRing LLC Group and (ii) taxable income of the BellRing LLC Group and/or any of its members shall be calculated by taking into account the BellRing LLC Separate Tax Attributes.</w:t>
      </w:r>
    </w:p>
    <w:p>
      <w:pPr>
        <w:spacing w:after="0" w:line="178"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of the Books Method</w:t>
      </w:r>
      <w:r>
        <w:rPr>
          <w:rFonts w:ascii="Arial" w:cs="Arial" w:eastAsia="Arial" w:hAnsi="Arial"/>
          <w:sz w:val="18"/>
          <w:szCs w:val="18"/>
          <w:color w:val="auto"/>
        </w:rPr>
        <w:t>” means the apportionment of items between portions of a taxable period based on a closing of the books and records on the close of the Closing Date (in the event that the Closing Date is not the last day of the taxable period, as if the Closing Date were the last day of the taxable period), subject to adjustment for items accrued on the Closing Date that are properly allocable to the Post-Closing Period, and subject to adjustment for Tax payments made after the Effective Time, which will be allocated to the Post-Closing Period under the principles of Treasury Regulations Section 1.1502-76; provided that any items not susceptible to such apportionment shall be apportioned on the basis of elapsed days during the relevant portion of the taxable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11:59 pm on the Closing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Transactions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Return</w:t>
      </w:r>
      <w:r>
        <w:rPr>
          <w:rFonts w:ascii="Arial" w:cs="Arial" w:eastAsia="Arial" w:hAnsi="Arial"/>
          <w:sz w:val="18"/>
          <w:szCs w:val="18"/>
          <w:color w:val="auto"/>
        </w:rPr>
        <w:t>” means any Tax Return on which Income Taxes are reflected or reported.</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Taxes</w:t>
      </w:r>
      <w:r>
        <w:rPr>
          <w:rFonts w:ascii="Arial" w:cs="Arial" w:eastAsia="Arial" w:hAnsi="Arial"/>
          <w:sz w:val="16"/>
          <w:szCs w:val="16"/>
          <w:color w:val="auto"/>
        </w:rPr>
        <w:t>” means any U.S. federal, state, local, or foreign taxes, assessments or similar charges, in whole or in part, based upon, measured by, or calculated with respect to net income or profits, gross income, net worth or gross receipts (including any capital gains Tax, but not including sales, use, real or personal property, transfer, payroll or similar Taxes), and any interest, penalties, or additional amounts related thereto.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has the meaning set forth in Section 3.01 of this Agreement.</w:t>
      </w:r>
    </w:p>
    <w:p>
      <w:pPr>
        <w:spacing w:after="0" w:line="225"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LLC Agreement</w:t>
      </w:r>
      <w:r>
        <w:rPr>
          <w:rFonts w:ascii="Arial" w:cs="Arial" w:eastAsia="Arial" w:hAnsi="Arial"/>
          <w:sz w:val="17"/>
          <w:szCs w:val="17"/>
          <w:color w:val="auto"/>
        </w:rPr>
        <w:t>” means that certain Amended and Restated Limited Liability Company Agreement of BellRing LLC, dated as of the date hereof, as such agreement may be further amended, restated, supplemented, and/or otherwise modified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Transaction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w:t>
      </w:r>
      <w:r>
        <w:rPr>
          <w:rFonts w:ascii="Arial" w:cs="Arial" w:eastAsia="Arial" w:hAnsi="Arial"/>
          <w:sz w:val="17"/>
          <w:szCs w:val="17"/>
          <w:color w:val="auto"/>
        </w:rPr>
        <w:t>” means a natural person, corporation, company, joint venture, individual business trust, trust association, partnership, limited partnership, limited liability company, association, unincorporated organization or other entity, including a Governmental Authority.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34" w:name="page135"/>
    <w:bookmarkEnd w:id="134"/>
    <w:p>
      <w:pPr>
        <w:ind w:right="2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Post-Closing Period</w:t>
      </w:r>
      <w:r>
        <w:rPr>
          <w:rFonts w:ascii="Arial" w:cs="Arial" w:eastAsia="Arial" w:hAnsi="Arial"/>
          <w:sz w:val="18"/>
          <w:szCs w:val="18"/>
          <w:color w:val="auto"/>
        </w:rPr>
        <w:t>” means any taxable period (or portion thereof) beginning after the Closing Date, including for the avoidance of doubt, the portion of any Straddle Period beginning after the Closing Date.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Consolidated Return</w:t>
      </w:r>
      <w:r>
        <w:rPr>
          <w:rFonts w:ascii="Arial" w:cs="Arial" w:eastAsia="Arial" w:hAnsi="Arial"/>
          <w:sz w:val="18"/>
          <w:szCs w:val="18"/>
          <w:color w:val="auto"/>
        </w:rPr>
        <w:t>” means any U.S. federal consolidated Income Tax Return required to be filed by Post or a member of the Post Group as the “common parent” of an “affiliated group” (in each case, within the meaning of Section 1504 of the Code), and any consolidated, combined, unitary or similar Income Tax Return required to be filed by Post or any member of the Post Group under a similar or analogous provision of state, local or non-U.S. law.</w:t>
      </w:r>
    </w:p>
    <w:p>
      <w:pPr>
        <w:spacing w:after="0" w:line="187"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Group</w:t>
      </w:r>
      <w:r>
        <w:rPr>
          <w:rFonts w:ascii="Arial" w:cs="Arial" w:eastAsia="Arial" w:hAnsi="Arial"/>
          <w:sz w:val="16"/>
          <w:szCs w:val="16"/>
          <w:color w:val="auto"/>
        </w:rPr>
        <w:t>” means (a) Post and each Person (including any Person treated as a disregarded entity for U.S. federal Income Tax purposes (or for purposes of any state, local, or foreign tax law)) required to join in a Tax Return on a consolidated, combined, or unitary basis with Post, (b) any corporation (or other Person) that shall have merged or liquidated into Post or any such Person and (c) any predecessor or successor to any Person otherwise described in this definition, in each of (a), (b) and (c), other than BellRing LLC or any member of the BellRing LLC Group.</w:t>
      </w:r>
    </w:p>
    <w:p>
      <w:pPr>
        <w:spacing w:after="0" w:line="154"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Separate Tax Attribute</w:t>
      </w:r>
      <w:r>
        <w:rPr>
          <w:rFonts w:ascii="Arial" w:cs="Arial" w:eastAsia="Arial" w:hAnsi="Arial"/>
          <w:sz w:val="18"/>
          <w:szCs w:val="18"/>
          <w:color w:val="auto"/>
        </w:rPr>
        <w:t>” means Tax Attributes of the Post Group excluding for this purpose the BellRing LLC Group and any members of the BellRing LLC Group (as the case requires), and treating all such Tax Attributes as being subject to the limitations under applicable Tax law (including limitations on carrybacks and carryforwards).</w:t>
      </w:r>
    </w:p>
    <w:p>
      <w:pPr>
        <w:spacing w:after="0" w:line="18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Separate Taxes</w:t>
      </w:r>
      <w:r>
        <w:rPr>
          <w:rFonts w:ascii="Arial" w:cs="Arial" w:eastAsia="Arial" w:hAnsi="Arial"/>
          <w:sz w:val="18"/>
          <w:szCs w:val="18"/>
          <w:color w:val="auto"/>
        </w:rPr>
        <w:t>” means the hypothetical stand-alone Income Tax liability of the Post Group excluding for this purpose the BellRing LLC Group and any members of the BellRing LLC Group (as the case requires) for any taxable period (or portion thereof) beginning after the Closing Date, determined under similar principles as used for the calculation of BellRing LLC Taxes.</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means any taxable period (or portion thereof) ending on or before the Closing Date, including for the avoidance of doubt, the portion of any Straddle Period ending on the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and ends after the Closing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joint venture or partnership of which such Person</w:t>
      </w:r>
    </w:p>
    <w:p>
      <w:pPr>
        <w:spacing w:after="0" w:line="35" w:lineRule="exact"/>
        <w:rPr>
          <w:sz w:val="20"/>
          <w:szCs w:val="20"/>
          <w:color w:val="auto"/>
        </w:rPr>
      </w:pPr>
    </w:p>
    <w:p>
      <w:pPr>
        <w:ind w:left="240" w:hanging="236"/>
        <w:spacing w:after="0"/>
        <w:tabs>
          <w:tab w:leader="none" w:pos="2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beneficially owns, either directly or indirectly, more than fifty percent (50%) of (i) the total combined voting power of all classes of voting securities,</w:t>
      </w:r>
    </w:p>
    <w:p>
      <w:pPr>
        <w:spacing w:after="0" w:line="32" w:lineRule="exact"/>
        <w:rPr>
          <w:rFonts w:ascii="Arial" w:cs="Arial" w:eastAsia="Arial" w:hAnsi="Arial"/>
          <w:sz w:val="16"/>
          <w:szCs w:val="16"/>
          <w:color w:val="auto"/>
        </w:rPr>
      </w:pPr>
    </w:p>
    <w:p>
      <w:pPr>
        <w:ind w:right="300" w:firstLine="4"/>
        <w:spacing w:after="0" w:line="261" w:lineRule="auto"/>
        <w:tabs>
          <w:tab w:leader="none" w:pos="2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4"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local, or foreign taxes, assessments or similar charges, and any interest, penalties, or additional amounts related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5" w:name="page136"/>
    <w:bookmarkEnd w:id="135"/>
    <w:p>
      <w:pPr>
        <w:ind w:right="12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Tax Attributes</w:t>
      </w:r>
      <w:r>
        <w:rPr>
          <w:rFonts w:ascii="Arial" w:cs="Arial" w:eastAsia="Arial" w:hAnsi="Arial"/>
          <w:sz w:val="17"/>
          <w:szCs w:val="17"/>
          <w:color w:val="auto"/>
        </w:rPr>
        <w:t>” means net operating losses, capital losses, investment tax credit carryovers, section 163(j) carryovers,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taxable period.</w:t>
      </w:r>
    </w:p>
    <w:p>
      <w:pPr>
        <w:spacing w:after="0" w:line="166"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report, certificate, form, or similar statement or document (including any related or supporting information or schedule attached thereto and any information return, or declaration of 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(or credit in lieu thereof) of Taxes (including any overpayment of Taxes that can be refunded or, alternatively, applied to other Taxes payable), including any interest paid on or with respect to such refund of Taxes.</w:t>
      </w:r>
    </w:p>
    <w:p>
      <w:pPr>
        <w:spacing w:after="0" w:line="17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Interpretation</w:t>
      </w:r>
      <w:r>
        <w:rPr>
          <w:rFonts w:ascii="Arial" w:cs="Arial" w:eastAsia="Arial" w:hAnsi="Arial"/>
          <w:sz w:val="18"/>
          <w:szCs w:val="18"/>
          <w:color w:val="auto"/>
        </w:rPr>
        <w:t xml:space="preserve">. The Parties agree that the Other Definitional and Interpretative Provisions provided in Section 1.02 of the LLC Agreement shall apply equally, </w:t>
      </w:r>
      <w:r>
        <w:rPr>
          <w:rFonts w:ascii="Arial" w:cs="Arial" w:eastAsia="Arial" w:hAnsi="Arial"/>
          <w:sz w:val="18"/>
          <w:szCs w:val="18"/>
          <w:i w:val="1"/>
          <w:iCs w:val="1"/>
          <w:color w:val="auto"/>
        </w:rPr>
        <w:t>mutatis mutandi</w:t>
      </w:r>
      <w:r>
        <w:rPr>
          <w:rFonts w:ascii="Arial" w:cs="Arial" w:eastAsia="Arial" w:hAnsi="Arial"/>
          <w:sz w:val="18"/>
          <w:szCs w:val="18"/>
          <w:color w:val="auto"/>
        </w:rPr>
        <w:t>, to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u w:val="single" w:color="auto"/>
          <w:color w:val="auto"/>
        </w:rPr>
        <w:t>Preparation, Filing and Payment of Taxes Shown Due on Tax Returns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Post Consolidated Returns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4" w:lineRule="auto"/>
        <w:tabs>
          <w:tab w:leader="none" w:pos="6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so long as any BellRing LLC Entity is includible in a Post Consolidated Return, Post shall maintain separate calculations of BellRing LLC Taxes, BellRing LLC Separate Tax Attributes, Post Separate Taxes, and Post Separate Tax Attributes. To the extent BellRing LLC or any BellRing LLC Entity is required to be included in any Post Consolidated Return, Post shall prepare and file (or cause to be prepared and filed) each such Post Consolidated Return, and shall pay, or cause to be paid, to the applicable Governmental Authority all Taxes due in respect of any such Post Consolidated Return. Post may take (or fail to take) any position on or make (or fail to make) any elections or other determinations with respect to any Post Consolidated Return in its sole discretion; provided that Post will act reasonably and in good faith in balancing the competing interests between Post and the BellRing LLC Entities and maximizing the tax positions of the BellRing LLC Entities, on the one hand, and Post, on the other hand, in an equitable fashion.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36" w:name="page137"/>
    <w:bookmarkEnd w:id="136"/>
    <w:p>
      <w:pPr>
        <w:ind w:firstLine="444"/>
        <w:spacing w:after="0" w:line="285" w:lineRule="auto"/>
        <w:tabs>
          <w:tab w:leader="none" w:pos="696"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Post Consolidated Return includes a BellRing LLC Entity, the following rules shall apply: (i) BellRing LLC will pay to Post an amount equal to any BellRing LLC Taxes that are actually paid by Post in respect of such return; (ii) if, as a result of the offset of a Tax liability with a Post Separate Tax Attribute, the BellRing LLC Taxes in respect of such return exceed the actual cash liability paid by Post, then BellRing LLC shall be required to pay Post an amount equal to such excess only at such time, and to the extent, that the cash liability for a later Tax period in respect of Post Separate Taxes is greater than it would have been had the Post Separate Tax Attribute not been used to create the excess (for the avoidance of doubt, even if such later Tax period occurs at a time when the applicable BellRing LLC Entity is no longer included in the applicable Post Consolidated Return); (iii) if, as a result of the offset of a Tax liability with a BellRing LLC Separate Tax Attribute, the Post Separate Taxes exceed the actual cash liability paid by Post in respect of the return, then Post shall be required to pay BellRing LLC an amount equal to such excess only at such time, and to the extent, that the cash Tax liability for a later Tax period in respect of BellRing LLC Taxes is greater than it would have been had the BellRing LLC Separate Tax Attribute not been used to create the excess (for the avoidance of doubt, even if such later Tax period occurs at a time when the applicable BellRing LLC Entity is no longer included in the applicable Post Consolidated Return); (iv) subject to clause (v) of this Section 2.01(b) each Party shall make, or cause to be made, any and all payments due under this Section 2.01(b) on or before the later of (x) ten (10) Business Days before the due date of the applicable Taxes (including estimated Tax payments) and (y) ten (10) Business Days after the Party required to make a payment is notified of such requirement (which such notice may be provided prior to the time the applicable Taxes are paid, and such notice may represent a reasonable estimate (provided that the amount of payments shall in all cases be based on the actual Tax liability and not on such reasonable estimate)); and (v) amounts owed between Post and BellRing LLC under clauses (i)-(iii) of this Section 2.01(b) that are due and payable in respect of the same Post Consolidated Return may be netted against each other. In the event that BellRing Inc. is included in a Post Consolidated Return, then to the extent (i) Post is required to pay Income Taxes attributable to BellRing Inc. that are not otherwise addressed in this Section 2.01(b), or (ii) any Post Separate Tax Attributes are used to offset such Income Taxes, then Post and Bellring Inc. shall make payments to each other using the procedures and principles contained in this Article II (without duplication for Income Taxes otherwise addressed in this Section 2.01(b)) as if Bellring Inc. were Bellring LLC.</w:t>
      </w:r>
    </w:p>
    <w:p>
      <w:pPr>
        <w:spacing w:after="0" w:line="168"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Allocation of Taxes</w:t>
      </w:r>
      <w:r>
        <w:rPr>
          <w:rFonts w:ascii="Arial" w:cs="Arial" w:eastAsia="Arial" w:hAnsi="Arial"/>
          <w:sz w:val="16"/>
          <w:szCs w:val="16"/>
          <w:color w:val="auto"/>
        </w:rPr>
        <w:t>. At least ten (10) Business Days prior to the filing of a Post Consolidated Return discussed in Section 2.01 (or, if earlier, on the date that a notice is provided by Post to BellRing LLC in respect of such Post Consolidated Return filing pursuant to Section 2.01), Post shall deliver to BellRing LLC, to be shared with BellRing Inc. at BellRing Inc.’s request, for BellRing LLC’s review and comment, Post’s calculation of the BellRing LLC Taxes, BellRing LLC Separate Tax Attributes, Post Separate Taxes, Post Separate Tax Attributes, and amounts due under</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Section 2.01(b), together with supporting documentation, to be included in any such Post Consolidated Return and acting in good faith shall incorporate all reasonable suggestions or comments made by BellRing LLC regarding such calculations, provided that nothing herein shall be interpreted to require the disclosure of (i) the Post Consolidated Return or items on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7" w:name="page138"/>
    <w:bookmarkEnd w:id="13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Consolidated Return that do not relate to the BellRing LLC Entities and Post may provide pro forma separate company Tax Returns or summaries of issues in lieu of any such disclosure, or (ii) anything that is privileged so long as sufficient information and calculations are provided in a form so that BellRing LLC can analyze and dispute any calculations pursuant to this Agreement. In the event of any dispute between Post, BellRing LLC and BellRing Inc. regarding a calculation of the amount of BellRing LLC Taxes, BellRing LLC Separate Tax Attributes, Post Separate Taxes, or Post Separate Tax Attributes, the relevant Parties shall work together in good faith to resolve such disagreement, and to the extent they are unable to do so within ninety (90) days, the dispute shall be resolved by an Accounting Firm in accordance with Section 5.02; provided that during the pendency of any such dispute, the Parties shall be obligated to make the payments as required by Section 2.01(b) consistent with the original determinations by Post and within the timeframe described in Section 2.01(b); provided further, that any payments necessary to reflect the resolution of any such dispute shall be made within ten (10) Business Days following such resolution.</w:t>
      </w:r>
    </w:p>
    <w:p>
      <w:pPr>
        <w:spacing w:after="0" w:line="182"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Tax Treatment of Payments</w:t>
      </w:r>
      <w:r>
        <w:rPr>
          <w:rFonts w:ascii="Arial" w:cs="Arial" w:eastAsia="Arial" w:hAnsi="Arial"/>
          <w:sz w:val="18"/>
          <w:szCs w:val="18"/>
          <w:color w:val="auto"/>
        </w:rPr>
        <w:t>. To the extent permitted by applicable law, all amounts paid pursuant to this Article II shall be treated as reimbursements for expenses, and shall not be treated as distributions by BellRing LLC in respect of its equity or as capital contributions to BellRing LLC.</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for Taxes</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Indemnified Taxes</w:t>
      </w:r>
      <w:r>
        <w:rPr>
          <w:rFonts w:ascii="Arial" w:cs="Arial" w:eastAsia="Arial" w:hAnsi="Arial"/>
          <w:sz w:val="16"/>
          <w:szCs w:val="16"/>
          <w:color w:val="auto"/>
        </w:rPr>
        <w:t>. Post shall pay (or cause to be paid), and shall indemnify and hold the BellRing LLC Entities harmless from and against, without duplication, any losses attributable to or relating to (i) all Taxes of the BellRing LLC Entities that are attributable to a Pre-Closing Period, (ii) all Tax liabilities of another Person imposed on any BellRing LLC Entity arising by law (including transferee or successor liability), equity, contract (for the avoidance of doubt, excluding this Agreement), or otherwise as a result of a transaction that occurred during the Pre-Closing Period,</w:t>
      </w:r>
    </w:p>
    <w:p>
      <w:pPr>
        <w:spacing w:after="0" w:line="2" w:lineRule="exact"/>
        <w:rPr>
          <w:sz w:val="20"/>
          <w:szCs w:val="20"/>
          <w:color w:val="auto"/>
        </w:rPr>
      </w:pPr>
    </w:p>
    <w:p>
      <w:pPr>
        <w:ind w:right="100" w:firstLine="4"/>
        <w:spacing w:after="0" w:line="287" w:lineRule="auto"/>
        <w:tabs>
          <w:tab w:leader="none" w:pos="31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all Tax liabilities of Post and its Affiliates (other than the BellRing LLC Entities) imposed on any BellRing LLC Entity by a Governmental Authority as a result of being includible on a Post Consolidated Return (whether imposed for a Pre-Closing Period or a Post-Closing Period), but, with respect to any such Tax liabilities imposed for Post-Closing Periods in respect of BellRing LLC Taxes, only to the extent BellRing LLC has made a payment with respect to such Taxes to Post as required by Article II, (iv) any Tax liabilities assessed against a BellRing LLC Entity in its capacity as a withholding agent for a payment made to Post or its Affiliate (other than a BellRing LLC Entity), (v) all Tax liabilities under Section 965 of the Code (whether imposed for a Pre-Closing Period or a Post-Closing Period), and (vi) all Tax liabilities resulting from the Formation Transactions (whether imposed for a Pre-Closing Period or a Post-Closing Period) ((i) through (vi) collectively, “</w:t>
      </w:r>
      <w:r>
        <w:rPr>
          <w:rFonts w:ascii="Arial" w:cs="Arial" w:eastAsia="Arial" w:hAnsi="Arial"/>
          <w:sz w:val="16"/>
          <w:szCs w:val="16"/>
          <w:u w:val="single" w:color="auto"/>
          <w:color w:val="auto"/>
        </w:rPr>
        <w:t>Indemnified Taxes</w:t>
      </w:r>
      <w:r>
        <w:rPr>
          <w:rFonts w:ascii="Arial" w:cs="Arial" w:eastAsia="Arial" w:hAnsi="Arial"/>
          <w:sz w:val="16"/>
          <w:szCs w:val="16"/>
          <w:color w:val="auto"/>
        </w:rPr>
        <w:t>”). To the extent Post cannot pay any such amounts directly to the relevant taxing authorities, Post shall timely pay, or cause to be timely paid, any such amounts to BellRing LLC.</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38" w:name="page139"/>
    <w:bookmarkEnd w:id="138"/>
    <w:p>
      <w:pPr>
        <w:ind w:right="12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7"/>
          <w:szCs w:val="17"/>
          <w:u w:val="single" w:color="auto"/>
          <w:color w:val="auto"/>
        </w:rPr>
        <w:t>Refunds of Pre-Closing Taxes</w:t>
      </w:r>
      <w:r>
        <w:rPr>
          <w:rFonts w:ascii="Arial" w:cs="Arial" w:eastAsia="Arial" w:hAnsi="Arial"/>
          <w:sz w:val="17"/>
          <w:szCs w:val="17"/>
          <w:color w:val="auto"/>
        </w:rPr>
        <w:t>. Any Tax refunds that are received by a BellRing LLC Entity shall be for the account of Post to the extent attributable to Indemnified Taxes that were actually paid, or caused to be paid, by Post. The relevant BellRing LLC Entity shall pay over to Post any such refund, net of Taxes and reasonable expenses attributable thereto, paid in cash within ten (10) Business Days after receipt thereof, and to the extent any refunds are applied against a future Tax liability, the relevant BellRing LLC Entity shall pay over to Post the amount of Tax savings at the time the Tax Return in which such savings are realized is required to be filed (taking into account applicable extensions). The relevant BellRing LLC Entities shall cooperate with Post in obtaining any such Tax refunds.</w:t>
      </w:r>
    </w:p>
    <w:p>
      <w:pPr>
        <w:spacing w:after="0" w:line="17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Apportionment</w:t>
      </w:r>
      <w:r>
        <w:rPr>
          <w:rFonts w:ascii="Arial" w:cs="Arial" w:eastAsia="Arial" w:hAnsi="Arial"/>
          <w:sz w:val="18"/>
          <w:szCs w:val="18"/>
          <w:color w:val="auto"/>
        </w:rPr>
        <w:t>. For purposes of this Article III, any Taxes, refunds or credits attributable to a Straddle Period shall be apportioned between the Pre-Closing Period and the Post-Closing Period using the Closing of the Books Method.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Tax Treatment of Payments</w:t>
      </w:r>
      <w:r>
        <w:rPr>
          <w:rFonts w:ascii="Arial" w:cs="Arial" w:eastAsia="Arial" w:hAnsi="Arial"/>
          <w:sz w:val="18"/>
          <w:szCs w:val="18"/>
          <w:color w:val="auto"/>
        </w:rPr>
        <w:t>. To the extent permitted by applicable law, all amounts paid pursuant to this Article III shall be treated as reimbursements for expenses, and shall not be treated as distributions by BellRing LLC in respect of its equity or as capital contributions to BellRing LLC.</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indemnity obligations described in this Article III shall survive until the expiration of all applicable underlying statutes of limitations governing the applicable Taxes.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Cooperation</w:t>
      </w:r>
    </w:p>
    <w:p>
      <w:pPr>
        <w:spacing w:after="0" w:line="225"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Cooperation for Spin-Off Transaction</w:t>
      </w:r>
      <w:r>
        <w:rPr>
          <w:rFonts w:ascii="Arial" w:cs="Arial" w:eastAsia="Arial" w:hAnsi="Arial"/>
          <w:sz w:val="18"/>
          <w:szCs w:val="18"/>
          <w:color w:val="auto"/>
        </w:rPr>
        <w:t>. As applicable, Post, BellRing Inc. and BellRing LLC shall cooperate and work together in good faith to ensure Post’s (or an Affiliate’s) ability to effect a spin-off, split-off or similar transaction (however evidenced or structured, including a subsequent merger of such Affiliate and BellRing Inc.) in a tax-free manner.</w:t>
      </w:r>
    </w:p>
    <w:p>
      <w:pPr>
        <w:spacing w:after="0" w:line="18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Cooperation for Tax Audits</w:t>
      </w:r>
      <w:r>
        <w:rPr>
          <w:rFonts w:ascii="Arial" w:cs="Arial" w:eastAsia="Arial" w:hAnsi="Arial"/>
          <w:sz w:val="17"/>
          <w:szCs w:val="17"/>
          <w:color w:val="auto"/>
        </w:rPr>
        <w:t xml:space="preserve">. In the event of an audit by a Governmental Authority of Post, BellRing Inc., or a BellRing LLC Entity, the relevant entity shall promptly notify such other Parties of, and keep the other Parties reasonably informed with respect to, the portion of any such audit the outcome of which is reasonably expected to affect such Parties’ rights and obligations under this Agreement, and such Parties shall have the right to participate in and to monitor at its own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entity shall not settle or fail to contest any issue that is reasonably expected to materially affect such Parties’ rights or obligations under this Agreement without the prior written consent of such Parties, such consent not to be unreasonably withheld, conditioned or delayed.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of any dispute between the Parties as to any matter covered by Article II or Article III, the parties to such dispute shall appoint a mutually acceptable independent accounting firm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to resolve such dispute. The Parties acknowledge that any discussions between the Parties in connection with any such dispute are without prejudice communications made in confidence with the intent of attempting to resolve a potentially litigious dispute and are subject to settlement privilege. Each Party shall provide the other Parties with reasonable access to the working papers and other related information relating to any such dispute and any applicable calculations that are related to, or are the subject matter of, such dispute. The Parties shall make their respective submissions to the Accounting Firm within thirty (30) days after selecting such firm pursuant to this Section 5.02. The determination by such Accounting Firm applying the procedures described herein shall be final, binding, and conclusive on the Parties and judgment may be entered thereon in a court of competent jurisdiction pursuant to Section 5.10. In making its determination pursuant to this Section 5.02, the Accounting Firm (A) shall consider only the items that remain in dispute as of the time of such determination; and</w:t>
      </w:r>
    </w:p>
    <w:p>
      <w:pPr>
        <w:spacing w:after="0" w:line="7" w:lineRule="exact"/>
        <w:rPr>
          <w:sz w:val="20"/>
          <w:szCs w:val="20"/>
          <w:color w:val="auto"/>
        </w:rPr>
      </w:pPr>
    </w:p>
    <w:p>
      <w:pPr>
        <w:ind w:right="60" w:firstLine="4"/>
        <w:spacing w:after="0" w:line="253" w:lineRule="auto"/>
        <w:tabs>
          <w:tab w:leader="none" w:pos="2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shall not assign a value outside the range of the values provided by such Parties. The Parties shall use reasonable efforts to cause the Accounting Firm to make its determination within thirty (30) days after the Parties have made their respective submissions to the Accounting Firm.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by BellRing LLC.</w:t>
      </w:r>
    </w:p>
    <w:p>
      <w:pPr>
        <w:spacing w:after="0" w:line="19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law, such invalidity, illegality, or unenforceability shall not affect any other provision of this Agreement or any other such instrument.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0" w:name="page141"/>
    <w:bookmarkEnd w:id="140"/>
    <w:p>
      <w:pPr>
        <w:ind w:right="1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other documents to be entered into or executed by the Parties in connection with the Master Transaction Agreement, together with all exhibits and schedules hereto and thereto, constitute the entire agreement among the Parties pertaining to the subject matter of such agreements and supersede all prior agreements, understandings, negotiations, and discussions, whether oral or written, of the Parties.</w:t>
      </w:r>
    </w:p>
    <w:p>
      <w:pPr>
        <w:spacing w:after="0" w:line="18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any Party (whether by operation of law or otherwise) without the prior written consent of the other Parties, not to be unreasonably withheld, conditioned or delayed. No assignment by any Party (including any assignments described in the parenthetical in the preceding sentence) shall relieve such Party of any of its obligations hereunder. Any attempted assignment in violation of this Section 5.05 shall be null and void. Notwithstanding anything contained in this Agreement to the contrary, nothing in this Agreement, express or implied, is intended to confer on any Person other than the Parties or their respective successors and permitted assigns any rights, remedies, obligations, or liabilities under or by reason of this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9" w:lineRule="auto"/>
        <w:tabs>
          <w:tab w:leader="none" w:pos="68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Parties agree that irreparable harm would occur in the event that any of the provisions of this Agreement were not performed in accordance with their specific terms or were otherwise breached, and that money damages or other legal remedies, even if available, would not be an adequate remedy for any such harm. The Parties agree that (i) each of the Parties shall be entitled to an injunction or injunctions from a court of competent jurisdiction as set forth in Section 5.10 to prevent breaches or threatened breaches of this Agreement and to enforce specifically the terms and provisions of this Agreement, and (ii) the right of specific enforcement is an integral part of the transactions contemplated by this Agreement, and without that right, BellRing Inc., BellRing LLC, and Post would not have entered into this Agreement. Each of the Parties agrees that no Party or any other Person shall be required to obtain, furnish, or post any bond or similar instrument in connection with or as a condition to obtaining any remedy under this Section 5.06(a), and each Party irrevocably waives any right that it may have to require the obtaining, furnishing or posting of any such bond or similar instrument. Each of the Parties also agrees that it will not oppose the granting of an injunction, specific performance, or other equitable relief on the basis that the other Party has an adequate remedy at law or that any such injunction or award of specific performance or other equitable relief is not an appropriate remedy for any reason.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1" w:name="page142"/>
    <w:bookmarkEnd w:id="141"/>
    <w:p>
      <w:pPr>
        <w:jc w:val="both"/>
        <w:ind w:right="100" w:firstLine="444"/>
        <w:spacing w:after="0" w:line="264" w:lineRule="auto"/>
        <w:tabs>
          <w:tab w:leader="none" w:pos="6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further agree that by seeking the remedies provided for in this Section 5.06, a Party shall not in any respect waive its right to seek any other form of relief that may be available to a Party under this Agreement (including monetary damages) for breach of any of the provisions of this Agreement.</w:t>
      </w:r>
    </w:p>
    <w:p>
      <w:pPr>
        <w:spacing w:after="0" w:line="181" w:lineRule="exact"/>
        <w:rPr>
          <w:sz w:val="20"/>
          <w:szCs w:val="20"/>
          <w:color w:val="auto"/>
        </w:rPr>
      </w:pPr>
    </w:p>
    <w:p>
      <w:pPr>
        <w:ind w:right="240" w:firstLine="441"/>
        <w:spacing w:after="0" w:line="302"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This Agreement may not be amended except by an instrument in writing signed by each of the Parties.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expressly provided in this Agreement, the rights and remedies herein provided shall be cumulative and not exclusive of any rights or remedies provided by law.</w:t>
      </w:r>
    </w:p>
    <w:p>
      <w:pPr>
        <w:spacing w:after="0" w:line="154"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but all of which together shall constitute one and the same instrument. This Agreement may be executed and delivered by facsimile transmission or by electronic mail, and a facsimile or electronic copy of this Agreement or of a signature of a Party shall be effective as an original.</w:t>
      </w:r>
    </w:p>
    <w:p>
      <w:pPr>
        <w:spacing w:after="0" w:line="166" w:lineRule="exact"/>
        <w:rPr>
          <w:sz w:val="20"/>
          <w:szCs w:val="20"/>
          <w:color w:val="auto"/>
        </w:rPr>
      </w:pPr>
    </w:p>
    <w:p>
      <w:pPr>
        <w:ind w:right="180" w:firstLine="441"/>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ABOVE.</w:t>
      </w:r>
    </w:p>
    <w:p>
      <w:pPr>
        <w:spacing w:after="0" w:line="19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Jurisdiction; Service of Process</w:t>
      </w:r>
      <w:r>
        <w:rPr>
          <w:rFonts w:ascii="Arial" w:cs="Arial" w:eastAsia="Arial" w:hAnsi="Arial"/>
          <w:sz w:val="18"/>
          <w:szCs w:val="18"/>
          <w:color w:val="auto"/>
        </w:rPr>
        <w:t>.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2" w:name="page143"/>
    <w:bookmarkEnd w:id="14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Section 5.10, (b)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(c) waives, to the fullest extent permitted by law, any claim that (i) such suit, action or proceeding in such court is brought in an inconvenient forum, (ii) the venue of such suit, action or proceeding is improper, or (iii) this 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Section 5.11. NOTWITHSTANDING THIS Section 5.10, ANY DISPUTE REGARDING A MATTER COVERED BY Section 5.02 SHALL BE RESOLVED IN ACCORDANCE WITH Section 5.02; PROVIDED THAT THE TERMS OF Section 5.02 MAY BE ENFORCED BY EITHER PARTY IN ACCORDANCE WITH THE TERMS OF THIS Section 5.10.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91" w:lineRule="auto"/>
        <w:tabs>
          <w:tab w:leader="none" w:pos="123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All notices, requests, claims, demands, and other communications hereunder shall be in writing (including email, so long as a receipt of such email is requested and received) and shall be deemed duly given and received (i) on the date of delivery if delivered personally or via email, or</w:t>
      </w:r>
    </w:p>
    <w:p>
      <w:pPr>
        <w:ind w:right="640" w:firstLine="4"/>
        <w:spacing w:after="0" w:line="323" w:lineRule="auto"/>
        <w:tabs>
          <w:tab w:leader="none" w:pos="26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BellRing Inc.,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BellRing LLC,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43" w:name="page144"/>
    <w:bookmarkEnd w:id="14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Post,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Randy Ridenhour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Any Party may change its contact information by giving the other Parties written notice of its new contact information in the manner set forth above.</w:t>
      </w: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440" w:top="274" w:right="7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as of the day and year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jc w:val="center"/>
        <w:ind w:left="6220"/>
        <w:spacing w:after="0"/>
        <w:tabs>
          <w:tab w:leader="none" w:pos="1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T</w:t>
      </w:r>
      <w:r>
        <w:rPr>
          <w:rFonts w:ascii="Arial" w:cs="Arial" w:eastAsia="Arial" w:hAnsi="Arial"/>
          <w:sz w:val="15"/>
          <w:szCs w:val="15"/>
          <w:color w:val="auto"/>
        </w:rPr>
        <w:t>AX</w:t>
      </w:r>
      <w:r>
        <w:rPr>
          <w:rFonts w:ascii="Arial" w:cs="Arial" w:eastAsia="Arial" w:hAnsi="Arial"/>
          <w:sz w:val="18"/>
          <w:szCs w:val="18"/>
          <w:color w:val="auto"/>
        </w:rPr>
        <w:t xml:space="preserve"> M</w:t>
      </w:r>
      <w:r>
        <w:rPr>
          <w:rFonts w:ascii="Arial" w:cs="Arial" w:eastAsia="Arial" w:hAnsi="Arial"/>
          <w:sz w:val="15"/>
          <w:szCs w:val="15"/>
          <w:color w:val="auto"/>
        </w:rPr>
        <w:t>ATTERS</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180"/>
          </w:cols>
          <w:pgMar w:left="880" w:top="274" w:right="8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BellRing Brands,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Post Holdings, Inc.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And Future Members of BellRing Brands, LLC</w:t>
      </w:r>
    </w:p>
    <w:p>
      <w:pPr>
        <w:spacing w:after="0" w:line="5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From Time to Time Party Hereto</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21, 2019</w:t>
      </w:r>
    </w:p>
    <w:p>
      <w:pPr>
        <w:sectPr>
          <w:pgSz w:w="11900" w:h="16838" w:orient="portrait"/>
          <w:cols w:equalWidth="0" w:num="1">
            <w:col w:w="10020"/>
          </w:cols>
          <w:pgMar w:left="1440" w:top="121" w:right="4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I</w:t>
            </w:r>
          </w:p>
        </w:tc>
        <w:tc>
          <w:tcPr>
            <w:tcW w:w="18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8"/>
              </w:rPr>
              <w:t>DEFINITIONS</w:t>
            </w:r>
          </w:p>
        </w:tc>
        <w:tc>
          <w:tcPr>
            <w:tcW w:w="188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80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1.02.   Rules of Construction.</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ARTICLE II</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DETERMINATION OF REALIZED TAX BENEFIT</w:t>
            </w:r>
          </w:p>
        </w:tc>
        <w:tc>
          <w:tcPr>
            <w:tcW w:w="188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2.01.   Basis Adjustments; 754 Election.</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8020" w:type="dxa"/>
            <w:vAlign w:val="bottom"/>
          </w:tcPr>
          <w:p>
            <w:pPr>
              <w:ind w:left="120"/>
              <w:spacing w:after="0"/>
              <w:rPr>
                <w:sz w:val="20"/>
                <w:szCs w:val="20"/>
                <w:color w:val="auto"/>
              </w:rPr>
            </w:pPr>
            <w:r>
              <w:rPr>
                <w:rFonts w:ascii="Arial" w:cs="Arial" w:eastAsia="Arial" w:hAnsi="Arial"/>
                <w:sz w:val="18"/>
                <w:szCs w:val="18"/>
                <w:color w:val="auto"/>
              </w:rPr>
              <w:t>Basis Schedules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2.03.   Tax Benefit Schedules.</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2.04.</w:t>
            </w:r>
          </w:p>
        </w:tc>
        <w:tc>
          <w:tcPr>
            <w:tcW w:w="8020" w:type="dxa"/>
            <w:vAlign w:val="bottom"/>
          </w:tcPr>
          <w:p>
            <w:pPr>
              <w:ind w:left="120"/>
              <w:spacing w:after="0"/>
              <w:rPr>
                <w:sz w:val="20"/>
                <w:szCs w:val="20"/>
                <w:color w:val="auto"/>
              </w:rPr>
            </w:pPr>
            <w:r>
              <w:rPr>
                <w:rFonts w:ascii="Arial" w:cs="Arial" w:eastAsia="Arial" w:hAnsi="Arial"/>
                <w:sz w:val="18"/>
                <w:szCs w:val="18"/>
                <w:color w:val="auto"/>
              </w:rPr>
              <w:t>Procedures, Amendments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rPr>
              <w:t>ARTICLE III</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6"/>
              </w:rPr>
              <w:t>TAX BENEFIT PAYMENTS</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80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3.02.   No Duplicative Payments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3.03.   Pro-Ration of Payments as Among the Members.</w:t>
            </w:r>
          </w:p>
        </w:tc>
        <w:tc>
          <w:tcPr>
            <w:tcW w:w="1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IV</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8"/>
              </w:rPr>
              <w:t>TERMINATION</w:t>
            </w:r>
          </w:p>
        </w:tc>
        <w:tc>
          <w:tcPr>
            <w:tcW w:w="188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4.01.   Termination, Breach of Agreement, Change of Control</w:t>
            </w: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4.02.   Early Termination Schedule</w:t>
            </w: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4.03.   Payment upon Early Termination</w:t>
            </w: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w w:val="98"/>
              </w:rPr>
              <w:t>ARTICLE V</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4"/>
              </w:rPr>
              <w:t>LATE PAYMENTS, ETC.</w:t>
            </w:r>
          </w:p>
        </w:tc>
        <w:tc>
          <w:tcPr>
            <w:tcW w:w="188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5.01.   Late Payments by the Corporation</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8020" w:type="dxa"/>
            <w:vAlign w:val="bottom"/>
          </w:tcPr>
          <w:p>
            <w:pPr>
              <w:ind w:left="120"/>
              <w:spacing w:after="0"/>
              <w:rPr>
                <w:sz w:val="20"/>
                <w:szCs w:val="20"/>
                <w:color w:val="auto"/>
              </w:rPr>
            </w:pPr>
            <w:r>
              <w:rPr>
                <w:rFonts w:ascii="Arial" w:cs="Arial" w:eastAsia="Arial" w:hAnsi="Arial"/>
                <w:sz w:val="18"/>
                <w:szCs w:val="18"/>
                <w:color w:val="auto"/>
              </w:rPr>
              <w:t>Subordination</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9"/>
              </w:rPr>
              <w:t>ARTICLE VI</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4"/>
              </w:rPr>
              <w:t>CONSISTENCY; COOPERATION</w:t>
            </w:r>
          </w:p>
        </w:tc>
        <w:tc>
          <w:tcPr>
            <w:tcW w:w="188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6.01.   The Member’s Participation in Corporation Tax Matters</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6.02.</w:t>
            </w:r>
          </w:p>
        </w:tc>
        <w:tc>
          <w:tcPr>
            <w:tcW w:w="8020" w:type="dxa"/>
            <w:vAlign w:val="bottom"/>
          </w:tcPr>
          <w:p>
            <w:pPr>
              <w:ind w:left="120"/>
              <w:spacing w:after="0"/>
              <w:rPr>
                <w:sz w:val="20"/>
                <w:szCs w:val="20"/>
                <w:color w:val="auto"/>
              </w:rPr>
            </w:pPr>
            <w:r>
              <w:rPr>
                <w:rFonts w:ascii="Arial" w:cs="Arial" w:eastAsia="Arial" w:hAnsi="Arial"/>
                <w:sz w:val="18"/>
                <w:szCs w:val="18"/>
                <w:color w:val="auto"/>
              </w:rPr>
              <w:t>Consistency</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6.03.</w:t>
            </w:r>
          </w:p>
        </w:tc>
        <w:tc>
          <w:tcPr>
            <w:tcW w:w="802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spacing w:after="0"/>
              <w:rPr>
                <w:sz w:val="24"/>
                <w:szCs w:val="24"/>
                <w:color w:val="auto"/>
              </w:rPr>
            </w:pPr>
          </w:p>
        </w:tc>
        <w:tc>
          <w:tcPr>
            <w:tcW w:w="8020" w:type="dxa"/>
            <w:vAlign w:val="bottom"/>
          </w:tcPr>
          <w:p>
            <w:pPr>
              <w:jc w:val="center"/>
              <w:ind w:left="690"/>
              <w:spacing w:after="0"/>
              <w:rPr>
                <w:sz w:val="20"/>
                <w:szCs w:val="20"/>
                <w:color w:val="auto"/>
              </w:rPr>
            </w:pPr>
            <w:r>
              <w:rPr>
                <w:rFonts w:ascii="Arial" w:cs="Arial" w:eastAsia="Arial" w:hAnsi="Arial"/>
                <w:sz w:val="18"/>
                <w:szCs w:val="18"/>
                <w:color w:val="auto"/>
              </w:rPr>
              <w:t>ARTICLE VII</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20" w:type="dxa"/>
            <w:vAlign w:val="bottom"/>
          </w:tcPr>
          <w:p>
            <w:pPr>
              <w:jc w:val="center"/>
              <w:ind w:left="710"/>
              <w:spacing w:after="0"/>
              <w:rPr>
                <w:sz w:val="20"/>
                <w:szCs w:val="20"/>
                <w:color w:val="auto"/>
              </w:rPr>
            </w:pPr>
            <w:r>
              <w:rPr>
                <w:rFonts w:ascii="Arial" w:cs="Arial" w:eastAsia="Arial" w:hAnsi="Arial"/>
                <w:sz w:val="18"/>
                <w:szCs w:val="18"/>
                <w:color w:val="auto"/>
                <w:w w:val="97"/>
              </w:rPr>
              <w:t>MISCELLANEOUS</w:t>
            </w:r>
          </w:p>
        </w:tc>
        <w:tc>
          <w:tcPr>
            <w:tcW w:w="188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7.01.</w:t>
            </w:r>
          </w:p>
        </w:tc>
        <w:tc>
          <w:tcPr>
            <w:tcW w:w="8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7.02.</w:t>
            </w:r>
          </w:p>
        </w:tc>
        <w:tc>
          <w:tcPr>
            <w:tcW w:w="80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Section 7.03.   Entire Agreement; Third Party Beneficiaries</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7.04.</w:t>
            </w:r>
          </w:p>
        </w:tc>
        <w:tc>
          <w:tcPr>
            <w:tcW w:w="80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0980"/>
          </w:cols>
          <w:pgMar w:left="440" w:top="382"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7" w:name="page148"/>
    <w:bookmarkEnd w:id="147"/>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7.05.</w:t>
            </w:r>
          </w:p>
        </w:tc>
        <w:tc>
          <w:tcPr>
            <w:tcW w:w="89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7.06.   Successors; Assignment; Amendments; Waivers</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7.07.   Resolution of Disputes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7.08.</w:t>
            </w:r>
          </w:p>
        </w:tc>
        <w:tc>
          <w:tcPr>
            <w:tcW w:w="8980" w:type="dxa"/>
            <w:vAlign w:val="bottom"/>
          </w:tcPr>
          <w:p>
            <w:pPr>
              <w:ind w:left="120"/>
              <w:spacing w:after="0"/>
              <w:rPr>
                <w:sz w:val="20"/>
                <w:szCs w:val="20"/>
                <w:color w:val="auto"/>
              </w:rPr>
            </w:pPr>
            <w:r>
              <w:rPr>
                <w:rFonts w:ascii="Arial" w:cs="Arial" w:eastAsia="Arial" w:hAnsi="Arial"/>
                <w:sz w:val="18"/>
                <w:szCs w:val="18"/>
                <w:color w:val="auto"/>
              </w:rPr>
              <w:t>Reconciliation</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7.09.</w:t>
            </w:r>
          </w:p>
        </w:tc>
        <w:tc>
          <w:tcPr>
            <w:tcW w:w="89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7.10.   Affiliated Corporations; Admission of the Corporation into a Consolidated Group; Transfers of Corporate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7.11.</w:t>
            </w:r>
          </w:p>
        </w:tc>
        <w:tc>
          <w:tcPr>
            <w:tcW w:w="898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7.12.   Interest Rate Limitation</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Section 7.13.   Independent Nature of Rights and Obligations</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bl>
    <w:p>
      <w:pPr>
        <w:jc w:val="right"/>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8" w:name="page149"/>
    <w:bookmarkEnd w:id="148"/>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TAX RECEIVABLE AGREEMENT (as amended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21, 2019, is hereby entered into by and between BellRing Brands,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each of the other Members (as defined herein) from time to time Party hereto.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BellRing LLC is treated as a partnership for U.S. federal income tax purposes;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WHEREAS, Post and the Corporation are the only members of BellRing LLC as of the date hereof (as used herein, “</w:t>
      </w:r>
      <w:r>
        <w:rPr>
          <w:rFonts w:ascii="Arial" w:cs="Arial" w:eastAsia="Arial" w:hAnsi="Arial"/>
          <w:sz w:val="18"/>
          <w:szCs w:val="18"/>
          <w:u w:val="single" w:color="auto"/>
          <w:color w:val="auto"/>
        </w:rPr>
        <w:t>Members</w:t>
      </w:r>
      <w:r>
        <w:rPr>
          <w:rFonts w:ascii="Arial" w:cs="Arial" w:eastAsia="Arial" w:hAnsi="Arial"/>
          <w:sz w:val="18"/>
          <w:szCs w:val="18"/>
          <w:color w:val="auto"/>
        </w:rPr>
        <w:t>” means each of the members of BellRing LLC other than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Post owns nonvoting common units in BellRing LLC (the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par value $0.01 per share (the “</w:t>
      </w:r>
      <w:r>
        <w:rPr>
          <w:rFonts w:ascii="Arial" w:cs="Arial" w:eastAsia="Arial" w:hAnsi="Arial"/>
          <w:sz w:val="18"/>
          <w:szCs w:val="18"/>
          <w:u w:val="single" w:color="auto"/>
          <w:color w:val="auto"/>
        </w:rPr>
        <w:t>Class A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WHEREAS, immediately following the consummation of the IPO, the Corporation acquired newly issued Units from BellRing LLC using the net proceeds from the IPO;</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WHEREAS, Article IX of the LLC Agreement (as defined herein) provides each Member a redemption right pursuant to which each Member may cause BellRing LLC to redeem all or a portion of its Units from time to time for shares of Class A Common Stock or, at BellRing LLC’s option (as determined by the Board of Managers), cash (a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WHEREAS, BellRing LLC and each of its Subsidiaries (as defined herein) that is treated as a partnership for U.S. federal income tax purposes will have in effect an election under Section 754 of the Code (as defined herein) for the Taxable Year (as defined herein) in which any Basis Transaction (as defined herein) occurs, which election will cause certain Basis Transactions to result in an adjustment to the Corporation’s share of the tax basis of the assets owned by BellRing LLC or certain of its Subsidiaries; and</w:t>
      </w:r>
    </w:p>
    <w:p>
      <w:pPr>
        <w:spacing w:after="0" w:line="18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WHEREAS, the Parties to this Agreement desire to provide for certain payments and make certain arrangements with respect to any tax benefits to be derived by the Corporation as the result of Basis Transactions, disproportionate allocations of tax benefits to the Corporation under Section 704(c) of the Code resulting from the Contribution, and the making of payments under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382" w:right="439" w:bottom="1440" w:gutter="0" w:footer="0" w:header="0"/>
        </w:sectPr>
      </w:pPr>
    </w:p>
    <w:bookmarkStart w:id="149" w:name="page150"/>
    <w:bookmarkEnd w:id="149"/>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foregoing and the respective covenants and agreements set forth herein, and intending to be legally bound hereby, the Parties hereto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means, with respect to any Taxable Year, the sum of (i) the actual liability for Covered Taxes of the Corporation</w:t>
      </w:r>
    </w:p>
    <w:p>
      <w:pPr>
        <w:spacing w:after="0" w:line="23" w:lineRule="exact"/>
        <w:rPr>
          <w:sz w:val="20"/>
          <w:szCs w:val="20"/>
          <w:color w:val="auto"/>
        </w:rPr>
      </w:pPr>
    </w:p>
    <w:p>
      <w:pPr>
        <w:jc w:val="both"/>
        <w:ind w:right="280" w:firstLine="4"/>
        <w:spacing w:after="0" w:line="302" w:lineRule="auto"/>
        <w:tabs>
          <w:tab w:leader="none" w:pos="24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appearing on the U.S. federal income Tax Return of the Corporation for such Taxable Year and (b) if applicable, determined in accordance with a Determination (including interest imposed in respect thereof under applicable law) and (ii) the product of (a) federal taxable income (not below zero) reported on the U.S. federal income Tax Return of the Corporation for such Taxable Year and (b) the Deemed Effective State Tax Rate.</w:t>
      </w:r>
    </w:p>
    <w:p>
      <w:pPr>
        <w:spacing w:after="0" w:line="15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w:t>
      </w:r>
      <w:r>
        <w:rPr>
          <w:rFonts w:ascii="Arial" w:cs="Arial" w:eastAsia="Arial" w:hAnsi="Arial"/>
          <w:sz w:val="18"/>
          <w:szCs w:val="18"/>
          <w:color w:val="auto"/>
        </w:rPr>
        <w:t>” means any law or accounting firm that is (A) nationally recognized as being an expert in tax matters and (B) agreed to by the Corporation and the Members.</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Firm Report</w:t>
      </w:r>
      <w:r>
        <w:rPr>
          <w:rFonts w:ascii="Arial" w:cs="Arial" w:eastAsia="Arial" w:hAnsi="Arial"/>
          <w:sz w:val="18"/>
          <w:szCs w:val="18"/>
          <w:color w:val="auto"/>
        </w:rPr>
        <w:t>” shall mean (a) an attestation report from the Advisory Firm expressing an opinion on management’s assertion as to whether the Tax Benefit Schedule and/or the Early Termination Schedule has been prepared, in all material respects, in accordance with this Agreement, or (b) another type of report or letter from the Advisory Firm related to whether the information in the Tax Benefit Schedule and/or the Early Termination Schedule has been prepared in a manner consistent with the terms of this Agreement.</w:t>
      </w:r>
    </w:p>
    <w:p>
      <w:pPr>
        <w:spacing w:after="0" w:line="187"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is defined in Section 2.04(b)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is defined in Section 3.01(b)(i)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w:t>
      </w:r>
    </w:p>
    <w:p>
      <w:pPr>
        <w:spacing w:after="0" w:line="225" w:lineRule="exact"/>
        <w:rPr>
          <w:sz w:val="20"/>
          <w:szCs w:val="20"/>
          <w:color w:val="auto"/>
        </w:rPr>
      </w:pPr>
    </w:p>
    <w:p>
      <w:pPr>
        <w:ind w:right="42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Basis Adjustment</w:t>
      </w:r>
      <w:r>
        <w:rPr>
          <w:rFonts w:ascii="Arial" w:cs="Arial" w:eastAsia="Arial" w:hAnsi="Arial"/>
          <w:sz w:val="16"/>
          <w:szCs w:val="16"/>
          <w:color w:val="auto"/>
        </w:rPr>
        <w:t>” means the increase or decrease to, or the Corporation’s share of, the tax basis of the Reference Assets under Section 732, 734(b), 743(b), 754, 755, or 1012 of the Code (or in each case, any similar provisions of state, local or foreign tax law) as a result of any Basis Transaction or payment made under this Agreement. As relevant, Basis Adjustments are to be calculated pursuant to Treasury Regulations</w:t>
      </w:r>
    </w:p>
    <w:p>
      <w:pPr>
        <w:spacing w:after="0" w:line="290" w:lineRule="auto"/>
        <w:rPr>
          <w:sz w:val="20"/>
          <w:szCs w:val="20"/>
          <w:color w:val="auto"/>
        </w:rPr>
      </w:pPr>
      <w:r>
        <w:rPr>
          <w:rFonts w:ascii="Arial" w:cs="Arial" w:eastAsia="Arial" w:hAnsi="Arial"/>
          <w:sz w:val="17"/>
          <w:szCs w:val="17"/>
          <w:color w:val="auto"/>
        </w:rPr>
        <w:t>Section 1.743-1. Notwithstanding any other provision of this Agreement, the amount of any Basis Adjustment resulting from a Basis Transaction is to be determined without regard to any Pre-Redemption Transaction and as if any Pre-Redemption Transaction had not occurred.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is defined in Section 2.02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50" w:name="page151"/>
    <w:bookmarkEnd w:id="150"/>
    <w:p>
      <w:pPr>
        <w:ind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Basis Transaction</w:t>
      </w:r>
      <w:r>
        <w:rPr>
          <w:rFonts w:ascii="Arial" w:cs="Arial" w:eastAsia="Arial" w:hAnsi="Arial"/>
          <w:sz w:val="16"/>
          <w:szCs w:val="16"/>
          <w:color w:val="auto"/>
        </w:rPr>
        <w:t>” means any (i) Redemption, (ii) transaction characterized under Section 707(a)(2)(B) of the Code as a sale by a Member of Units or Reference Assets, (iii) distribution (including a deemed distribution) by a member of the BellRing LLC Group to a Member or another member of the BellRing LLC Group that results in a basis adjustment to a Reference Asset under Section 734(b) or 732 of the Code, or (iv) Reorganization.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Transaction Date</w:t>
      </w:r>
      <w:r>
        <w:rPr>
          <w:rFonts w:ascii="Arial" w:cs="Arial" w:eastAsia="Arial" w:hAnsi="Arial"/>
          <w:sz w:val="18"/>
          <w:szCs w:val="18"/>
          <w:color w:val="auto"/>
        </w:rPr>
        <w:t>” means the date of any Basis Transaction.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BellRing LLC Group</w:t>
      </w:r>
      <w:r>
        <w:rPr>
          <w:rFonts w:ascii="Arial" w:cs="Arial" w:eastAsia="Arial" w:hAnsi="Arial"/>
          <w:sz w:val="16"/>
          <w:szCs w:val="16"/>
          <w:color w:val="auto"/>
        </w:rPr>
        <w:t>” means BellRing LLC, each of its direct or indirect Subsidiaries, and each of their predecessors, successors and assigns.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Managers</w:t>
      </w:r>
      <w:r>
        <w:rPr>
          <w:rFonts w:ascii="Arial" w:cs="Arial" w:eastAsia="Arial" w:hAnsi="Arial"/>
          <w:sz w:val="18"/>
          <w:szCs w:val="18"/>
          <w:color w:val="auto"/>
        </w:rPr>
        <w:t>” means the board of managers of BellRing LLC.</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left="440" w:firstLine="428"/>
        <w:spacing w:after="0" w:line="253" w:lineRule="auto"/>
        <w:tabs>
          <w:tab w:leader="none" w:pos="107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consummation of a reorganization, merger, share exchange or consolidation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which (x) the Corporation is a constituent party or (y) a Subsidiary of the Corporation is a constituent party, except any such Business Combination involving the Corporation or a Subsidiary of the Corporation in which the holders of shares of capital stock of the Corporation outstanding immediately prior to such Business Combination continue to hold, or whose shares of capital stock of the Corporation are converted into or exchanged for shares of capital stock that represent, immediately following such Business Combination, more than 50% of the combined voting power of the capital stock entitled to vote generally in the election of directors or other governing body, as the case may be, of (A) the surviving or resulting corporation or other entity or (B) if the surviving or resulting corporation or other entity is a wholly-owned subsidiary of another corporation or other entity immediately following such merger or consolidation, the parent corporation or other entity of such surviving or resulting corporation or other entity;</w:t>
      </w:r>
    </w:p>
    <w:p>
      <w:pPr>
        <w:spacing w:after="0" w:line="89" w:lineRule="exact"/>
        <w:rPr>
          <w:rFonts w:ascii="Arial" w:cs="Arial" w:eastAsia="Arial" w:hAnsi="Arial"/>
          <w:sz w:val="18"/>
          <w:szCs w:val="18"/>
          <w:color w:val="auto"/>
        </w:rPr>
      </w:pPr>
    </w:p>
    <w:p>
      <w:pPr>
        <w:ind w:left="440" w:right="100" w:firstLine="428"/>
        <w:spacing w:after="0" w:line="276" w:lineRule="auto"/>
        <w:tabs>
          <w:tab w:leader="none" w:pos="112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 sale, assignment, conveyance, transfer, lease or other disposition, in one transaction or a series of transactions, by the Corporation or any Subsidiary of the Corporation of all or substantially all of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assignment, conveyance, transfer, lease or other disposition is to a wholly-owned Subsidiary of the Corporation;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51" w:name="page152"/>
    <w:bookmarkEnd w:id="151"/>
    <w:p>
      <w:pPr>
        <w:ind w:left="440" w:right="140" w:firstLine="428"/>
        <w:spacing w:after="0" w:line="255" w:lineRule="auto"/>
        <w:tabs>
          <w:tab w:leader="none" w:pos="1178"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or group of Persons acting together which would constitute a “group” for purposes of Section 13(d) or 14(d) of the Securities and Exchange Act of 1934, as amended, or any successor provisions thereto, other than Post or any Affiliate thereof (other than the Corporation or any of its Subsidiaries), acquiring, holding or otherwise controlling more than 50% of the combined voting power of the capital stock of the Corporation entitled to vote generally in the election of directors (including, for avoidance of doubt, acquiring, holding or otherwise controlling the right to cast all or a portion of the votes to which the Class B Common Stock is entitled pursuant to proxies, voting agreements or other voting arrangements from or with Post or any of its Affiliates (other than the Corporation or any of its Subsidiaries) in accordance with the LLC Agreement); or</w:t>
      </w:r>
    </w:p>
    <w:p>
      <w:pPr>
        <w:spacing w:after="0" w:line="81" w:lineRule="exact"/>
        <w:rPr>
          <w:rFonts w:ascii="Arial" w:cs="Arial" w:eastAsia="Arial" w:hAnsi="Arial"/>
          <w:sz w:val="18"/>
          <w:szCs w:val="18"/>
          <w:color w:val="auto"/>
        </w:rPr>
      </w:pPr>
    </w:p>
    <w:p>
      <w:pPr>
        <w:ind w:left="1180" w:hanging="312"/>
        <w:spacing w:after="0"/>
        <w:tabs>
          <w:tab w:leader="none" w:pos="11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approval by the stockholders of the Corporation of any plan or proposal for the liquidation or dissolution of the Corporation.</w:t>
      </w:r>
    </w:p>
    <w:p>
      <w:pPr>
        <w:spacing w:after="0" w:line="237"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(a) any indirect Change of Control of the Corporation resulting from a change of control of Post, (b) the consummation of any transaction or series of integrated transactions immediately following which the record holders of the Class A Common Stock and the Class B Common Stock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(c) the consummation of any transaction or series of integrated transactions in which a Member or an Affiliate of such Member merges with the Corporation or</w:t>
      </w:r>
    </w:p>
    <w:p>
      <w:pPr>
        <w:spacing w:after="0" w:line="5" w:lineRule="exact"/>
        <w:rPr>
          <w:sz w:val="20"/>
          <w:szCs w:val="20"/>
          <w:color w:val="auto"/>
        </w:rPr>
      </w:pPr>
    </w:p>
    <w:p>
      <w:pPr>
        <w:ind w:right="120" w:firstLine="4"/>
        <w:spacing w:after="0" w:line="261"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distribution by Post of its retained beneficial interest in BellRing LLC by means of a spin-off or split-off to its shareholders (however evidenced or structured).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means the initial deemed contribution for U.S. federal income tax purposes by Post to BellRing LLC of all of the assets and liabilities of BellRing LLC as part of the formation of BellRing LLC, which occurs in connection with the Reorganization.</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Return</w:t>
      </w:r>
      <w:r>
        <w:rPr>
          <w:rFonts w:ascii="Arial" w:cs="Arial" w:eastAsia="Arial" w:hAnsi="Arial"/>
          <w:sz w:val="18"/>
          <w:szCs w:val="18"/>
          <w:color w:val="auto"/>
        </w:rPr>
        <w:t>” means the U.S. federal income Tax Return of the Corporation filed with respect to any Taxable Year.</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Taxes</w:t>
      </w:r>
      <w:r>
        <w:rPr>
          <w:rFonts w:ascii="Arial" w:cs="Arial" w:eastAsia="Arial" w:hAnsi="Arial"/>
          <w:sz w:val="16"/>
          <w:szCs w:val="16"/>
          <w:color w:val="auto"/>
        </w:rPr>
        <w:t>” means any U.S. federal, state, local, or franchise taxes, assessments or similar charges that are based on or measured with respect to net income or profits, whether as an exclusive or an alternative basis, and any interest imposed in respect thereof under applicable law.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2" w:name="page153"/>
    <w:bookmarkEnd w:id="1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is defined in Section 3.01(b)(iii)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Effective State Tax Rate</w:t>
      </w:r>
      <w:r>
        <w:rPr>
          <w:rFonts w:ascii="Arial" w:cs="Arial" w:eastAsia="Arial" w:hAnsi="Arial"/>
          <w:sz w:val="18"/>
          <w:szCs w:val="18"/>
          <w:color w:val="auto"/>
        </w:rPr>
        <w:t>” means an assumed rate equal to 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is defined in Section 3.01(b)(viii) of this Agreement.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any other event (including the execution of a Form 870-AD) that finally and conclusively establishes the amount of any liability for tax.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is defined in Section 4.01(b) of this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means (i) with respect to an early termination pursuant to Section 4.01(b), the date an Early Termination Notice is delivered, (ii) with respect to an early termination pursuant to Section 4.01(c), the date of the applicable Material Breach and (iii) with respect to an early termination pursuant to Section 4.01(d), the date of the applicable Change of Control.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Event</w:t>
      </w:r>
      <w:r>
        <w:rPr>
          <w:rFonts w:ascii="Arial" w:cs="Arial" w:eastAsia="Arial" w:hAnsi="Arial"/>
          <w:sz w:val="18"/>
          <w:szCs w:val="18"/>
          <w:color w:val="auto"/>
        </w:rPr>
        <w:t>” means (i) an Early Complete Termination to which Section 4.01(b) applies, (ii) a breach of this Agreement to which Section 4.01(c) applies and (iii) a Change of Control to which Section 4.01(d) applies.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is defined in Section 4.01(b)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is defined in Section 4.03(b)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lesser of (i) 6.5% per annum, compounded annually, and (ii) LIBOR plus 300 basis points.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is defined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is defined in Section 3.01(b)(vii) of this Agreement.</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means any date on which a payment is required to be made pursuant to this Agreement. The Final Payment Date in respect of (i) a Tax Benefit Payment is determined pursuant to Section 3.01(a) of this Agreement and (ii) an Early Termination Payment is determined pursuant to Section 4.03(a) of this Agreement.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153" w:name="page154"/>
    <w:bookmarkEnd w:id="153"/>
    <w:p>
      <w:pPr>
        <w:ind w:firstLine="44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Hypothetical Federal Tax Liability</w:t>
      </w:r>
      <w:r>
        <w:rPr>
          <w:rFonts w:ascii="Arial" w:cs="Arial" w:eastAsia="Arial" w:hAnsi="Arial"/>
          <w:sz w:val="18"/>
          <w:szCs w:val="18"/>
          <w:color w:val="auto"/>
        </w:rPr>
        <w:t xml:space="preserve">” means, with respect to any Taxable Year, the hypothetical liability of the Corporation that would arise in respect of U.S. federal Covered Taxes, using the same methods, elections, conventions and similar practices used on the actual relevant U.S. federal Tax Returns of the Corporation but (i) calculating depreciation, amortization, or other similar deductions, or otherwise calculating any items of income, gain, or loss, using the Corporation’s proportionate share of such items (without regard to the Section 704(c) Benefits) determined by reference to the Non-Adjusted Tax Basis as reflected on the Basis Schedule, including amendments thereto, for such Taxable Year, (ii) excluding any Section 707(c) Deductions or Imputed Interest for such Taxable Year and (iii) deducting the Hypothetical Other Tax Liability (rather than any amount for state and local tax liabilities) for such Taxable Year. For the avoidance of doubt, the Hypothetical Federal Tax Liability shall be determined without taking into account the carryover or carryback of any tax item (or portions thereof) that is attributable to any of the items described in </w:t>
      </w:r>
      <w:r>
        <w:rPr>
          <w:rFonts w:ascii="Arial" w:cs="Arial" w:eastAsia="Arial" w:hAnsi="Arial"/>
          <w:sz w:val="18"/>
          <w:szCs w:val="18"/>
          <w:u w:val="single" w:color="auto"/>
          <w:color w:val="auto"/>
        </w:rPr>
        <w:t>clauses (i), (ii), or (iii)</w:t>
      </w:r>
      <w:r>
        <w:rPr>
          <w:rFonts w:ascii="Arial" w:cs="Arial" w:eastAsia="Arial" w:hAnsi="Arial"/>
          <w:sz w:val="18"/>
          <w:szCs w:val="18"/>
          <w:color w:val="auto"/>
        </w:rPr>
        <w:t xml:space="preserve"> of the previous sentence.</w:t>
      </w:r>
    </w:p>
    <w:p>
      <w:pPr>
        <w:spacing w:after="0" w:line="19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Other Tax Liability</w:t>
      </w:r>
      <w:r>
        <w:rPr>
          <w:rFonts w:ascii="Arial" w:cs="Arial" w:eastAsia="Arial" w:hAnsi="Arial"/>
          <w:sz w:val="18"/>
          <w:szCs w:val="18"/>
          <w:color w:val="auto"/>
        </w:rPr>
        <w:t>” means, with respect to any Taxable Year, U.S. federal taxable income determined in connection with calculating the Hypothetical Federal Tax Liability for such Taxable Year (determined without regard to clause (iii) thereof) multiplied by the Deemed Effective State Tax Rate for such Taxable Year.</w:t>
      </w:r>
    </w:p>
    <w:p>
      <w:pPr>
        <w:spacing w:after="0" w:line="18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the Hypothetical Federal Tax Liability for such Taxable Year, plus the Hypothetical Other Tax Liability for such Taxable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is defined in Section 3.01(b)(vi) of this Agreement.</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mean the initial public offering of Class A Common Stock pursuant to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is defined in Section 7.06(a) of this Agreement.</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xml:space="preserve">” means for each month (or portion thereof) during any period, an interest rate per annum equal to the rate per annum reported, on the date two (2) days prior to the first day of such month, on the Telerate Page 3750 (or if such screen shall cease to be publicly available, as reported on Reuters Screen page “LIBO” or by any other publicly available source of such market rate) for London interbank offered rates for U.S. dollar deposits for such month (or portion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adequate and reasonable means do not exist for ascertaining LIBOR and such circumstances are unlikely to be temporary or (ii) the supervisor for the administrator of LIBOR or a governmental authority having jurisdiction over the Members or the Corporation has made a public statement identifying a specific date after which LIBOR shall no longer be used for determining interest rates for loans, then the Corporation and the Members shall designate an alternative rate of interest to LIBOR that gives due consideration to the then prevailing market convention for determining a comparable rate of interest in the United States at such time, and this alternative rate, once designated, shall be deemed to be LIBOR for purposes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54" w:name="page155"/>
    <w:bookmarkEnd w:id="154"/>
    <w:p>
      <w:pPr>
        <w:ind w:right="46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LLC Agreement</w:t>
      </w:r>
      <w:r>
        <w:rPr>
          <w:rFonts w:ascii="Arial" w:cs="Arial" w:eastAsia="Arial" w:hAnsi="Arial"/>
          <w:sz w:val="17"/>
          <w:szCs w:val="17"/>
          <w:color w:val="auto"/>
        </w:rPr>
        <w:t>” means that certain Amended and Restated Limited Liability Company Agreement of BellRing LLC, dated as of the date hereof, as such agreement may be further amended, restated, supplemented and/or otherwise modified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the Common Unit Redemption Price,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Breach</w:t>
      </w:r>
      <w:r>
        <w:rPr>
          <w:rFonts w:ascii="Arial" w:cs="Arial" w:eastAsia="Arial" w:hAnsi="Arial"/>
          <w:sz w:val="18"/>
          <w:szCs w:val="18"/>
          <w:color w:val="auto"/>
        </w:rPr>
        <w:t>” is defined in Section 4.01(c)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is defined in Section 7.12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is defined in Section 3.01(b)(ii) of this Agreement.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Non-TRA Portion</w:t>
      </w:r>
      <w:r>
        <w:rPr>
          <w:rFonts w:ascii="Arial" w:cs="Arial" w:eastAsia="Arial" w:hAnsi="Arial"/>
          <w:sz w:val="18"/>
          <w:szCs w:val="18"/>
          <w:color w:val="auto"/>
        </w:rPr>
        <w:t>” is defined in Section 2.03(b)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is defined in Section 2.04(a)(i) of this Agreement.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Pre-Redemption Transaction</w:t>
      </w:r>
      <w:r>
        <w:rPr>
          <w:rFonts w:ascii="Arial" w:cs="Arial" w:eastAsia="Arial" w:hAnsi="Arial"/>
          <w:sz w:val="18"/>
          <w:szCs w:val="18"/>
          <w:color w:val="auto"/>
        </w:rPr>
        <w:t>” means any transfer of one or more Units (including from the exercise of an option to acquire such Units) that occurs after the IPO but prior to a Redemption of such Units and to which Section 743(b) of the Code applies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is defined in Section 3.01(b)(iv)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is defined in Section 3.01(b)(v)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is defined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shall mean those procedures set forth in Section 7.08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is defined in the recitals to this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55" w:name="page156"/>
    <w:bookmarkEnd w:id="155"/>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of any Member of the BellRing LLC Group, whether held directly by BellRing LLC or indirectly by BellRing LLC through a member of the BellRing LLC Group, at the time of, or immediately prior to, a Basis Transaction.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on Form S-1 of the Corporation.</w:t>
      </w:r>
    </w:p>
    <w:p>
      <w:pPr>
        <w:spacing w:after="0" w:line="22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means the transfers or deemed transfers (including Section 721 contributions) of Dymatize Enterprises, LLC units or of assets into Dymatize Enterprises, LLC by its former members and current members of the BellRing LLC Group, which occur in 2019, and that result in new Section 743(b) adjustments to the Dymatize Enterprises, LLC members.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Tax Benefit Schedule and any Early Termination Schedule.</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704(c) Benefits</w:t>
      </w:r>
      <w:r>
        <w:rPr>
          <w:rFonts w:ascii="Arial" w:cs="Arial" w:eastAsia="Arial" w:hAnsi="Arial"/>
          <w:sz w:val="18"/>
          <w:szCs w:val="18"/>
          <w:color w:val="auto"/>
        </w:rPr>
        <w:t>” means the disproportionate allocation of tax items of income, gain, deduction and loss to, or away from, the Corporation pursuant to Section 704(c) of the Code in respect of any difference between the fair market value and the tax basis of the Reference Assets immediately following the Reorganization. For the avoidance of doubt, such amount would include disproportionate allocations of tax items of income and gain to a Member and away from the Corporation.</w:t>
      </w:r>
    </w:p>
    <w:p>
      <w:pPr>
        <w:spacing w:after="0" w:line="187"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707(c) Deductions</w:t>
      </w:r>
      <w:r>
        <w:rPr>
          <w:rFonts w:ascii="Arial" w:cs="Arial" w:eastAsia="Arial" w:hAnsi="Arial"/>
          <w:sz w:val="17"/>
          <w:szCs w:val="17"/>
          <w:color w:val="auto"/>
        </w:rPr>
        <w:t>” means the deduction that arises at BellRing LLC in respect of the characterization of certain payments under the Agreement as guaranteed payments for the use of capital under Section 707(c) of the Code by BellRing LLC to Members.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is defined in Section 5.02 of this Agreement.</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other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is defined in Section 3.01(b)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is defined in Section 2.03(a) of this Agreement.</w:t>
      </w:r>
    </w:p>
    <w:p>
      <w:pPr>
        <w:spacing w:after="0" w:line="225"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4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Year</w:t>
      </w:r>
      <w:r>
        <w:rPr>
          <w:rFonts w:ascii="Arial" w:cs="Arial" w:eastAsia="Arial" w:hAnsi="Arial"/>
          <w:sz w:val="16"/>
          <w:szCs w:val="16"/>
          <w:color w:val="auto"/>
        </w:rPr>
        <w:t>” means a taxable year as defined in Section 441(b) of the Code or comparable section of U.S. state or local tax law (and, therefore, for the avoidance of doubt, may include a period of less than 12 months for which a Tax Return is made) ending on or after the date of the IPO.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56" w:name="page157"/>
    <w:bookmarkEnd w:id="156"/>
    <w:p>
      <w:pPr>
        <w:ind w:right="34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Taxing Authority</w:t>
      </w:r>
      <w:r>
        <w:rPr>
          <w:rFonts w:ascii="Arial" w:cs="Arial" w:eastAsia="Arial" w:hAnsi="Arial"/>
          <w:sz w:val="16"/>
          <w:szCs w:val="16"/>
          <w:color w:val="auto"/>
        </w:rPr>
        <w:t>” shall mean any domestic, foreign, federal, national, state, county or municipal or other local government, any subdivision, agency, commission or authority thereof, or any quasi-governmental body exercising any regulatory or other authority with respect to tax matters.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is defined in Section 4.02 of this Agreement.</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by operation of law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Portion</w:t>
      </w:r>
      <w:r>
        <w:rPr>
          <w:rFonts w:ascii="Arial" w:cs="Arial" w:eastAsia="Arial" w:hAnsi="Arial"/>
          <w:sz w:val="18"/>
          <w:szCs w:val="18"/>
          <w:color w:val="auto"/>
        </w:rPr>
        <w:t>” is defined in Section 2.03(b) of this Agreement.</w:t>
      </w:r>
    </w:p>
    <w:p>
      <w:pPr>
        <w:spacing w:after="0" w:line="225"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means, as of an Early Termination Effective Date, the assumptions that:</w:t>
      </w:r>
    </w:p>
    <w:p>
      <w:pPr>
        <w:spacing w:after="0" w:line="117" w:lineRule="exact"/>
        <w:rPr>
          <w:sz w:val="20"/>
          <w:szCs w:val="20"/>
          <w:color w:val="auto"/>
        </w:rPr>
      </w:pPr>
    </w:p>
    <w:p>
      <w:pPr>
        <w:ind w:left="440" w:right="20" w:firstLine="428"/>
        <w:spacing w:after="0" w:line="276" w:lineRule="auto"/>
        <w:tabs>
          <w:tab w:leader="none" w:pos="107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each Taxable Year ending on or after such Early Termination Effective Date, the Corporation will have taxable income sufficient to use fully the deductions or other tax benefits available to it arising from any tax basis in any Reference Assets, Section 704(c) Benefits, Section 707(c) Deductions and the Imputed Interest during such Taxable Year or future Taxable Years (including, for the avoidance of doubt, any tax basis in any Reference Assets, Section 707(c) Deductions and Imputed Interest that would result from future Tax Benefit Payments that would be paid in accordance with the Valuation Assumptions) in which such deductions would become available;</w:t>
      </w:r>
    </w:p>
    <w:p>
      <w:pPr>
        <w:spacing w:after="0" w:line="64" w:lineRule="exact"/>
        <w:rPr>
          <w:rFonts w:ascii="Arial" w:cs="Arial" w:eastAsia="Arial" w:hAnsi="Arial"/>
          <w:sz w:val="17"/>
          <w:szCs w:val="17"/>
          <w:color w:val="auto"/>
        </w:rPr>
      </w:pPr>
    </w:p>
    <w:p>
      <w:pPr>
        <w:ind w:left="440" w:right="80" w:firstLine="428"/>
        <w:spacing w:after="0" w:line="264" w:lineRule="auto"/>
        <w:tabs>
          <w:tab w:leader="none" w:pos="11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all taxable income of the Corporation will be subject to the maximum applicable tax rates for each Covered Tax throughout the relevant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440" w:firstLine="428"/>
        <w:spacing w:after="0" w:line="255"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loss carryovers or carrybacks generated by any tax basis made available to the Corporation in any Reference Assets, Section 704(c) Benefits, Section 707(c) Deductions and Imputed Interest (including any such tax basis in any Reference Assets, Section 707(c) Deductions and Imputed Interest generated as a result of payments made under this Agreement) and available as of the date of the Early Termination Schedule will be used by the Corporation ratably in each Taxable Year from the date of the Early Termination Schedule through the scheduled expiration date of such loss carryovers or, if such carryovers or carrybacks do not have an expiration date, over the fifteen (15)-year period after such carryovers or carrybacks were generated;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57" w:name="page158"/>
    <w:bookmarkEnd w:id="157"/>
    <w:p>
      <w:pPr>
        <w:ind w:left="400" w:right="60" w:firstLine="428"/>
        <w:spacing w:after="0" w:line="277" w:lineRule="auto"/>
        <w:tabs>
          <w:tab w:leader="none" w:pos="1078"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non-amortizable assets will be disposed of for book value on the fifteenth (15th) anniversary of the earlier of (i) the applicable Basis Adjustment and (ii) the Early Termination Effective Date;</w:t>
      </w:r>
    </w:p>
    <w:p>
      <w:pPr>
        <w:spacing w:after="0" w:line="62" w:lineRule="exact"/>
        <w:rPr>
          <w:rFonts w:ascii="Arial" w:cs="Arial" w:eastAsia="Arial" w:hAnsi="Arial"/>
          <w:sz w:val="18"/>
          <w:szCs w:val="18"/>
          <w:color w:val="auto"/>
        </w:rPr>
      </w:pPr>
    </w:p>
    <w:p>
      <w:pPr>
        <w:ind w:left="400" w:right="40" w:firstLine="428"/>
        <w:spacing w:after="0" w:line="264" w:lineRule="auto"/>
        <w:tabs>
          <w:tab w:leader="none" w:pos="112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on the Early Termination Effective Date, any Member has Units that have not been Redeemed, then such Units shall be deemed to be Redeemed for the Market Value of the shares of Class A Common Stock or the amount of cash that would be received by such Member had such Units actually been Redeemed on the Early Termination Effective Date;</w:t>
      </w:r>
    </w:p>
    <w:p>
      <w:pPr>
        <w:spacing w:after="0" w:line="73" w:lineRule="exact"/>
        <w:rPr>
          <w:rFonts w:ascii="Arial" w:cs="Arial" w:eastAsia="Arial" w:hAnsi="Arial"/>
          <w:sz w:val="18"/>
          <w:szCs w:val="18"/>
          <w:color w:val="auto"/>
        </w:rPr>
      </w:pPr>
    </w:p>
    <w:p>
      <w:pPr>
        <w:ind w:left="400" w:firstLine="428"/>
        <w:spacing w:after="0" w:line="308" w:lineRule="auto"/>
        <w:tabs>
          <w:tab w:leader="none" w:pos="11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spacing w:after="0" w:line="38" w:lineRule="exact"/>
        <w:rPr>
          <w:rFonts w:ascii="Arial" w:cs="Arial" w:eastAsia="Arial" w:hAnsi="Arial"/>
          <w:sz w:val="17"/>
          <w:szCs w:val="17"/>
          <w:color w:val="auto"/>
        </w:rPr>
      </w:pPr>
    </w:p>
    <w:p>
      <w:pPr>
        <w:ind w:left="400" w:right="660" w:firstLine="428"/>
        <w:spacing w:after="0" w:line="277" w:lineRule="auto"/>
        <w:tabs>
          <w:tab w:leader="none" w:pos="122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 respect to Taxable Years ending prior to the Early Termination Effective Date, any unpaid Tax Benefit Payments and any applicable Default Rate Interest will be paid.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Unless otherwise specified herein:</w:t>
      </w:r>
    </w:p>
    <w:p>
      <w:pPr>
        <w:spacing w:after="0" w:line="117" w:lineRule="exact"/>
        <w:rPr>
          <w:sz w:val="20"/>
          <w:szCs w:val="20"/>
          <w:color w:val="auto"/>
        </w:rPr>
      </w:pPr>
    </w:p>
    <w:p>
      <w:pPr>
        <w:ind w:left="-40" w:right="160" w:firstLine="996"/>
        <w:spacing w:after="0" w:line="277" w:lineRule="auto"/>
        <w:tabs>
          <w:tab w:leader="none" w:pos="119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both (i) the singular and plural forms and (ii) the active and passive forms of the defined terms.</w:t>
      </w:r>
    </w:p>
    <w:p>
      <w:pPr>
        <w:spacing w:after="0" w:line="62" w:lineRule="exact"/>
        <w:rPr>
          <w:rFonts w:ascii="Arial" w:cs="Arial" w:eastAsia="Arial" w:hAnsi="Arial"/>
          <w:sz w:val="18"/>
          <w:szCs w:val="18"/>
          <w:color w:val="auto"/>
        </w:rPr>
      </w:pPr>
    </w:p>
    <w:p>
      <w:pPr>
        <w:ind w:left="1220" w:hanging="264"/>
        <w:spacing w:after="0"/>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117" w:lineRule="exact"/>
        <w:rPr>
          <w:rFonts w:ascii="Arial" w:cs="Arial" w:eastAsia="Arial" w:hAnsi="Arial"/>
          <w:sz w:val="18"/>
          <w:szCs w:val="18"/>
          <w:color w:val="auto"/>
        </w:rPr>
      </w:pPr>
    </w:p>
    <w:p>
      <w:pPr>
        <w:ind w:left="-40" w:right="140" w:firstLine="1436"/>
        <w:spacing w:after="0" w:line="277" w:lineRule="auto"/>
        <w:tabs>
          <w:tab w:leader="none" w:pos="160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62" w:lineRule="exact"/>
        <w:rPr>
          <w:rFonts w:ascii="Arial" w:cs="Arial" w:eastAsia="Arial" w:hAnsi="Arial"/>
          <w:sz w:val="18"/>
          <w:szCs w:val="18"/>
          <w:color w:val="auto"/>
        </w:rPr>
      </w:pPr>
    </w:p>
    <w:p>
      <w:pPr>
        <w:ind w:left="-40" w:right="560" w:firstLine="1436"/>
        <w:spacing w:after="0" w:line="277" w:lineRule="auto"/>
        <w:tabs>
          <w:tab w:leader="none" w:pos="165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References in this Agreement to a Schedule, Article, Section, clause or sub-clause refer to the appropriate Schedule to, or Article, Section, clause or subclause in, this Agreement.</w:t>
      </w:r>
    </w:p>
    <w:p>
      <w:pPr>
        <w:spacing w:after="0" w:line="62" w:lineRule="exact"/>
        <w:rPr>
          <w:rFonts w:ascii="Arial" w:cs="Arial" w:eastAsia="Arial" w:hAnsi="Arial"/>
          <w:sz w:val="18"/>
          <w:szCs w:val="18"/>
          <w:color w:val="auto"/>
        </w:rPr>
      </w:pPr>
    </w:p>
    <w:p>
      <w:pPr>
        <w:ind w:left="1720" w:hanging="324"/>
        <w:spacing w:after="0"/>
        <w:tabs>
          <w:tab w:leader="none" w:pos="17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References in this Agreement to dollars or “$” refer to the lawful currency of the United States of America.</w:t>
      </w:r>
    </w:p>
    <w:p>
      <w:pPr>
        <w:spacing w:after="0" w:line="117" w:lineRule="exact"/>
        <w:rPr>
          <w:rFonts w:ascii="Arial" w:cs="Arial" w:eastAsia="Arial" w:hAnsi="Arial"/>
          <w:sz w:val="18"/>
          <w:szCs w:val="18"/>
          <w:color w:val="auto"/>
        </w:rPr>
      </w:pPr>
    </w:p>
    <w:p>
      <w:pPr>
        <w:ind w:left="1700" w:hanging="304"/>
        <w:spacing w:after="0"/>
        <w:tabs>
          <w:tab w:leader="none" w:pos="17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17" w:lineRule="exact"/>
        <w:rPr>
          <w:rFonts w:ascii="Arial" w:cs="Arial" w:eastAsia="Arial" w:hAnsi="Arial"/>
          <w:sz w:val="18"/>
          <w:szCs w:val="18"/>
          <w:color w:val="auto"/>
        </w:rPr>
      </w:pPr>
    </w:p>
    <w:p>
      <w:pPr>
        <w:ind w:left="-40" w:right="740" w:firstLine="1436"/>
        <w:spacing w:after="0" w:line="277" w:lineRule="auto"/>
        <w:tabs>
          <w:tab w:leader="none" w:pos="164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2" w:lineRule="exact"/>
        <w:rPr>
          <w:rFonts w:ascii="Arial" w:cs="Arial" w:eastAsia="Arial" w:hAnsi="Arial"/>
          <w:sz w:val="18"/>
          <w:szCs w:val="18"/>
          <w:color w:val="auto"/>
        </w:rPr>
      </w:pPr>
    </w:p>
    <w:p>
      <w:pPr>
        <w:ind w:left="-40" w:right="120" w:firstLine="996"/>
        <w:spacing w:after="0" w:line="277" w:lineRule="auto"/>
        <w:tabs>
          <w:tab w:leader="none" w:pos="119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80" w:top="274" w:right="459" w:bottom="1440" w:gutter="0" w:footer="0" w:header="0"/>
        </w:sectPr>
      </w:pPr>
    </w:p>
    <w:bookmarkStart w:id="158" w:name="page159"/>
    <w:bookmarkEnd w:id="158"/>
    <w:p>
      <w:pPr>
        <w:ind w:right="780" w:firstLine="996"/>
        <w:spacing w:after="0" w:line="277" w:lineRule="auto"/>
        <w:tabs>
          <w:tab w:leader="none" w:pos="12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(and subsection) headings, titles and subtitles herein are included for convenience of reference only and are not to be considered in construing this Agreement.</w:t>
      </w:r>
    </w:p>
    <w:p>
      <w:pPr>
        <w:spacing w:after="0" w:line="62" w:lineRule="exact"/>
        <w:rPr>
          <w:rFonts w:ascii="Arial" w:cs="Arial" w:eastAsia="Arial" w:hAnsi="Arial"/>
          <w:sz w:val="18"/>
          <w:szCs w:val="18"/>
          <w:color w:val="auto"/>
        </w:rPr>
      </w:pPr>
    </w:p>
    <w:p>
      <w:pPr>
        <w:ind w:right="80" w:firstLine="996"/>
        <w:spacing w:after="0" w:line="279" w:lineRule="auto"/>
        <w:tabs>
          <w:tab w:leader="none" w:pos="123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Unless otherwise expressly provided herein, (i) references to organization documents (including the LLC Agreement), agreements (including this Agreement) and other contractual instruments shall be deemed to include all subsequent amendments, restatements, extensions, supplements and other modifications thereto; and (ii) references to any law (including the Code and the Treasury Regulations) shall include all statutory and regulatory provisions consolidating, amending, replacing, supplementing or interpreting such law.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Basis Adjustments; 754 Election</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57" w:lineRule="auto"/>
        <w:tabs>
          <w:tab w:leader="none" w:pos="123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Basis Adjustments</w:t>
      </w:r>
      <w:r>
        <w:rPr>
          <w:rFonts w:ascii="Arial" w:cs="Arial" w:eastAsia="Arial" w:hAnsi="Arial"/>
          <w:sz w:val="18"/>
          <w:szCs w:val="18"/>
          <w:color w:val="auto"/>
        </w:rPr>
        <w:t>. The Parties acknowledge and agree that, except as otherwise required by applicable law, (i) each Redemption shall be treated as a direct purchase of Units by the Corporation from the applicable Member pursuant to Section 707(a)(2)(B) of the Code (or any similar provisions of applicable state, local or foreign tax law) and (ii) each Basis Transaction will give rise to Basis Adjustments. For the avoidance of doubt, payments made under this Agreement shall not be treated as resulting in a Basis Adjustment to the extent such payments are treated as Imputed Interest or giving rise to Section 707(c) Deductions.</w:t>
      </w:r>
    </w:p>
    <w:p>
      <w:pPr>
        <w:spacing w:after="0" w:line="80" w:lineRule="exact"/>
        <w:rPr>
          <w:rFonts w:ascii="Arial" w:cs="Arial" w:eastAsia="Arial" w:hAnsi="Arial"/>
          <w:sz w:val="18"/>
          <w:szCs w:val="18"/>
          <w:color w:val="auto"/>
        </w:rPr>
      </w:pPr>
    </w:p>
    <w:p>
      <w:pPr>
        <w:ind w:right="180" w:firstLine="996"/>
        <w:spacing w:after="0" w:line="302" w:lineRule="auto"/>
        <w:tabs>
          <w:tab w:leader="none" w:pos="124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754 Election</w:t>
      </w:r>
      <w:r>
        <w:rPr>
          <w:rFonts w:ascii="Arial" w:cs="Arial" w:eastAsia="Arial" w:hAnsi="Arial"/>
          <w:sz w:val="16"/>
          <w:szCs w:val="16"/>
          <w:color w:val="auto"/>
        </w:rPr>
        <w:t>. The Corporation shall cause BellRing LLC and each of its Subsidiaries that is treated as a partnership for U.S. federal income tax purposes to have in effect an election under Section 754 of the Code (or any similar provisions of applicable state, local or foreign tax law) for each Taxable Year. The Corporation shall take commercially reasonable efforts to cause each Person in which BellRing LLC owns a direct or indirect equity interest (other than a Subsidiary) that is so treated as a partnership to have in effect any such election for each Taxable Year.</w:t>
      </w:r>
    </w:p>
    <w:p>
      <w:pPr>
        <w:spacing w:after="0" w:line="15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Basis Schedules</w:t>
      </w:r>
      <w:r>
        <w:rPr>
          <w:rFonts w:ascii="Arial" w:cs="Arial" w:eastAsia="Arial" w:hAnsi="Arial"/>
          <w:sz w:val="16"/>
          <w:szCs w:val="16"/>
          <w:color w:val="auto"/>
        </w:rPr>
        <w:t>. Within one hundred twenty (120) calendar days after the filing of the U.S. federal income Tax Return of the Corporation for each relevant Taxable Year, the Corporation shall prepare, at its own expense, and deliver to the Members a schedule showing, in reasonable detail, (a) the Non-Adjusted Tax Basis of the Reference Assets as of each applicable Basis Transaction Date, (b) the Basis Adjustments to the Reference Assets for such Taxable Year, calculated (i) in the aggregate and (ii) solely with respect to each applicable Member, (c) the periods over which the Reference Assets are amortizable or depreciable and (d) the period over which each Basis Adjustment is amortizable or depreciable (such schedule, a “</w:t>
      </w:r>
      <w:r>
        <w:rPr>
          <w:rFonts w:ascii="Arial" w:cs="Arial" w:eastAsia="Arial" w:hAnsi="Arial"/>
          <w:sz w:val="16"/>
          <w:szCs w:val="16"/>
          <w:u w:val="single" w:color="auto"/>
          <w:color w:val="auto"/>
        </w:rPr>
        <w:t>Basis Schedule</w:t>
      </w:r>
      <w:r>
        <w:rPr>
          <w:rFonts w:ascii="Arial" w:cs="Arial" w:eastAsia="Arial" w:hAnsi="Arial"/>
          <w:sz w:val="16"/>
          <w:szCs w:val="16"/>
          <w:color w:val="auto"/>
        </w:rPr>
        <w:t>”). For the avoidance of doubt, the Basis Schedule shall reflect all changes in the bases of Reference Assets arising other than from a Basis Adjustment (e.g., as the result of an audit). A Basis Schedule will become final and binding on the Parties pursuant to the procedures set forth in Section 2.04(a) and may be amended by the Parties pursuant to the procedures set forth in Section 2.04(b).</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9" w:name="page160"/>
    <w:bookmarkEnd w:id="15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8"/>
          <w:szCs w:val="18"/>
          <w:u w:val="single" w:color="auto"/>
          <w:color w:val="auto"/>
        </w:rPr>
        <w:t>Tax Benefit Schedules.</w:t>
      </w:r>
    </w:p>
    <w:p>
      <w:pPr>
        <w:spacing w:after="0" w:line="117" w:lineRule="exact"/>
        <w:rPr>
          <w:sz w:val="20"/>
          <w:szCs w:val="20"/>
          <w:color w:val="auto"/>
        </w:rPr>
      </w:pPr>
    </w:p>
    <w:p>
      <w:pPr>
        <w:ind w:left="-20" w:right="80" w:firstLine="996"/>
        <w:spacing w:after="0" w:line="293" w:lineRule="auto"/>
        <w:tabs>
          <w:tab w:leader="none" w:pos="1216"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Tax Benefit Schedule</w:t>
      </w:r>
      <w:r>
        <w:rPr>
          <w:rFonts w:ascii="Arial" w:cs="Arial" w:eastAsia="Arial" w:hAnsi="Arial"/>
          <w:sz w:val="16"/>
          <w:szCs w:val="16"/>
          <w:color w:val="auto"/>
        </w:rPr>
        <w:t>. Within one hundred twenty (120) calendar days after the filing of the Corporation Return for any Taxable Year for which there is a Realized Tax Benefit or Realized Tax Detriment, the Corporation shall provide to the Members a schedule showing, in reasonable detail, (i) the calculation of the Realized Tax Benefit or Realized Tax Detriment for such Taxable Year, (ii) the calculation of any payment to be made to the Members pursuant to Article III with respect to such Taxable Year and (iii) all requested supporting information pursuant to Section 2.04(a) of this Agreement reasonably necessary to support the calculation of such payment (a “</w:t>
      </w:r>
      <w:r>
        <w:rPr>
          <w:rFonts w:ascii="Arial" w:cs="Arial" w:eastAsia="Arial" w:hAnsi="Arial"/>
          <w:sz w:val="16"/>
          <w:szCs w:val="16"/>
          <w:u w:val="single" w:color="auto"/>
          <w:color w:val="auto"/>
        </w:rPr>
        <w:t>Tax Benefit Schedule</w:t>
      </w:r>
      <w:r>
        <w:rPr>
          <w:rFonts w:ascii="Arial" w:cs="Arial" w:eastAsia="Arial" w:hAnsi="Arial"/>
          <w:sz w:val="16"/>
          <w:szCs w:val="16"/>
          <w:color w:val="auto"/>
        </w:rPr>
        <w:t>”). The Tax Benefit Schedule will become final as provided in Section 2.04(a) and may be amended as provided in Section 2.04(b) (subject to the procedures set forth in Section 2.04(a)).</w:t>
      </w:r>
    </w:p>
    <w:p>
      <w:pPr>
        <w:spacing w:after="0" w:line="56" w:lineRule="exact"/>
        <w:rPr>
          <w:rFonts w:ascii="Arial" w:cs="Arial" w:eastAsia="Arial" w:hAnsi="Arial"/>
          <w:sz w:val="16"/>
          <w:szCs w:val="16"/>
          <w:color w:val="auto"/>
        </w:rPr>
      </w:pPr>
    </w:p>
    <w:p>
      <w:pPr>
        <w:ind w:left="-20" w:firstLine="996"/>
        <w:spacing w:after="0" w:line="285" w:lineRule="auto"/>
        <w:tabs>
          <w:tab w:leader="none" w:pos="122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Applicable Principles.</w:t>
      </w:r>
      <w:r>
        <w:rPr>
          <w:rFonts w:ascii="Arial" w:cs="Arial" w:eastAsia="Arial" w:hAnsi="Arial"/>
          <w:sz w:val="16"/>
          <w:szCs w:val="16"/>
          <w:color w:val="auto"/>
        </w:rPr>
        <w:t xml:space="preserve"> Subject to the provisions hereunder, the Realized Tax Benefit or Realized Tax Detriment for each Taxable Year is intended to measure the decrease or increase in the Actual Tax Liability of the Corporation for such Taxable Year attributable to the Basis Adjustments, Section 704(c) Benefits, Section 707(c) Deductions and Imputed Interest, as determined using a “with and without” methodology described in Section 2.04(a). Carryovers or carrybacks of any tax item attributable to any Basis Adjustment, Section 704(c) Benefits, Section 707(c) Deductions or Imputed Interest shall be considered to be subject to the rules of the Code and the Treasury Regulations, and the appropriate provisions of state, local and foreign tax law, governing the use, limitation or expiration of carryovers or carrybacks of the relevant type. If a carryover or carryback of any tax item includes a portion that is attributable to a Basis Adjustment, Section 704(c) Benefits, Section 707(c) Deductions or Imputed Interest (a “</w:t>
      </w:r>
      <w:r>
        <w:rPr>
          <w:rFonts w:ascii="Arial" w:cs="Arial" w:eastAsia="Arial" w:hAnsi="Arial"/>
          <w:sz w:val="16"/>
          <w:szCs w:val="16"/>
          <w:u w:val="single" w:color="auto"/>
          <w:color w:val="auto"/>
        </w:rPr>
        <w:t>TRA Portion</w:t>
      </w:r>
      <w:r>
        <w:rPr>
          <w:rFonts w:ascii="Arial" w:cs="Arial" w:eastAsia="Arial" w:hAnsi="Arial"/>
          <w:sz w:val="16"/>
          <w:szCs w:val="16"/>
          <w:color w:val="auto"/>
        </w:rPr>
        <w:t>”) and another portion that is not attributable to a Basis Adjustment, Section 704(c) Benefits, Section 707(c) Deductions or Imputed Interest (a “</w:t>
      </w:r>
      <w:r>
        <w:rPr>
          <w:rFonts w:ascii="Arial" w:cs="Arial" w:eastAsia="Arial" w:hAnsi="Arial"/>
          <w:sz w:val="16"/>
          <w:szCs w:val="16"/>
          <w:u w:val="single" w:color="auto"/>
          <w:color w:val="auto"/>
        </w:rPr>
        <w:t>Non-TRA Portion</w:t>
      </w:r>
      <w:r>
        <w:rPr>
          <w:rFonts w:ascii="Arial" w:cs="Arial" w:eastAsia="Arial" w:hAnsi="Arial"/>
          <w:sz w:val="16"/>
          <w:szCs w:val="16"/>
          <w:color w:val="auto"/>
        </w:rPr>
        <w:t>”),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Section 3.03(a)) and (ii) in the case of a carryback of a Non-TRA Portion, such carryback shall not affect the original “with and without” calculation made in the prior Taxable Year. Except with respect to the portion of any payment attributable to Imputed Interest or Section 707(c) Deductions, all Tax Benefit Payments and payments of Default Rate Interest (and including Extension Rate Interest) will be treated as subsequent upward purchase price adjustments that give rise to further Basis Adjustments for the Corporation beginning in the Taxable Year of payment, and as a result, such additional Basis Adjustments will be incorporated into such Taxable Year and into future Taxable Years, as appropriate. Payments in respect of Section 704(c) Benefits shall be treated as additional capital contributions made to BellRing LLC by the Corporation and then paid to the relevant Members as a guaranteed payment for capital, within the meaning of Section 707(c) of the Code, and the resulting Section 707(c) deduction to BellRing LLC shall be specially allocated to the Corporation.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160" w:name="page161"/>
    <w:bookmarkEnd w:id="1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2.04.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ind w:right="120" w:firstLine="996"/>
        <w:spacing w:after="0" w:line="291" w:lineRule="auto"/>
        <w:tabs>
          <w:tab w:leader="none" w:pos="1236"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Whenever the Corporation delivers to the Members an applicable Schedule under this Agreement, including any Amended Schedule delivered pursuant to Section 2.04(b), Early Termination Schedule or amended Early Termination Schedule, the Corporation shall also</w:t>
      </w:r>
    </w:p>
    <w:p>
      <w:pPr>
        <w:ind w:right="20" w:firstLine="4"/>
        <w:spacing w:after="0" w:line="287"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deliver to the Members, at their request (and upon reasonable notice), any schedules, valuation reports and work papers providing reasonable detail regarding the preparation of the Schedule or an Advisory Firm Report with respect to such Schedule and (y) allow the Members and their respective advisors reasonable access at no cost to the appropriate representatives of each of the Corporation and/or the Advisory Firm in connection with a review of such Schedule. Without limiting the generality of the preceding sentence, the Corporation shall ensure that any Tax Benefit Schedule that is delivered to the Members, along with any supporting schedules and work papers, provides a reasonably detailed presentation of the calculation of the Actual Tax Liability of the Corporation for the relevant Taxable Year and the Hypothetical Tax Liability of the Corporation for such Taxable Year, and identifies any material assumptions or operating procedures or principles that were used for purposes of such calculations. The applicable Schedule shall become final and binding on all Parties on the thirtieth (30th) calendar day after the Members receive such Schedule, unless:</w:t>
      </w:r>
    </w:p>
    <w:p>
      <w:pPr>
        <w:spacing w:after="0" w:line="62" w:lineRule="exact"/>
        <w:rPr>
          <w:rFonts w:ascii="Arial" w:cs="Arial" w:eastAsia="Arial" w:hAnsi="Arial"/>
          <w:sz w:val="16"/>
          <w:szCs w:val="16"/>
          <w:color w:val="auto"/>
        </w:rPr>
      </w:pPr>
    </w:p>
    <w:p>
      <w:pPr>
        <w:ind w:right="420" w:firstLine="1436"/>
        <w:spacing w:after="0" w:line="277" w:lineRule="auto"/>
        <w:tabs>
          <w:tab w:leader="none" w:pos="1648" w:val="left"/>
        </w:tabs>
        <w:numPr>
          <w:ilvl w:val="2"/>
          <w:numId w:val="175"/>
        </w:numPr>
        <w:rPr>
          <w:rFonts w:ascii="Arial" w:cs="Arial" w:eastAsia="Arial" w:hAnsi="Arial"/>
          <w:sz w:val="18"/>
          <w:szCs w:val="18"/>
          <w:color w:val="auto"/>
        </w:rPr>
      </w:pPr>
      <w:r>
        <w:rPr>
          <w:rFonts w:ascii="Arial" w:cs="Arial" w:eastAsia="Arial" w:hAnsi="Arial"/>
          <w:sz w:val="18"/>
          <w:szCs w:val="18"/>
          <w:color w:val="auto"/>
        </w:rPr>
        <w:t>a Member provides the Corporation with notice prior to such thirtieth (30th) calendar day after receipt of such Schedule of a material objection, made in good faith, to such Schedule (“</w:t>
      </w:r>
      <w:r>
        <w:rPr>
          <w:rFonts w:ascii="Arial" w:cs="Arial" w:eastAsia="Arial" w:hAnsi="Arial"/>
          <w:sz w:val="18"/>
          <w:szCs w:val="18"/>
          <w:u w:val="single" w:color="auto"/>
          <w:color w:val="auto"/>
        </w:rPr>
        <w:t>Objection Notice</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2"/>
          <w:numId w:val="175"/>
        </w:numPr>
        <w:rPr>
          <w:rFonts w:ascii="Arial" w:cs="Arial" w:eastAsia="Arial" w:hAnsi="Arial"/>
          <w:sz w:val="17"/>
          <w:szCs w:val="17"/>
          <w:color w:val="auto"/>
        </w:rPr>
      </w:pPr>
      <w:r>
        <w:rPr>
          <w:rFonts w:ascii="Arial" w:cs="Arial" w:eastAsia="Arial" w:hAnsi="Arial"/>
          <w:sz w:val="17"/>
          <w:szCs w:val="17"/>
          <w:color w:val="auto"/>
        </w:rPr>
        <w:t>each Member provides a written waiver of its right to deliver an Objection Notice within the time period described in clause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 above, in which case such Schedule or amendment thereto becomes binding on the date the waiver from all Members is received by the Corporation.</w:t>
      </w:r>
    </w:p>
    <w:p>
      <w:pPr>
        <w:spacing w:after="0" w:line="12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If the Parties, for any reason, are unable to successfully resolve the issues raised in any Objection Notice within thirty (30) calendar days of receipt by the Corporation of such Objection Notice, the Corporation and the Members shall employ the Reconciliation Procedures.</w:t>
      </w:r>
    </w:p>
    <w:p>
      <w:pPr>
        <w:spacing w:after="0" w:line="38" w:lineRule="exact"/>
        <w:rPr>
          <w:sz w:val="20"/>
          <w:szCs w:val="20"/>
          <w:color w:val="auto"/>
        </w:rPr>
      </w:pPr>
    </w:p>
    <w:p>
      <w:pPr>
        <w:ind w:firstLine="996"/>
        <w:spacing w:after="0" w:line="270" w:lineRule="auto"/>
        <w:tabs>
          <w:tab w:leader="none" w:pos="124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may be amended from time to time by the Corporation (i) in connection with a Determination affecting such Schedule, (ii) to correct material inaccuracies in the Schedule identified as a result of the receipt of additional factual information relating to a Taxable Year after the date the Schedule was provided to the Members, (iii) to comply with the Expert’s determination under the Reconciliation Procedures, (iv) to reflect a material change (relative to the amounts in the original Schedule) in the Realized Tax Benefit or Realized Tax Detriment for such Taxable Year attributable to an amended Tax Return filed for such Taxable Year, (v) to reflect a change in the Realized Tax Benefit or Realized Tax Detriment for such Taxable Year attributable to a carryback or carryforward of a loss or other Tax item to such Taxable Year; or (vi) to adjust a Basis Schedule to take into account any Tax Benefit Payments made pursuant to this Agreement (such amended Schedule, an “</w:t>
      </w:r>
      <w:r>
        <w:rPr>
          <w:rFonts w:ascii="Arial" w:cs="Arial" w:eastAsia="Arial" w:hAnsi="Arial"/>
          <w:sz w:val="17"/>
          <w:szCs w:val="17"/>
          <w:u w:val="single" w:color="auto"/>
          <w:color w:val="auto"/>
        </w:rPr>
        <w:t>Amended Schedule</w:t>
      </w:r>
      <w:r>
        <w:rPr>
          <w:rFonts w:ascii="Arial" w:cs="Arial" w:eastAsia="Arial" w:hAnsi="Arial"/>
          <w:sz w:val="17"/>
          <w:szCs w:val="17"/>
          <w:color w:val="auto"/>
        </w:rPr>
        <w:t>”). The Corporation shall provide any Amended Schedule to the Members within thirty (30) calendar days of the occurrence of an event referred to in clauses (i) through (vi) of the preceding sentence, and any such Amended Schedule shall be subject to the procedures set forth in Section 2.04(a).</w:t>
      </w:r>
    </w:p>
    <w:p>
      <w:pPr>
        <w:spacing w:after="0" w:line="69" w:lineRule="exact"/>
        <w:rPr>
          <w:rFonts w:ascii="Arial" w:cs="Arial" w:eastAsia="Arial" w:hAnsi="Arial"/>
          <w:sz w:val="17"/>
          <w:szCs w:val="17"/>
          <w:color w:val="auto"/>
        </w:rPr>
      </w:pPr>
    </w:p>
    <w:p>
      <w:pPr>
        <w:ind w:right="80" w:firstLine="996"/>
        <w:spacing w:after="0" w:line="277" w:lineRule="auto"/>
        <w:tabs>
          <w:tab w:leader="none" w:pos="123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LLC Agreement</w:t>
      </w:r>
      <w:r>
        <w:rPr>
          <w:rFonts w:ascii="Arial" w:cs="Arial" w:eastAsia="Arial" w:hAnsi="Arial"/>
          <w:sz w:val="18"/>
          <w:szCs w:val="18"/>
          <w:color w:val="auto"/>
        </w:rPr>
        <w:t>. This Agreement shall be treated as part of the partnership agreement of BellRing LLC as described in Section 761(c) of the Code and Sections 1.704-1(b)(2)(ii)(h) and 1.761-1(c) of the Treasury Regulations.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BENEFIT PAYMENTS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4" w:lineRule="auto"/>
        <w:tabs>
          <w:tab w:leader="none" w:pos="12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Except as provided in Section 3.02 and Section 3.03, within ten (10) Business Days of a Tax Benefit Schedule with respect to a Taxable Year becoming final in accordance with Section 2.04(a) (such date, the “</w:t>
      </w:r>
      <w:r>
        <w:rPr>
          <w:rFonts w:ascii="Arial" w:cs="Arial" w:eastAsia="Arial" w:hAnsi="Arial"/>
          <w:sz w:val="18"/>
          <w:szCs w:val="18"/>
          <w:u w:val="single" w:color="auto"/>
          <w:color w:val="auto"/>
        </w:rPr>
        <w:t>Final Payment Date</w:t>
      </w:r>
      <w:r>
        <w:rPr>
          <w:rFonts w:ascii="Arial" w:cs="Arial" w:eastAsia="Arial" w:hAnsi="Arial"/>
          <w:sz w:val="18"/>
          <w:szCs w:val="18"/>
          <w:color w:val="auto"/>
        </w:rPr>
        <w:t>” in respect of any Tax Benefit Payment), the Corporation shall pay to each relevant Member the Tax Benefit Payment for such Taxable Year determined pursuant to Section 3.01(b). Each such Tax Benefit Payment shall be made by wire transfer of immediately available funds to a bank account previously designated by the applicable Member to the Corporation or as otherwise agreed by the Corporation and the applicable Member. For the avoidance of doubt, no Tax Benefit Payment shall be made in respect of estimated tax payments, including, without limitation, estimated U.S. federal income tax payments. The Members shall not be required under any circumstances to return any portion of any Tax Benefit Payment, Early Termination Payment or Default Rate Interest previously paid by the Corporation to the Members.</w:t>
      </w:r>
    </w:p>
    <w:p>
      <w:pPr>
        <w:spacing w:after="0" w:line="84" w:lineRule="exact"/>
        <w:rPr>
          <w:rFonts w:ascii="Arial" w:cs="Arial" w:eastAsia="Arial" w:hAnsi="Arial"/>
          <w:sz w:val="18"/>
          <w:szCs w:val="18"/>
          <w:color w:val="auto"/>
        </w:rPr>
      </w:pPr>
    </w:p>
    <w:p>
      <w:pPr>
        <w:ind w:right="540" w:firstLine="996"/>
        <w:spacing w:after="0" w:line="277" w:lineRule="auto"/>
        <w:tabs>
          <w:tab w:leader="none" w:pos="1247"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Amount of Payments</w:t>
      </w:r>
      <w:r>
        <w:rPr>
          <w:rFonts w:ascii="Arial" w:cs="Arial" w:eastAsia="Arial" w:hAnsi="Arial"/>
          <w:sz w:val="18"/>
          <w:szCs w:val="18"/>
          <w:color w:val="auto"/>
        </w:rPr>
        <w:t>. A “</w:t>
      </w:r>
      <w:r>
        <w:rPr>
          <w:rFonts w:ascii="Arial" w:cs="Arial" w:eastAsia="Arial" w:hAnsi="Arial"/>
          <w:sz w:val="18"/>
          <w:szCs w:val="18"/>
          <w:u w:val="single" w:color="auto"/>
          <w:color w:val="auto"/>
        </w:rPr>
        <w:t>Tax Benefit Payment</w:t>
      </w:r>
      <w:r>
        <w:rPr>
          <w:rFonts w:ascii="Arial" w:cs="Arial" w:eastAsia="Arial" w:hAnsi="Arial"/>
          <w:sz w:val="18"/>
          <w:szCs w:val="18"/>
          <w:color w:val="auto"/>
        </w:rPr>
        <w:t>” with respect to any Member shall be an amount equal to the sum of the Net Tax Benefit that is Attributable to such Member and the Extension Rate Interest.</w:t>
      </w:r>
    </w:p>
    <w:p>
      <w:pPr>
        <w:spacing w:after="0" w:line="62" w:lineRule="exact"/>
        <w:rPr>
          <w:rFonts w:ascii="Arial" w:cs="Arial" w:eastAsia="Arial" w:hAnsi="Arial"/>
          <w:sz w:val="18"/>
          <w:szCs w:val="18"/>
          <w:color w:val="auto"/>
        </w:rPr>
      </w:pPr>
    </w:p>
    <w:p>
      <w:pPr>
        <w:ind w:right="240" w:firstLine="1436"/>
        <w:spacing w:after="0" w:line="279" w:lineRule="auto"/>
        <w:tabs>
          <w:tab w:leader="none" w:pos="1647" w:val="left"/>
        </w:tabs>
        <w:numPr>
          <w:ilvl w:val="2"/>
          <w:numId w:val="177"/>
        </w:numPr>
        <w:rPr>
          <w:rFonts w:ascii="Arial" w:cs="Arial" w:eastAsia="Arial" w:hAnsi="Arial"/>
          <w:sz w:val="17"/>
          <w:szCs w:val="17"/>
          <w:color w:val="auto"/>
        </w:rPr>
      </w:pPr>
      <w:r>
        <w:rPr>
          <w:rFonts w:ascii="Arial" w:cs="Arial" w:eastAsia="Arial" w:hAnsi="Arial"/>
          <w:sz w:val="17"/>
          <w:szCs w:val="17"/>
          <w:u w:val="single" w:color="auto"/>
          <w:color w:val="auto"/>
        </w:rPr>
        <w:t>Attributable</w:t>
      </w:r>
      <w:r>
        <w:rPr>
          <w:rFonts w:ascii="Arial" w:cs="Arial" w:eastAsia="Arial" w:hAnsi="Arial"/>
          <w:sz w:val="17"/>
          <w:szCs w:val="17"/>
          <w:color w:val="auto"/>
        </w:rPr>
        <w:t>. A Net Tax Benefit is “</w:t>
      </w:r>
      <w:r>
        <w:rPr>
          <w:rFonts w:ascii="Arial" w:cs="Arial" w:eastAsia="Arial" w:hAnsi="Arial"/>
          <w:sz w:val="17"/>
          <w:szCs w:val="17"/>
          <w:u w:val="single" w:color="auto"/>
          <w:color w:val="auto"/>
        </w:rPr>
        <w:t>Attributable</w:t>
      </w:r>
      <w:r>
        <w:rPr>
          <w:rFonts w:ascii="Arial" w:cs="Arial" w:eastAsia="Arial" w:hAnsi="Arial"/>
          <w:sz w:val="17"/>
          <w:szCs w:val="17"/>
          <w:color w:val="auto"/>
        </w:rPr>
        <w:t>” to a Member to the extent that it is derived from (A) any Basis Adjustment or Imputed Interest that is attributable to a Basis Transaction undertaken by or with respect to such Member, (B) any Section 704(c) Benefit to the Corporation to the extent such Section 704(c) Benefit increased the taxable income (or decreased the taxable loss or tax deductions) allocated to such Member, or (C) Section 707(c) Deductions resulting from payments made to such Member.</w:t>
      </w:r>
    </w:p>
    <w:p>
      <w:pPr>
        <w:spacing w:after="0" w:line="63" w:lineRule="exact"/>
        <w:rPr>
          <w:rFonts w:ascii="Arial" w:cs="Arial" w:eastAsia="Arial" w:hAnsi="Arial"/>
          <w:sz w:val="17"/>
          <w:szCs w:val="17"/>
          <w:color w:val="auto"/>
        </w:rPr>
      </w:pPr>
    </w:p>
    <w:p>
      <w:pPr>
        <w:ind w:left="1700" w:hanging="264"/>
        <w:spacing w:after="0"/>
        <w:tabs>
          <w:tab w:leader="none" w:pos="1700" w:val="left"/>
        </w:tabs>
        <w:numPr>
          <w:ilvl w:val="2"/>
          <w:numId w:val="177"/>
        </w:numPr>
        <w:rPr>
          <w:rFonts w:ascii="Arial" w:cs="Arial" w:eastAsia="Arial" w:hAnsi="Arial"/>
          <w:sz w:val="16"/>
          <w:szCs w:val="16"/>
          <w:color w:val="auto"/>
        </w:rPr>
      </w:pPr>
      <w:r>
        <w:rPr>
          <w:rFonts w:ascii="Arial" w:cs="Arial" w:eastAsia="Arial" w:hAnsi="Arial"/>
          <w:sz w:val="16"/>
          <w:szCs w:val="16"/>
          <w:u w:val="single" w:color="auto"/>
          <w:color w:val="auto"/>
        </w:rPr>
        <w:t>Net Tax Benefit</w:t>
      </w:r>
      <w:r>
        <w:rPr>
          <w:rFonts w:ascii="Arial" w:cs="Arial" w:eastAsia="Arial" w:hAnsi="Arial"/>
          <w:sz w:val="16"/>
          <w:szCs w:val="16"/>
          <w:color w:val="auto"/>
        </w:rPr>
        <w:t>.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with respect to a Member for a Taxable Year equals the amount of the excess, if any, of</w:t>
      </w:r>
    </w:p>
    <w:p>
      <w:pPr>
        <w:spacing w:after="0" w:line="46" w:lineRule="exact"/>
        <w:rPr>
          <w:rFonts w:ascii="Arial" w:cs="Arial" w:eastAsia="Arial" w:hAnsi="Arial"/>
          <w:sz w:val="16"/>
          <w:szCs w:val="16"/>
          <w:color w:val="auto"/>
        </w:rPr>
      </w:pPr>
    </w:p>
    <w:p>
      <w:pPr>
        <w:ind w:right="60" w:firstLine="4"/>
        <w:spacing w:after="0" w:line="253" w:lineRule="auto"/>
        <w:tabs>
          <w:tab w:leader="none" w:pos="2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85% of the Cumulative Net Realized Tax Benefit Attributable to such Member as of the end of such Taxable Year over (B) the aggregate amount of all Tax Benefit Payments previously made to such Member under this Section 3.01 (excluding payments attributable to Extension Rate Interest). For the avoidance of doubt, if the Cumulative Net Realized Tax Benefit that is Attributable to a Member as of the end of any Taxable Year is less than the aggregate amount of all Tax Benefit Payments previously made to such Member, such Member shall not be required to return any portion of any Tax Benefit Payment previously made by the Corporation to such Member.</w:t>
      </w:r>
    </w:p>
    <w:p>
      <w:pPr>
        <w:spacing w:after="0" w:line="83" w:lineRule="exact"/>
        <w:rPr>
          <w:rFonts w:ascii="Arial" w:cs="Arial" w:eastAsia="Arial" w:hAnsi="Arial"/>
          <w:sz w:val="18"/>
          <w:szCs w:val="18"/>
          <w:color w:val="auto"/>
        </w:rPr>
      </w:pPr>
    </w:p>
    <w:p>
      <w:pPr>
        <w:ind w:right="40" w:firstLine="1436"/>
        <w:spacing w:after="0" w:line="279" w:lineRule="auto"/>
        <w:tabs>
          <w:tab w:leader="none" w:pos="1748"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The “</w:t>
      </w:r>
      <w:r>
        <w:rPr>
          <w:rFonts w:ascii="Arial" w:cs="Arial" w:eastAsia="Arial" w:hAnsi="Arial"/>
          <w:sz w:val="17"/>
          <w:szCs w:val="17"/>
          <w:u w:val="single" w:color="auto"/>
          <w:color w:val="auto"/>
        </w:rPr>
        <w:t>Cumulative Net Realized Tax Benefit</w:t>
      </w:r>
      <w:r>
        <w:rPr>
          <w:rFonts w:ascii="Arial" w:cs="Arial" w:eastAsia="Arial" w:hAnsi="Arial"/>
          <w:sz w:val="17"/>
          <w:szCs w:val="17"/>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162" w:name="page163"/>
    <w:bookmarkEnd w:id="162"/>
    <w:p>
      <w:pPr>
        <w:ind w:left="-20" w:right="60" w:firstLine="1436"/>
        <w:spacing w:after="0" w:line="259" w:lineRule="auto"/>
        <w:tabs>
          <w:tab w:leader="none" w:pos="171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Realized Tax Benefit</w:t>
      </w:r>
      <w:r>
        <w:rPr>
          <w:rFonts w:ascii="Arial" w:cs="Arial" w:eastAsia="Arial" w:hAnsi="Arial"/>
          <w:sz w:val="18"/>
          <w:szCs w:val="18"/>
          <w:color w:val="auto"/>
        </w:rPr>
        <w:t>.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shall not be included in determining the Realized Tax Benefit unless and until there has been a Determination.</w:t>
      </w:r>
    </w:p>
    <w:p>
      <w:pPr>
        <w:spacing w:after="0" w:line="78" w:lineRule="exact"/>
        <w:rPr>
          <w:rFonts w:ascii="Arial" w:cs="Arial" w:eastAsia="Arial" w:hAnsi="Arial"/>
          <w:sz w:val="18"/>
          <w:szCs w:val="18"/>
          <w:color w:val="auto"/>
        </w:rPr>
      </w:pPr>
    </w:p>
    <w:p>
      <w:pPr>
        <w:ind w:left="-20" w:right="160" w:firstLine="1436"/>
        <w:spacing w:after="0" w:line="259" w:lineRule="auto"/>
        <w:tabs>
          <w:tab w:leader="none" w:pos="166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78" w:lineRule="exact"/>
        <w:rPr>
          <w:rFonts w:ascii="Arial" w:cs="Arial" w:eastAsia="Arial" w:hAnsi="Arial"/>
          <w:sz w:val="18"/>
          <w:szCs w:val="18"/>
          <w:color w:val="auto"/>
        </w:rPr>
      </w:pPr>
    </w:p>
    <w:p>
      <w:pPr>
        <w:ind w:left="-20" w:firstLine="1436"/>
        <w:spacing w:after="0" w:line="276" w:lineRule="auto"/>
        <w:tabs>
          <w:tab w:leader="none" w:pos="1717"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Imputed Interest</w:t>
      </w:r>
      <w:r>
        <w:rPr>
          <w:rFonts w:ascii="Arial" w:cs="Arial" w:eastAsia="Arial" w:hAnsi="Arial"/>
          <w:sz w:val="17"/>
          <w:szCs w:val="17"/>
          <w:color w:val="auto"/>
        </w:rPr>
        <w:t>. The principles of Sections 1272, 1274 or 483 of the Code, as applicable, and the principles of any similar provision of U.S. state, local or foreign law, will apply to cause a portion of any Net Tax Benefit payable by the Corporation to a Member under this Agreement to be treated as imputed interest (“</w:t>
      </w:r>
      <w:r>
        <w:rPr>
          <w:rFonts w:ascii="Arial" w:cs="Arial" w:eastAsia="Arial" w:hAnsi="Arial"/>
          <w:sz w:val="17"/>
          <w:szCs w:val="17"/>
          <w:u w:val="single" w:color="auto"/>
          <w:color w:val="auto"/>
        </w:rPr>
        <w:t>Imputed Interest</w:t>
      </w:r>
      <w:r>
        <w:rPr>
          <w:rFonts w:ascii="Arial" w:cs="Arial" w:eastAsia="Arial" w:hAnsi="Arial"/>
          <w:sz w:val="17"/>
          <w:szCs w:val="17"/>
          <w:color w:val="auto"/>
        </w:rPr>
        <w:t>”). For the avoidance of doubt, the deduction for the amount of Imputed Interest as determined with respect to any Net Tax Benefit payable by the Corporation to a Member shall be excluded in determining the Hypothetical Tax Liability of the Corporation for purposes of calculating Realized Tax Benefits and Realized Tax Detriments pursuant to this Agreement.</w:t>
      </w:r>
    </w:p>
    <w:p>
      <w:pPr>
        <w:spacing w:after="0" w:line="64" w:lineRule="exact"/>
        <w:rPr>
          <w:rFonts w:ascii="Arial" w:cs="Arial" w:eastAsia="Arial" w:hAnsi="Arial"/>
          <w:sz w:val="17"/>
          <w:szCs w:val="17"/>
          <w:color w:val="auto"/>
        </w:rPr>
      </w:pPr>
    </w:p>
    <w:p>
      <w:pPr>
        <w:ind w:left="-20" w:right="60" w:firstLine="1436"/>
        <w:spacing w:after="0" w:line="259" w:lineRule="auto"/>
        <w:tabs>
          <w:tab w:leader="none" w:pos="1767"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Extension Rate Interest</w:t>
      </w:r>
      <w:r>
        <w:rPr>
          <w:rFonts w:ascii="Arial" w:cs="Arial" w:eastAsia="Arial" w:hAnsi="Arial"/>
          <w:sz w:val="18"/>
          <w:szCs w:val="18"/>
          <w:color w:val="auto"/>
        </w:rPr>
        <w:t>. The “</w:t>
      </w:r>
      <w:r>
        <w:rPr>
          <w:rFonts w:ascii="Arial" w:cs="Arial" w:eastAsia="Arial" w:hAnsi="Arial"/>
          <w:sz w:val="18"/>
          <w:szCs w:val="18"/>
          <w:u w:val="single" w:color="auto"/>
          <w:color w:val="auto"/>
        </w:rPr>
        <w:t>Extension Rate Interest</w:t>
      </w:r>
      <w:r>
        <w:rPr>
          <w:rFonts w:ascii="Arial" w:cs="Arial" w:eastAsia="Arial" w:hAnsi="Arial"/>
          <w:sz w:val="18"/>
          <w:szCs w:val="18"/>
          <w:color w:val="auto"/>
        </w:rPr>
        <w:t>” calculated in respect of the Net Tax Benefit (including previously accrued Imputed Interest for a Taxable Year) will equal interest calculated at the Agreed Rate from the due date (without extensions) for filing the U.S. federal income Tax Return of the Corporation for such Taxable Year until the date on which the Corporation makes a timely Tax Benefit Payment to the Member on or before the Final Payment Date as determined pursuant to Section 3.01(a).</w:t>
      </w:r>
    </w:p>
    <w:p>
      <w:pPr>
        <w:spacing w:after="0" w:line="78" w:lineRule="exact"/>
        <w:rPr>
          <w:rFonts w:ascii="Arial" w:cs="Arial" w:eastAsia="Arial" w:hAnsi="Arial"/>
          <w:sz w:val="18"/>
          <w:szCs w:val="18"/>
          <w:color w:val="auto"/>
        </w:rPr>
      </w:pPr>
    </w:p>
    <w:p>
      <w:pPr>
        <w:ind w:left="-20" w:right="60" w:firstLine="1436"/>
        <w:spacing w:after="0" w:line="291" w:lineRule="auto"/>
        <w:tabs>
          <w:tab w:leader="none" w:pos="1817"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Default Rate Interest</w:t>
      </w:r>
      <w:r>
        <w:rPr>
          <w:rFonts w:ascii="Arial" w:cs="Arial" w:eastAsia="Arial" w:hAnsi="Arial"/>
          <w:sz w:val="16"/>
          <w:szCs w:val="16"/>
          <w:color w:val="auto"/>
        </w:rPr>
        <w:t>. In the event that the Corporation does not make timely payment of all or any portion of a Tax Benefit Payment to a Member on or before the Final Payment Date as determined pursuant to Section 3.01(a), the amount of “</w:t>
      </w:r>
      <w:r>
        <w:rPr>
          <w:rFonts w:ascii="Arial" w:cs="Arial" w:eastAsia="Arial" w:hAnsi="Arial"/>
          <w:sz w:val="16"/>
          <w:szCs w:val="16"/>
          <w:u w:val="single" w:color="auto"/>
          <w:color w:val="auto"/>
        </w:rPr>
        <w:t>Default Rate Interest</w:t>
      </w:r>
      <w:r>
        <w:rPr>
          <w:rFonts w:ascii="Arial" w:cs="Arial" w:eastAsia="Arial" w:hAnsi="Arial"/>
          <w:sz w:val="16"/>
          <w:szCs w:val="16"/>
          <w:color w:val="auto"/>
        </w:rPr>
        <w:t>” calculated in respect of the Net Tax Benefit (including previously accrued Imputed Interest and the Extension Rate Interest) for a Taxable Year will equal interest calculated at the Default Rate from the Final Payment Date for a Tax Benefit Payment as determined pursuant to Section 3.01(a) until the date on which the Corporation makes such Tax Benefit Payment to such Member. For the avoidance of doubt, the amount of any Default Rate Interest as determined with respect to any Net Tax Benefit payable by the Corporation to a Member shall be included in determining the Hypothetical Tax Liability of the Corporation for purposes of calculating Realized Tax Benefits and Realized Tax Detriments pursuant to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63" w:name="page164"/>
    <w:bookmarkEnd w:id="163"/>
    <w:p>
      <w:pPr>
        <w:ind w:left="10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7"/>
          <w:szCs w:val="17"/>
          <w:u w:val="single" w:color="auto"/>
          <w:color w:val="auto"/>
        </w:rPr>
        <w:t>Interest</w:t>
      </w:r>
      <w:r>
        <w:rPr>
          <w:rFonts w:ascii="Arial" w:cs="Arial" w:eastAsia="Arial" w:hAnsi="Arial"/>
          <w:sz w:val="17"/>
          <w:szCs w:val="17"/>
          <w:color w:val="auto"/>
        </w:rPr>
        <w:t>. The provisions of Section 3.01(b) are intended to operate so that interest will effectively accrue for any Taxable Year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9" w:lineRule="exact"/>
        <w:rPr>
          <w:sz w:val="20"/>
          <w:szCs w:val="20"/>
          <w:color w:val="auto"/>
        </w:rPr>
      </w:pPr>
    </w:p>
    <w:p>
      <w:pPr>
        <w:ind w:right="60" w:firstLine="1436"/>
        <w:spacing w:after="0" w:line="290" w:lineRule="auto"/>
        <w:tabs>
          <w:tab w:leader="none" w:pos="164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first, at the applicable rate used to determine the amount of Imputed Interest under the Code (from the relevant Basis Transaction Date until the due date (without extensions) for filing the U.S. federal income Tax Return of the Corporation for such Taxable Year);</w:t>
      </w:r>
    </w:p>
    <w:p>
      <w:pPr>
        <w:spacing w:after="0" w:line="53" w:lineRule="exact"/>
        <w:rPr>
          <w:rFonts w:ascii="Arial" w:cs="Arial" w:eastAsia="Arial" w:hAnsi="Arial"/>
          <w:sz w:val="17"/>
          <w:szCs w:val="17"/>
          <w:color w:val="auto"/>
        </w:rPr>
      </w:pPr>
    </w:p>
    <w:p>
      <w:pPr>
        <w:ind w:right="120" w:firstLine="1436"/>
        <w:spacing w:after="0" w:line="264" w:lineRule="auto"/>
        <w:tabs>
          <w:tab w:leader="none" w:pos="169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second, at the Agreed Rate in respect of any Extension Rate Interest (from the due date (without extensions) for filing the U.S. federal income Tax Return of the Corporation for such Taxable Year until the Final Payment Date for a Tax Benefit Payment as determined pursuant to Section 3.01(a)); and</w:t>
      </w:r>
    </w:p>
    <w:p>
      <w:pPr>
        <w:spacing w:after="0" w:line="73" w:lineRule="exact"/>
        <w:rPr>
          <w:rFonts w:ascii="Arial" w:cs="Arial" w:eastAsia="Arial" w:hAnsi="Arial"/>
          <w:sz w:val="18"/>
          <w:szCs w:val="18"/>
          <w:color w:val="auto"/>
        </w:rPr>
      </w:pPr>
    </w:p>
    <w:p>
      <w:pPr>
        <w:ind w:right="340" w:firstLine="1436"/>
        <w:spacing w:after="0" w:line="342" w:lineRule="auto"/>
        <w:tabs>
          <w:tab w:leader="none" w:pos="174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third, at the Default Rate in respect of any Default Rate Interest (from the Final Payment Date for a Tax Benefit Payment as determined pursuant to Section 3.01(a) until the date on which the Corporation makes the relevant Tax Benefit Payment to a Member).</w:t>
      </w:r>
    </w:p>
    <w:p>
      <w:pPr>
        <w:spacing w:after="0" w:line="15" w:lineRule="exact"/>
        <w:rPr>
          <w:rFonts w:ascii="Arial" w:cs="Arial" w:eastAsia="Arial" w:hAnsi="Arial"/>
          <w:sz w:val="16"/>
          <w:szCs w:val="16"/>
          <w:color w:val="auto"/>
        </w:rPr>
      </w:pPr>
    </w:p>
    <w:p>
      <w:pPr>
        <w:jc w:val="both"/>
        <w:ind w:firstLine="996"/>
        <w:spacing w:after="0" w:line="264" w:lineRule="auto"/>
        <w:tabs>
          <w:tab w:leader="none" w:pos="12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Parties acknowledge and agree that, as of the date of this Agreement and as of the date of any future Basis Transaction that may be subject to this Agreement, the aggregate value of the Tax Benefit Payments cannot be reasonably ascertained for U.S. federal income or other applicable tax purposes.</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It is intended that the provisions of this Agreement will not result in duplicative payment of any amount (including interest) required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Pro-Ration of Payments as Among the Members</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55" w:lineRule="auto"/>
        <w:tabs>
          <w:tab w:leader="none" w:pos="123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Insufficient Taxable Income</w:t>
      </w:r>
      <w:r>
        <w:rPr>
          <w:rFonts w:ascii="Arial" w:cs="Arial" w:eastAsia="Arial" w:hAnsi="Arial"/>
          <w:sz w:val="18"/>
          <w:szCs w:val="18"/>
          <w:color w:val="auto"/>
        </w:rPr>
        <w:t>. Notwithstanding anything in Section 3.01(b) to the contrary, if the aggregate potential Covered Tax benefit of the Corporation as calculated with respect to the Basis Adjustments, Section 704(c) Benefits, Section 707(c) Deductions and Imputed Interest (in each case, without regard to the Taxable Year of origination) is limited in a particular Taxable Year because the Corporation does not have sufficient actual taxable income to utilize available deductions fully, then the Covered Tax benefit for the Corporation actually utilized in such Taxable Year shall be allocated among the Members in proportion to the respective Tax Benefit Payment that would have been payable if the Corporation had sufficient taxable income such that there was no limitation.</w:t>
      </w:r>
    </w:p>
    <w:p>
      <w:pPr>
        <w:spacing w:after="0" w:line="85" w:lineRule="exact"/>
        <w:rPr>
          <w:rFonts w:ascii="Arial" w:cs="Arial" w:eastAsia="Arial" w:hAnsi="Arial"/>
          <w:sz w:val="18"/>
          <w:szCs w:val="18"/>
          <w:color w:val="auto"/>
        </w:rPr>
      </w:pPr>
    </w:p>
    <w:p>
      <w:pPr>
        <w:ind w:right="20" w:firstLine="996"/>
        <w:spacing w:after="0" w:line="297" w:lineRule="auto"/>
        <w:tabs>
          <w:tab w:leader="none" w:pos="1247"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Late Payments</w:t>
      </w:r>
      <w:r>
        <w:rPr>
          <w:rFonts w:ascii="Arial" w:cs="Arial" w:eastAsia="Arial" w:hAnsi="Arial"/>
          <w:sz w:val="16"/>
          <w:szCs w:val="16"/>
          <w:color w:val="auto"/>
        </w:rPr>
        <w:t>. If for any reason the Corporation is not able to timely and fully satisfy its payment obligations under this Agreement in respect of a particular Taxable Year, then Default Rate Interest will begin to accrue pursuant to Section 5.01 and the Corporation and other Parties agree that (i) the Corporation shall pay the Tax Benefit Payments (and any applicable Default Rate Interest) due in respect of such Taxable Year to each Member pro rata in accordance with the principles of Section 3.03(a) and (ii) no Tax Benefit Payment shall be made in respect of any Taxable Year until all Tax Benefit Payments (and any applicable Default Rate Interest) to all Members in respect of all prior Taxable Years have been made in full.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Termination, Breach of Agreement, Change of Control</w:t>
      </w:r>
      <w:r>
        <w:rPr>
          <w:rFonts w:ascii="Arial" w:cs="Arial" w:eastAsia="Arial" w:hAnsi="Arial"/>
          <w:sz w:val="18"/>
          <w:szCs w:val="18"/>
          <w:color w:val="auto"/>
        </w:rPr>
        <w:t>.</w:t>
      </w:r>
    </w:p>
    <w:p>
      <w:pPr>
        <w:spacing w:after="0" w:line="117" w:lineRule="exact"/>
        <w:rPr>
          <w:sz w:val="20"/>
          <w:szCs w:val="20"/>
          <w:color w:val="auto"/>
        </w:rPr>
      </w:pPr>
    </w:p>
    <w:p>
      <w:pPr>
        <w:ind w:right="300" w:firstLine="996"/>
        <w:spacing w:after="0" w:line="277" w:lineRule="auto"/>
        <w:tabs>
          <w:tab w:leader="none" w:pos="1236"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shall terminate at the time that there is no potential for any future Tax Benefit Payments to be made to the Members under this Agreement.</w:t>
      </w:r>
    </w:p>
    <w:p>
      <w:pPr>
        <w:spacing w:after="0" w:line="62" w:lineRule="exact"/>
        <w:rPr>
          <w:rFonts w:ascii="Arial" w:cs="Arial" w:eastAsia="Arial" w:hAnsi="Arial"/>
          <w:sz w:val="18"/>
          <w:szCs w:val="18"/>
          <w:color w:val="auto"/>
        </w:rPr>
      </w:pPr>
    </w:p>
    <w:p>
      <w:pPr>
        <w:ind w:right="100" w:firstLine="996"/>
        <w:spacing w:after="0" w:line="255" w:lineRule="auto"/>
        <w:tabs>
          <w:tab w:leader="none" w:pos="1247"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With the written approval of a majority of the Independent Directors, the Corporation may elect to terminate this Agreement (an “</w:t>
      </w:r>
      <w:r>
        <w:rPr>
          <w:rFonts w:ascii="Arial" w:cs="Arial" w:eastAsia="Arial" w:hAnsi="Arial"/>
          <w:sz w:val="18"/>
          <w:szCs w:val="18"/>
          <w:u w:val="single" w:color="auto"/>
          <w:color w:val="auto"/>
        </w:rPr>
        <w:t>Early Complete Termination</w:t>
      </w:r>
      <w:r>
        <w:rPr>
          <w:rFonts w:ascii="Arial" w:cs="Arial" w:eastAsia="Arial" w:hAnsi="Arial"/>
          <w:sz w:val="18"/>
          <w:szCs w:val="18"/>
          <w:color w:val="auto"/>
        </w:rPr>
        <w:t>”) by (i) delivering to the Members notice of its intention to exercise such right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Notice</w:t>
      </w:r>
      <w:r>
        <w:rPr>
          <w:rFonts w:ascii="Arial" w:cs="Arial" w:eastAsia="Arial" w:hAnsi="Arial"/>
          <w:sz w:val="18"/>
          <w:szCs w:val="18"/>
          <w:color w:val="auto"/>
        </w:rPr>
        <w:t>”) and (ii) paying to the Members (1) the Early Termination Payment, (2) any Tax Benefit Payment and Default Rate Interest agreed to by the Corporation and the Members as due and payable but unpaid as of the Early Termination Notice and (3) any Tax Benefit Payment due for the Taxable Year ending prior to, with or including the date of the Early Termination Effective Date (except to the extent that any amounts described in clauses (2) or (3) are included in the Early Termination Payment).</w:t>
      </w:r>
    </w:p>
    <w:p>
      <w:pPr>
        <w:spacing w:after="0" w:line="85" w:lineRule="exact"/>
        <w:rPr>
          <w:rFonts w:ascii="Arial" w:cs="Arial" w:eastAsia="Arial" w:hAnsi="Arial"/>
          <w:sz w:val="18"/>
          <w:szCs w:val="18"/>
          <w:color w:val="auto"/>
        </w:rPr>
      </w:pPr>
    </w:p>
    <w:p>
      <w:pPr>
        <w:ind w:right="60" w:firstLine="996"/>
        <w:spacing w:after="0" w:line="284" w:lineRule="auto"/>
        <w:tabs>
          <w:tab w:leader="none" w:pos="123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Material Breach</w:t>
      </w:r>
      <w:r>
        <w:rPr>
          <w:rFonts w:ascii="Arial" w:cs="Arial" w:eastAsia="Arial" w:hAnsi="Arial"/>
          <w:sz w:val="16"/>
          <w:szCs w:val="16"/>
          <w:color w:val="auto"/>
        </w:rPr>
        <w:t>. In the event that the Corporation breaches any of its material obligations under this Agreement, whether as a result of failure to make any payment when due (as described below), failure to honor any other material obligation required hereunder or by operation of law as a result of the rejection of this Agreement in a case commenced under the Bankruptcy Code or otherwise (“</w:t>
      </w:r>
      <w:r>
        <w:rPr>
          <w:rFonts w:ascii="Arial" w:cs="Arial" w:eastAsia="Arial" w:hAnsi="Arial"/>
          <w:sz w:val="16"/>
          <w:szCs w:val="16"/>
          <w:u w:val="single" w:color="auto"/>
          <w:color w:val="auto"/>
        </w:rPr>
        <w:t>Material Breach</w:t>
      </w:r>
      <w:r>
        <w:rPr>
          <w:rFonts w:ascii="Arial" w:cs="Arial" w:eastAsia="Arial" w:hAnsi="Arial"/>
          <w:sz w:val="16"/>
          <w:szCs w:val="16"/>
          <w:color w:val="auto"/>
        </w:rPr>
        <w:t>”), then all obligations hereunder shall be accelerated and the Corporation shall pay to the Members (i) the Early Termination Payment, (ii) any Tax Benefit Payment and Default Rate Interest agreed to by the Corporation and the Members as due and payable, but unpaid as of the Early Termination Notice and (iii) any Tax Benefit Payment due for the Taxable Year ending prior to, with or including the date of the Early Termination Effective Date (except to the extent that any amounts described in clauses (ii) or (iii) are included in the Early Termination Payment). Notwithstanding the foregoing, in the event that the Corporation breaches this Agreement and such breach is a Material Breach, the Members shall be entitled to elect to receive the amounts set forth in (i),</w:t>
      </w:r>
    </w:p>
    <w:p>
      <w:pPr>
        <w:spacing w:after="0" w:line="1" w:lineRule="exact"/>
        <w:rPr>
          <w:rFonts w:ascii="Arial" w:cs="Arial" w:eastAsia="Arial" w:hAnsi="Arial"/>
          <w:sz w:val="16"/>
          <w:szCs w:val="16"/>
          <w:color w:val="auto"/>
        </w:rPr>
      </w:pPr>
    </w:p>
    <w:p>
      <w:pPr>
        <w:ind w:firstLine="4"/>
        <w:spacing w:after="0" w:line="268" w:lineRule="auto"/>
        <w:tabs>
          <w:tab w:leader="none" w:pos="2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and (iii) above or to seek specific performance of the terms hereof. The Parties agree that the failure to make any payment pursuant to this Agreement within three months of the date such payment is due shall be deemed a Material Breach for all purposes of this Agreement, and that it will not be considered to be a Material Breach to make a payment due pursuant to this Agreement within three months of the date such payment is due,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Section 5.01 shall apply to such late payment (unless the Corporation does not have sufficient funds to make such payment as a result of limitations imposed by any Senior Obligations, in which case Section 5.01 shall apply, but the Default Rate shall be replaced by the Agreed Rate),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event that payment is not made within three months of the date such payment is due, a Member shall be required to give written notice to the Corporation that the Corporation has breached its material obligations, and so long as such payment is made within ten (10) Business Days of the delivery of such notice to the Corporation, the Corporation shall no longer be deemed to be in Material Breach of its obligations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165" w:name="page166"/>
    <w:bookmarkEnd w:id="165"/>
    <w:p>
      <w:pPr>
        <w:ind w:right="80" w:firstLine="996"/>
        <w:spacing w:after="0" w:line="257" w:lineRule="auto"/>
        <w:tabs>
          <w:tab w:leader="none" w:pos="124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w:t>
      </w:r>
      <w:r>
        <w:rPr>
          <w:rFonts w:ascii="Arial" w:cs="Arial" w:eastAsia="Arial" w:hAnsi="Arial"/>
          <w:sz w:val="18"/>
          <w:szCs w:val="18"/>
          <w:color w:val="auto"/>
        </w:rPr>
        <w:t>. In the event of a Change of Control, then all obligations hereunder shall be accelerated and the Corporation shall pay to the Members (i) the Early Termination Payment, (ii) any Tax Benefit Payment and Default Rate Interest agreed to by the Corporation and the Members as due and payable but unpaid as of the Early Termination Notice and (iii) any Tax Benefit Payment due for the Taxable Year ending prior to, with or including the date of the Early Termination Effective Date (except to the extent that any amounts described in clauses (ii) or (iii) are included in the Early Termination Payment).</w:t>
      </w:r>
    </w:p>
    <w:p>
      <w:pPr>
        <w:spacing w:after="0" w:line="188"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In the event of a Change of Control or a Material Breach, the Corporation shall deliver to the Members, as soon as reasonably practical, and in the case of an Early Complete Termination, contemporaneously with the Early Termination Notice, a Schedule (the “</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showing in reasonable detail the information required or requested pursuant to the first sentence of Section 2.03 and the calculation of the Early Termination Payment. The Early Termination Schedule shall become final and binding on all Parties unless a Member, within thirty (30) calendar days after receiving the Early Termination Schedule, provides the Corporation with notice of a material objection to such Schedule made in good faith (“</w:t>
      </w:r>
      <w:r>
        <w:rPr>
          <w:rFonts w:ascii="Arial" w:cs="Arial" w:eastAsia="Arial" w:hAnsi="Arial"/>
          <w:sz w:val="18"/>
          <w:szCs w:val="18"/>
          <w:u w:val="single" w:color="auto"/>
          <w:color w:val="auto"/>
        </w:rPr>
        <w:t>Termination Objection Notice</w:t>
      </w:r>
      <w:r>
        <w:rPr>
          <w:rFonts w:ascii="Arial" w:cs="Arial" w:eastAsia="Arial" w:hAnsi="Arial"/>
          <w:sz w:val="18"/>
          <w:szCs w:val="18"/>
          <w:color w:val="auto"/>
        </w:rPr>
        <w:t>”). If the Parties for any reason are unable to successfully resolve the issues raised in such notice within thirty (30) calendar days after receipt by the Corporation of the Termination Objection Notice, the Corporation and the Members shall employ the Reconciliation Procedures. The date on which such Early Termination Schedule becomes final shall be the “</w:t>
      </w:r>
      <w:r>
        <w:rPr>
          <w:rFonts w:ascii="Arial" w:cs="Arial" w:eastAsia="Arial" w:hAnsi="Arial"/>
          <w:sz w:val="18"/>
          <w:szCs w:val="18"/>
          <w:u w:val="single" w:color="auto"/>
          <w:color w:val="auto"/>
        </w:rPr>
        <w:t>Early Termination Reference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7"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Within ten (10) Business Days after the Early Termination Reference Date (such date, the “</w:t>
      </w:r>
      <w:r>
        <w:rPr>
          <w:rFonts w:ascii="Arial" w:cs="Arial" w:eastAsia="Arial" w:hAnsi="Arial"/>
          <w:sz w:val="18"/>
          <w:szCs w:val="18"/>
          <w:u w:val="single" w:color="auto"/>
          <w:color w:val="auto"/>
        </w:rPr>
        <w:t>Final Payment Date</w:t>
      </w:r>
      <w:r>
        <w:rPr>
          <w:rFonts w:ascii="Arial" w:cs="Arial" w:eastAsia="Arial" w:hAnsi="Arial"/>
          <w:sz w:val="18"/>
          <w:szCs w:val="18"/>
          <w:color w:val="auto"/>
        </w:rPr>
        <w:t>” in respect of any Early Termination Payment), the Corporation shall pay to each relevant Member an amount equal to the Early Termination Payment for such Member and any other payment required to be made pursuant to Section 4.01(b), Section 4.01(c) and Section 4.01(d). Such payment shall be made by wire transfer of immediately available funds to a bank account designated by the applicable Member or as otherwise agreed by the Corporation and the Member.</w:t>
      </w:r>
    </w:p>
    <w:p>
      <w:pPr>
        <w:spacing w:after="0" w:line="80" w:lineRule="exact"/>
        <w:rPr>
          <w:rFonts w:ascii="Arial" w:cs="Arial" w:eastAsia="Arial" w:hAnsi="Arial"/>
          <w:sz w:val="18"/>
          <w:szCs w:val="18"/>
          <w:color w:val="auto"/>
        </w:rPr>
      </w:pPr>
    </w:p>
    <w:p>
      <w:pPr>
        <w:ind w:right="80" w:firstLine="996"/>
        <w:spacing w:after="0" w:line="255" w:lineRule="auto"/>
        <w:tabs>
          <w:tab w:leader="none" w:pos="124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as of the Early Termination Effective Date, shall equal with respect to the relevant Member the present value, discounted at the Early Termination Rate as of the applicable Early Termination Reference Date, of all Tax Benefit Payments that would be required to be paid by the Corporation to such Member beginning from the Early Termination Effective Date, applying the Valuation Assumptions. For purposes of calculating the present value pursuant to this Section 4.03(b) of all Tax Benefit Payments that would be required to be paid, it shall be assumed that absent the Early Termination Event all Tax Benefit Payments would be paid on the due date (without extensions) for filing the Corporation Return with respect to Taxes for each Taxable Year. The computation of the Early Termination Payment is subject to the Reconciliation Procedures.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LATE PAYMENTS, ETC.</w:t>
      </w:r>
    </w:p>
    <w:p>
      <w:pPr>
        <w:spacing w:after="0" w:line="211"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Late Payments by the Corporation</w:t>
      </w:r>
      <w:r>
        <w:rPr>
          <w:rFonts w:ascii="Arial" w:cs="Arial" w:eastAsia="Arial" w:hAnsi="Arial"/>
          <w:sz w:val="17"/>
          <w:szCs w:val="17"/>
          <w:color w:val="auto"/>
        </w:rPr>
        <w:t>. The amount of all or any portion of any Tax Benefit Payment or Early Termination Payment that is required to be made by the Corporation to the Members under this Agreement but is not made by the applicable Final Payment Date shall be payable together with any interest thereon, computed at the Default Rate and commencing from the applicable Final Payment Date.</w:t>
      </w:r>
    </w:p>
    <w:p>
      <w:pPr>
        <w:spacing w:after="0" w:line="166"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Subordination</w:t>
      </w:r>
      <w:r>
        <w:rPr>
          <w:rFonts w:ascii="Arial" w:cs="Arial" w:eastAsia="Arial" w:hAnsi="Arial"/>
          <w:sz w:val="17"/>
          <w:szCs w:val="17"/>
          <w:color w:val="auto"/>
        </w:rPr>
        <w:t>. Notwithstanding any other provision of this Agreement to the contrary, any payment required to be made by the Corporation to the Members under this Agreement shall rank subordinate and junior in right of payment to any principal, interest or other amounts due and payable in respect of any obligations owed in respect of indebtedness for borrowed money of the Corporation (“</w:t>
      </w:r>
      <w:r>
        <w:rPr>
          <w:rFonts w:ascii="Arial" w:cs="Arial" w:eastAsia="Arial" w:hAnsi="Arial"/>
          <w:sz w:val="17"/>
          <w:szCs w:val="17"/>
          <w:u w:val="single" w:color="auto"/>
          <w:color w:val="auto"/>
        </w:rPr>
        <w:t>Senior Obligations</w:t>
      </w:r>
      <w:r>
        <w:rPr>
          <w:rFonts w:ascii="Arial" w:cs="Arial" w:eastAsia="Arial" w:hAnsi="Arial"/>
          <w:sz w:val="17"/>
          <w:szCs w:val="17"/>
          <w:color w:val="auto"/>
        </w:rPr>
        <w:t xml:space="preserve">”) and shall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current or future obligations of the Corporation that are not Senior Obligations.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CONSISTENCY; COOPERATION</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The Member’s Participation in Corporation Tax Matters</w:t>
      </w:r>
      <w:r>
        <w:rPr>
          <w:rFonts w:ascii="Arial" w:cs="Arial" w:eastAsia="Arial" w:hAnsi="Arial"/>
          <w:sz w:val="17"/>
          <w:szCs w:val="17"/>
          <w:color w:val="auto"/>
        </w:rPr>
        <w:t xml:space="preserve">. Except as otherwise provided herein or in the LLC Agreement, the Corporation shall have full responsibility for, and sole discretion over, all Tax matters concerning the Corporation, including without limitation the preparation, filing or amending of any Tax Return and defending, contesting or settling any issue pertaining to Taxes, and certain Tax matters concerning BellRing LLC. Notwithstanding the foregoing, the Corporation shall promptly notify the Members of, and keep the Members reasonably informed with respect to, the portion of any audit of the Corporation or BellRing LLC by a Taxing Authority the outcome of which is reasonably expected to affect any Member’s rights and obligations under this Agreement, and any such Member shall have the right to participate in and to monitor at its own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Corporation shall not settle or fail to contest any issue pertaining to Covered Taxes that is reasonably expected to materially affect any Member’s rights or obligations under this Agreement without the prior written consent of such Member, such consent not to be unreasonably withheld, conditioned or delayed.</w:t>
      </w:r>
    </w:p>
    <w:p>
      <w:pPr>
        <w:spacing w:after="0" w:line="182"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Consistency</w:t>
      </w:r>
      <w:r>
        <w:rPr>
          <w:rFonts w:ascii="Arial" w:cs="Arial" w:eastAsia="Arial" w:hAnsi="Arial"/>
          <w:sz w:val="18"/>
          <w:szCs w:val="18"/>
          <w:color w:val="auto"/>
        </w:rPr>
        <w:t>. Except upon the written advice of an Advisory Firm and except for items that are explicitly described as “deemed” or treated in a similar manner by the terms of this Agreement, the Corporation and the Members agree to report and cause to be reported for all purposes, including federal, state, local and foreign tax purposes and financial reporting purposes, all tax-related items (including without limitation the Tax Benefit Payment) in a manner consistent with that specified by the Corporation in any Schedule required to be provided by or on behalf of the Corporation under this Agreement and agreed to by the Members. Any dispute concerning such advice shall be subject to the Reconciliation Procedures. In the event the Advisory Firm 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67" w:name="page168"/>
    <w:bookmarkEnd w:id="167"/>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replaced with another firm acceptable to the Corporation and the Members pursuant to the definition of Advisory Firm, such replacement Advisory Firm shall be required to perform its services under this Agreement using procedures and methodologies consistent with those used by the previous Advisory Firm, unless otherwise required by law or the Corporation and the Members agree to the use of other procedures and methodologies.</w:t>
      </w:r>
    </w:p>
    <w:p>
      <w:pPr>
        <w:spacing w:after="0" w:line="14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Corporation, BellRing LLC and the Members shall (i) furnish to the other Parties in a timely manner such information, documents and other materials as the other Parties may reasonably request for purposes of making or approving any determination or computation necessary or appropriate under this Agreement, preparing any Tax Return or contesting or defending any audit, examination or controversy with any Taxing Authority, (ii) make itself available to the other Parties and their respective representatives to provide explanations of documents and materials and such other information as the requesting Parties or their respective representatives may reasonably request in connection with any of the matters described in clause (i) above, and (iii) reasonably cooperate in connection with any such matter, and the requesting Party shall reimburse the other Parties for any reasonable third party costs and expenses incurred pursuant to this Section 6.03.</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91" w:lineRule="auto"/>
        <w:tabs>
          <w:tab w:leader="none" w:pos="123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All notices, requests, claims, demands and other communications hereunder shall be in writing (including email, so long as a receipt of such email is requested and received) and shall be deemed duly given and received (i) on the date of delivery if delivered personally or via email or</w:t>
      </w:r>
    </w:p>
    <w:p>
      <w:pPr>
        <w:ind w:right="640" w:firstLine="4"/>
        <w:spacing w:after="0" w:line="323" w:lineRule="auto"/>
        <w:tabs>
          <w:tab w:leader="none" w:pos="26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Corporation,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BellRing LLC,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Post,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Randy Ridenhour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any other Member, to the address and e-mail address specified on such Member’s signature page to the applicable Joinder.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contact information by giving the other Parties written notice of its new contact information in the manner set forth above.</w:t>
      </w:r>
    </w:p>
    <w:p>
      <w:pPr>
        <w:spacing w:after="0" w:line="24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electronic transmission shall be as effective as delivery of a manually signed counterpart of this Agreement.</w:t>
      </w:r>
    </w:p>
    <w:p>
      <w:pPr>
        <w:spacing w:after="0" w:line="17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constitutes the entire agreement and supersedes prior agreements and understandings, both written and oral, among the Parties with respect to the subject matter hereof. This Agreement shall be binding upon and inure solely to the benefit of each Party hereto and its respective successors and permitted assigns. Other than as provided in the preceding sentence, nothing in this Agreement, express or implied, is intended to or shall confer upon any other Person any right, benefit or remedy of any nature whatsoever under or by reason of this Agreement.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169" w:name="page170"/>
    <w:bookmarkEnd w:id="16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w:t>
      </w:r>
    </w:p>
    <w:p>
      <w:pPr>
        <w:spacing w:after="0" w:line="237"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5" w:lineRule="auto"/>
        <w:tabs>
          <w:tab w:leader="none" w:pos="123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Member may assign, sell, pledge or otherwise alienate or transfer any interest in this Agreement, including the right to receive any payment under this Agreement, to any Person without the prior written consent of the Corporation, which consent shall not be unreasonably withheld, conditioned or delayed, and without such Person executing and delivering a Joinder agreeing to succeed to the applicable portion of such Member’s interest in this Agreement and to become a Party for all purposes of this Agreement (the “</w:t>
      </w:r>
      <w:r>
        <w:rPr>
          <w:rFonts w:ascii="Arial" w:cs="Arial" w:eastAsia="Arial" w:hAnsi="Arial"/>
          <w:sz w:val="16"/>
          <w:szCs w:val="16"/>
          <w:u w:val="single" w:color="auto"/>
          <w:color w:val="auto"/>
        </w:rPr>
        <w:t>Joinder Requirement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Member sells, exchanges, distributes or otherwise transfers Units to any Person (other than the Corporation or BellRing LLC) in accordance with the terms of the LLC Agreement, such Member shall have the option to assign to the transferee of such Units its rights under this Agreement with respect to such transferred Units, so long as such transferee has satisfied the Joinder Requirement. For the avoidance of doubt, if a Member transfers Units in accordance with the terms of the LLC Agreement but does not assign to the transferee of such Units its rights under this Agreement with respect to such transferred Units, such Member shall continue to be entitled to receive the Tax Benefit Payments arising in respect of any subsequent Basis Transactions or Section 704(c) Benefits that are Attributable to the transferred Units. The Corporation may not assign any of its rights or obligations under this Agreement to any Person without approval by the Members (and any purported assignment without such consent shall be null and void). The transferee and transferor of any Transfer permitted under this Section 7.06 shall ensure that the Corporation is provided with a copy (which may be by PDF) of the fully executed instrument of Transfer, which instrument must clearly identify the name of the transferor and transferee and the number of Units being transferred, within five (5) days of the effective date of such Transfer. Any Transfer, or attempted Transfer in violation of this Agreement, including any failure of a purported transferee to enter into a Joinder to this Agreement or to provide any forms or other information to the extent required hereunder, shall be null and void, and shall not bind or be recognized by the Corporation or the Members. The Corporation shall be entitled to treat the record owner of any rights under this Agreement as the absolute owner thereof and shall incur no liability for payments made in good faith to such owner until such time as a written assignment of such rights is permitted pursuant to the terms and conditions of this Section 7.06 and has been recorded on the books of the Corporation.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70" w:name="page171"/>
    <w:bookmarkEnd w:id="170"/>
    <w:p>
      <w:pPr>
        <w:ind w:left="-20" w:right="80" w:firstLine="996"/>
        <w:spacing w:after="0" w:line="264" w:lineRule="auto"/>
        <w:tabs>
          <w:tab w:leader="none" w:pos="122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r>
        <w:rPr>
          <w:rFonts w:ascii="Arial" w:cs="Arial" w:eastAsia="Arial" w:hAnsi="Arial"/>
          <w:sz w:val="18"/>
          <w:szCs w:val="18"/>
          <w:color w:val="auto"/>
        </w:rPr>
        <w:t xml:space="preserve">. No provision of this Agreement may be amended unless such amendment is approved in writing by the Corporation and the Members, whereupon all Parties shall be bound;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amendment of the definition of Change of Control will also require the written approval of a majority of the Independent Directors.</w:t>
      </w:r>
    </w:p>
    <w:p>
      <w:pPr>
        <w:spacing w:after="0" w:line="73" w:lineRule="exact"/>
        <w:rPr>
          <w:rFonts w:ascii="Arial" w:cs="Arial" w:eastAsia="Arial" w:hAnsi="Arial"/>
          <w:sz w:val="18"/>
          <w:szCs w:val="18"/>
          <w:color w:val="auto"/>
        </w:rPr>
      </w:pPr>
    </w:p>
    <w:p>
      <w:pPr>
        <w:ind w:left="-20" w:right="140" w:firstLine="996"/>
        <w:spacing w:after="0" w:line="276" w:lineRule="auto"/>
        <w:tabs>
          <w:tab w:leader="none" w:pos="1216"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All of the terms and provisions of this Agreement shall be binding upon, shall inure to the benefit of and shall be enforceable by the Parties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64" w:lineRule="exact"/>
        <w:rPr>
          <w:rFonts w:ascii="Arial" w:cs="Arial" w:eastAsia="Arial" w:hAnsi="Arial"/>
          <w:sz w:val="17"/>
          <w:szCs w:val="17"/>
          <w:color w:val="auto"/>
        </w:rPr>
      </w:pPr>
    </w:p>
    <w:p>
      <w:pPr>
        <w:ind w:left="-20" w:right="40" w:firstLine="996"/>
        <w:spacing w:after="0" w:line="259" w:lineRule="auto"/>
        <w:tabs>
          <w:tab w:leader="none" w:pos="122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w:t>
      </w:r>
    </w:p>
    <w:p>
      <w:pPr>
        <w:spacing w:after="0" w:line="117" w:lineRule="exact"/>
        <w:rPr>
          <w:sz w:val="20"/>
          <w:szCs w:val="20"/>
          <w:color w:val="auto"/>
        </w:rPr>
      </w:pPr>
    </w:p>
    <w:p>
      <w:pPr>
        <w:ind w:left="-20" w:right="40" w:firstLine="996"/>
        <w:spacing w:after="0" w:line="291" w:lineRule="auto"/>
        <w:tabs>
          <w:tab w:leader="none" w:pos="121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for Reconciliation Disputes subject to Section 7.08, any and all disputes which cannot be settled after good faith negotiation, including any ancillary claims of any Party, arising out of, relating to or in connection with the validity, negotiation, execution, interpretation, performance or non-performance of this Agreement (including the validity, scope and enforceability of this arbitration provision), shall be finally settled by arbitration conducted in St. Louis, Missouri by a single arbitrator in accordance with the then-existing Rules of Arbitration of the International Chamber of Commerce. If the Parties to the dispute fail to agree on the selection of an arbitrator within thirty (30) calendar days of the receipt of the request for arbitration, the International Chamber of Commerce shall make the appointment. The arbitrator shall be a lawyer and shall conduct the proceedings in the English language. Performance under this Agreement shall continue if reasonably possible during any arbitration proceedings.</w:t>
      </w:r>
    </w:p>
    <w:p>
      <w:pPr>
        <w:spacing w:after="0" w:line="59" w:lineRule="exact"/>
        <w:rPr>
          <w:rFonts w:ascii="Arial" w:cs="Arial" w:eastAsia="Arial" w:hAnsi="Arial"/>
          <w:sz w:val="16"/>
          <w:szCs w:val="16"/>
          <w:color w:val="auto"/>
        </w:rPr>
      </w:pPr>
    </w:p>
    <w:p>
      <w:pPr>
        <w:ind w:left="-20" w:firstLine="996"/>
        <w:spacing w:after="0" w:line="257" w:lineRule="auto"/>
        <w:tabs>
          <w:tab w:leader="none" w:pos="122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Notwithstanding the provisions of Section 7.07(a), any Party may bring an action or special proceeding in any court of competent jurisdiction for the purpose of compelling a Party to arbitrate, seeking temporary or preliminary relief in aid of an arbitration hereunder, and/or enforcing an arbitration award and, for the purposes of this Section 7.07(b), each Party (i) expressly consents to the application of Section 7.07(c) to any such action or proceeding, and (ii) agrees that proof shall not be required that monetary damages for breach of the provisions of this Agreement would be difficult to calculate and that remedies at law would be inadequate.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4" w:right="439" w:bottom="1440" w:gutter="0" w:footer="0" w:header="0"/>
        </w:sectPr>
      </w:pPr>
    </w:p>
    <w:bookmarkStart w:id="171" w:name="page172"/>
    <w:bookmarkEnd w:id="171"/>
    <w:p>
      <w:pPr>
        <w:ind w:right="240" w:firstLine="996"/>
        <w:spacing w:after="0" w:line="273" w:lineRule="auto"/>
        <w:tabs>
          <w:tab w:leader="none" w:pos="1237"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Member hereby irrevocably submits to the jurisdiction of the Delaware Chancery Court or, if such court shall not have jurisdiction, any federal court located in the State of Delaware or other Delaware state court for the purpose of any judicial proceeding brought in accordance with the provisions of Section 7.07(b),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forum designated by this Section 7.07(c) has a reasonable relation to this Agreement, and to the Parties’ relationship with one another.</w:t>
      </w:r>
    </w:p>
    <w:p>
      <w:pPr>
        <w:spacing w:after="0" w:line="70" w:lineRule="exact"/>
        <w:rPr>
          <w:rFonts w:ascii="Arial" w:cs="Arial" w:eastAsia="Arial" w:hAnsi="Arial"/>
          <w:sz w:val="17"/>
          <w:szCs w:val="17"/>
          <w:color w:val="auto"/>
        </w:rPr>
      </w:pPr>
    </w:p>
    <w:p>
      <w:pPr>
        <w:ind w:right="80" w:firstLine="996"/>
        <w:spacing w:after="0" w:line="264" w:lineRule="auto"/>
        <w:tabs>
          <w:tab w:leader="none" w:pos="12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Section 7.07(c) and the Parties agree not to plead or claim the same.</w:t>
      </w:r>
    </w:p>
    <w:p>
      <w:pPr>
        <w:spacing w:after="0" w:line="73" w:lineRule="exact"/>
        <w:rPr>
          <w:rFonts w:ascii="Arial" w:cs="Arial" w:eastAsia="Arial" w:hAnsi="Arial"/>
          <w:sz w:val="18"/>
          <w:szCs w:val="18"/>
          <w:color w:val="auto"/>
        </w:rPr>
      </w:pPr>
    </w:p>
    <w:p>
      <w:pPr>
        <w:ind w:right="240" w:firstLine="996"/>
        <w:spacing w:after="0" w:line="277" w:lineRule="auto"/>
        <w:tabs>
          <w:tab w:leader="none" w:pos="12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Party irrevocably consents to service of process by means of notice in the manner provided for in Section 7.01. Nothing in this Agreement shall affect the right of any Party to serve process in any other manner permitted by law.</w:t>
      </w:r>
    </w:p>
    <w:p>
      <w:pPr>
        <w:spacing w:after="0" w:line="170"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Corporation and any of the Members are unable to resolve a disagreement with respect to a Schedule prepared in accordance with the procedures set forth in Section 2.04 or Section 4.02 within the relevant period designated in this Agreement, or any other disagreement regarding the calculation of Tax Benefit Payments, the treatment of transactions for tax purposes or any similar matter the resolution of which requires substantial tax expertise (a “Reconciliation Dispute”), the Reconciliation Dispute shall be submitted by the applicable Parties for determination to a nationally recognized expert (the “Expert”) in the particular area of disagreement mutually acceptable to the applicable Parties. The Expert shall be a partner in a nationally recognized accounting firm or a law firm (other than the Advisory Firm), and the Expert shall not, and the firm that employs the Expert shall not, have any material relationship with the Corporation or the Members or other actual or potential conflict of interest. If the applicable Parties are unable to agree on an Expert within fifteen (15) calendar days after any of the applicable Parties have provided the other applicable Parties with written notice of a Reconciliation Dispute, the Expert shall be appointed by the International Chamber of Commerce Centre for Expertise. The Expert shall resolve any matter relating to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is due or any Tax Return reflecting the subject of a disagreement is due, such payment shall be made on the date prescribed by this Agreement and such Tax Return may be filed as prepared by the Corporation, subject to adjustment or amendment upon resolution. The costs and expenses related to the engagement of such Expert or amending any Tax Return shall be borne by the Corporation, except as provided in the next sentence. Each of the Corporation and the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72" w:name="page173"/>
    <w:bookmarkEnd w:id="17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 shall bear their own costs and expenses of such proceeding. Any dispute as to whether a dispute is a Reconciliation Dispute within the meaning of this Section 7.08 shall be decided by the Expert. The Expert shall finally determine any Reconciliation Dispute and the determinations of the Expert pursuant to this Section 7.08 shall be binding on the Corporation and the applicable Members and may be entered and enforced in any court having jurisdiction.</w:t>
      </w:r>
    </w:p>
    <w:p>
      <w:pPr>
        <w:spacing w:after="0" w:line="18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The Corporation shall be entitled to deduct and withhold from any payment payable pursuant to this Agreement such amounts as the Corporation reasonably believes it is required to deduct and withhold as a result of the execution of this Agreement or with respect to the making of such payment, in each case, under the Code, or any provision of state, local or foreign tax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Corporation shall have first notified the applicable Member of its intent to deduct or withhold, and the Corporation and the applicable Member shall have discussed in good faith whether such taxes can be mitigated to the extent permitted under applicable law. To the extent that amounts are so withheld and paid over to the appropriate Taxing Authority by the Corporation, such withheld amounts shall be treated for all purposes of this Agreement as having been paid to the relevant Member in respect of whom the deduction and withholding was made. The Corporation shall provide evidence of such payment to the Members to the extent that such evidence is available. Each Member shall promptly provide the Corporation with any applicable tax forms and certifications reasonably requested by the Corporation in connection with determining whether any such deductions and withholdings are required by applicable law.</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Affiliated Corporations; Admission of the Corporation into a Consolidated Group; Transfers of Corporate Assets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57" w:lineRule="auto"/>
        <w:tabs>
          <w:tab w:leader="none" w:pos="123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Corporation is or becomes a member of an affiliated or consolidated group of corporations that files a consolidated income tax return pursuant to Sections 1501 et seq. of the Code or a similar provision of state or local law (other than if the Corporation becomes a member of such a group as a result of a Change of Control, in which case the provisions of Article IV shall control), then: (i) the provisions of this Agreement shall be applied with respect to the group as a whole and (ii) Tax Benefit Payments and Early Termination Payments shall be computed with reference to the consolidated taxable income of the group as a whole.</w:t>
      </w:r>
    </w:p>
    <w:p>
      <w:pPr>
        <w:spacing w:after="0" w:line="80" w:lineRule="exact"/>
        <w:rPr>
          <w:rFonts w:ascii="Arial" w:cs="Arial" w:eastAsia="Arial" w:hAnsi="Arial"/>
          <w:sz w:val="18"/>
          <w:szCs w:val="18"/>
          <w:color w:val="auto"/>
        </w:rPr>
      </w:pPr>
    </w:p>
    <w:p>
      <w:pPr>
        <w:ind w:right="40" w:firstLine="996"/>
        <w:spacing w:after="0" w:line="255" w:lineRule="auto"/>
        <w:tabs>
          <w:tab w:leader="none" w:pos="12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any Person, the income of which is included in the income of the Corporation’s affiliated or consolidated group, transfers one or more assets to a corporation or any Person treated as such for tax purposes with which such entity does not file a consolidated tax return pursuant to Section 1501 et seq. of the Code, for purposes of calculating the amount of any Tax Benefit Payment (e.g., calculating the gross income of the Corporation’s affiliated or consolidated group and determining the Realized Tax Benefit) due hereunder, such Person shall be treated as having disposed of such asset in a fully taxable transaction on the date of such contribution. The consideration deemed to be received by such entity shall be determined as if such transfer occurred on an arm’s-length basis with an unrelated third party. For purposes of this Section 7.10, a transfer of a partnership interest shall be treated as a transfer of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73" w:name="page174"/>
    <w:bookmarkEnd w:id="173"/>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transferring partner’s applicable share of each of the assets and liabilities of that partnership. Notwithstanding anything to the contrary set forth herein, if the Corporation or any other entity that is obligated to make a Tax Benefit Payment or Early Termination Payment hereunder transfers its assets pursuant to a transaction that qualifies as a “reorganization” (within the meaning of Section 368(a) of the Code) in which such entity does not survive or pursuant to any other transaction to which Section 381(a) of the Code applies, the transfer will not cause such entity to be treated as having transferred any assets to a corporation (or a Person classified as a corporation for U.S. income tax purposes) pursuant to this Section 7.10(b).</w:t>
      </w:r>
    </w:p>
    <w:p>
      <w:pPr>
        <w:spacing w:after="0" w:line="158"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Notwithstanding anything herein to the contrary, if, in connection with an actual or proposed change in law, a Member reasonably believes that the existence of this Agreement could cause material adverse tax consequences to such Member or any direct or indirect owner of such Member, then at the written election of such Member in its sole discretion (in an instrument signed by such Member and delivered to the Corporation) and to the extent specified therein by such Member, this Agreement shall cease to have further effect and shall not apply to any Basis Transactions occurring after a date specified by such Member, or may be amended in a manner reasonably determined by such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78"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herein, the interest paid or agreed to be paid hereunder with respect to amounts due to any Member hereunder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any Member shall receive interest in an amount that exceeds the Maximum Rate, the excess interest shall be applied to the Tax Benefit Payment or Early Termination Payment, as applicable (but in each case exclusive of any component thereof comprising interest) or, if it exceeds such unpaid non-interest amount, refunded to the Corporation. In determining whether the interest contracted for, charged or received by any Member exceeds the Maximum Rate, such Member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payment obligations owed by the Corporation to such Member hereunder. Notwithstanding the foregoing, it is the intention of the Parties to conform strictly to any applicable usury laws.</w:t>
      </w:r>
    </w:p>
    <w:p>
      <w:pPr>
        <w:spacing w:after="0" w:line="16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The rights and obligations of each Member hereunder are several and not joint with the rights and obligations of any other Person. A Member shall not be responsible in any way for the performance of the obligations of any other Person hereunder, nor shall a Member have the right to enforce the rights or obligations of any other Person hereunder (other than the Corporation). The obligations of a Member hereunder are solely for the benefit of, and shall be enforceable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74" w:name="page175"/>
    <w:bookmarkEnd w:id="174"/>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by, the Corporation. Nothing contained herein or in any other agreement or document delivered at any closing, and no action taken by any Member pursuant hereto or thereto, shall be deemed to constitute the Members acting as a partnership, an association, a joint venture or any other kind of entity, or create a presumption that the Members are in any way acting in concert or as a group with respect to such rights or obligations or the transactions contemplated hereby, and the Corporation acknowledges that the Members are not acting in concert or as a group and will not assert any such claim with respect to such rights or obligations or the transactions contemplated hereby.</w:t>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[Signatures pages follow]</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440" w:top="274" w:right="599" w:bottom="1440" w:gutter="0" w:footer="0" w:header="0"/>
        </w:sectPr>
      </w:pPr>
    </w:p>
    <w:bookmarkStart w:id="175" w:name="page176"/>
    <w:bookmarkEnd w:id="17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2040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2040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14605</wp:posOffset>
            </wp:positionV>
            <wp:extent cx="22040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jc w:val="center"/>
        <w:ind w:left="6920"/>
        <w:spacing w:after="0"/>
        <w:tabs>
          <w:tab w:leader="none" w:pos="1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[Signature page to Tax Receivable Agreement]</w:t>
      </w:r>
    </w:p>
    <w:p>
      <w:pPr>
        <w:sectPr>
          <w:pgSz w:w="11900" w:h="16838" w:orient="portrait"/>
          <w:cols w:equalWidth="0" w:num="1">
            <w:col w:w="9960"/>
          </w:cols>
          <w:pgMar w:left="1440" w:top="274" w:right="4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Exhibit A</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453"/>
        </w:trPr>
        <w:tc>
          <w:tcPr>
            <w:tcW w:w="74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716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3820" w:type="dxa"/>
            <w:vAlign w:val="bottom"/>
            <w:gridSpan w:val="2"/>
          </w:tcPr>
          <w:p>
            <w:pPr>
              <w:ind w:left="440"/>
              <w:spacing w:after="0"/>
              <w:rPr>
                <w:sz w:val="20"/>
                <w:szCs w:val="20"/>
                <w:color w:val="auto"/>
              </w:rPr>
            </w:pPr>
            <w:r>
              <w:rPr>
                <w:rFonts w:ascii="Arial" w:cs="Arial" w:eastAsia="Arial" w:hAnsi="Arial"/>
                <w:sz w:val="18"/>
                <w:szCs w:val="18"/>
                <w:color w:val="auto"/>
                <w:w w:val="99"/>
              </w:rPr>
              <w:t>This JOINDER AGREEMENT, dated as of</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 20</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w w:val="90"/>
              </w:rPr>
              <w:t>(this “Joinder”), is delivered pursuant to that certain Tax Receivable Agreement,</w:t>
            </w:r>
          </w:p>
        </w:tc>
      </w:tr>
      <w:tr>
        <w:trPr>
          <w:trHeight w:val="20"/>
        </w:trPr>
        <w:tc>
          <w:tcPr>
            <w:tcW w:w="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dated as of October 21, 2019 (as amended, restated, amended and restated, supplemented or otherwise modified from time to time, the “</w:t>
      </w:r>
      <w:r>
        <w:rPr>
          <w:rFonts w:ascii="Arial" w:cs="Arial" w:eastAsia="Arial" w:hAnsi="Arial"/>
          <w:sz w:val="18"/>
          <w:szCs w:val="18"/>
          <w:u w:val="single" w:color="auto"/>
          <w:color w:val="auto"/>
        </w:rPr>
        <w:t>Tax 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BellRing Brands,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BellRing Brands, LLC, a Delaware limited liability company, and each of the Members from time to time party thereto. Capitalized terms used but not otherwise defined herein have the respective meanings set forth in the Tax Receivable Agreement.</w:t>
      </w:r>
    </w:p>
    <w:p>
      <w:pPr>
        <w:spacing w:after="0" w:line="79" w:lineRule="exact"/>
        <w:rPr>
          <w:sz w:val="20"/>
          <w:szCs w:val="20"/>
          <w:color w:val="auto"/>
        </w:rPr>
      </w:pPr>
    </w:p>
    <w:p>
      <w:pPr>
        <w:ind w:right="700" w:firstLine="4"/>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The undersigned hereby represents and warrants to the Corporation that, as of the date hereof, the undersigned has been assigned an interest in the Tax Receivable Agreement from a Member.</w:t>
      </w:r>
    </w:p>
    <w:p>
      <w:pPr>
        <w:spacing w:after="0" w:line="62" w:lineRule="exact"/>
        <w:rPr>
          <w:rFonts w:ascii="Arial" w:cs="Arial" w:eastAsia="Arial" w:hAnsi="Arial"/>
          <w:sz w:val="18"/>
          <w:szCs w:val="18"/>
          <w:color w:val="auto"/>
        </w:rPr>
      </w:pPr>
    </w:p>
    <w:p>
      <w:pPr>
        <w:ind w:right="20" w:firstLine="4"/>
        <w:spacing w:after="0" w:line="259"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Upon the execution of this Joinder by the undersigned and delivery hereof to the Corporation, the undersigned hereby is and hereafter will be a Member under the Tax Receivable Agreement and a Party thereto, with all of the rights, privileges and responsibilities of a Member thereunder. The undersigned hereby agrees that it shall comply with and be fully bound by the terms of the Tax Receivable Agreement as if it had been a signatory thereto as of the date thereof.</w:t>
      </w:r>
    </w:p>
    <w:p>
      <w:pPr>
        <w:spacing w:after="0" w:line="78" w:lineRule="exact"/>
        <w:rPr>
          <w:rFonts w:ascii="Arial" w:cs="Arial" w:eastAsia="Arial" w:hAnsi="Arial"/>
          <w:sz w:val="18"/>
          <w:szCs w:val="18"/>
          <w:color w:val="auto"/>
        </w:rPr>
      </w:pPr>
    </w:p>
    <w:p>
      <w:pPr>
        <w:ind w:right="140" w:firstLine="4"/>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Tax Receivable Agreement are hereby incorporated by reference in this Joinder as if set forth herein in full.</w:t>
      </w:r>
    </w:p>
    <w:p>
      <w:pPr>
        <w:spacing w:after="0" w:line="62" w:lineRule="exact"/>
        <w:rPr>
          <w:rFonts w:ascii="Arial" w:cs="Arial" w:eastAsia="Arial" w:hAnsi="Arial"/>
          <w:sz w:val="18"/>
          <w:szCs w:val="18"/>
          <w:color w:val="auto"/>
        </w:rPr>
      </w:pPr>
    </w:p>
    <w:p>
      <w:pPr>
        <w:ind w:left="180" w:hanging="176"/>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Tax Receivable Agreement to the undersigned shall be directed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[City, State, Zip Code]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57" w:right="479" w:bottom="1440" w:gutter="0" w:footer="0" w:header="0"/>
        </w:sectPr>
      </w:pPr>
    </w:p>
    <w:bookmarkStart w:id="177" w:name="page178"/>
    <w:bookmarkEnd w:id="177"/>
    <w:p>
      <w:pPr>
        <w:ind w:left="6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NEW PARTY]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[Exhibit A]</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19"/>
          </w:cols>
          <w:pgMar w:left="440" w:top="274"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SERVICES AGREEMENT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This MASTER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21, 2019,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BellRing Inc.</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BellRing Inc., BellRing, LLC and Post are parties to that certain Master Transaction Agreement, dated as of October 7, 2019 (the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62"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B. As part of the transactions described in the Transaction Agreement, Post has agreed to provide or cause to be provided certain services to BellRing Inc., BellRing LLC or BellRing LLC’s Subsidiaries from and after the Effective Time on the terms and conditions set forth herein.</w:t>
      </w:r>
    </w:p>
    <w:p>
      <w:pPr>
        <w:spacing w:after="0" w:line="12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 CONSTRUCTION</w:t>
      </w:r>
    </w:p>
    <w:p>
      <w:pPr>
        <w:spacing w:after="0" w:line="211"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u w:val="single" w:color="auto"/>
          <w:color w:val="auto"/>
        </w:rPr>
        <w:t>Section 1.1 Certain Defined Terms</w:t>
      </w:r>
      <w:r>
        <w:rPr>
          <w:rFonts w:ascii="Arial" w:cs="Arial" w:eastAsia="Arial" w:hAnsi="Arial"/>
          <w:sz w:val="18"/>
          <w:szCs w:val="18"/>
          <w:color w:val="auto"/>
        </w:rPr>
        <w:t>. Unless otherwise provided herein, the capitalized terms used herein shall have the meanings given to them in the Transaction Agreement. In addition to the other terms defined elsewhere in this Agreement, for the purposes of this Agreement, the following terms shall have the meaning set forth below:</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Law(s) in any jurisdiction applicable to a given activity, service, situation, circumstance, Service Provider, Recipient, other Person or provider, this Agreement or the rights, obligations and benefits of the parties hereunder, including the performance or receipt of any Service hereunder.</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Change of Control</w:t>
      </w:r>
      <w:r>
        <w:rPr>
          <w:rFonts w:ascii="Arial" w:cs="Arial" w:eastAsia="Arial" w:hAnsi="Arial"/>
          <w:sz w:val="18"/>
          <w:szCs w:val="18"/>
          <w:color w:val="auto"/>
        </w:rPr>
        <w:t>” of BellRing Inc., BellRing LLC and each of the other Recipients shall have occurred in the event any transaction or series of transactions (however structured or evidenced) is/are consummated:</w:t>
      </w:r>
    </w:p>
    <w:p>
      <w:pPr>
        <w:spacing w:after="0" w:line="62" w:lineRule="exact"/>
        <w:rPr>
          <w:sz w:val="20"/>
          <w:szCs w:val="20"/>
          <w:color w:val="auto"/>
        </w:rPr>
      </w:pPr>
    </w:p>
    <w:p>
      <w:pPr>
        <w:ind w:right="40" w:firstLine="996"/>
        <w:spacing w:after="0" w:line="255" w:lineRule="auto"/>
        <w:tabs>
          <w:tab w:leader="none" w:pos="12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which result(s) in Post no longer controlling more than 50% of the combined voting power of the capital stock of BellRing Inc. entitled to vote generally in the election of directors of BellRing Inc. (including, for avoidance of doubt, (x) the granting or entry into by Post or any of its Affiliates (other than BellRing Inc. or any of its Subsidiaries) of proxies, voting agreements or other voting arrangements with third parties in accordance with the BellRing Limited Liability Company Agreement pursuant to which such third parties have the right to direct how Post or any of its Affiliates (other than BellRing Inc. or any of its Subsidiaries) shall cast all or a portion of the votes to which the Class B Common Stock of BellRing Inc. is entitled, or (y) the distribution by Post of its retained beneficial interest in BellRing Inc. by means of a tax-free spin-off or split-off to its shareholders (however structured)),</w:t>
      </w:r>
    </w:p>
    <w:p>
      <w:pPr>
        <w:sectPr>
          <w:pgSz w:w="11900" w:h="16838" w:orient="portrait"/>
          <w:cols w:equalWidth="0" w:num="1">
            <w:col w:w="11020"/>
          </w:cols>
          <w:pgMar w:left="440" w:top="121" w:right="439" w:bottom="1440" w:gutter="0" w:footer="0" w:header="0"/>
        </w:sectPr>
      </w:pPr>
    </w:p>
    <w:bookmarkStart w:id="179" w:name="page180"/>
    <w:bookmarkEnd w:id="179"/>
    <w:p>
      <w:pPr>
        <w:ind w:right="100" w:firstLine="996"/>
        <w:spacing w:after="0" w:line="277" w:lineRule="auto"/>
        <w:tabs>
          <w:tab w:leader="none" w:pos="12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involve(s) the sale, assignment, conveyance, transfer, lease or other disposition of all or substantially all of the assets of BellRing Inc. and its Subsidiaries taken as a whole, or</w:t>
      </w:r>
    </w:p>
    <w:p>
      <w:pPr>
        <w:spacing w:after="0" w:line="62" w:lineRule="exact"/>
        <w:rPr>
          <w:rFonts w:ascii="Arial" w:cs="Arial" w:eastAsia="Arial" w:hAnsi="Arial"/>
          <w:sz w:val="18"/>
          <w:szCs w:val="18"/>
          <w:color w:val="auto"/>
        </w:rPr>
      </w:pPr>
    </w:p>
    <w:p>
      <w:pPr>
        <w:ind w:right="700" w:firstLine="996"/>
        <w:spacing w:after="0" w:line="277" w:lineRule="auto"/>
        <w:tabs>
          <w:tab w:leader="none" w:pos="12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which (i) result(s) in such Recipient no longer being a direct or indirect Subsidiary of BellRing Inc. or (ii) involve(s) the sale, assignment, conveyance, transfer, lease or other disposition of all or substantially all of the assets of such Recipient.</w:t>
      </w:r>
    </w:p>
    <w:p>
      <w:pPr>
        <w:spacing w:after="0" w:line="170"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xml:space="preserve">” shall mean, with regard to Post, a “Change in Control” as defined in the Post Holdings, Inc. 2019 Long-Term Incentive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requirement in such definition that an event described therein must also constitute a “change in control event” under Section 409A of the Code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to, or be required to be considered, a “</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for the purposes of this Agreement.</w:t>
      </w:r>
    </w:p>
    <w:p>
      <w:pPr>
        <w:spacing w:after="0" w:line="14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BellRing LLC or one of its Subsidiaries and, with respect to its operation as a public holding company, BellRing Inc., to the extent any such entity is receiving Services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Post or one of its Affiliates to the extent such entity is providing Services pursuant to this Agreement.</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the services described on the schedules forming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and incorporated herein by this reference (collectively, the “</w:t>
      </w:r>
      <w:r>
        <w:rPr>
          <w:rFonts w:ascii="Arial" w:cs="Arial" w:eastAsia="Arial" w:hAnsi="Arial"/>
          <w:sz w:val="18"/>
          <w:szCs w:val="18"/>
          <w:u w:val="single" w:color="auto"/>
          <w:color w:val="auto"/>
        </w:rPr>
        <w:t>Services Schedules</w:t>
      </w:r>
      <w:r>
        <w:rPr>
          <w:rFonts w:ascii="Arial" w:cs="Arial" w:eastAsia="Arial" w:hAnsi="Arial"/>
          <w:sz w:val="18"/>
          <w:szCs w:val="18"/>
          <w:color w:val="auto"/>
        </w:rPr>
        <w:t>” and each a “</w:t>
      </w:r>
      <w:r>
        <w:rPr>
          <w:rFonts w:ascii="Arial" w:cs="Arial" w:eastAsia="Arial" w:hAnsi="Arial"/>
          <w:sz w:val="18"/>
          <w:szCs w:val="18"/>
          <w:u w:val="single" w:color="auto"/>
          <w:color w:val="auto"/>
        </w:rPr>
        <w:t>Services Schedule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 Interpretive Matters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68" w:lineRule="auto"/>
        <w:tabs>
          <w:tab w:leader="none" w:pos="123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Except as otherwise provided or unless the context otherwise requires, whenever used in this Agreement, (i) any noun or pronoun shall be deemed to include the plural and the singular, (ii) the use of masculine pronouns shall include the feminine and neuter, (iii) the terms “include” and “including” shall be deemed to be followed by the phrase “without limitation,” (iv) the word “or” shall be inclusive and not exclusive, (v) all references to Sections refer to the Sections of this Agreement, and all references to Exhibits refer to the Exhibits attached to this Agreement, (vi) each reference to “herein” means a reference to “in this Agreement,” (vii) each reference to “$” or “dollars” shall be to United States dollars, (viii) each reference to “days” shall be to calendar days, (ix) the word “extent” in the phrase “to the extent” shall mean the degree to which a subject or other thing extends, and such phrase shall not mean simply “if” (x) each reference to any contract or agreement shall be to such contract or agreement as amended, supplemented, waived or otherwise modified from time to time, (xi) unless expressly provided otherwise, the measure of a period of one month or year for purposes of this Agreement shall be that date of the following month or year corresponding to the starting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corresponding date exists, the measure shall be that date of the following month or year corresponding to the next day following the starting date (for example, one month following February 18 is March 18, and one month following March 31 is May 1), (xii) a reference to an entity includes any successor entity, whether by way of merger, amalgamation, consolidation or other business combination and (xiii) if any payment required to be made hereunder is required to be made on a day that is not a Business Day, then, instead of such day, such payment shall be made on the immediately succeeding Business Day.</w:t>
      </w:r>
    </w:p>
    <w:p>
      <w:pPr>
        <w:spacing w:after="0" w:line="77" w:lineRule="exact"/>
        <w:rPr>
          <w:rFonts w:ascii="Arial" w:cs="Arial" w:eastAsia="Arial" w:hAnsi="Arial"/>
          <w:sz w:val="17"/>
          <w:szCs w:val="17"/>
          <w:color w:val="auto"/>
        </w:rPr>
      </w:pPr>
    </w:p>
    <w:p>
      <w:pPr>
        <w:ind w:firstLine="996"/>
        <w:spacing w:after="0" w:line="259" w:lineRule="auto"/>
        <w:tabs>
          <w:tab w:leader="none" w:pos="12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headings contained in this Agreement and in any Exhibit hereto are for reference purposes only and shall not affect in any way the meaning or interpretation of this Agreement. The provisions of this Agreement shall be construed according to their fair meaning and neither for nor against any party hereto irrespective of which party caused such provisions to be drafted. Each of the parties hereto acknowledges that it has been represented by an attorney in connection with the preparation and execution of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80" w:name="page181"/>
    <w:bookmarkEnd w:id="180"/>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Services and Contracts.</w:t>
      </w:r>
    </w:p>
    <w:p>
      <w:pPr>
        <w:spacing w:after="0" w:line="117" w:lineRule="exact"/>
        <w:rPr>
          <w:sz w:val="20"/>
          <w:szCs w:val="20"/>
          <w:color w:val="auto"/>
        </w:rPr>
      </w:pPr>
    </w:p>
    <w:p>
      <w:pPr>
        <w:ind w:right="60" w:firstLine="996"/>
        <w:spacing w:after="0" w:line="254"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Service Provider shall provide, or cause to be provided, to Recipient or its Subsidiaries, the Services. For each Service,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among other things, a description of the Service to be provided, the fees to be paid in respect thereof, and, if applicable, any other terms or standards applicable thereto. Service Provider shall perform, or cause to be performed, the Services (i) in a commercially reasonable manner with a degree of care, and at a level of quality, timeliness, efficacy, priority and service, at least consistent with that provided by Service Provider or its Affiliates to similarly-situated Affiliates of Post (i.e., Affiliates of Post that are of similar size and operations and are similarly relying on Service Provider or its Affiliates for such or similar services) and (ii) in accordance with applicable industry standards and any specific terms and/or performance standards set forth in this Agreement and the relevant Services Schedule. In providing the Services, Service Provider shall comply with all Applicable Laws.</w:t>
      </w:r>
    </w:p>
    <w:p>
      <w:pPr>
        <w:spacing w:after="0" w:line="84" w:lineRule="exact"/>
        <w:rPr>
          <w:rFonts w:ascii="Arial" w:cs="Arial" w:eastAsia="Arial" w:hAnsi="Arial"/>
          <w:sz w:val="18"/>
          <w:szCs w:val="18"/>
          <w:color w:val="auto"/>
        </w:rPr>
      </w:pPr>
    </w:p>
    <w:p>
      <w:pPr>
        <w:ind w:firstLine="996"/>
        <w:spacing w:after="0" w:line="285" w:lineRule="auto"/>
        <w:tabs>
          <w:tab w:leader="none" w:pos="1247"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Post and its Subsidiaries have certain contracts or agreements under which it and its Affiliates may purchase, procure, use or utilize goods and/or services as an Affiliate of Post and/or the given contracting Affiliate of Post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Shared Contract</w:t>
      </w:r>
      <w:r>
        <w:rPr>
          <w:rFonts w:ascii="Arial" w:cs="Arial" w:eastAsia="Arial" w:hAnsi="Arial"/>
          <w:sz w:val="16"/>
          <w:szCs w:val="16"/>
          <w:color w:val="auto"/>
        </w:rPr>
        <w:t xml:space="preserve">”). Shared Contracts will change from time to time in the ordinary course of Post’s and the applicable Affiliate’s business, and none of Post or any of its Affiliates are obligated to have or maintain any, or any certain, Shared Contract(s) during the term of this Agreement. Pursuant to the terms of the given Shared Contract, Recipient, as an Affiliate of Post or the given contracting Post Subsidiary, may have the right to purchase, procure, use or utilize goods and/or services and/or to execute purchase orders or statements of work (jointly and/or separately from Service Provider) under such Shared Contract. Service Provider agrees to use commercially reasonable efforts to facilitate Recipient’s receipt of goods and/or services and/or execution of purchase orders or statements of work under the Shared Contracts. Service Provider further agrees to use commercially reasonable efforts to ensure that Recipient is treated on the same or substantially similar terms as similarly-situated Affiliates of Post. Service Provider shall notify Recipient of any material changes to Shared Contracts that could affect Recipient’s receipt of the Services. All fees, costs and expenses associated with Recipient’s receipt of any goods and/or services under the Shared Contracts that are incurred by Service Provider shall be reimbursable out-of-pocket expenses passed-through to and payable by Recipient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Recipient and each of its Subsidiaries shall comply with each Shared Contract to the extent that such Shared Contract is applicable to Recipient or such Subsidiary and, upon Recipient’s request, either a copy of such Shared Contract shall be made available to Recipient (with any information reasonably considered by Service Provider to be proprietary or confidential redacted) or a summary of the substantive purchase or use terms of such Shared Contract that are applicable to Recipient or its Subsidiary shall be made available to Recipient. Service Provider and each of its Affiliates shall comply with each Shared Contract to the extent such Shared Contract is applicable to Service Provider or such Affiliate.</w:t>
      </w:r>
    </w:p>
    <w:p>
      <w:pPr>
        <w:spacing w:after="0" w:line="17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2.2 Modification of Existing Services</w:t>
      </w:r>
      <w:r>
        <w:rPr>
          <w:rFonts w:ascii="Arial" w:cs="Arial" w:eastAsia="Arial" w:hAnsi="Arial"/>
          <w:sz w:val="18"/>
          <w:szCs w:val="18"/>
          <w:color w:val="auto"/>
        </w:rPr>
        <w:t>. From time to time, Recipient or Service Provider may desire to implement changes to the Services. Such party will notify the other party through its Service Manager (as defined below) of the desired change. The parties will discuss in good faith the nature of the modification to the Services and any resulting changes in fees, costs, specifications and scheduling. Changes to Services will only be effective upon the mutual written agreement of the parties.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81" w:name="page182"/>
    <w:bookmarkEnd w:id="181"/>
    <w:p>
      <w:pPr>
        <w:ind w:right="80" w:firstLine="441"/>
        <w:spacing w:after="0" w:line="29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 Additional Services</w:t>
      </w:r>
      <w:r>
        <w:rPr>
          <w:rFonts w:ascii="Arial" w:cs="Arial" w:eastAsia="Arial" w:hAnsi="Arial"/>
          <w:sz w:val="16"/>
          <w:szCs w:val="16"/>
          <w:color w:val="auto"/>
        </w:rPr>
        <w:t>. If Recipient reasonably requests that Service Provider perform additional services not included within the scope of the Services specified in this Agreement that are necessary for, with respect to BellRing LLC, the operation of Recipient’s or one of its Subsidiaries’ business or, with respect to BellRing Inc., its operation as a public holding company, then the parties will promptly negotiate in good faith regarding whether such additional services should be added to this Agreement and any additional charges that will be paid by Recipient for such additional services. Service Provider will not be obligated to perform any additional services unless the parties so agree in writing.</w:t>
      </w:r>
    </w:p>
    <w:p>
      <w:pPr>
        <w:spacing w:after="0" w:line="158"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u w:val="single" w:color="auto"/>
          <w:color w:val="auto"/>
        </w:rPr>
        <w:t>Section 2.4 Subcontractors; Service Providers</w:t>
      </w:r>
      <w:r>
        <w:rPr>
          <w:rFonts w:ascii="Arial" w:cs="Arial" w:eastAsia="Arial" w:hAnsi="Arial"/>
          <w:sz w:val="16"/>
          <w:szCs w:val="16"/>
          <w:color w:val="auto"/>
        </w:rPr>
        <w:t xml:space="preserve">. The Services may, at Service Provider’s sole discretion, be provided in whole or in part by Affiliates of Service Provider or by third party subcontractors or service providers selected by Service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Service Provider shall obtain Recipient’s prior written consent to subcontract any Service in whole to a third party subcontractor or service provider that is not an Affiliate of the Service Provider where such Service will be provided by such third party subcontractor or service provider solely to Recipient (i.e., consent is not required for Service Provider’s subcontracts where services are performed for Post or its other Affiliates along with Recipient, but consent is required for any subcontract to be dedicated to Recipient alone). Service Provider shall retain responsibility for the provision to Recipient of any Services regardless of whether such Service is performed by any such Affiliate, third party subcontractor or third party service provider.</w:t>
      </w:r>
    </w:p>
    <w:p>
      <w:pPr>
        <w:spacing w:after="0" w:line="16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u w:val="single" w:color="auto"/>
          <w:color w:val="auto"/>
        </w:rPr>
        <w:t>Section 2.5 Personnel</w:t>
      </w:r>
      <w:r>
        <w:rPr>
          <w:rFonts w:ascii="Arial" w:cs="Arial" w:eastAsia="Arial" w:hAnsi="Arial"/>
          <w:sz w:val="17"/>
          <w:szCs w:val="17"/>
          <w:color w:val="auto"/>
        </w:rPr>
        <w:t>. All Service Provider’s (or its Affiliates’, third party contractors’ or service providers’) personnel providing Services under this Agreement will be under the direction, control, and supervision of Service Provider, and Service Provider will have the sole right to exercise all authority with respect to the employment, termination, assignment and compensation of Service Provider’s (or such Affiliates’, third party contractors’ or service providers’) personnel. Service Provider is not obligated to hire any additional employees or maintain the employment of any specific employee. All Service Provider’s (or such Affiliates’, third party contractors’ or service providers’) personnel providing Services under this Agreement will be deemed to be representatives solely of Service Provider (or such Affiliates, third party contractors or service providers) for purposes of all compensation and (as applicable) employee benefits and not to be employees or representatives of Recipient.</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u w:val="single" w:color="auto"/>
          <w:color w:val="auto"/>
        </w:rPr>
        <w:t>Section 2.6 Compliance with Policies; Safety of Personnel</w:t>
      </w:r>
      <w:r>
        <w:rPr>
          <w:rFonts w:ascii="Arial" w:cs="Arial" w:eastAsia="Arial" w:hAnsi="Arial"/>
          <w:sz w:val="17"/>
          <w:szCs w:val="17"/>
          <w:color w:val="auto"/>
        </w:rPr>
        <w:t>. Recipient acknowledges that Service Provider has instituted and may continue to institute and revise a variety of policies and procedures related to its operations and the provision of the Services. Service Provider shall perform all Services in a manner that is consistent with such policies and procedures of Service Provider and any reasonable policies and procedures of Recipient, including, in each case, those relating to anti-trust, health, safety and environmental laws, to the extent that (i) such policies and procedures of Recipient have been provided to Service Provider, (ii) such policies and procedures of Recipient do not conflict with Service Provider’s own policies and procedures and (iii) the subject Services are not also being jointly performed for Post or one or more of its Affiliates. Service Provider shall use reasonable efforts to provide Recipient with advance written notice in the event Service Provider believes any Service is not consistent with Recipient’s policies or procedures where the same would have a material adverse effect on the Services to be provided. To the extent Services are performed onsite at Recipient’s place(s) of business, Service Provider will be permitted to withdraw any personnel providing Services at that time if Service Provider has a reasonable opinion that such personnel face any risk to their personal safety.</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u w:val="single" w:color="auto"/>
          <w:color w:val="auto"/>
        </w:rPr>
        <w:t>Section 2.7 Third Party Costs and Consents</w:t>
      </w:r>
      <w:r>
        <w:rPr>
          <w:rFonts w:ascii="Arial" w:cs="Arial" w:eastAsia="Arial" w:hAnsi="Arial"/>
          <w:sz w:val="18"/>
          <w:szCs w:val="18"/>
          <w:color w:val="auto"/>
        </w:rPr>
        <w:t>. The parties will work together to obtain any consents required for the provision of the Services for Recipient by the applicable Service Provider hereunder (the “</w:t>
      </w: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Service Provider shall directly pay any amounts that are required to be paid to any licensors or third party providers in order to obtain the Required Consents that are necessary for the provision of the Services to Recipient, including without limitation, any consent or documentation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costs associated with the purchase or maintenance of additional licenses or use rights required for Recipient to use or utilize a given product or service that is being provided as a Service hereunder will be reimbursable out-of-pocket expenses paid by Recipient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For example, if a given Service involves providing Recipient (for its own use)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82" w:name="page183"/>
    <w:bookmarkEnd w:id="18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 licenses of “Software Product X,” the costs associated with purchasing and maintaining such 40 licenses will be reimbursed by Recipient, but the costs associated with obtaining the consent from the third party provider of “Software Product X” necessary for Recipient to use such 40 licenses under Post’s license agreement with such third party provider (if such consent is required) would be Service Provider’s responsibility. Notwithstanding anything contained in this Agreement or the Transaction Agreement, Service Provider shall not be required to provide any Services to the extent that a Required Consent is needed for such Services and such Required Consent has not been, or cannot be, obtained despite Service Provider’s commercially reasonable attempts to do so, or if providing such Services would otherwise violate the terms of any of Service Provider’s agreements with its third party providers. Notwithstanding the foregoing, if Service Provider is not able to obtain any such Required Consent, despite Service Provider’s commercially reasonable attempts to do so, Service Provider shall promptly notify Recipient thereof and the parties will work together to arrange an alternative means of providing such Service or for Recipient to receive the Service, which may include Recipient obtaining replacement services directly from a third party provider.</w:t>
      </w:r>
    </w:p>
    <w:p>
      <w:pPr>
        <w:spacing w:after="0" w:line="17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u w:val="single" w:color="auto"/>
          <w:color w:val="auto"/>
        </w:rPr>
        <w:t>Section 2.8 Services Managers</w:t>
      </w:r>
      <w:r>
        <w:rPr>
          <w:rFonts w:ascii="Arial" w:cs="Arial" w:eastAsia="Arial" w:hAnsi="Arial"/>
          <w:sz w:val="18"/>
          <w:szCs w:val="18"/>
          <w:color w:val="auto"/>
        </w:rPr>
        <w:t>. Service Provider and Recipient shall select one or more service managers (each a “</w:t>
      </w:r>
      <w:r>
        <w:rPr>
          <w:rFonts w:ascii="Arial" w:cs="Arial" w:eastAsia="Arial" w:hAnsi="Arial"/>
          <w:sz w:val="18"/>
          <w:szCs w:val="18"/>
          <w:u w:val="single" w:color="auto"/>
          <w:color w:val="auto"/>
        </w:rPr>
        <w:t>Service Manager</w:t>
      </w:r>
      <w:r>
        <w:rPr>
          <w:rFonts w:ascii="Arial" w:cs="Arial" w:eastAsia="Arial" w:hAnsi="Arial"/>
          <w:sz w:val="18"/>
          <w:szCs w:val="18"/>
          <w:color w:val="auto"/>
        </w:rPr>
        <w:t xml:space="preserve">”) to act as its primary contact person(s) for the provision or receipt, as applicable, of the Services. Communications relating to the provision of the particular Services shall be directed to the applicable Service Manager of the other party. A party may change a Service Manager upon prior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before assigning a new Service Manager, such party will notify the other of the proposed assignment, introduce the individual to the appropriate representatives of the other party and provide such party with any information regarding the individual that may be reasonably requested by the other party. Service Provider’s Service Manager shall initially be Bryan Schack. Recipient’s Service Manager shall initially be Paul Rode.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PROVISION OF SERVICES</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u w:val="single" w:color="auto"/>
          <w:color w:val="auto"/>
        </w:rPr>
        <w:t>Section 3.1 No Secondment</w:t>
      </w:r>
      <w:r>
        <w:rPr>
          <w:rFonts w:ascii="Arial" w:cs="Arial" w:eastAsia="Arial" w:hAnsi="Arial"/>
          <w:sz w:val="18"/>
          <w:szCs w:val="18"/>
          <w:color w:val="auto"/>
        </w:rPr>
        <w:t>. For the avoidance of doubt, Service Provider is not under any obligation to second or procure the secondment to Recipient of any employee or other personnel in connection with the provision of the Services.</w:t>
      </w:r>
    </w:p>
    <w:p>
      <w:pPr>
        <w:spacing w:after="0" w:line="170"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u w:val="single" w:color="auto"/>
          <w:color w:val="auto"/>
        </w:rPr>
        <w:t>Section 3.2 Access to and Use of Facilities</w:t>
      </w:r>
      <w:r>
        <w:rPr>
          <w:rFonts w:ascii="Arial" w:cs="Arial" w:eastAsia="Arial" w:hAnsi="Arial"/>
          <w:sz w:val="18"/>
          <w:szCs w:val="18"/>
          <w:color w:val="auto"/>
        </w:rPr>
        <w:t>. To the extent reasonably required to perform the Services hereunder, Recipient will provide (or as necessary will cause its Affiliates to provide) Service Provider with access to and use of such Recipient’s applicable facilities. Recipient shall provide all information reasonably required or requested by Service Provider to perform its obligations under this Agreement. Any visit to any of Recipient’s facilities required in connection with the Services will be provided at Recipient’s sole risk except with respect to any violation of Law, negligence or willful misconduct by Service Provider, its Affiliates or its or their respective Representatives. Recipient shall be liable for, and shall fully defend, indemnify and hold Service Provider and its Affiliates harmless from, any and all injuries or death suffered by any Service Provider personnel arising in connection with any visit by such personnel to Recipient’s facilities to the extent such injury or death is caused by Recipient’s violation of Law, negligence or willful misconduct.</w:t>
      </w:r>
    </w:p>
    <w:p>
      <w:pPr>
        <w:spacing w:after="0" w:line="192"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u w:val="single" w:color="auto"/>
          <w:color w:val="auto"/>
        </w:rPr>
        <w:t>Section 3.3 Dispute Resolution</w:t>
      </w:r>
      <w:r>
        <w:rPr>
          <w:rFonts w:ascii="Arial" w:cs="Arial" w:eastAsia="Arial" w:hAnsi="Arial"/>
          <w:sz w:val="17"/>
          <w:szCs w:val="17"/>
          <w:color w:val="auto"/>
        </w:rPr>
        <w:t xml:space="preserve">. In the event that the parties are unable to agree upon any matters related to the performance of Services under this Agreement, the disputed matter will be first referred to the Service Managers for resolution. If a mutually acceptable agreement is not reached within a reasonable time, the matter will then be referred to the applicable senior management at each party hereto for resolution. Thereafter, the parties may seek the other rights and remedies available to such party.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no way limits, delays or restricts a party’s ability to seek specific performance, injunctive relief or other equitable relief as provided under </w:t>
      </w:r>
      <w:r>
        <w:rPr>
          <w:rFonts w:ascii="Arial" w:cs="Arial" w:eastAsia="Arial" w:hAnsi="Arial"/>
          <w:sz w:val="17"/>
          <w:szCs w:val="17"/>
          <w:u w:val="single" w:color="auto"/>
          <w:color w:val="auto"/>
        </w:rPr>
        <w:t>Section 12.12</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FOR 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 Payment Obligation</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88" w:lineRule="auto"/>
        <w:tabs>
          <w:tab w:leader="none" w:pos="123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Recipient shall pay Service Provider or, to the extent specified on an invoice delivered to Recipient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 applicable Affiliate thereof, the undisputed fees described on the applicable Services Schedule for the Services provided to Recipient by Service Provider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Recipient shall reimburse Service Provider for all reasonable, documented, undisputed out-of-pocket expenses incurred by Service Provider during the rendering of the applicable Services for Recipient (including third party contractors or professional fees and any license, service or access fees, including any third party vendor fees and other third party supply costs). For avoidance of doubt, the monthly costs/fees set forth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third party costs or pass through expenses (whether separately billed to Recipient or amounts allocated to Recipient out of the overall bill to Service Provider) paid by Service Provider for goods and services used by Recipient, but Service Provider has provided in the footnotes to the Services Schedules estimates of what Service Provider believes, as of the Effective Time, the reimbursable expenses for certain given Services may be. All such third party costs and pass through expenses will be reimbursed by Recipient as provided above. For example, the monthly costs/fees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do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license fees paid for any software licenses or services purchased by Service Provider and used by Recipient.</w:t>
      </w:r>
    </w:p>
    <w:p>
      <w:pPr>
        <w:spacing w:after="0" w:line="61" w:lineRule="exact"/>
        <w:rPr>
          <w:rFonts w:ascii="Arial" w:cs="Arial" w:eastAsia="Arial" w:hAnsi="Arial"/>
          <w:sz w:val="16"/>
          <w:szCs w:val="16"/>
          <w:color w:val="auto"/>
        </w:rPr>
      </w:pPr>
    </w:p>
    <w:p>
      <w:pPr>
        <w:ind w:right="20" w:firstLine="996"/>
        <w:spacing w:after="0" w:line="232" w:lineRule="auto"/>
        <w:tabs>
          <w:tab w:leader="none" w:pos="1247"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Monthly Cost/Fee Adjustments</w:t>
      </w:r>
      <w:r>
        <w:rPr>
          <w:rFonts w:ascii="Arial" w:cs="Arial" w:eastAsia="Arial" w:hAnsi="Arial"/>
          <w:sz w:val="17"/>
          <w:szCs w:val="17"/>
          <w:color w:val="auto"/>
        </w:rPr>
        <w:t xml:space="preserve">. Beginning on the anniversary of the Effective Time (starting the next term year), the monthly costs/fees for the given Services for which there has not been a monthly costs/fees adjustment shall automatically increase by two and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percent (2.5%) over the monthly costs/fees charged for such Services during the just completed term year. Such monthly costs shall continue in effect until the monthly costs/fees are again adjusted (whether automatically as provided above or upon mutual agreement of the parties).</w:t>
      </w:r>
    </w:p>
    <w:p>
      <w:pPr>
        <w:spacing w:after="0" w:line="202"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u w:val="single" w:color="auto"/>
          <w:color w:val="auto"/>
        </w:rPr>
        <w:t>Section 4.2 Certain Third Party Costs</w:t>
      </w:r>
      <w:r>
        <w:rPr>
          <w:rFonts w:ascii="Arial" w:cs="Arial" w:eastAsia="Arial" w:hAnsi="Arial"/>
          <w:sz w:val="16"/>
          <w:szCs w:val="16"/>
          <w:color w:val="auto"/>
        </w:rPr>
        <w:t>. Recipient acknowledges and agrees that the prices charged by third party suppliers for any goods (e.g., software, raw materials and packaging) and services (e.g., promotions) procured from third party service providers which Service Provider is procuring on Recipient’s behalf as part of the Services provided hereunder may be subject to fluctuation and, as such, Service Provider cannot guarantee that it will be able to maintain certain pricing levels for any such goods or services. Recipient shall reimburse Service Provider for the applicable amounts charged by such third parties to Service Provider to purchase such goods and services, regardless of any such fluctuation in price.</w:t>
      </w:r>
    </w:p>
    <w:p>
      <w:pPr>
        <w:spacing w:after="0" w:line="158"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u w:val="single" w:color="auto"/>
          <w:color w:val="auto"/>
        </w:rPr>
        <w:t>Section 4.3 Invoices; Payment Due Date</w:t>
      </w:r>
      <w:r>
        <w:rPr>
          <w:rFonts w:ascii="Arial" w:cs="Arial" w:eastAsia="Arial" w:hAnsi="Arial"/>
          <w:sz w:val="17"/>
          <w:szCs w:val="17"/>
          <w:color w:val="auto"/>
        </w:rPr>
        <w:t>. Unless otherwise agreed to by Service Provider and Recipient in accordance with past practice, Service Provider or an applicable Affiliate thereof shall provide Recipient with a monthly invoice reflecting in reasonable detail (a) the Services provided during the preceding month, (b) monthly costs/fees owed for such Services and (c) all reasonable out-of-pocket expenses incurred by Service Provider or its Affiliates. All amounts shall be due and payable within thirty (30) days of the date the invoice is received. In the event Recipient disputes the amounts reflected on an invoice, Recipient shall deliver a written statement to Service Provider or such Affiliate within ten (10) days following receipt of Service Provider’s or such Affiliate’s invoice listing all disputed items and providing a reasonably detailed description of each disputed item. Amounts not so disputed shall be deemed accepted and shall be paid, notwithstanding disputes on other items.</w:t>
      </w:r>
    </w:p>
    <w:p>
      <w:pPr>
        <w:spacing w:after="0" w:line="17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u w:val="single" w:color="auto"/>
          <w:color w:val="auto"/>
        </w:rPr>
        <w:t>Section 4.4 Interest on Late Payment</w:t>
      </w:r>
      <w:r>
        <w:rPr>
          <w:rFonts w:ascii="Arial" w:cs="Arial" w:eastAsia="Arial" w:hAnsi="Arial"/>
          <w:sz w:val="18"/>
          <w:szCs w:val="18"/>
          <w:color w:val="auto"/>
        </w:rPr>
        <w:t>. Any amounts owed by Recipient under this Agreement that are not paid when due shall bear interest, from the time the payment was due until the time paid, at a rate per annum compounded annually, equal to the lesser of one and a half percent (1.5%) per month or the highest rate allowed by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84" w:name="page185"/>
    <w:bookmarkEnd w:id="184"/>
    <w:p>
      <w:pPr>
        <w:ind w:firstLine="441"/>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4.5 Taxes</w:t>
      </w:r>
      <w:r>
        <w:rPr>
          <w:rFonts w:ascii="Arial" w:cs="Arial" w:eastAsia="Arial" w:hAnsi="Arial"/>
          <w:sz w:val="18"/>
          <w:szCs w:val="18"/>
          <w:color w:val="auto"/>
        </w:rPr>
        <w:t xml:space="preserve">. The fees under this Agreement </w:t>
      </w:r>
      <w:r>
        <w:rPr>
          <w:rFonts w:ascii="Arial" w:cs="Arial" w:eastAsia="Arial" w:hAnsi="Arial"/>
          <w:sz w:val="18"/>
          <w:szCs w:val="18"/>
          <w:u w:val="single" w:color="auto"/>
          <w:color w:val="auto"/>
        </w:rPr>
        <w:t>exclude</w:t>
      </w:r>
      <w:r>
        <w:rPr>
          <w:rFonts w:ascii="Arial" w:cs="Arial" w:eastAsia="Arial" w:hAnsi="Arial"/>
          <w:sz w:val="18"/>
          <w:szCs w:val="18"/>
          <w:color w:val="auto"/>
        </w:rPr>
        <w:t xml:space="preserve"> all applicable excise, sales, use, value added, goods and services or similar tax imposed by any federal, state, provincial, local or foreign taxing authority (“</w:t>
      </w:r>
      <w:r>
        <w:rPr>
          <w:rFonts w:ascii="Arial" w:cs="Arial" w:eastAsia="Arial" w:hAnsi="Arial"/>
          <w:sz w:val="18"/>
          <w:szCs w:val="18"/>
          <w:u w:val="single" w:color="auto"/>
          <w:color w:val="auto"/>
        </w:rPr>
        <w:t>Sales Tax</w:t>
      </w:r>
      <w:r>
        <w:rPr>
          <w:rFonts w:ascii="Arial" w:cs="Arial" w:eastAsia="Arial" w:hAnsi="Arial"/>
          <w:sz w:val="18"/>
          <w:szCs w:val="18"/>
          <w:color w:val="auto"/>
        </w:rPr>
        <w:t>” or “</w:t>
      </w:r>
      <w:r>
        <w:rPr>
          <w:rFonts w:ascii="Arial" w:cs="Arial" w:eastAsia="Arial" w:hAnsi="Arial"/>
          <w:sz w:val="18"/>
          <w:szCs w:val="18"/>
          <w:u w:val="single" w:color="auto"/>
          <w:color w:val="auto"/>
        </w:rPr>
        <w:t>Sales Taxes</w:t>
      </w:r>
      <w:r>
        <w:rPr>
          <w:rFonts w:ascii="Arial" w:cs="Arial" w:eastAsia="Arial" w:hAnsi="Arial"/>
          <w:sz w:val="18"/>
          <w:szCs w:val="18"/>
          <w:color w:val="auto"/>
        </w:rPr>
        <w:t>”), and Recipient will be responsible for payment of all such Sales Taxes for which Recipient bears primary liability under applicable law and any related penalties and interest arising from the payment of fees and expenses to Service Provider or its Affiliates. Recipient shall be entitled to withhold from any payment hereunder all taxes as are required to be withheld under Applicable Law. Service Provider and Recipient shall reasonably cooperate to minimize any applicable withholding taxes. For the avoidance of doubt, all taxes levied on Services Provider’s income or gross receipts or any franchise taxes of Service Provider shall be Service Provider’s responsibility.</w:t>
      </w:r>
    </w:p>
    <w:p>
      <w:pPr>
        <w:spacing w:after="0" w:line="189"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u w:val="single" w:color="auto"/>
          <w:color w:val="auto"/>
        </w:rPr>
        <w:t>Section 4.6 Expenses</w:t>
      </w:r>
      <w:r>
        <w:rPr>
          <w:rFonts w:ascii="Arial" w:cs="Arial" w:eastAsia="Arial" w:hAnsi="Arial"/>
          <w:sz w:val="16"/>
          <w:szCs w:val="16"/>
          <w:color w:val="auto"/>
        </w:rPr>
        <w:t xml:space="preserve">. Except as otherwise specified in this Agreement (including </w:t>
      </w:r>
      <w:r>
        <w:rPr>
          <w:rFonts w:ascii="Arial" w:cs="Arial" w:eastAsia="Arial" w:hAnsi="Arial"/>
          <w:sz w:val="16"/>
          <w:szCs w:val="16"/>
          <w:u w:val="single" w:color="auto"/>
          <w:color w:val="auto"/>
        </w:rPr>
        <w:t>Section 4.1</w:t>
      </w:r>
      <w:r>
        <w:rPr>
          <w:rFonts w:ascii="Arial" w:cs="Arial" w:eastAsia="Arial" w:hAnsi="Arial"/>
          <w:sz w:val="16"/>
          <w:szCs w:val="16"/>
          <w:color w:val="auto"/>
        </w:rPr>
        <w:t>), each party hereto shall pay its own legal, accounting, out-of-pocket and other expenses incident to this Agreement and to any action taken by such party in carrying this Agreement into effect.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SERVICE STANDARDS</w:t>
      </w:r>
    </w:p>
    <w:p>
      <w:pPr>
        <w:spacing w:after="0" w:line="211"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u w:val="single" w:color="auto"/>
          <w:color w:val="auto"/>
        </w:rPr>
        <w:t>Section 5.1 Standard of Service</w:t>
      </w:r>
      <w:r>
        <w:rPr>
          <w:rFonts w:ascii="Arial" w:cs="Arial" w:eastAsia="Arial" w:hAnsi="Arial"/>
          <w:sz w:val="18"/>
          <w:szCs w:val="18"/>
          <w:color w:val="auto"/>
        </w:rPr>
        <w:t>. Service Provider warrants that the Services will be provided in a workmanlike and professional manner by personnel of Service Provider or its Affiliates having a level of skill in the area commensurate with the requirements of the scope of Services to be performed as described in the Service Schedules.</w:t>
      </w:r>
    </w:p>
    <w:p>
      <w:pPr>
        <w:spacing w:after="0" w:line="18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u w:val="single" w:color="auto"/>
          <w:color w:val="auto"/>
        </w:rPr>
        <w:t>Section 5.2 Remediation</w:t>
      </w:r>
      <w:r>
        <w:rPr>
          <w:rFonts w:ascii="Arial" w:cs="Arial" w:eastAsia="Arial" w:hAnsi="Arial"/>
          <w:sz w:val="18"/>
          <w:szCs w:val="18"/>
          <w:color w:val="auto"/>
        </w:rPr>
        <w:t xml:space="preserve">. Recipient agrees that the remedies available to it in the event of a failure of Service Provider to provide the Services in accordance with the applicable Services Schedule in breach of the warranty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should be limited to Service Provider using commercially reasonable efforts to correct the problems that resulted in such failure, and therefore no service credits, rebates or refunds will be awarded for a failure to provide the Services. In recognition of this, except with respect to Service Provider’s indemnification obligations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Recipient’s sole and exclusive remedy, and Service Provider’s sole and exclusive obligation, for any breach of the warranty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the remediation activities set forth in this </w:t>
      </w:r>
      <w:r>
        <w:rPr>
          <w:rFonts w:ascii="Arial" w:cs="Arial" w:eastAsia="Arial" w:hAnsi="Arial"/>
          <w:sz w:val="18"/>
          <w:szCs w:val="18"/>
          <w:u w:val="single" w:color="auto"/>
          <w:color w:val="auto"/>
        </w:rPr>
        <w:t>Section 5.2</w:t>
      </w:r>
      <w:r>
        <w:rPr>
          <w:rFonts w:ascii="Arial" w:cs="Arial" w:eastAsia="Arial" w:hAnsi="Arial"/>
          <w:sz w:val="18"/>
          <w:szCs w:val="18"/>
          <w:color w:val="auto"/>
        </w:rPr>
        <w:t>. In the event Service Provider does not provide a Service as specified in the applicable Services Schedule, then Service Provider agrees that it will use its commercially reasonable efforts to re-perform the applicable Service as soon as reasonably practicable thereafter.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CONFIDENTIALITY</w:t>
      </w:r>
    </w:p>
    <w:p>
      <w:pPr>
        <w:spacing w:after="0" w:line="211"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u w:val="single" w:color="auto"/>
          <w:color w:val="auto"/>
        </w:rPr>
        <w:t>Section 6.1 Definition</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with regard to any party hereto disclosing such information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the terms of this Agreement and any technical or non-technical confidential or proprietary information disclosed or otherwise made available in any manner by the Disclosing Party to the other party to this Agreement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or to which the Receiving Party may gain access because of this Agreement, whether disclosed orally, electronically, visually or in writing.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information (a) which is or becomes generally known or available by publication without violation of this Agreement; (b) which was known by the Receiving Party before receipt from the Disclosing Party as shown by the Receiving Party’s written records; (c) which is independently developed by the Receiving Party without use of or access to the Disclosing Party’s Confidential Information as shown by the Receiving Party’s written records; or (d) which is lawfully obtained from a third party that has the right to make such disclosure as shown by the Receiving Party’s written records.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85" w:name="page186"/>
    <w:bookmarkEnd w:id="185"/>
    <w:p>
      <w:pPr>
        <w:ind w:right="60" w:firstLine="441"/>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6.2 Obligations</w:t>
      </w:r>
      <w:r>
        <w:rPr>
          <w:rFonts w:ascii="Arial" w:cs="Arial" w:eastAsia="Arial" w:hAnsi="Arial"/>
          <w:sz w:val="18"/>
          <w:szCs w:val="18"/>
          <w:color w:val="auto"/>
        </w:rPr>
        <w:t>. The Receiving Party agrees that, except as otherwise required by Applicable Law or order, it will (a) not use, reproduce, or exploit the Confidential Information of the Disclosing Party for any purpose other than performing or receiving Services as specified in this Agreement; and (b) hold all Confidential Information of the Disclosing Party in strict confidence and will not disclose or otherwise make available such Confidential Information to any third party other than its Representatives, third party contractors, advisors, Affiliates, actual or potential investors or financing sources and their advisors and Representatives, and the employees of the Receiving Party or its Representatives, third party contractors, advisors and Affiliates (i) who have a need to know such information for purposes of fulfilling the Receiving Party’s obligations, utilizing or enforcing the Receiving Party’s rights, or utilizing the Services provided, under this Agreement and (ii) who are bound by confidentiality obligations at least as stringent as those contained in this Agreement.</w:t>
      </w:r>
    </w:p>
    <w:p>
      <w:pPr>
        <w:spacing w:after="0" w:line="192"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u w:val="single" w:color="auto"/>
          <w:color w:val="auto"/>
        </w:rPr>
        <w:t>Section 6.3 Compelled Disclosure</w:t>
      </w:r>
      <w:r>
        <w:rPr>
          <w:rFonts w:ascii="Arial" w:cs="Arial" w:eastAsia="Arial" w:hAnsi="Arial"/>
          <w:sz w:val="16"/>
          <w:szCs w:val="16"/>
          <w:color w:val="auto"/>
        </w:rPr>
        <w:t>. In the event that the Receiving Party is required by Law or court decision, order or judgment to disclose any Confidential Information, the Receiving Party shall (a) to the extent permitted, notify the Disclosing Party in writing as soon as reasonably practicable;</w:t>
      </w:r>
    </w:p>
    <w:p>
      <w:pPr>
        <w:ind w:right="200" w:firstLine="4"/>
        <w:spacing w:after="0" w:line="323" w:lineRule="auto"/>
        <w:tabs>
          <w:tab w:leader="none" w:pos="25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reasonably cooperate with the Disclosing Party to preserve the confidentiality of such Confidential Information consistent with Law and (c) use its reasonable efforts to limit any such disclosure to the minimum disclosure necessary to comply with such Law or court decision, order, or judgment.</w:t>
      </w:r>
    </w:p>
    <w:p>
      <w:pPr>
        <w:spacing w:after="0" w:line="139"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u w:val="single" w:color="auto"/>
          <w:color w:val="auto"/>
        </w:rPr>
        <w:t>Section 6.4 Termination</w:t>
      </w:r>
      <w:r>
        <w:rPr>
          <w:rFonts w:ascii="Arial" w:cs="Arial" w:eastAsia="Arial" w:hAnsi="Arial"/>
          <w:sz w:val="16"/>
          <w:szCs w:val="16"/>
          <w:color w:val="auto"/>
        </w:rPr>
        <w:t xml:space="preserve">. Upon termination of this Agreement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Receiving Party shall destroy all documents and materials in tangible form, and delete all data in electronic form, containing any Confidential Information of the Disclosing Party. Notwithstanding the foregoing, the parties hereto acknowledge that certain systems that may be utilized by a Receiving Party do not easily permit the true purging or deletion of data (e.g., email backup systems). In such cases, the Receiving Party shall be permitted to retain such data so long as such data is not readily available to end users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addition, the Receiving Party shall be permitted to retain such copies of Confidential Information as required by Applicable Law or legitimate record retention policies, so long as such Confidential Information is not readily accessible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6.5 Data Security</w:t>
      </w:r>
      <w:r>
        <w:rPr>
          <w:rFonts w:ascii="Arial" w:cs="Arial" w:eastAsia="Arial" w:hAnsi="Arial"/>
          <w:sz w:val="18"/>
          <w:szCs w:val="18"/>
          <w:color w:val="auto"/>
        </w:rPr>
        <w:t>.</w:t>
      </w:r>
    </w:p>
    <w:p>
      <w:pPr>
        <w:spacing w:after="0" w:line="117" w:lineRule="exact"/>
        <w:rPr>
          <w:sz w:val="20"/>
          <w:szCs w:val="20"/>
          <w:color w:val="auto"/>
        </w:rPr>
      </w:pPr>
    </w:p>
    <w:p>
      <w:pPr>
        <w:jc w:val="both"/>
        <w:ind w:right="400" w:firstLine="996"/>
        <w:spacing w:after="0" w:line="312" w:lineRule="auto"/>
        <w:tabs>
          <w:tab w:leader="none" w:pos="123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systems and security tools and processes utilized by Service Provider to perform the Services and to which Recipient is given access are either jointly operated and/or used systems (shared systems) or mutually dependent systems, and so both parties have joint obligations to protect the systems, environments and data used or utilized by the parties. Generally speaking, the data security duties are divided as follows:</w:t>
      </w:r>
    </w:p>
    <w:p>
      <w:pPr>
        <w:spacing w:after="0" w:line="38" w:lineRule="exact"/>
        <w:rPr>
          <w:rFonts w:ascii="Arial" w:cs="Arial" w:eastAsia="Arial" w:hAnsi="Arial"/>
          <w:sz w:val="16"/>
          <w:szCs w:val="16"/>
          <w:color w:val="auto"/>
        </w:rPr>
      </w:pPr>
    </w:p>
    <w:p>
      <w:pPr>
        <w:ind w:right="240" w:firstLine="1436"/>
        <w:spacing w:after="0" w:line="259" w:lineRule="auto"/>
        <w:tabs>
          <w:tab w:leader="none" w:pos="164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identification of security threats and vulnerabilities—Service Provider provides the security guidelines, policies, tool standards and timelines for security reviews (such as third party penetration testing and security assessments) and Recipient is responsible for timely and full participation in such identification efforts, with prompt response and commercially reasonable attempted remediation of any threat or issue found and for security (e.g., phishing) awareness and actions of users;</w:t>
      </w:r>
    </w:p>
    <w:p>
      <w:pPr>
        <w:spacing w:after="0" w:line="78" w:lineRule="exact"/>
        <w:rPr>
          <w:rFonts w:ascii="Arial" w:cs="Arial" w:eastAsia="Arial" w:hAnsi="Arial"/>
          <w:sz w:val="18"/>
          <w:szCs w:val="18"/>
          <w:color w:val="auto"/>
        </w:rPr>
      </w:pPr>
    </w:p>
    <w:p>
      <w:pPr>
        <w:ind w:firstLine="1436"/>
        <w:spacing w:after="0" w:line="255" w:lineRule="auto"/>
        <w:tabs>
          <w:tab w:leader="none" w:pos="169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protection against threats or issues – Service Provider is responsible for protection of the shared services (services shared by Post, Recipient and other Affiliates) but Recipient is responsible for the host (e.g., PCs, laptops, servers, handhelds, and other end user devices), network and other protection of systems or services used or utilized by Recipient. Recipient’s protection responsibilities also include reasonable adherence to all security policies, guidelines, standards and processes, protection of devices connected to and accessing shared services and reasonably complete implementation and use of protection mechanisms involved in access/use of shared services under this Agreement, including multi-factor authentication and testing of user password strength;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6" w:name="page187"/>
    <w:bookmarkEnd w:id="186"/>
    <w:p>
      <w:pPr>
        <w:ind w:right="220" w:firstLine="1436"/>
        <w:spacing w:after="0" w:line="264" w:lineRule="auto"/>
        <w:tabs>
          <w:tab w:leader="none" w:pos="17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detection of threats or issues – Recipient is responsible for implementing at least the tools generally recommended by Service Provider to its Affiliates as necessary to detect the threats or issues within the systems and Service Provider is responsible for assisting in monitoring and notifying Recipient of issues detected; and</w:t>
      </w:r>
    </w:p>
    <w:p>
      <w:pPr>
        <w:spacing w:after="0" w:line="73" w:lineRule="exact"/>
        <w:rPr>
          <w:rFonts w:ascii="Arial" w:cs="Arial" w:eastAsia="Arial" w:hAnsi="Arial"/>
          <w:sz w:val="18"/>
          <w:szCs w:val="18"/>
          <w:color w:val="auto"/>
        </w:rPr>
      </w:pPr>
    </w:p>
    <w:p>
      <w:pPr>
        <w:ind w:right="220" w:firstLine="1436"/>
        <w:spacing w:after="0" w:line="264" w:lineRule="auto"/>
        <w:tabs>
          <w:tab w:leader="none" w:pos="17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response to and recovery after, an incident or vulnerability has been detected or issues have arisen—Service Provider coordinates joint response and recovery with regard to shared systems and Recipient is responsible for the response and recovery for all other systems used or utilized by Recipient.</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 avoidance of doubt and notwithstanding anything herein to the contrary, Recipient is exclusively responsible for the protection, privacy and security within the manufacturing facilities and the plant technical environments (e.g. industrial control systems and related network security). Thus, the parties agree to cooperate in matters related to data protection and security. As part of such cooperation, Service Provider will develop and maintain certain enterprise-wide policies, processes, guidelines and architecture for data protection and security, Service Provider will develop and institute projects to accomplish the forgoing and all parties shall implement and maintain commercially reasonable technical and organizational measures to protect against any loss, destruction and damage and unauthorized access, use, modification, disclosure and other misuse, of (A) data or information of Recipient that is collected, processed, generated, calculated, derived, stored by or transmitted to Service Provider, any of its Affiliates or any other Person on its or their behalf in connection with the Services (such data and information, “</w:t>
      </w:r>
      <w:r>
        <w:rPr>
          <w:rFonts w:ascii="Arial" w:cs="Arial" w:eastAsia="Arial" w:hAnsi="Arial"/>
          <w:sz w:val="16"/>
          <w:szCs w:val="16"/>
          <w:u w:val="single" w:color="auto"/>
          <w:color w:val="auto"/>
        </w:rPr>
        <w:t>Recipient Data</w:t>
      </w:r>
      <w:r>
        <w:rPr>
          <w:rFonts w:ascii="Arial" w:cs="Arial" w:eastAsia="Arial" w:hAnsi="Arial"/>
          <w:sz w:val="16"/>
          <w:szCs w:val="16"/>
          <w:color w:val="auto"/>
        </w:rPr>
        <w:t>”) and (B) any data or information of Service Provider used, utilized or disclosed to Recipient in connection with the Services (“</w:t>
      </w:r>
      <w:r>
        <w:rPr>
          <w:rFonts w:ascii="Arial" w:cs="Arial" w:eastAsia="Arial" w:hAnsi="Arial"/>
          <w:sz w:val="16"/>
          <w:szCs w:val="16"/>
          <w:u w:val="single" w:color="auto"/>
          <w:color w:val="auto"/>
        </w:rPr>
        <w:t>Service Provider Data</w:t>
      </w:r>
      <w:r>
        <w:rPr>
          <w:rFonts w:ascii="Arial" w:cs="Arial" w:eastAsia="Arial" w:hAnsi="Arial"/>
          <w:sz w:val="16"/>
          <w:szCs w:val="16"/>
          <w:color w:val="auto"/>
        </w:rPr>
        <w:t>”). Furthermore, Recipient shall use commercially reasonable efforts to</w:t>
      </w:r>
    </w:p>
    <w:p>
      <w:pPr>
        <w:spacing w:after="0" w:line="7" w:lineRule="exact"/>
        <w:rPr>
          <w:sz w:val="20"/>
          <w:szCs w:val="20"/>
          <w:color w:val="auto"/>
        </w:rPr>
      </w:pPr>
    </w:p>
    <w:p>
      <w:pPr>
        <w:ind w:firstLine="4"/>
        <w:spacing w:after="0" w:line="268" w:lineRule="auto"/>
        <w:tabs>
          <w:tab w:leader="none" w:pos="29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timely comply with, implement and participate in such policies, procedures and projects and all changes thereto throughout the term of this Agreement, (Y) timely deploy, implement and participate in the security assessments, penetration testing, security vulnerability and issue detection efforts and deployment of additional security tools as directed by Service Provider and (Z) promptly respond to and make a commercially reasonable attempt to remediate all threats, vulnerabilities, issues or harm found. It is understood that Service Provider’s ability to protect and/or secure the systems, environments and data is only as good, effective and efficient as the level of sophistication, implementation and maintenance of Recipient’s own protection and security efforts. Service Provider is not responsible for any harm or damage resulting from Recipient failing to implement and maintain the policies, processes, guidelines and architecture provided by Service Provider, from Recipient failing to adequately protect and secure its own systems or facilities or from Recipient failing to perform its own data security duties in a timely and adequate manner.</w:t>
      </w:r>
    </w:p>
    <w:p>
      <w:pPr>
        <w:spacing w:after="0" w:line="76" w:lineRule="exact"/>
        <w:rPr>
          <w:rFonts w:ascii="Arial" w:cs="Arial" w:eastAsia="Arial" w:hAnsi="Arial"/>
          <w:sz w:val="17"/>
          <w:szCs w:val="17"/>
          <w:color w:val="auto"/>
        </w:rPr>
      </w:pPr>
    </w:p>
    <w:p>
      <w:pPr>
        <w:jc w:val="both"/>
        <w:ind w:right="140" w:firstLine="996"/>
        <w:spacing w:after="0" w:line="302" w:lineRule="auto"/>
        <w:tabs>
          <w:tab w:leader="none" w:pos="124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Promptly upon discovery of (i) an actual or suspected breach of the privacy or security of any Recipient Data or any Service Provider Data or (ii) any violation of any privacy or data security Laws with respect to Recipient Data or Service Provider Data, the discovering party shall use commercially reasonable efforts to provide notice to the other parties explaining the nature and scope of the incident and reasonably cooperate with the other parties in any investigation and remediation that the parties mutually agree are reasonably necessary (including any forensic investigation).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u w:val="single" w:color="auto"/>
          <w:color w:val="auto"/>
        </w:rPr>
        <w:t>Section 7.1 Mutual Representations</w:t>
      </w:r>
      <w:r>
        <w:rPr>
          <w:rFonts w:ascii="Arial" w:cs="Arial" w:eastAsia="Arial" w:hAnsi="Arial"/>
          <w:sz w:val="16"/>
          <w:szCs w:val="16"/>
          <w:color w:val="auto"/>
        </w:rPr>
        <w:t>. Each party represents and warrants to the other parties that it has the requisite corporate or other organizational power and authority to enter into and perform its obligations under this Agreement and has taken all corporate or other organizational action necessary to execute and deliver this Agreement, to consummate the transactions contemplated hereby and to perform its obligations 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87" w:name="page188"/>
    <w:bookmarkEnd w:id="187"/>
    <w:p>
      <w:pPr>
        <w:ind w:firstLine="441"/>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7.2 Disclaimer</w:t>
      </w:r>
      <w:r>
        <w:rPr>
          <w:rFonts w:ascii="Arial" w:cs="Arial" w:eastAsia="Arial" w:hAnsi="Arial"/>
          <w:sz w:val="18"/>
          <w:szCs w:val="18"/>
          <w:color w:val="auto"/>
        </w:rPr>
        <w:t>. Except as expressly set forth in this Agreement, no party makes any representation or warranty to the other parties, express or implied, with respect to the provision or receipt of the Services and all information or other deliverables provided by any party pursuant to this Agreement, including any representation or warranty as to merchantability, fitness for a particular purpose or future results. Each party hereby acknowledges that, other than as expressly provided in this Agreement, the Services and all information or deliverables provided hereunder are being provided “AS IS WHERE IS,” and each party has relied on its own examination and investigation in electing to enter into, and consummate the transactions under,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140" w:firstLine="441"/>
        <w:spacing w:after="0" w:line="285" w:lineRule="auto"/>
        <w:rPr>
          <w:sz w:val="20"/>
          <w:szCs w:val="20"/>
          <w:color w:val="auto"/>
        </w:rPr>
      </w:pPr>
      <w:r>
        <w:rPr>
          <w:rFonts w:ascii="Arial" w:cs="Arial" w:eastAsia="Arial" w:hAnsi="Arial"/>
          <w:sz w:val="16"/>
          <w:szCs w:val="16"/>
          <w:u w:val="single" w:color="auto"/>
          <w:color w:val="auto"/>
        </w:rPr>
        <w:t>Section 8.1 Recipient Indemnity</w:t>
      </w:r>
      <w:r>
        <w:rPr>
          <w:rFonts w:ascii="Arial" w:cs="Arial" w:eastAsia="Arial" w:hAnsi="Arial"/>
          <w:sz w:val="16"/>
          <w:szCs w:val="16"/>
          <w:color w:val="auto"/>
        </w:rPr>
        <w:t>. Recipient shall indemnify, defend and hold Service Provider, Service Provider’s Affiliates and their respective Representatives harmless from and against any and all Losses resulting from any third party claims, actions, suits or proceedings or from any action, decision, order or judgment by any Governmental Authority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to the extent such Losses are caused by Recipient’s violation of Law, fraud, willful misconduct or gross negligence in connection with performing its duties, responsibilities and obligations under this Agreement or breach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Service Provider notifies Recipient promptly in writing of the Claim once Service Provider becomes aware of such Claim;</w:t>
      </w:r>
    </w:p>
    <w:p>
      <w:pPr>
        <w:spacing w:after="0" w:line="2" w:lineRule="exact"/>
        <w:rPr>
          <w:sz w:val="20"/>
          <w:szCs w:val="20"/>
          <w:color w:val="auto"/>
        </w:rPr>
      </w:pPr>
    </w:p>
    <w:p>
      <w:pPr>
        <w:ind w:right="140" w:firstLine="4"/>
        <w:spacing w:after="0" w:line="295" w:lineRule="auto"/>
        <w:tabs>
          <w:tab w:leader="none" w:pos="2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Recipient has sole control of the defense and all related settlement negotiations, except that Service Provider must provide prior written consent to any settlement that does not expressly and unconditionally release Service Provider from all Liabilities with respect to such Claim without prejudice or that would be adverse to Service Provider, which consent will not be unreasonably withheld; and (c) Service Provider provides Recipient with all reasonably necessary assistance, information and authority, at Recipient’s reasonable expense, to perform these duties.</w:t>
      </w:r>
    </w:p>
    <w:p>
      <w:pPr>
        <w:spacing w:after="0" w:line="162"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u w:val="single" w:color="auto"/>
          <w:color w:val="auto"/>
        </w:rPr>
        <w:t>Section 8.2 Service Provider Indemnity</w:t>
      </w:r>
      <w:r>
        <w:rPr>
          <w:rFonts w:ascii="Arial" w:cs="Arial" w:eastAsia="Arial" w:hAnsi="Arial"/>
          <w:sz w:val="17"/>
          <w:szCs w:val="17"/>
          <w:color w:val="auto"/>
        </w:rPr>
        <w:t xml:space="preserve">. Service Provider shall indemnify, defend and hold Recipient, Recipient’s Affiliates and their respective Representatives harmless from and against any and all Losses resulting from any Claims to the extent such Losses are caused by Service Provider’s violation of Law, fraud, willful misconduct or gross negligence in connection with performing its duties, responsibilities and obligations under this Agreement or breach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Recipient notifies Service Provider promptly in writing of the Claim; (b) Service Provider has sole control of the defense and all related settlement negotiations, except that Recipient must provide prior written consent to any settlement that does not expressly and unconditionally release Recipient from all Liabilities with respect to such Claim without prejudice or that would be adverse to Recipient, which consent will not be unreasonably withheld; and (c) Recipient provides Service Provider with all reasonably necessary assistance, information and authority, at Service Provider’s reasonable expense, to perform these duties.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LIMITATION OF LIABILITY</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u w:val="single" w:color="auto"/>
          <w:color w:val="auto"/>
        </w:rPr>
        <w:t>Section 9.1 Limitations on Claims</w:t>
      </w:r>
      <w:r>
        <w:rPr>
          <w:rFonts w:ascii="Arial" w:cs="Arial" w:eastAsia="Arial" w:hAnsi="Arial"/>
          <w:sz w:val="18"/>
          <w:szCs w:val="18"/>
          <w:color w:val="auto"/>
        </w:rPr>
        <w:t>. No party shall have any liability to another party under this Agreement unless a claim is made in writing by the first party within sixty (60) days after the circumstances giving rise to the claim first become known to the first party, or could, with reasonable diligence, have become known to the first party.</w:t>
      </w:r>
    </w:p>
    <w:p>
      <w:pPr>
        <w:spacing w:after="0" w:line="18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u w:val="single" w:color="auto"/>
          <w:color w:val="auto"/>
        </w:rPr>
        <w:t>Section 9.2 Limitation of Liability</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 (i) in no event shall a party have any liability to another party for any punitive damages, lost profits, diminution of value, consequential damages, special damages, incidental damages, indirect damages, exemplary damages or other similar unforeseen damages, (ii) in no event shall any multiples or similar valuation methodology (whether based on “multiple of profits,” “multiple of earnings,” “multiple of cash flows” or similar terms) be used in calculating the amount of any liability and (iii) to the maximum extent permitted by Applicable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88" w:name="page189"/>
    <w:bookmarkEnd w:id="188"/>
    <w:p>
      <w:pPr>
        <w:jc w:val="both"/>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Law, each party’s (which, for the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“party” includes the party and all of the Affiliates of such party and all of its respective Representatives) aggregate liability to another party in connection with a particular Service under this Agreement shall not exceed the greater of (A) the amounts expected to be paid by Recipient to Service Provider for such Service in the twelve (12) month period following the Effective Time; and</w:t>
      </w:r>
    </w:p>
    <w:p>
      <w:pPr>
        <w:ind w:right="380" w:firstLine="4"/>
        <w:spacing w:after="0" w:line="261" w:lineRule="auto"/>
        <w:tabs>
          <w:tab w:leader="none" w:pos="2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amounts paid to such Service Provider under this Agreement for such Service in the twelve (12) month period immediately preceding the event giving rise to the given claim.</w:t>
      </w:r>
    </w:p>
    <w:p>
      <w:pPr>
        <w:spacing w:after="0" w:line="184"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9.3 Exceptions</w:t>
      </w:r>
      <w:r>
        <w:rPr>
          <w:rFonts w:ascii="Arial" w:cs="Arial" w:eastAsia="Arial" w:hAnsi="Arial"/>
          <w:sz w:val="18"/>
          <w:szCs w:val="18"/>
          <w:color w:val="auto"/>
        </w:rPr>
        <w:t xml:space="preserve">. Notwithstanding anything herein to the contrary, the parties hereby acknowledge and agree that none of the limitations, waivers or restrictions on Losses, Liabilities, damages or claims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apply to or any way affect a party’s Liability for, or a party’s ability to recover for, (i) a material breach of this Agreement arising from any breach of a Shared Contract or (ii) any breach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w:t>
      </w:r>
    </w:p>
    <w:p>
      <w:pPr>
        <w:spacing w:after="0" w:line="18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u w:val="single" w:color="auto"/>
          <w:color w:val="auto"/>
        </w:rPr>
        <w:t>Section 9.4 Acknowledgement of Limitations</w:t>
      </w:r>
      <w:r>
        <w:rPr>
          <w:rFonts w:ascii="Arial" w:cs="Arial" w:eastAsia="Arial" w:hAnsi="Arial"/>
          <w:sz w:val="18"/>
          <w:szCs w:val="18"/>
          <w:color w:val="auto"/>
        </w:rPr>
        <w:t xml:space="preserve">. Each party agrees that in the absence of limitations of liability and claims and waivers of damages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economic and other terms of this Agreement would be substantially different.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INTELLECTUAL PROPERTY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Section 10.1 Intellectual Property</w:t>
      </w:r>
      <w:r>
        <w:rPr>
          <w:rFonts w:ascii="Arial" w:cs="Arial" w:eastAsia="Arial" w:hAnsi="Arial"/>
          <w:sz w:val="16"/>
          <w:szCs w:val="16"/>
          <w:color w:val="auto"/>
        </w:rPr>
        <w:t>. To the extent Service Provider uses any know-how, processes, technology, trade secrets or other Intellectual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Property Rights owned by or licensed to Service Provider or any of its Affiliates (“</w:t>
      </w:r>
      <w:r>
        <w:rPr>
          <w:rFonts w:ascii="Arial" w:cs="Arial" w:eastAsia="Arial" w:hAnsi="Arial"/>
          <w:sz w:val="16"/>
          <w:szCs w:val="16"/>
          <w:u w:val="single" w:color="auto"/>
          <w:color w:val="auto"/>
        </w:rPr>
        <w:t>Service Provider IP</w:t>
      </w:r>
      <w:r>
        <w:rPr>
          <w:rFonts w:ascii="Arial" w:cs="Arial" w:eastAsia="Arial" w:hAnsi="Arial"/>
          <w:sz w:val="16"/>
          <w:szCs w:val="16"/>
          <w:color w:val="auto"/>
        </w:rPr>
        <w:t>”) in providing the Services, Service Provider IP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derivative works of, or modifications or improvements to, Service Provider IP conceived or created by Service Provider or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shall, as between the parties, remain the sole property of Service Provider. Recipient shall and hereby does assign to Service Provider,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agrees to assign automatically in the future upon first recordation in a tangible medium or first reduction to practice, all of Recipient’s right, title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in and to all Improvements, if any. Service Provider hereby, on behalf of itself and its Affiliates, grants to Recipient and its Affiliates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worldwide, nonexclusive, nontransferable and royalty-free right and license, during the term of the applicable Service, to use, reproduce, distribute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display, as applicable, all Service Provider IP and Improvements to the extent necessary to enable Recipient and its Affiliates to receive, use and utilize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Services only. All rights not expressly granted herein are reserved.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TERMINATION</w:t>
      </w:r>
    </w:p>
    <w:p>
      <w:pPr>
        <w:spacing w:after="0" w:line="211"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u w:val="single" w:color="auto"/>
          <w:color w:val="auto"/>
        </w:rPr>
        <w:t>Section 11.1 Term of Agreement; Early Termination of Services</w:t>
      </w:r>
      <w:r>
        <w:rPr>
          <w:rFonts w:ascii="Arial" w:cs="Arial" w:eastAsia="Arial" w:hAnsi="Arial"/>
          <w:sz w:val="16"/>
          <w:szCs w:val="16"/>
          <w:color w:val="auto"/>
        </w:rPr>
        <w:t xml:space="preserve">. This Agreement shall continue for so long as Services are provided to Recipient unless sooner terminated by the parties as set forth in this </w:t>
      </w:r>
      <w:r>
        <w:rPr>
          <w:rFonts w:ascii="Arial" w:cs="Arial" w:eastAsia="Arial" w:hAnsi="Arial"/>
          <w:sz w:val="16"/>
          <w:szCs w:val="16"/>
          <w:u w:val="single" w:color="auto"/>
          <w:color w:val="auto"/>
        </w:rPr>
        <w:t>Article XI</w:t>
      </w:r>
      <w:r>
        <w:rPr>
          <w:rFonts w:ascii="Arial" w:cs="Arial" w:eastAsia="Arial" w:hAnsi="Arial"/>
          <w:sz w:val="16"/>
          <w:szCs w:val="16"/>
          <w:color w:val="auto"/>
        </w:rPr>
        <w:t>. Recipient may elect to terminate Service Provider’s provision of all or any portion of the Services (or any Service)</w:t>
      </w:r>
      <w:r>
        <w:rPr>
          <w:rFonts w:ascii="Arial" w:cs="Arial" w:eastAsia="Arial" w:hAnsi="Arial"/>
          <w:sz w:val="13"/>
          <w:szCs w:val="13"/>
          <w:color w:val="auto"/>
        </w:rPr>
        <w:t>1</w:t>
      </w:r>
      <w:r>
        <w:rPr>
          <w:rFonts w:ascii="Arial" w:cs="Arial" w:eastAsia="Arial" w:hAnsi="Arial"/>
          <w:sz w:val="16"/>
          <w:szCs w:val="16"/>
          <w:color w:val="auto"/>
        </w:rPr>
        <w:t xml:space="preserve"> by providing Service Provider written notice of such election at least sixty (60) days in advance of the effective date of termination of any such Service (unless Service Provider agrees to shorten or waive such notice period in writing). If Service Provider discontinues providing a given Service for its own operations, Service Provider may, upon at least sixty (60) days’ notice to Recipient, terminate providing such Service hereunder (e.g., if Service Provider is no longer providing online training services for its own employees, Service Provider may, upon sixty</w:t>
      </w:r>
    </w:p>
    <w:p>
      <w:pPr>
        <w:spacing w:after="0" w:line="5" w:lineRule="exact"/>
        <w:rPr>
          <w:sz w:val="20"/>
          <w:szCs w:val="20"/>
          <w:color w:val="auto"/>
        </w:rPr>
      </w:pPr>
    </w:p>
    <w:p>
      <w:pPr>
        <w:ind w:right="600" w:firstLine="4"/>
        <w:spacing w:after="0" w:line="261" w:lineRule="auto"/>
        <w:tabs>
          <w:tab w:leader="none" w:pos="3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days’ notice, terminate any online training services that are Services hereunder). In addition to other termination rights, this Agreement will automatically terminate when all Services have been terminated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632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7" w:lineRule="exact"/>
        <w:rPr>
          <w:sz w:val="20"/>
          <w:szCs w:val="20"/>
          <w:color w:val="auto"/>
        </w:rPr>
      </w:pPr>
    </w:p>
    <w:p>
      <w:pPr>
        <w:ind w:left="440" w:right="200" w:hanging="436"/>
        <w:spacing w:after="0" w:line="264" w:lineRule="auto"/>
        <w:tabs>
          <w:tab w:leader="none" w:pos="4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 xml:space="preserve">Certain Services are inter-related and thus would need to be terminated as a whole. For the purposes of </w:t>
      </w:r>
      <w:r>
        <w:rPr>
          <w:rFonts w:ascii="Arial" w:cs="Arial" w:eastAsia="Arial" w:hAnsi="Arial"/>
          <w:sz w:val="18"/>
          <w:szCs w:val="18"/>
          <w:u w:val="single" w:color="auto"/>
          <w:color w:val="auto"/>
        </w:rPr>
        <w:t>Section 11.1</w:t>
      </w:r>
      <w:r>
        <w:rPr>
          <w:rFonts w:ascii="Arial" w:cs="Arial" w:eastAsia="Arial" w:hAnsi="Arial"/>
          <w:sz w:val="18"/>
          <w:szCs w:val="18"/>
          <w:color w:val="auto"/>
        </w:rPr>
        <w:t>, each row in the Service Schedules is considered a single Service. When terminating a given Service, Recipient must terminate all of the services in that given row at the same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9" w:name="page190"/>
    <w:bookmarkEnd w:id="189"/>
    <w:p>
      <w:pPr>
        <w:jc w:val="both"/>
        <w:ind w:right="80" w:firstLine="441"/>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11.2 Termination upon Breach</w:t>
      </w:r>
      <w:r>
        <w:rPr>
          <w:rFonts w:ascii="Arial" w:cs="Arial" w:eastAsia="Arial" w:hAnsi="Arial"/>
          <w:sz w:val="16"/>
          <w:szCs w:val="16"/>
          <w:color w:val="auto"/>
        </w:rPr>
        <w:t>. In the event of a material breach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party claiming the breach (the “</w:t>
      </w:r>
      <w:r>
        <w:rPr>
          <w:rFonts w:ascii="Arial" w:cs="Arial" w:eastAsia="Arial" w:hAnsi="Arial"/>
          <w:sz w:val="16"/>
          <w:szCs w:val="16"/>
          <w:u w:val="single" w:color="auto"/>
          <w:color w:val="auto"/>
        </w:rPr>
        <w:t>Claiming Party</w:t>
      </w:r>
      <w:r>
        <w:rPr>
          <w:rFonts w:ascii="Arial" w:cs="Arial" w:eastAsia="Arial" w:hAnsi="Arial"/>
          <w:sz w:val="16"/>
          <w:szCs w:val="16"/>
          <w:color w:val="auto"/>
        </w:rPr>
        <w:t>”) shall give written notice of such breach to the Breaching Party, which shall have sixty (60) calendar days to cure such breach or, if such breach is capable of cure within a commercially reasonable period of time but cannot reasonably be expected to be cured within sixty</w:t>
      </w:r>
    </w:p>
    <w:p>
      <w:pPr>
        <w:ind w:right="60" w:firstLine="4"/>
        <w:spacing w:after="0" w:line="268" w:lineRule="auto"/>
        <w:tabs>
          <w:tab w:leader="none" w:pos="34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calendar days, the Breaching Party shall have sixty (60) calendar days to undertake all available and appropriate action to begin the cure of the breach and shall proceed as promptly as practicable thereafter to effect the cure. In the event of such cure, the notice of breach shall be rescinded. If, however, the breach is not cured as set forth herein, the Claiming Party may then pursue any and all remedies available to it under this Agreement based on such uncured breach, including the right to terminate this Agreement effective on a date of termination prior to the end of the term of this Agreement established by the Claiming Party. Notwithstanding the foregoing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Service Provider shall have the right to terminate this Agreement immediately if Recipient fails to make any payment due to Service Provider hereunder within five (5) Business Days after receipt of written notice of such failure, unless the amount in issue is subject to a bona fide dispute between the parties. For the avoidance of doubt, if the amount of any such payment is subject to a bona fide dispute, Recipient shall continue to make all other payments hereunder that are not subject to such dispute in accordance with the terms of this Agreement.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Section 11.3 Termination upon Mutual Agreement</w:t>
      </w:r>
      <w:r>
        <w:rPr>
          <w:rFonts w:ascii="Arial" w:cs="Arial" w:eastAsia="Arial" w:hAnsi="Arial"/>
          <w:sz w:val="17"/>
          <w:szCs w:val="17"/>
          <w:color w:val="auto"/>
        </w:rPr>
        <w:t>. This Agreement may be terminated at any time upon mutual agreement of the parties.</w:t>
      </w:r>
    </w:p>
    <w:p>
      <w:pPr>
        <w:spacing w:after="0" w:line="23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11.4 Termination upon Bankruptcy</w:t>
      </w:r>
      <w:r>
        <w:rPr>
          <w:rFonts w:ascii="Arial" w:cs="Arial" w:eastAsia="Arial" w:hAnsi="Arial"/>
          <w:sz w:val="18"/>
          <w:szCs w:val="18"/>
          <w:color w:val="auto"/>
        </w:rPr>
        <w:t>. Service Provider and Recipient may terminate this Agreement immediately upon the filing by any court of competent jurisdiction (a) of a decision, order or judgment adjudicating the other bankrupt; (b) appointing a trustee or receiver of a substantial part of the property of the other or (c) approving a petition for, or effecting an arrangement in, bankruptcy or any other judicial modification or alteration of the rights of creditors of the other, which remain undismissed or unstayed after sixty (60) days.</w:t>
      </w:r>
    </w:p>
    <w:p>
      <w:pPr>
        <w:spacing w:after="0" w:line="187"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u w:val="single" w:color="auto"/>
          <w:color w:val="auto"/>
        </w:rPr>
        <w:t>Section 11.5 Termination upon Recipient Change of Control Transaction</w:t>
      </w:r>
      <w:r>
        <w:rPr>
          <w:rFonts w:ascii="Arial" w:cs="Arial" w:eastAsia="Arial" w:hAnsi="Arial"/>
          <w:sz w:val="16"/>
          <w:szCs w:val="16"/>
          <w:color w:val="auto"/>
        </w:rPr>
        <w:t>. Upon the occurrence of a Recipient Change of Control of BellRing Inc. or any other Recipient(s), Service Provider shall have the right, upon delivery of written notice to BellRing Inc. or the particular Recipient(s), as the case may be, to terminate this Agreement and/or the Services provided hereunder, in whole or in part as to the particular Recipient(s) suffering the Recipient Change of Control, as determined by Service Provider. Notwithstanding the foregoing, if a Recipient sells a business line or operating division, then Service Provider shall have the right, upon delivery of written notice to such Recipient, to terminate the Services provided hereunder to such business line or operating division, in whole or in part, as determined by Service Provider. In addition, upon the occurrence of a Canadian Change of Control, Service Provider shall have the right, upon delivery of written notice to BellRing Inc. or the particular Recipient(s), as the case may be, to terminate the Canadian Services (as defined in the Services Schedule), in whole or in part, as determined by Service Provider. As used in this Section 11.5, a “</w:t>
      </w:r>
      <w:r>
        <w:rPr>
          <w:rFonts w:ascii="Arial" w:cs="Arial" w:eastAsia="Arial" w:hAnsi="Arial"/>
          <w:sz w:val="16"/>
          <w:szCs w:val="16"/>
          <w:u w:val="single" w:color="auto"/>
          <w:color w:val="auto"/>
        </w:rPr>
        <w:t>Canadian Change of Control</w:t>
      </w:r>
      <w:r>
        <w:rPr>
          <w:rFonts w:ascii="Arial" w:cs="Arial" w:eastAsia="Arial" w:hAnsi="Arial"/>
          <w:sz w:val="16"/>
          <w:szCs w:val="16"/>
          <w:color w:val="auto"/>
        </w:rPr>
        <w:t>” shall have occurred in the event any transaction or series of transactions (however structured or evidenced) is/are consummated which (a) result in Post or one of its wholly-owned subsidiaries no longer controlling more than 50% of the combined voting power of the capital stock of Post Foods Canada Inc. entitled to vote generally in the election of directors of Post Foods Canada Inc. or any successor thereto or</w:t>
      </w:r>
    </w:p>
    <w:p>
      <w:pPr>
        <w:spacing w:after="0" w:line="5" w:lineRule="exact"/>
        <w:rPr>
          <w:sz w:val="20"/>
          <w:szCs w:val="20"/>
          <w:color w:val="auto"/>
        </w:rPr>
      </w:pPr>
    </w:p>
    <w:p>
      <w:pPr>
        <w:ind w:right="160" w:firstLine="4"/>
        <w:spacing w:after="0" w:line="255" w:lineRule="auto"/>
        <w:tabs>
          <w:tab w:leader="none" w:pos="2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involve the sale, assignment, conveyance, transfer, lease or other disposition of all or substantially all of the assets of Post Foods Canada Inc. Notwithstanding the foregoing, if, at the time of a Canadian Change of Control, Post or one of its wholly-owned subsidiaries has an additional wholly-owned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0" w:name="page191"/>
    <w:bookmarkEnd w:id="1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subsidiary that employs at least ten (10) employees in Ontario, a Canadian Change in Control shall not cause Service Provider to terminate the Canadian Services that are specified as dedicated or additional sales support in the Services Schedule, although such Canadian Services may cease for up to sixty (60) days (and Service Provider shall not be deemed to have breached this Agreement on account of that cessation of Canadian Services) while such Canadian Services are transitioned.</w:t>
      </w:r>
    </w:p>
    <w:p>
      <w:pPr>
        <w:spacing w:after="0" w:line="18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u w:val="single" w:color="auto"/>
          <w:color w:val="auto"/>
        </w:rPr>
        <w:t>Section 11.6 Termination upon Post Change of Control Transaction</w:t>
      </w:r>
      <w:r>
        <w:rPr>
          <w:rFonts w:ascii="Arial" w:cs="Arial" w:eastAsia="Arial" w:hAnsi="Arial"/>
          <w:sz w:val="18"/>
          <w:szCs w:val="18"/>
          <w:color w:val="auto"/>
        </w:rPr>
        <w:t>. Upon the occurrence of a Post Change of Control, Post, or its successor in interest, shall have the right to terminate this Agreement and the Services provided hereunder upon delivery of written notice to BellRing Inc. and BellRing LLC.</w:t>
      </w:r>
    </w:p>
    <w:p>
      <w:pPr>
        <w:spacing w:after="0" w:line="181" w:lineRule="exact"/>
        <w:rPr>
          <w:sz w:val="20"/>
          <w:szCs w:val="20"/>
          <w:color w:val="auto"/>
        </w:rPr>
      </w:pPr>
    </w:p>
    <w:p>
      <w:pPr>
        <w:ind w:right="120" w:firstLine="441"/>
        <w:spacing w:after="0" w:line="285" w:lineRule="auto"/>
        <w:rPr>
          <w:sz w:val="20"/>
          <w:szCs w:val="20"/>
          <w:color w:val="auto"/>
        </w:rPr>
      </w:pPr>
      <w:r>
        <w:rPr>
          <w:rFonts w:ascii="Arial" w:cs="Arial" w:eastAsia="Arial" w:hAnsi="Arial"/>
          <w:sz w:val="16"/>
          <w:szCs w:val="16"/>
          <w:u w:val="single" w:color="auto"/>
          <w:color w:val="auto"/>
        </w:rPr>
        <w:t>Section 11.7 Effect of Termination</w:t>
      </w:r>
      <w:r>
        <w:rPr>
          <w:rFonts w:ascii="Arial" w:cs="Arial" w:eastAsia="Arial" w:hAnsi="Arial"/>
          <w:sz w:val="16"/>
          <w:szCs w:val="16"/>
          <w:color w:val="auto"/>
        </w:rPr>
        <w:t>. Upon termination of this Agreement, Recipient shall pay all amounts outstanding for Services that have been provided by Service Provider as of the effective date of termination. Upon the termination of any Service or this Agreement, Service Provider and Recipient shall cooperate in good faith to effect an orderly transition of the applicable Service(s) to Recipient or its designee and Service Provider and Recipient shall negotiate in good faith with regard to a plan and agreement for (i) the transition and migration of the given Services from Service Provider’s systems, facilities or hosting environments to the systems, facilities and hosting environments of Recipient (or its designee), as applicable,</w:t>
      </w:r>
    </w:p>
    <w:p>
      <w:pPr>
        <w:spacing w:after="0" w:line="2" w:lineRule="exact"/>
        <w:rPr>
          <w:sz w:val="20"/>
          <w:szCs w:val="20"/>
          <w:color w:val="auto"/>
        </w:rPr>
      </w:pPr>
    </w:p>
    <w:p>
      <w:pPr>
        <w:ind w:right="560" w:firstLine="4"/>
        <w:spacing w:after="0" w:line="261" w:lineRule="auto"/>
        <w:tabs>
          <w:tab w:leader="none" w:pos="26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Services that will be performed by Service Provider with regard thereto and (iii) the fees and costs that will be paid and/or reimbursed by Recipient for such Services.</w:t>
      </w:r>
    </w:p>
    <w:p>
      <w:pPr>
        <w:spacing w:after="0" w:line="184"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u w:val="single" w:color="auto"/>
          <w:color w:val="auto"/>
        </w:rPr>
        <w:t>Section 11.8 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survive any termination or expiration of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u w:val="single" w:color="auto"/>
          <w:color w:val="auto"/>
        </w:rPr>
        <w:t>Section 12.1 Force Majeure</w:t>
      </w:r>
      <w:r>
        <w:rPr>
          <w:rFonts w:ascii="Arial" w:cs="Arial" w:eastAsia="Arial" w:hAnsi="Arial"/>
          <w:sz w:val="17"/>
          <w:szCs w:val="17"/>
          <w:color w:val="auto"/>
        </w:rPr>
        <w:t xml:space="preserve">. Service Provider shall not be liable for any failure of performance attributable to acts or events (including acts of God, war, terrorist activities, conditions or events of nature, industry wide supply shortages, civil disturbances, work stoppage, power failures, failure of telephone lines and equipment, fire and earthquake or any Law or decision, order or judgment of any Governmental Authority) beyond its reasonable control which impair or prevent in whole or in part performance by Service Provider hereunder. In the event that Service Provider is unable to perform its duties and obligations hereunder as a result of an event of force majeure, as described in the first sentence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Service Provider shall, as promptly as reasonably practicable, give notice of the occurrence of such event to Recipient and shall use its commercially reasonable efforts to resume the Services at the earliest reasonably practicable date. Service Provider shall not be liable for the nonperformance or delay in performance of its obligations under this Agreement to the extent such failure is due to such a force majeure event,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Service Provider fails to perform any Service for fifteen (15) days or more, then Recipient shall have the right to promptly terminate its receipt of such Service upon notice to Service Provider.</w:t>
      </w:r>
    </w:p>
    <w:p>
      <w:pPr>
        <w:spacing w:after="0" w:line="178" w:lineRule="exact"/>
        <w:rPr>
          <w:sz w:val="20"/>
          <w:szCs w:val="20"/>
          <w:color w:val="auto"/>
        </w:rPr>
      </w:pPr>
    </w:p>
    <w:p>
      <w:pPr>
        <w:jc w:val="both"/>
        <w:ind w:right="40" w:firstLine="441"/>
        <w:spacing w:after="0" w:line="255" w:lineRule="auto"/>
        <w:rPr>
          <w:sz w:val="20"/>
          <w:szCs w:val="20"/>
          <w:color w:val="auto"/>
        </w:rPr>
      </w:pPr>
      <w:r>
        <w:rPr>
          <w:rFonts w:ascii="Arial" w:cs="Arial" w:eastAsia="Arial" w:hAnsi="Arial"/>
          <w:sz w:val="18"/>
          <w:szCs w:val="18"/>
          <w:u w:val="single" w:color="auto"/>
          <w:color w:val="auto"/>
        </w:rPr>
        <w:t>Section 12.2 Relationship of the Parties</w:t>
      </w:r>
      <w:r>
        <w:rPr>
          <w:rFonts w:ascii="Arial" w:cs="Arial" w:eastAsia="Arial" w:hAnsi="Arial"/>
          <w:sz w:val="18"/>
          <w:szCs w:val="18"/>
          <w:color w:val="auto"/>
        </w:rPr>
        <w:t>. This Agreement does not create a fiduciary relationship, partnership or joint venture between Post, on the one hand, and BellRing Inc. and BellRing LLC, on the other hand, and does not make Post, on the one hand, or BellRing Inc. and BellRing LLC, on the other hand, the agent of the other for any purpose whatsoever. All Services provided by Service Provider hereunder are provided by Service Provider as an independent contractor. This Agreement does not give any party the authority to commit the other parties to any binding obligation or to execute, on behalf of the other parties, any agreement, lease or other document creating legal obligations on the part of the other parties, and no party shall represent to any third party that it has such authority.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1" w:name="page192"/>
    <w:bookmarkEnd w:id="191"/>
    <w:p>
      <w:pPr>
        <w:ind w:right="180" w:firstLine="441"/>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12.3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u w:val="single" w:color="auto"/>
          <w:color w:val="auto"/>
        </w:rPr>
        <w:t>Section 12.4 Actions and Proceedings</w:t>
      </w:r>
      <w:r>
        <w:rPr>
          <w:rFonts w:ascii="Arial" w:cs="Arial" w:eastAsia="Arial" w:hAnsi="Arial"/>
          <w:sz w:val="16"/>
          <w:szCs w:val="16"/>
          <w:color w:val="auto"/>
        </w:rPr>
        <w:t xml:space="preserve">.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12.4,</w:t>
      </w:r>
    </w:p>
    <w:p>
      <w:pPr>
        <w:spacing w:after="0" w:line="7" w:lineRule="exact"/>
        <w:rPr>
          <w:sz w:val="20"/>
          <w:szCs w:val="20"/>
          <w:color w:val="auto"/>
        </w:rPr>
      </w:pPr>
    </w:p>
    <w:p>
      <w:pPr>
        <w:ind w:right="140" w:firstLine="4"/>
        <w:spacing w:after="0" w:line="281" w:lineRule="auto"/>
        <w:tabs>
          <w:tab w:leader="none" w:pos="25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waives, to the fullest extent permitted by Law, any claim that (i) such suit, action or proceeding in such court is brought in an inconvenient forum,</w:t>
      </w:r>
    </w:p>
    <w:p>
      <w:pPr>
        <w:spacing w:after="0" w:line="32" w:lineRule="exact"/>
        <w:rPr>
          <w:rFonts w:ascii="Arial" w:cs="Arial" w:eastAsia="Arial" w:hAnsi="Arial"/>
          <w:sz w:val="16"/>
          <w:szCs w:val="16"/>
          <w:color w:val="auto"/>
        </w:rPr>
      </w:pPr>
    </w:p>
    <w:p>
      <w:pPr>
        <w:ind w:right="160" w:firstLine="4"/>
        <w:spacing w:after="0" w:line="253" w:lineRule="auto"/>
        <w:tabs>
          <w:tab w:leader="none" w:pos="26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venue of such suit, action or proceeding is improper or (iii) this 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9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u w:val="single" w:color="auto"/>
          <w:color w:val="auto"/>
        </w:rPr>
        <w:t>Section 12.5 Waiver of Jury Trial</w:t>
      </w:r>
      <w:r>
        <w:rPr>
          <w:rFonts w:ascii="Arial" w:cs="Arial" w:eastAsia="Arial" w:hAnsi="Arial"/>
          <w:sz w:val="18"/>
          <w:szCs w:val="18"/>
          <w:color w:val="auto"/>
        </w:rPr>
        <w:t>. EACH PARTY ACKNOWLEDGES AND AGREES THAT ANY CONTROVERSY WHICH MAY ARISE UNDER THIS AGREEMENT, THE PARTIES’ RELATIONSHIP HEREUNDER OR SERVICES PROVIDED UNDER THIS AGREEMENT IS LIKELY TO INVOLVE COMPLICATED AND DIFFICULT ISSUES AND, THEREFORE, EACH SUCH PARTY IRREVOCABLY AND UNCONDITIONALLY WAIVES ANY RIGHT IT MAY HAVE TO A TRIAL BY JURY IN RESPECT OF ANY LEGAL ACTION ARISING OUT OF OR RELATING TO THIS AGREEMENT, THE PARTIES’ RELATIONSHIP HEREUNDER OR SERVICES PROVIDED UNDER THIS AGREEMENT. EACH PARTY CERTIFIES AND ACKNOWLEDGES THAT (A) NO REPRESENTATIVE OF ANOTHER PARTY HAS REPRESENTED, EXPRESSLY OR OTHERWISE, THAT SUCH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ABOVE.</w:t>
      </w:r>
    </w:p>
    <w:p>
      <w:pPr>
        <w:spacing w:after="0" w:line="19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u w:val="single" w:color="auto"/>
          <w:color w:val="auto"/>
        </w:rPr>
        <w:t>Section 12.6 Notices</w:t>
      </w:r>
      <w:r>
        <w:rPr>
          <w:rFonts w:ascii="Arial" w:cs="Arial" w:eastAsia="Arial" w:hAnsi="Arial"/>
          <w:sz w:val="16"/>
          <w:szCs w:val="16"/>
          <w:color w:val="auto"/>
        </w:rPr>
        <w:t>. All notices, requests, demands and other communications which are required or may be given under this Agreement shall be in writing and shall be deemed to have been duly given when received if personally delivered; when transmitted if transmitted by electronic or digital transmission method; the day after it is sent, if sent for next day delivery to a domestic address by recognized overnight delivery service (e.g., Federal Express); and upon receipt, if sent by certified or registered mail, return receipt requested. In each case, notice will be sent to:</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92" w:name="page193"/>
    <w:bookmarkEnd w:id="192"/>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Post: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to BellRing Inc. or BellRing LLC:</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BellRing Brands,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in accordance with the provisions of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12.7 Successors and Assigns; Benefit</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79" w:lineRule="auto"/>
        <w:tabs>
          <w:tab w:leader="none" w:pos="123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No assignment of this Agreement or of any rights or obligations hereunder may be made by any party hereto without the prior written consent of the other parties hereto and any attempted assignment without the required consent shall be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party may assign, in whole or in part, this Agreement and its rights and obligations hereunder without notice or the prior written consent of the other party to any Affiliate of such party provided the assigning party shall remain liable hereunder following any such assignment.</w:t>
      </w:r>
    </w:p>
    <w:p>
      <w:pPr>
        <w:spacing w:after="0" w:line="63" w:lineRule="exact"/>
        <w:rPr>
          <w:rFonts w:ascii="Arial" w:cs="Arial" w:eastAsia="Arial" w:hAnsi="Arial"/>
          <w:sz w:val="17"/>
          <w:szCs w:val="17"/>
          <w:color w:val="auto"/>
        </w:rPr>
      </w:pPr>
    </w:p>
    <w:p>
      <w:pPr>
        <w:ind w:firstLine="996"/>
        <w:spacing w:after="0" w:line="264" w:lineRule="auto"/>
        <w:tabs>
          <w:tab w:leader="none" w:pos="12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Agreement is for the sole benefit of the parties hereto and their permitted assigns and nothing herein express or implied shall give or be construed to give to any Person, other than the parties hereto and such permitted assigns, any legal or equitable rights hereunder. Nothing herein shall or shall be deemed to amend any benefit plan of any the parties hereto.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12.8 Entire Agreement; Amendments; Waiver</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59" w:lineRule="auto"/>
        <w:tabs>
          <w:tab w:leader="none" w:pos="123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Agreement, the Exhibits to this Agreement and the Transaction Agreement contain the entire agreement and understanding between the parties hereto with respect to the subject matter hereof and, except to the extent specifically set forth herein, supersede all prior agreements and understandings relating to such subject matter. In the event of any conflict between this Agreement and the Exhibits to this Agreement, this Agreement shall control.</w:t>
      </w:r>
    </w:p>
    <w:p>
      <w:pPr>
        <w:spacing w:after="0" w:line="78" w:lineRule="exact"/>
        <w:rPr>
          <w:rFonts w:ascii="Arial" w:cs="Arial" w:eastAsia="Arial" w:hAnsi="Arial"/>
          <w:sz w:val="18"/>
          <w:szCs w:val="18"/>
          <w:color w:val="auto"/>
        </w:rPr>
      </w:pPr>
    </w:p>
    <w:p>
      <w:pPr>
        <w:ind w:right="140" w:firstLine="996"/>
        <w:spacing w:after="0" w:line="255" w:lineRule="auto"/>
        <w:tabs>
          <w:tab w:leader="none" w:pos="12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amendment, supplement, modification or cancellation of this Agreement shall be effective unless it shall be in writing and signed by each party hereto. Except as otherwise provided in this Agreement, any failure of any of the parties to comply with any obligation, covenant, agreement or condition herein may be waived by the party entitled to the benefits thereof only by a written instrument signed by such party, granting such waiver, but such waiver or failure to insist upon strict compliance with such obligation, covenant, agreement or condition shall not operate as a waiver of, or estoppel with respect to, any other provision hereof (whether or not similar), nor shall such waiver constitute a continuing waiver unless otherwise expressly provided.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93" w:name="page194"/>
    <w:bookmarkEnd w:id="193"/>
    <w:p>
      <w:pPr>
        <w:ind w:firstLine="996"/>
        <w:spacing w:after="0" w:line="287" w:lineRule="auto"/>
        <w:tabs>
          <w:tab w:leader="none" w:pos="1237" w:val="left"/>
        </w:tabs>
        <w:numPr>
          <w:ilvl w:val="0"/>
          <w:numId w:val="2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During the term of this Agreement, there may be a Change in Circumstance (as defined below) that may require Service Provider, in its discretion, to modify, amend or change the Services provided hereunder. Notwithstanding anything to the contrary in this Agreement, in the event of a Change in Circumstance during the term of this Agreement, without the consent of Recipient, Service Provider may amend the given Services Schedule of this Agreement upon written notice to Recipient to the extent necessary to comply with such Change in Circumstance. Without limiting the foregoing, if the Change in Circumstance results in additional costs to Service Provider for providing the Services hereunder, then Service Provider may increase the fees and costs set forth on the applicable Services Schedule in amounts as will compensate Service Provider for such additional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additional costs are borne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each of Recipient and Service Provider and its Affiliates receiving or utilizing such services, as applicable, to the extent such Change in Circumstance affects the provision of such services by Service Provider to itself or to such Affiliates, including Recipient. Any amendment made in accordance with this </w:t>
      </w:r>
      <w:r>
        <w:rPr>
          <w:rFonts w:ascii="Arial" w:cs="Arial" w:eastAsia="Arial" w:hAnsi="Arial"/>
          <w:sz w:val="16"/>
          <w:szCs w:val="16"/>
          <w:u w:val="single" w:color="auto"/>
          <w:color w:val="auto"/>
        </w:rPr>
        <w:t>Section 12.8(c)</w:t>
      </w:r>
      <w:r>
        <w:rPr>
          <w:rFonts w:ascii="Arial" w:cs="Arial" w:eastAsia="Arial" w:hAnsi="Arial"/>
          <w:sz w:val="16"/>
          <w:szCs w:val="16"/>
          <w:color w:val="auto"/>
        </w:rPr>
        <w:t xml:space="preserve"> shall be effective as of the date specified in the notice of such amendment. “</w:t>
      </w:r>
      <w:r>
        <w:rPr>
          <w:rFonts w:ascii="Arial" w:cs="Arial" w:eastAsia="Arial" w:hAnsi="Arial"/>
          <w:sz w:val="16"/>
          <w:szCs w:val="16"/>
          <w:u w:val="single" w:color="auto"/>
          <w:color w:val="auto"/>
        </w:rPr>
        <w:t>Change in Circumstance</w:t>
      </w:r>
      <w:r>
        <w:rPr>
          <w:rFonts w:ascii="Arial" w:cs="Arial" w:eastAsia="Arial" w:hAnsi="Arial"/>
          <w:sz w:val="16"/>
          <w:szCs w:val="16"/>
          <w:color w:val="auto"/>
        </w:rPr>
        <w:t>” shall mean any change in any Law, whether by adoption of a new Law, the amendment, modification, expiration or repeal of an existing Law or the reversal of a Law by a Governmental Authority.</w:t>
      </w:r>
    </w:p>
    <w:p>
      <w:pPr>
        <w:spacing w:after="0" w:line="173"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u w:val="single" w:color="auto"/>
          <w:color w:val="auto"/>
        </w:rPr>
        <w:t>Section 12.9 Severability</w:t>
      </w:r>
      <w:r>
        <w:rPr>
          <w:rFonts w:ascii="Arial" w:cs="Arial" w:eastAsia="Arial" w:hAnsi="Arial"/>
          <w:sz w:val="17"/>
          <w:szCs w:val="17"/>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Law, such invalidity, illegality or unenforceability shall not affect any other provision of this Agreement or any other such instrument.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u w:val="single" w:color="auto"/>
          <w:color w:val="auto"/>
        </w:rPr>
        <w:t>Section 12.10 Counterparts; Electronic Delivery</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electronic mail, and an electronic copy of this Agreement or of a signature of a party shall be effective as an original.</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u w:val="single" w:color="auto"/>
          <w:color w:val="auto"/>
        </w:rPr>
        <w:t>Section 12.11 Other Agreements</w:t>
      </w:r>
      <w:r>
        <w:rPr>
          <w:rFonts w:ascii="Arial" w:cs="Arial" w:eastAsia="Arial" w:hAnsi="Arial"/>
          <w:sz w:val="18"/>
          <w:szCs w:val="18"/>
          <w:color w:val="auto"/>
        </w:rPr>
        <w:t>. This Agreement is not intended to amend or modify, and should not be interpreted to amend or modify in any respect, the rights and obligations of the parties under the Transaction Agreement or any of the Ancillary Agreements.</w:t>
      </w:r>
    </w:p>
    <w:p>
      <w:pPr>
        <w:spacing w:after="0" w:line="170" w:lineRule="exact"/>
        <w:rPr>
          <w:sz w:val="20"/>
          <w:szCs w:val="20"/>
          <w:color w:val="auto"/>
        </w:rPr>
      </w:pPr>
    </w:p>
    <w:p>
      <w:pPr>
        <w:jc w:val="both"/>
        <w:ind w:right="320" w:firstLine="441"/>
        <w:spacing w:after="0" w:line="312" w:lineRule="auto"/>
        <w:rPr>
          <w:sz w:val="20"/>
          <w:szCs w:val="20"/>
          <w:color w:val="auto"/>
        </w:rPr>
      </w:pPr>
      <w:r>
        <w:rPr>
          <w:rFonts w:ascii="Arial" w:cs="Arial" w:eastAsia="Arial" w:hAnsi="Arial"/>
          <w:sz w:val="16"/>
          <w:szCs w:val="16"/>
          <w:u w:val="single" w:color="auto"/>
          <w:color w:val="auto"/>
        </w:rPr>
        <w:t>Section 12.12 Specific Performance</w:t>
      </w:r>
      <w:r>
        <w:rPr>
          <w:rFonts w:ascii="Arial" w:cs="Arial" w:eastAsia="Arial" w:hAnsi="Arial"/>
          <w:sz w:val="16"/>
          <w:szCs w:val="16"/>
          <w:color w:val="auto"/>
        </w:rPr>
        <w:t>. The parties hereto agree that irreparable damage could occur if any provision of this Agreement were not performed in accordance with the terms hereof and that the parties shall be entitled, without posting a bond or similar indemnity, to an injunction or injunctions to prevent breaches of this Agreement or to specific enforcement of the performance of the terms and provisions hereof.</w:t>
      </w:r>
    </w:p>
    <w:p>
      <w:pPr>
        <w:spacing w:after="0" w:line="14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u w:val="single" w:color="auto"/>
          <w:color w:val="auto"/>
        </w:rPr>
        <w:t>Section 12.13 No Right of Setoff</w:t>
      </w:r>
      <w:r>
        <w:rPr>
          <w:rFonts w:ascii="Arial" w:cs="Arial" w:eastAsia="Arial" w:hAnsi="Arial"/>
          <w:sz w:val="18"/>
          <w:szCs w:val="18"/>
          <w:color w:val="auto"/>
        </w:rPr>
        <w:t>. Each of the parties hereto hereby acknowledges that it shall have no right under this Agreement to offset any amounts owed (or to become due and owing) to the other party(ies) under this Agreement against any other amount owed (or to become due and owing) to it by the other party(ies).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as of the date first above written.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jc w:val="center"/>
        <w:ind w:left="6880"/>
        <w:spacing w:after="0"/>
        <w:tabs>
          <w:tab w:leader="none" w:pos="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and</w:t>
      </w:r>
    </w:p>
    <w:p>
      <w:pPr>
        <w:spacing w:after="0" w:line="2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Administrative Officer,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Darcy Horn Davenport</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4"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M</w:t>
      </w:r>
      <w:r>
        <w:rPr>
          <w:rFonts w:ascii="Arial" w:cs="Arial" w:eastAsia="Arial" w:hAnsi="Arial"/>
          <w:sz w:val="15"/>
          <w:szCs w:val="15"/>
          <w:color w:val="auto"/>
        </w:rPr>
        <w:t>ASTER</w:t>
      </w:r>
      <w:r>
        <w:rPr>
          <w:rFonts w:ascii="Arial" w:cs="Arial" w:eastAsia="Arial" w:hAnsi="Arial"/>
          <w:sz w:val="18"/>
          <w:szCs w:val="18"/>
          <w:color w:val="auto"/>
        </w:rPr>
        <w:t xml:space="preserve"> S</w:t>
      </w:r>
      <w:r>
        <w:rPr>
          <w:rFonts w:ascii="Arial" w:cs="Arial" w:eastAsia="Arial" w:hAnsi="Arial"/>
          <w:sz w:val="15"/>
          <w:szCs w:val="15"/>
          <w:color w:val="auto"/>
        </w:rPr>
        <w:t>ERVICES</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9920"/>
          </w:cols>
          <w:pgMar w:left="1440" w:top="274" w:right="5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940" w:type="dxa"/>
            <w:vAlign w:val="bottom"/>
          </w:tcPr>
          <w:p>
            <w:pPr>
              <w:ind w:left="3020"/>
              <w:spacing w:after="0"/>
              <w:rPr>
                <w:sz w:val="20"/>
                <w:szCs w:val="20"/>
                <w:color w:val="auto"/>
              </w:rPr>
            </w:pPr>
            <w:r>
              <w:rPr>
                <w:rFonts w:ascii="Arial" w:cs="Arial" w:eastAsia="Arial" w:hAnsi="Arial"/>
                <w:sz w:val="18"/>
                <w:szCs w:val="18"/>
                <w:b w:val="1"/>
                <w:bCs w:val="1"/>
                <w:color w:val="auto"/>
                <w:w w:val="89"/>
              </w:rPr>
              <w:t>Exhibit 10.7</w:t>
            </w:r>
          </w:p>
        </w:tc>
      </w:tr>
      <w:tr>
        <w:trPr>
          <w:trHeight w:val="432"/>
        </w:trPr>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jc w:val="center"/>
              <w:ind w:right="870"/>
              <w:spacing w:after="0"/>
              <w:rPr>
                <w:sz w:val="20"/>
                <w:szCs w:val="20"/>
                <w:color w:val="auto"/>
              </w:rPr>
            </w:pPr>
            <w:r>
              <w:rPr>
                <w:rFonts w:ascii="Arial" w:cs="Arial" w:eastAsia="Arial" w:hAnsi="Arial"/>
                <w:sz w:val="18"/>
                <w:szCs w:val="18"/>
                <w:b w:val="1"/>
                <w:bCs w:val="1"/>
                <w:color w:val="auto"/>
              </w:rPr>
              <w:t>FORM OF</w:t>
            </w:r>
          </w:p>
        </w:tc>
        <w:tc>
          <w:tcPr>
            <w:tcW w:w="394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rPr>
              <w:t>INDEMNIFICATION AGREEMENT</w:t>
            </w:r>
          </w:p>
        </w:tc>
        <w:tc>
          <w:tcPr>
            <w:tcW w:w="3940" w:type="dxa"/>
            <w:vAlign w:val="bottom"/>
          </w:tcPr>
          <w:p>
            <w:pPr>
              <w:spacing w:after="0"/>
              <w:rPr>
                <w:sz w:val="24"/>
                <w:szCs w:val="24"/>
                <w:color w:val="auto"/>
              </w:rPr>
            </w:pPr>
          </w:p>
        </w:tc>
      </w:tr>
      <w:tr>
        <w:trPr>
          <w:trHeight w:val="392"/>
        </w:trPr>
        <w:tc>
          <w:tcPr>
            <w:tcW w:w="7080" w:type="dxa"/>
            <w:vAlign w:val="bottom"/>
            <w:gridSpan w:val="9"/>
          </w:tcPr>
          <w:p>
            <w:pPr>
              <w:ind w:left="440"/>
              <w:spacing w:after="0"/>
              <w:rPr>
                <w:sz w:val="20"/>
                <w:szCs w:val="20"/>
                <w:color w:val="auto"/>
              </w:rPr>
            </w:pPr>
            <w:r>
              <w:rPr>
                <w:rFonts w:ascii="Arial" w:cs="Arial" w:eastAsia="Arial" w:hAnsi="Arial"/>
                <w:sz w:val="18"/>
                <w:szCs w:val="18"/>
                <w:color w:val="auto"/>
              </w:rPr>
              <w:t>This Indemnification Agreement (this “Agreement”) is made and entered into as of</w:t>
            </w:r>
          </w:p>
        </w:tc>
        <w:tc>
          <w:tcPr>
            <w:tcW w:w="3940" w:type="dxa"/>
            <w:vAlign w:val="bottom"/>
          </w:tcPr>
          <w:p>
            <w:pPr>
              <w:ind w:left="120"/>
              <w:spacing w:after="0"/>
              <w:rPr>
                <w:sz w:val="20"/>
                <w:szCs w:val="20"/>
                <w:color w:val="auto"/>
              </w:rPr>
            </w:pPr>
            <w:r>
              <w:rPr>
                <w:rFonts w:ascii="Arial" w:cs="Arial" w:eastAsia="Arial" w:hAnsi="Arial"/>
                <w:sz w:val="18"/>
                <w:szCs w:val="18"/>
                <w:color w:val="auto"/>
              </w:rPr>
              <w:t>, 2019, by and among BellRing Brands, Inc., a</w:t>
            </w: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196"/>
        </w:trPr>
        <w:tc>
          <w:tcPr>
            <w:tcW w:w="3300" w:type="dxa"/>
            <w:vAlign w:val="bottom"/>
            <w:gridSpan w:val="5"/>
          </w:tcPr>
          <w:p>
            <w:pPr>
              <w:spacing w:after="0" w:line="196" w:lineRule="exact"/>
              <w:rPr>
                <w:sz w:val="20"/>
                <w:szCs w:val="20"/>
                <w:color w:val="auto"/>
              </w:rPr>
            </w:pPr>
            <w:r>
              <w:rPr>
                <w:rFonts w:ascii="Arial" w:cs="Arial" w:eastAsia="Arial" w:hAnsi="Arial"/>
                <w:sz w:val="18"/>
                <w:szCs w:val="18"/>
                <w:color w:val="auto"/>
                <w:w w:val="94"/>
              </w:rPr>
              <w:t>Delaware corporation (the “Company”), and</w:t>
            </w:r>
          </w:p>
        </w:tc>
        <w:tc>
          <w:tcPr>
            <w:tcW w:w="7720" w:type="dxa"/>
            <w:vAlign w:val="bottom"/>
            <w:gridSpan w:val="5"/>
          </w:tcPr>
          <w:p>
            <w:pPr>
              <w:ind w:left="680"/>
              <w:spacing w:after="0" w:line="196" w:lineRule="exact"/>
              <w:rPr>
                <w:sz w:val="20"/>
                <w:szCs w:val="20"/>
                <w:color w:val="auto"/>
              </w:rPr>
            </w:pPr>
            <w:r>
              <w:rPr>
                <w:rFonts w:ascii="Arial" w:cs="Arial" w:eastAsia="Arial" w:hAnsi="Arial"/>
                <w:sz w:val="18"/>
                <w:szCs w:val="18"/>
                <w:color w:val="auto"/>
                <w:w w:val="91"/>
              </w:rPr>
              <w:t>(“Indemnitee”). Capitalized terms used but not otherwise defined herein shall have the meanings</w:t>
            </w: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3300" w:type="dxa"/>
            <w:vAlign w:val="bottom"/>
            <w:gridSpan w:val="5"/>
          </w:tcPr>
          <w:p>
            <w:pPr>
              <w:spacing w:after="0" w:line="196" w:lineRule="exact"/>
              <w:rPr>
                <w:sz w:val="20"/>
                <w:szCs w:val="20"/>
                <w:color w:val="auto"/>
              </w:rPr>
            </w:pPr>
            <w:r>
              <w:rPr>
                <w:rFonts w:ascii="Arial" w:cs="Arial" w:eastAsia="Arial" w:hAnsi="Arial"/>
                <w:sz w:val="18"/>
                <w:szCs w:val="18"/>
                <w:color w:val="auto"/>
              </w:rPr>
              <w:t>set forth in Section 15 hereof.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WHEREAS, in light of the litigation costs and risks to directors, managers and officers resulting from their service to companies, and the desire of the Company to attract and retain qualified individuals to serve as directors, managers and officers for the Company Entities, it is reasonable, prudent and necessary for the Company to indemnify and advance expenses on behalf of the Company Entities’ directors, managers and officers to the extent permitted by applicable Law so that they will serve or continue to serve the Company Entities free from undue concern regarding such risks;</w:t>
      </w:r>
    </w:p>
    <w:p>
      <w:pPr>
        <w:spacing w:after="0" w:line="154"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WHEREAS, the Company has requested that Indemnitee serve or continue to serve as a director and/or officer of the Company and may have requested or may in the future request that Indemnitee serve one or more of the other Company Entities as a director, manager or officer or in other capacities; and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Indemnitee is willing to serve as a director and/or officer of the Company on the condition that Indemnitee be so indemnified.</w:t>
      </w:r>
    </w:p>
    <w:p>
      <w:pPr>
        <w:spacing w:after="0" w:line="23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left="620" w:hanging="176"/>
        <w:spacing w:after="0"/>
        <w:tabs>
          <w:tab w:leader="none" w:pos="62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Services by Indemnitee</w:t>
      </w:r>
      <w:r>
        <w:rPr>
          <w:rFonts w:ascii="Arial" w:cs="Arial" w:eastAsia="Arial" w:hAnsi="Arial"/>
          <w:sz w:val="16"/>
          <w:szCs w:val="16"/>
          <w:color w:val="auto"/>
        </w:rPr>
        <w:t>. Indemnitee agrees to serve as a director and/or officer of the Company and/or one or more of the Company Entities.</w:t>
      </w:r>
    </w:p>
    <w:p>
      <w:pPr>
        <w:spacing w:after="0" w:line="140" w:lineRule="exact"/>
        <w:rPr>
          <w:rFonts w:ascii="Arial" w:cs="Arial" w:eastAsia="Arial" w:hAnsi="Arial"/>
          <w:sz w:val="16"/>
          <w:szCs w:val="16"/>
          <w:color w:val="auto"/>
        </w:rPr>
      </w:pPr>
    </w:p>
    <w:p>
      <w:pPr>
        <w:ind w:left="620" w:hanging="176"/>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90" w:lineRule="auto"/>
        <w:tabs>
          <w:tab w:leader="none" w:pos="68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the terms and subject to the conditions of this Agreement, the Company shall, to the fullest extent permitted by applicable law (as such may be in existence on the date hereof or amended from time to time, “</w:t>
      </w:r>
      <w:r>
        <w:rPr>
          <w:rFonts w:ascii="Arial" w:cs="Arial" w:eastAsia="Arial" w:hAnsi="Arial"/>
          <w:sz w:val="16"/>
          <w:szCs w:val="16"/>
          <w:u w:val="single" w:color="auto"/>
          <w:color w:val="auto"/>
        </w:rPr>
        <w:t>Law</w:t>
      </w:r>
      <w:r>
        <w:rPr>
          <w:rFonts w:ascii="Arial" w:cs="Arial" w:eastAsia="Arial" w:hAnsi="Arial"/>
          <w:sz w:val="16"/>
          <w:szCs w:val="16"/>
          <w:color w:val="auto"/>
        </w:rPr>
        <w:t>”), indemnify Indemnitee with respect to, and hold Indemnitee harmless from and against, all liabilities, judgments, fines, penalties, costs, Expenses and other amounts that Indemnitee reasonably incurs and that result from, arise in connection with or are by reason of Indemnitee’s Corporate Status, and shall advance Expenses to Indemnitee pursuant to the terms set forth in this Agreement. The obligations of the Company under this Agreement shall continue during the period Indemnitee is a director or officer of any Company Entity and after such time as Indemnitee ceases to serve as a director or officer of any Company Entity or in any other Corporate Status, and include, without limitation, claims for monetary damages against Indemnitee in respect of any actual or alleged liability or other loss of Indemnitee, to the fullest extent permitted under applicable Law (including, if applicable, Section 145 of the General Corporation Law of the State of Delaware).</w:t>
      </w:r>
    </w:p>
    <w:p>
      <w:pPr>
        <w:spacing w:after="0" w:line="58" w:lineRule="exact"/>
        <w:rPr>
          <w:rFonts w:ascii="Arial" w:cs="Arial" w:eastAsia="Arial" w:hAnsi="Arial"/>
          <w:sz w:val="16"/>
          <w:szCs w:val="16"/>
          <w:color w:val="auto"/>
        </w:rPr>
      </w:pPr>
    </w:p>
    <w:p>
      <w:pPr>
        <w:ind w:right="40" w:firstLine="444"/>
        <w:spacing w:after="0" w:line="291" w:lineRule="auto"/>
        <w:tabs>
          <w:tab w:leader="none" w:pos="69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Indemnity of Indemnitee by Subsidiary of the Company</w:t>
      </w:r>
      <w:r>
        <w:rPr>
          <w:rFonts w:ascii="Arial" w:cs="Arial" w:eastAsia="Arial" w:hAnsi="Arial"/>
          <w:sz w:val="16"/>
          <w:szCs w:val="16"/>
          <w:color w:val="auto"/>
        </w:rPr>
        <w:t xml:space="preserve">. Notwithstanding and in addition to any other provision of this Agreement, in the event that Indemnitee serves, now or in the future, as an officer, director, member of the board of managers or in a similar position with any of the Company’s direct or indirect subsidiaries, in consideration for such service, Indemnitee shall be indemnified and be entitled to rights of advancement and contribution from any such subsidiary to the maximum extent permitted by this Agreement and by applicable Law. Such indemnification, advancement and contribution shall be made on comparable terms pursuant to comparable procedures as those set forth in this Agreement. The Company hereby represents that it is or will be duly authorized and empowered on behalf of each such subsidiary described in the preceding sentence to provide such indemnification, advancement and contribution as set forth in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further agrees to take any and all</w:t>
      </w:r>
    </w:p>
    <w:p>
      <w:pPr>
        <w:sectPr>
          <w:pgSz w:w="11900" w:h="16838" w:orient="portrait"/>
          <w:cols w:equalWidth="0" w:num="1">
            <w:col w:w="11020"/>
          </w:cols>
          <w:pgMar w:left="440" w:top="121" w:right="439" w:bottom="1440" w:gutter="0" w:footer="0" w:header="0"/>
        </w:sectPr>
      </w:pPr>
    </w:p>
    <w:bookmarkStart w:id="196" w:name="page197"/>
    <w:bookmarkEnd w:id="1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necessary to cause each such subsidiary to effectuate such indemnification, advancement and contribution. In the event that any such subsidiary against which Indemnitee is entitled to such indemnification, advancement and contribution fails to provide such indemnification, advancement or contribution to the maximum extent permitted by this Agreement and by applicable Law, the Company agrees to provide to Indemnitee any and all indemnification, advancement and contribution to the maximum extent permitted by this Agreement and by applicable Law on behalf of such subsidiary. The rights of indemnification, advancement and contribution provided to Indemnitee by any subsidiary of the Company are not exclusive of any other rights which Indemnitee may have from such subsidiary under statute, bylaw, agreement, vote of the board of directors or board of managers of such subsidiary or otherwise.</w:t>
      </w:r>
    </w:p>
    <w:p>
      <w:pPr>
        <w:spacing w:after="0" w:line="81" w:lineRule="exact"/>
        <w:rPr>
          <w:sz w:val="20"/>
          <w:szCs w:val="20"/>
          <w:color w:val="auto"/>
        </w:rPr>
      </w:pPr>
    </w:p>
    <w:p>
      <w:pPr>
        <w:ind w:right="20" w:firstLine="444"/>
        <w:spacing w:after="0" w:line="255" w:lineRule="auto"/>
        <w:tabs>
          <w:tab w:leader="none" w:pos="621"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If in connection with, or by reason of, Indemnitee’s Corporate Status Indemnitee was, is, or is threatened to be made, a party to or a participant in any Proceeding other than a Proceeding by or in the right of the Company to procure a judgment in its favor, the Company shall, to the fullest extent permitted by Law, indemnify Indemnitee with respect to, and hold Indemnitee harmless from and against, all Expenses, liabilities, losses, judgments, fines, penalties, costs and amounts paid in settlement (including all interest, assessments and other charges paid or payable in connection with or in respect of such liabilities, losses, judgments, fines, penalties, costs and amounts paid in settlement) reasonably incurred by Indemnitee or on behalf of Indemnitee in connection with such Proceeding or any claim, issue or matter therein.</w:t>
      </w:r>
    </w:p>
    <w:p>
      <w:pPr>
        <w:spacing w:after="0" w:line="81" w:lineRule="exact"/>
        <w:rPr>
          <w:rFonts w:ascii="Arial" w:cs="Arial" w:eastAsia="Arial" w:hAnsi="Arial"/>
          <w:sz w:val="18"/>
          <w:szCs w:val="18"/>
          <w:color w:val="auto"/>
        </w:rPr>
      </w:pPr>
    </w:p>
    <w:p>
      <w:pPr>
        <w:ind w:right="140" w:firstLine="444"/>
        <w:spacing w:after="0" w:line="271" w:lineRule="auto"/>
        <w:tabs>
          <w:tab w:leader="none" w:pos="621"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Proceedings by or in the Right of the Company</w:t>
      </w:r>
      <w:r>
        <w:rPr>
          <w:rFonts w:ascii="Arial" w:cs="Arial" w:eastAsia="Arial" w:hAnsi="Arial"/>
          <w:sz w:val="17"/>
          <w:szCs w:val="17"/>
          <w:color w:val="auto"/>
        </w:rPr>
        <w:t xml:space="preserve">. If in connection with, or by reason of, Indemnitee’s Corporate Status Indemnitee was, is, or is threatened to be made, a party to or a participant in any Proceeding brought by or in the right of the Company to procure a judgment in its favor, the Company shall, to the fullest extent permitted by Law, indemnify Indemnitee with respect to, and hold Indemnitee harmless from and against, all Expenses reasonably incurred by Indemnitee or on behalf of Indemnitee in connection with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indemnification against such Expenses shall be made in respect of any claim, issue or matter in such Proceeding as to which Indemnitee shall have been adjudged by a court of competent jurisdiction to be liable to the Company only if (and only to the extent that) the Court of Chancery of the State of Delaware or other court in which such Proceeding shall have been brought or is pending (the “</w:t>
      </w:r>
      <w:r>
        <w:rPr>
          <w:rFonts w:ascii="Arial" w:cs="Arial" w:eastAsia="Arial" w:hAnsi="Arial"/>
          <w:sz w:val="17"/>
          <w:szCs w:val="17"/>
          <w:u w:val="single" w:color="auto"/>
          <w:color w:val="auto"/>
        </w:rPr>
        <w:t>Trial Court</w:t>
      </w:r>
      <w:r>
        <w:rPr>
          <w:rFonts w:ascii="Arial" w:cs="Arial" w:eastAsia="Arial" w:hAnsi="Arial"/>
          <w:sz w:val="17"/>
          <w:szCs w:val="17"/>
          <w:color w:val="auto"/>
        </w:rPr>
        <w:t>”) shall determine that despite such adjudication of liability and in light of all circumstances such indemnification may be made.</w:t>
      </w:r>
    </w:p>
    <w:p>
      <w:pPr>
        <w:spacing w:after="0" w:line="70" w:lineRule="exact"/>
        <w:rPr>
          <w:rFonts w:ascii="Arial" w:cs="Arial" w:eastAsia="Arial" w:hAnsi="Arial"/>
          <w:sz w:val="17"/>
          <w:szCs w:val="17"/>
          <w:color w:val="auto"/>
        </w:rPr>
      </w:pPr>
    </w:p>
    <w:p>
      <w:pPr>
        <w:ind w:right="60" w:firstLine="444"/>
        <w:spacing w:after="0" w:line="289" w:lineRule="auto"/>
        <w:tabs>
          <w:tab w:leader="none" w:pos="621"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Mandatory Indemnification in Case of Successful Defense</w:t>
      </w:r>
      <w:r>
        <w:rPr>
          <w:rFonts w:ascii="Arial" w:cs="Arial" w:eastAsia="Arial" w:hAnsi="Arial"/>
          <w:sz w:val="16"/>
          <w:szCs w:val="16"/>
          <w:color w:val="auto"/>
        </w:rPr>
        <w:t xml:space="preserve">. Notwithstanding any other provision of this Agreement, to the extent that Indemnitee is, by reason of Indemnitee’s Corporate Status, a party to (or a participant in) and is successful, on the merits or otherwise, in defense of any Proceeding (including, without limitation, any Proceeding brought by or in the right of the Company), the Company shall, to the fullest extent permitted by Law, indemnify Indemnitee with respect to, and hold Indemnitee harmless from and against, all Expenses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to the fullest extent permitted by Law, indemnify Indemnitee against all Expenses reasonably incurred by Indemnitee or on behalf of Indemnitee in connection with each successfully resolved claim, issue or matter. For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without limitation, the termination of any claim, issue or matter in such a Proceeding by dismissal, with or without prejudice, on substantive or procedural grounds, shall be deemed to be a successful result as to such claim, issue or matter.</w:t>
      </w:r>
    </w:p>
    <w:p>
      <w:pPr>
        <w:spacing w:after="0" w:line="99" w:lineRule="exact"/>
        <w:rPr>
          <w:rFonts w:ascii="Arial" w:cs="Arial" w:eastAsia="Arial" w:hAnsi="Arial"/>
          <w:sz w:val="16"/>
          <w:szCs w:val="16"/>
          <w:color w:val="auto"/>
        </w:rPr>
      </w:pPr>
    </w:p>
    <w:p>
      <w:pPr>
        <w:ind w:left="5460" w:hanging="96"/>
        <w:spacing w:after="0"/>
        <w:tabs>
          <w:tab w:leader="none" w:pos="54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0"/>
          </w:cols>
          <w:pgMar w:left="440" w:top="274" w:right="439" w:bottom="1440" w:gutter="0" w:footer="0" w:header="0"/>
        </w:sectPr>
      </w:pPr>
    </w:p>
    <w:bookmarkStart w:id="197" w:name="page198"/>
    <w:bookmarkEnd w:id="197"/>
    <w:p>
      <w:pPr>
        <w:ind w:left="176" w:hanging="176"/>
        <w:spacing w:after="0"/>
        <w:tabs>
          <w:tab w:leader="none" w:pos="176"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Indemnification; Contribution</w:t>
      </w:r>
      <w:r>
        <w:rPr>
          <w:rFonts w:ascii="Arial" w:cs="Arial" w:eastAsia="Arial" w:hAnsi="Arial"/>
          <w:sz w:val="18"/>
          <w:szCs w:val="18"/>
          <w:color w:val="auto"/>
        </w:rPr>
        <w:t>.</w:t>
      </w:r>
    </w:p>
    <w:p>
      <w:pPr>
        <w:spacing w:after="0" w:line="117" w:lineRule="exact"/>
        <w:rPr>
          <w:sz w:val="20"/>
          <w:szCs w:val="20"/>
          <w:color w:val="auto"/>
        </w:rPr>
      </w:pPr>
    </w:p>
    <w:p>
      <w:pPr>
        <w:ind w:left="-444" w:firstLine="444"/>
        <w:spacing w:after="0" w:line="297" w:lineRule="auto"/>
        <w:tabs>
          <w:tab w:leader="none" w:pos="241"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or otherwise to indemnification by the Company for a portion of the Expenses, liabilities, losses, judgments, fines, penalties, costs and amounts paid in settlement (including all interest, assessments and other charges paid or payable in connection with or in respect of such liabilities, losses, judgments, penalties, fines and amounts paid in settlement) incurred by Indemnitee or on behalf of Indemnitee in connection with a Proceeding or any claim, issue or matter therein, in whole or in part, the Company shall, to the fullest extent permitted by Law, indemnify Indemnitee to the fullest extent to which Indemnitee is entitled to such indemnification.</w:t>
      </w:r>
    </w:p>
    <w:p>
      <w:pPr>
        <w:spacing w:after="0" w:line="50" w:lineRule="exact"/>
        <w:rPr>
          <w:rFonts w:ascii="Arial" w:cs="Arial" w:eastAsia="Arial" w:hAnsi="Arial"/>
          <w:sz w:val="16"/>
          <w:szCs w:val="16"/>
          <w:color w:val="auto"/>
        </w:rPr>
      </w:pPr>
    </w:p>
    <w:p>
      <w:pPr>
        <w:ind w:left="256" w:hanging="256"/>
        <w:spacing w:after="0"/>
        <w:tabs>
          <w:tab w:leader="none" w:pos="25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1436"/>
        <w:spacing w:after="0" w:line="302" w:lineRule="auto"/>
        <w:tabs>
          <w:tab w:leader="none" w:pos="120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Whether or not any indemnification provided elsewhere in this Agreement is available, in respect of any threatened, pending or completed action, suit or proceeding in which the Company is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w:t>
      </w:r>
    </w:p>
    <w:p>
      <w:pPr>
        <w:spacing w:after="0" w:line="46" w:lineRule="exact"/>
        <w:rPr>
          <w:rFonts w:ascii="Arial" w:cs="Arial" w:eastAsia="Arial" w:hAnsi="Arial"/>
          <w:sz w:val="16"/>
          <w:szCs w:val="16"/>
          <w:color w:val="auto"/>
        </w:rPr>
      </w:pPr>
    </w:p>
    <w:p>
      <w:pPr>
        <w:ind w:left="-444" w:firstLine="1436"/>
        <w:spacing w:after="0" w:line="268" w:lineRule="auto"/>
        <w:tabs>
          <w:tab w:leader="none" w:pos="125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Without diminishing or impairing the obligations of the Company set forth in the preceding subsection,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(including reasonable outside attorneys’ fees), liabilities, losses, judgments, fines, penalties, costs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liabilities, losses, judgments, fines, penalties, costs or settlement amounts, as well as any other equitable considerations that the applicable Law of the State of Delaware (or other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72" w:lineRule="exact"/>
        <w:rPr>
          <w:rFonts w:ascii="Arial" w:cs="Arial" w:eastAsia="Arial" w:hAnsi="Arial"/>
          <w:sz w:val="17"/>
          <w:szCs w:val="17"/>
          <w:color w:val="auto"/>
        </w:rPr>
      </w:pPr>
    </w:p>
    <w:p>
      <w:pPr>
        <w:ind w:left="-444" w:right="400" w:firstLine="1436"/>
        <w:spacing w:after="0" w:line="308" w:lineRule="auto"/>
        <w:tabs>
          <w:tab w:leader="none" w:pos="130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that may be brought by officers, directors or employees of the Company, other than Indemnitee, who may be jointly liable with Indemnitee.</w:t>
      </w:r>
    </w:p>
    <w:p>
      <w:pPr>
        <w:spacing w:after="0" w:line="38" w:lineRule="exact"/>
        <w:rPr>
          <w:rFonts w:ascii="Arial" w:cs="Arial" w:eastAsia="Arial" w:hAnsi="Arial"/>
          <w:sz w:val="17"/>
          <w:szCs w:val="17"/>
          <w:color w:val="auto"/>
        </w:rPr>
      </w:pPr>
    </w:p>
    <w:p>
      <w:pPr>
        <w:jc w:val="both"/>
        <w:ind w:left="-444" w:right="40" w:firstLine="1436"/>
        <w:spacing w:after="0" w:line="264" w:lineRule="auto"/>
        <w:tabs>
          <w:tab w:leader="none" w:pos="1293"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To the fullest extent permissible under applicable Law and without diminishing or impairing the obligations of the Company set forth in the preceding subsections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if the indemnification obligations of the Company provided for in this Agreement are unavailable to Indemnitee for any reason whatsoever, the Company, in lieu of indemnifying Indemnitee,</w:t>
      </w:r>
    </w:p>
    <w:p>
      <w:pPr>
        <w:spacing w:after="0" w:line="113" w:lineRule="exact"/>
        <w:rPr>
          <w:rFonts w:ascii="Arial" w:cs="Arial" w:eastAsia="Arial" w:hAnsi="Arial"/>
          <w:sz w:val="18"/>
          <w:szCs w:val="18"/>
          <w:color w:val="auto"/>
        </w:rPr>
      </w:pPr>
    </w:p>
    <w:p>
      <w:pPr>
        <w:ind w:left="5016" w:hanging="96"/>
        <w:spacing w:after="0"/>
        <w:tabs>
          <w:tab w:leader="none" w:pos="5016" w:val="left"/>
        </w:tabs>
        <w:numPr>
          <w:ilvl w:val="2"/>
          <w:numId w:val="22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56"/>
          </w:cols>
          <w:pgMar w:left="884" w:top="274" w:right="459" w:bottom="1440" w:gutter="0" w:footer="0" w:header="0"/>
        </w:sectPr>
      </w:pPr>
    </w:p>
    <w:bookmarkStart w:id="198" w:name="page199"/>
    <w:bookmarkEnd w:id="19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contribute to the amount incurred by Indemnitee, whether for liabilities, losses, judgments, fines, penalties, costs,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64" w:lineRule="exact"/>
        <w:rPr>
          <w:sz w:val="20"/>
          <w:szCs w:val="20"/>
          <w:color w:val="auto"/>
        </w:rPr>
      </w:pPr>
    </w:p>
    <w:p>
      <w:pPr>
        <w:ind w:left="620" w:hanging="176"/>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Indemnification for Additional Expenses Incurred to Secure Recovery or as Witness</w:t>
      </w:r>
      <w:r>
        <w:rPr>
          <w:rFonts w:ascii="Arial" w:cs="Arial" w:eastAsia="Arial" w:hAnsi="Arial"/>
          <w:sz w:val="18"/>
          <w:szCs w:val="18"/>
          <w:color w:val="auto"/>
        </w:rPr>
        <w:t>.</w:t>
      </w:r>
    </w:p>
    <w:p>
      <w:pPr>
        <w:spacing w:after="0" w:line="117" w:lineRule="exact"/>
        <w:rPr>
          <w:sz w:val="20"/>
          <w:szCs w:val="20"/>
          <w:color w:val="auto"/>
        </w:rPr>
      </w:pPr>
    </w:p>
    <w:p>
      <w:pPr>
        <w:ind w:right="160" w:firstLine="444"/>
        <w:spacing w:after="0" w:line="255" w:lineRule="auto"/>
        <w:tabs>
          <w:tab w:leader="none" w:pos="6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Company shall, to the fullest extent permitted by Law, indemnify Indemnitee with respect to, and hold Indemnitee harmless from and against, any and all Expenses and, if requested by Indemnitee, shall advance on an as-incurred basis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Agreement) such Expenses to Indemnitee, which are reasonably incurred by Indemnitee in connection with any action or proceeding or part thereof brought by Indemnitee for (i) indemnification or advance payment of Expenses by the Company under this Agreement, any other agreement or the Organizational Documents of the Company as now or hereafter in effect; or (ii) recovery under any director and officer liability insurance policies maintained by any Company Entity.</w:t>
      </w:r>
    </w:p>
    <w:p>
      <w:pPr>
        <w:spacing w:after="0" w:line="85" w:lineRule="exact"/>
        <w:rPr>
          <w:rFonts w:ascii="Arial" w:cs="Arial" w:eastAsia="Arial" w:hAnsi="Arial"/>
          <w:sz w:val="18"/>
          <w:szCs w:val="18"/>
          <w:color w:val="auto"/>
        </w:rPr>
      </w:pPr>
    </w:p>
    <w:p>
      <w:pPr>
        <w:ind w:right="60" w:firstLine="444"/>
        <w:spacing w:after="0" w:line="279" w:lineRule="auto"/>
        <w:tabs>
          <w:tab w:leader="none" w:pos="69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To the extent that Indemnitee is, by reason of Indemnitee’s Corporate Status, a witness (or is forced or asked to respond to discovery requests) in any Proceeding to which Indemnitee is not a party, the Company shall, to the fullest extent permitted by Law, indemnify Indemnitee with respect to, and hold Indemnitee harmless from and against, and the Company will advance on an as-incurred basis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Agreement), all Expenses reasonably incurred by Indemnitee or on behalf of Indemnitee in connection therewith.</w:t>
      </w:r>
    </w:p>
    <w:p>
      <w:pPr>
        <w:spacing w:after="0" w:line="63" w:lineRule="exact"/>
        <w:rPr>
          <w:sz w:val="20"/>
          <w:szCs w:val="20"/>
          <w:color w:val="auto"/>
        </w:rPr>
      </w:pPr>
    </w:p>
    <w:p>
      <w:pPr>
        <w:ind w:firstLine="444"/>
        <w:spacing w:after="0" w:line="270" w:lineRule="auto"/>
        <w:tabs>
          <w:tab w:leader="none" w:pos="621"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In addition to, and without regard to any limitations on, the indemnification provided for elsewhere in this Agreement, the Company shall and hereby does, to the fullest extent permitted by Law, indemnify Indemnitee with respect to, and hold Indemnitee harmless from and against, all Expenses, liabilities, losses, judgments, fines, penalties, costs and amounts paid in settlement (other than amounts paid in settlement with respect to a Proceeding by or in the right of the Company) reasonably incurred by Indemnitee or on behalf of Indemnitee, if, by reason of Indemnitee’s Corporate Status, Indemnitee was, is, or is threatened to be made, a party to or a participant in any Proceeding (including a Proceeding by or in the right of the Company), including to the fullest extent permitted by Law, without limitation, all liability arising out of the ordinary negligence of Indemnitee (other than the fraud of Indemnitee). The only limitation that shall exist upon the Company’s obligations pursuant to this Agreement shall be that the Company shall not be obligated to make any payment to Indemnitee if a court of competent jurisdiction issues a final non-appealable judicial determination that Indemnitee is not entitled to indemnification hereunder.</w:t>
      </w:r>
    </w:p>
    <w:p>
      <w:pPr>
        <w:spacing w:after="0" w:line="73" w:lineRule="exact"/>
        <w:rPr>
          <w:rFonts w:ascii="Arial" w:cs="Arial" w:eastAsia="Arial" w:hAnsi="Arial"/>
          <w:sz w:val="17"/>
          <w:szCs w:val="17"/>
          <w:color w:val="auto"/>
        </w:rPr>
      </w:pPr>
    </w:p>
    <w:p>
      <w:pPr>
        <w:ind w:right="40" w:firstLine="444"/>
        <w:spacing w:after="0" w:line="254" w:lineRule="auto"/>
        <w:tabs>
          <w:tab w:leader="none" w:pos="621"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Company shall, to the fullest extent permitted by Law, pay on a current and as-incurred basis all Expenses incurred by or on behalf of Indemnitee in connection with any Proceeding in any way connected with, resulting from or relating to Indemnitee’s Corporate Status. Such Expenses shall be paid in advance of the final disposition of such Proceeding, without regard to whether Indemnitee will ultimately be entitled to be indemnified for such Expenses and without regard to whether an Adverse Determination has been or may be made, except as contemplated by </w:t>
      </w:r>
      <w:r>
        <w:rPr>
          <w:rFonts w:ascii="Arial" w:cs="Arial" w:eastAsia="Arial" w:hAnsi="Arial"/>
          <w:sz w:val="18"/>
          <w:szCs w:val="18"/>
          <w:u w:val="single" w:color="auto"/>
          <w:color w:val="auto"/>
        </w:rPr>
        <w:t>Section 10(f)</w:t>
      </w:r>
      <w:r>
        <w:rPr>
          <w:rFonts w:ascii="Arial" w:cs="Arial" w:eastAsia="Arial" w:hAnsi="Arial"/>
          <w:sz w:val="18"/>
          <w:szCs w:val="18"/>
          <w:color w:val="auto"/>
        </w:rPr>
        <w:t xml:space="preserve"> of this Agreement. Following a final disposition of such Proceeding, if any, Indemnitee shall repay such amounts advanced only if and to the extent that an Adverse Determination is made and not challenged, as provided in </w:t>
      </w:r>
      <w:r>
        <w:rPr>
          <w:rFonts w:ascii="Arial" w:cs="Arial" w:eastAsia="Arial" w:hAnsi="Arial"/>
          <w:sz w:val="18"/>
          <w:szCs w:val="18"/>
          <w:u w:val="single" w:color="auto"/>
          <w:color w:val="auto"/>
        </w:rPr>
        <w:t>Section 10(f)</w:t>
      </w:r>
      <w:r>
        <w:rPr>
          <w:rFonts w:ascii="Arial" w:cs="Arial" w:eastAsia="Arial" w:hAnsi="Arial"/>
          <w:sz w:val="18"/>
          <w:szCs w:val="18"/>
          <w:color w:val="auto"/>
        </w:rPr>
        <w:t>, or if it shall ultimately be determined in a decision by a court of competent jurisdiction from which no appeal can be taken that Indemnitee is not entitled to be indemnified by the Company for such Expenses.</w:t>
      </w:r>
    </w:p>
    <w:p>
      <w:pPr>
        <w:spacing w:after="0" w:line="124" w:lineRule="exact"/>
        <w:rPr>
          <w:rFonts w:ascii="Arial" w:cs="Arial" w:eastAsia="Arial" w:hAnsi="Arial"/>
          <w:sz w:val="18"/>
          <w:szCs w:val="18"/>
          <w:color w:val="auto"/>
        </w:rPr>
      </w:pPr>
    </w:p>
    <w:p>
      <w:pPr>
        <w:ind w:left="5460" w:hanging="96"/>
        <w:spacing w:after="0"/>
        <w:tabs>
          <w:tab w:leader="none" w:pos="54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74" w:right="439" w:bottom="1440" w:gutter="0" w:footer="0" w:header="0"/>
        </w:sectPr>
      </w:pPr>
    </w:p>
    <w:bookmarkStart w:id="199" w:name="page200"/>
    <w:bookmarkEnd w:id="199"/>
    <w:p>
      <w:pPr>
        <w:ind w:left="276" w:hanging="276"/>
        <w:spacing w:after="0"/>
        <w:tabs>
          <w:tab w:leader="none" w:pos="27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996"/>
        <w:spacing w:after="0" w:line="255" w:lineRule="auto"/>
        <w:tabs>
          <w:tab w:leader="none" w:pos="792"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Notice of Proceeding</w:t>
      </w:r>
      <w:r>
        <w:rPr>
          <w:rFonts w:ascii="Arial" w:cs="Arial" w:eastAsia="Arial" w:hAnsi="Arial"/>
          <w:sz w:val="18"/>
          <w:szCs w:val="18"/>
          <w:color w:val="auto"/>
        </w:rPr>
        <w:t>. Indemnitee agrees to notify the Company promptly upon being served with any summons, citation, subpoena, complaint, indictment, information or other document relating to any Proceeding or matter that may be subject to indemnification or advancement of Expenses hereunder. Any failure by Indemnitee to notify the Company will relieve the Company of its advancement or indemnification obligations under this Agreement only to the extent the Company can establish that such omission to notify resulted in actual and material prejudice to it, and the omission to notify the Company will, in any event, not relieve the Company from any liability that it may have to indemnify Indemnitee otherwise under this Agreement.</w:t>
      </w:r>
    </w:p>
    <w:p>
      <w:pPr>
        <w:spacing w:after="0" w:line="85" w:lineRule="exact"/>
        <w:rPr>
          <w:rFonts w:ascii="Arial" w:cs="Arial" w:eastAsia="Arial" w:hAnsi="Arial"/>
          <w:sz w:val="18"/>
          <w:szCs w:val="18"/>
          <w:color w:val="auto"/>
        </w:rPr>
      </w:pPr>
    </w:p>
    <w:p>
      <w:pPr>
        <w:ind w:left="-444" w:right="100" w:firstLine="996"/>
        <w:spacing w:after="0" w:line="273" w:lineRule="auto"/>
        <w:tabs>
          <w:tab w:leader="none" w:pos="802"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Defense; Settlement</w:t>
      </w:r>
      <w:r>
        <w:rPr>
          <w:rFonts w:ascii="Arial" w:cs="Arial" w:eastAsia="Arial" w:hAnsi="Arial"/>
          <w:sz w:val="17"/>
          <w:szCs w:val="17"/>
          <w:color w:val="auto"/>
        </w:rPr>
        <w:t>. The Company shall have the sole right and obligation to control the defense or conduct of any claim or Proceeding with respect to Indemnitee. The Company shall not, without the prior written consent of Indemnitee, which may not be unreasonably withheld, conditioned or delayed, effect any settlement or compromise of any Proceeding against Indemnitee which imposes any cost or liability on Indemnitee unless such settlement or compromise solely involves the payment of money for which the Indemnitee will be fully indemnified or performance of any obligation by persons other than Indemnitee. The Company shall not be obligated to indemnify Indemnitee against amounts paid in settlement of a Proceeding against Indemnitee if such settlement is effected by Indemnitee without the Company’s prior written consent.</w:t>
      </w:r>
    </w:p>
    <w:p>
      <w:pPr>
        <w:spacing w:after="0" w:line="70" w:lineRule="exact"/>
        <w:rPr>
          <w:rFonts w:ascii="Arial" w:cs="Arial" w:eastAsia="Arial" w:hAnsi="Arial"/>
          <w:sz w:val="17"/>
          <w:szCs w:val="17"/>
          <w:color w:val="auto"/>
        </w:rPr>
      </w:pPr>
    </w:p>
    <w:p>
      <w:pPr>
        <w:ind w:left="796" w:hanging="244"/>
        <w:spacing w:after="0"/>
        <w:tabs>
          <w:tab w:leader="none" w:pos="796"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Request for Advancement; Request for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20" w:firstLine="1436"/>
        <w:spacing w:after="0" w:line="255" w:lineRule="auto"/>
        <w:tabs>
          <w:tab w:leader="none" w:pos="1203"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and/or any applicable Organizational Documents that cannot be waived, an unsecured written undertaking to repay amounts advanced unless it shall ultimately be determined that he or she is entitled to be indemnified by the Company. The Company shall make advance payment of Expenses to Indemnitee no later than 15 days after receipt of the written request for advancement (and each subsequent request for advancement) by Indemnitee.</w:t>
      </w:r>
    </w:p>
    <w:p>
      <w:pPr>
        <w:spacing w:after="0" w:line="85" w:lineRule="exact"/>
        <w:rPr>
          <w:rFonts w:ascii="Arial" w:cs="Arial" w:eastAsia="Arial" w:hAnsi="Arial"/>
          <w:sz w:val="18"/>
          <w:szCs w:val="18"/>
          <w:color w:val="auto"/>
        </w:rPr>
      </w:pPr>
    </w:p>
    <w:p>
      <w:pPr>
        <w:ind w:left="-444" w:firstLine="1436"/>
        <w:spacing w:after="0" w:line="270" w:lineRule="auto"/>
        <w:tabs>
          <w:tab w:leader="none" w:pos="1253" w:val="left"/>
        </w:tabs>
        <w:numPr>
          <w:ilvl w:val="2"/>
          <w:numId w:val="224"/>
        </w:numPr>
        <w:rPr>
          <w:rFonts w:ascii="Arial" w:cs="Arial" w:eastAsia="Arial" w:hAnsi="Arial"/>
          <w:sz w:val="17"/>
          <w:szCs w:val="17"/>
          <w:color w:val="auto"/>
        </w:rPr>
      </w:pPr>
      <w:r>
        <w:rPr>
          <w:rFonts w:ascii="Arial" w:cs="Arial" w:eastAsia="Arial" w:hAnsi="Arial"/>
          <w:sz w:val="17"/>
          <w:szCs w:val="17"/>
          <w:color w:val="auto"/>
        </w:rPr>
        <w:t xml:space="preserve">To obtain indemnification under this Agreement, at any time after submission of a request for advancement of Expenses pursuant to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Indemnitee may submit a written request for indemnification hereunder. The time at which Indemnitee submits a written request for indemnification shall be determined by the Indemnitee in the Indemnitee’s sole discretion. Once Indemnitee submits such a written request for indemnification (and only at such time that Indemnitee submits such a written request for indemnification), a Determination shall thereafter be made, as provided in and only to the extent required by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of this Agreement. In no event shall a Determination be made, or required to be made, as a condition to or otherwise in connection with any advancement of Expenses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10(c)(i)</w:t>
      </w:r>
      <w:r>
        <w:rPr>
          <w:rFonts w:ascii="Arial" w:cs="Arial" w:eastAsia="Arial" w:hAnsi="Arial"/>
          <w:sz w:val="17"/>
          <w:szCs w:val="17"/>
          <w:color w:val="auto"/>
        </w:rPr>
        <w:t xml:space="preserve"> of this Agreement.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73" w:lineRule="exact"/>
        <w:rPr>
          <w:rFonts w:ascii="Arial" w:cs="Arial" w:eastAsia="Arial" w:hAnsi="Arial"/>
          <w:sz w:val="17"/>
          <w:szCs w:val="17"/>
          <w:color w:val="auto"/>
        </w:rPr>
      </w:pPr>
    </w:p>
    <w:p>
      <w:pPr>
        <w:ind w:left="-444" w:right="60" w:firstLine="996"/>
        <w:spacing w:after="0" w:line="257" w:lineRule="auto"/>
        <w:tabs>
          <w:tab w:leader="none" w:pos="802"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xml:space="preserve">. The Company agrees that in no event shall a Determination be required in connection with indemnification for Expenses incurred as a witness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or incurred in connection with any Proceeding or portion thereof with respect to which Indemnitee has been successful on the merits or otherwise unless specifically required by applicable Law that cannot be waived. Any decision that a Determination is required by Law in connection with any such indemnification of Indemnitee, and any Determination required in connection therewith or with any other</w:t>
      </w:r>
    </w:p>
    <w:p>
      <w:pPr>
        <w:spacing w:after="0" w:line="120" w:lineRule="exact"/>
        <w:rPr>
          <w:rFonts w:ascii="Arial" w:cs="Arial" w:eastAsia="Arial" w:hAnsi="Arial"/>
          <w:sz w:val="18"/>
          <w:szCs w:val="18"/>
          <w:color w:val="auto"/>
        </w:rPr>
      </w:pPr>
    </w:p>
    <w:p>
      <w:pPr>
        <w:ind w:left="5016" w:hanging="96"/>
        <w:spacing w:after="0"/>
        <w:tabs>
          <w:tab w:leader="none" w:pos="5016" w:val="left"/>
        </w:tabs>
        <w:numPr>
          <w:ilvl w:val="3"/>
          <w:numId w:val="22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76"/>
          </w:cols>
          <w:pgMar w:left="884" w:top="274" w:right="439" w:bottom="1440" w:gutter="0" w:footer="0" w:header="0"/>
        </w:sectPr>
      </w:pPr>
    </w:p>
    <w:bookmarkStart w:id="200" w:name="page201"/>
    <w:bookmarkEnd w:id="20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indemnification of Indemnitee, shall be made within 30 days after the later of (i) receipt of Indemnitee’s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or (ii) the selection of Independent Counsel, if such Determination is to be made by Independent Counsel (the “</w:t>
      </w:r>
      <w:r>
        <w:rPr>
          <w:rFonts w:ascii="Arial" w:cs="Arial" w:eastAsia="Arial" w:hAnsi="Arial"/>
          <w:sz w:val="16"/>
          <w:szCs w:val="16"/>
          <w:u w:val="single" w:color="auto"/>
          <w:color w:val="auto"/>
        </w:rPr>
        <w:t>Determination Period</w:t>
      </w:r>
      <w:r>
        <w:rPr>
          <w:rFonts w:ascii="Arial" w:cs="Arial" w:eastAsia="Arial" w:hAnsi="Arial"/>
          <w:sz w:val="16"/>
          <w:szCs w:val="16"/>
          <w:color w:val="auto"/>
        </w:rPr>
        <w:t>”) and such Determination shall be made either (A) by the Board of Directors by majority vote or consent of a quorum consisting of only Disinterested Directors, or (B) if such a quorum of Disinterested Directors cannot be obtained, by Independent Counsel in a written opinion to the Company and Indemnitee. If a Determination is requested but is not made during the Determination Period, then the requisite Determination shall be deemed a Favorable Determination and Indemnitee shall be entitled to such indemnification absent (x) a misstatement by Indemnitee of a material fact, or an omission of a material fact necessary to make Indemnitee’s statement not materially misleading, in connection with the request for indemnification, or</w:t>
      </w:r>
    </w:p>
    <w:p>
      <w:pPr>
        <w:spacing w:after="0" w:line="3" w:lineRule="exact"/>
        <w:rPr>
          <w:sz w:val="20"/>
          <w:szCs w:val="20"/>
          <w:color w:val="auto"/>
        </w:rPr>
      </w:pPr>
    </w:p>
    <w:p>
      <w:pPr>
        <w:ind w:right="20" w:firstLine="4"/>
        <w:spacing w:after="0" w:line="267" w:lineRule="auto"/>
        <w:tabs>
          <w:tab w:leader="none" w:pos="25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prohibition of such indemnification under applicable Law; provided, however, that such 30-day period may be extended for a reasonable time, not to exceed an additional 15 days, if the person, persons or entity making such Determination in good faith requires such additional time to obtain or evaluate documentation and/or information relating thereto. If a Determination is made that Indemnitee is entitled to indemnification, payment to Indemnitee shall be made within 20 days after such Determination. Indemnitee shall reasonably cooperate with the person, persons or entity making such Determination,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Independent Counsel or Disinterested Directors, as the case may be, shall act reasonably and in good faith in making a Determination under this Agreement. Any Expenses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 Notwithstanding anything in this Agreement to the contrary, no Determination shall be required to be made prior to the final disposition of the Proceeding.</w:t>
      </w:r>
    </w:p>
    <w:p>
      <w:pPr>
        <w:spacing w:after="0" w:line="78" w:lineRule="exact"/>
        <w:rPr>
          <w:rFonts w:ascii="Arial" w:cs="Arial" w:eastAsia="Arial" w:hAnsi="Arial"/>
          <w:sz w:val="17"/>
          <w:szCs w:val="17"/>
          <w:color w:val="auto"/>
        </w:rPr>
      </w:pPr>
    </w:p>
    <w:p>
      <w:pPr>
        <w:ind w:firstLine="996"/>
        <w:spacing w:after="0" w:line="285" w:lineRule="auto"/>
        <w:tabs>
          <w:tab w:leader="none" w:pos="1236"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Independent Counsel</w:t>
      </w:r>
      <w:r>
        <w:rPr>
          <w:rFonts w:ascii="Arial" w:cs="Arial" w:eastAsia="Arial" w:hAnsi="Arial"/>
          <w:sz w:val="16"/>
          <w:szCs w:val="16"/>
          <w:color w:val="auto"/>
        </w:rPr>
        <w:t xml:space="preserve">. In the event that the Determination is to be made by Independent Counsel pursuant to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the Independent Counsel shall be selected as provided in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The Independent Counsel shall be selected by the Disinterested Directors (unless there are no Disinterested Directors, in which case Indemnitee shall select the Independent Counsel in the Indemnitee’s sole discretion), and the Board of Directors or the Indemnitee, as the case may be, shall give written notice to the other, advising the Board of Directors or Indemnitee, as the case may be, of the identity of the Independent Counsel so selected. The Board of Directors or the Indemnitee, as the case may be, may, within 10 days after such written notice of selection shall have been received, deliver to the Indemnitee or the Board of Directors,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and the objection shall set forth with particularity the factual basis of such assertion. Absent a proper and timely objection, the person so selected shall act as Independent Counsel. If a written objection is so made and substantiated, the Independent Counsel so selected may not serve as Independent Counsel unless and until such objection is withdrawn or a court of competent jurisdiction has determined that such objection is without merit. If, within 20 days after submission by Indemnitee of a written request for indemnification pursuant to </w:t>
      </w:r>
      <w:r>
        <w:rPr>
          <w:rFonts w:ascii="Arial" w:cs="Arial" w:eastAsia="Arial" w:hAnsi="Arial"/>
          <w:sz w:val="16"/>
          <w:szCs w:val="16"/>
          <w:u w:val="single" w:color="auto"/>
          <w:color w:val="auto"/>
        </w:rPr>
        <w:t>Section 10(c)(ii)</w:t>
      </w:r>
      <w:r>
        <w:rPr>
          <w:rFonts w:ascii="Arial" w:cs="Arial" w:eastAsia="Arial" w:hAnsi="Arial"/>
          <w:sz w:val="16"/>
          <w:szCs w:val="16"/>
          <w:color w:val="auto"/>
        </w:rPr>
        <w:t xml:space="preserve"> of this Agreement, no Independent Counsel shall have been selected and not objected to, either the Board of Directors or Indemnitee may petition a court of competent jurisdiction for resolution of any objection that shall have been made by the Board of Directors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of this Agreement. Upon the due commencement of any judicial proceeding or arbitration pursuant to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 Any expenses incurred by Independent Counsel shall be borne by the Company (irrespective of the Determination of Indemnitee’s entitlement to indemnification) and not by Indemnitee.</w:t>
      </w:r>
    </w:p>
    <w:p>
      <w:pPr>
        <w:spacing w:after="0" w:line="346" w:lineRule="exact"/>
        <w:rPr>
          <w:rFonts w:ascii="Arial" w:cs="Arial" w:eastAsia="Arial" w:hAnsi="Arial"/>
          <w:sz w:val="16"/>
          <w:szCs w:val="16"/>
          <w:color w:val="auto"/>
        </w:rPr>
      </w:pPr>
    </w:p>
    <w:p>
      <w:pPr>
        <w:ind w:left="5460" w:hanging="96"/>
        <w:spacing w:after="0"/>
        <w:tabs>
          <w:tab w:leader="none" w:pos="546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0"/>
          </w:cols>
          <w:pgMar w:left="440" w:top="274" w:right="439" w:bottom="1440" w:gutter="0" w:footer="0" w:header="0"/>
        </w:sectPr>
      </w:pPr>
    </w:p>
    <w:bookmarkStart w:id="201" w:name="page202"/>
    <w:bookmarkEnd w:id="201"/>
    <w:p>
      <w:pPr>
        <w:ind w:left="-996" w:firstLine="996"/>
        <w:spacing w:after="0" w:line="284" w:lineRule="auto"/>
        <w:tabs>
          <w:tab w:leader="none" w:pos="22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Consequences of Determination; Remedies of Indemnitee</w:t>
      </w:r>
      <w:r>
        <w:rPr>
          <w:rFonts w:ascii="Arial" w:cs="Arial" w:eastAsia="Arial" w:hAnsi="Arial"/>
          <w:sz w:val="16"/>
          <w:szCs w:val="16"/>
          <w:color w:val="auto"/>
        </w:rPr>
        <w:t xml:space="preserve">. The Company shall be bound by and shall have no right to challenge a Favorable Determination. If an Adverse Determination is made, or if for any other reason the Company does not make timely indemnification payments or advances of Expenses, or the Company or any other person takes any action to declare this Agreement void or unenforceable, or institutes any litigation or other action or Proceeding designed to deny, or to recover from, the Indemnitee the benefits provided or intended to be provided hereunder, Indemnitee shall have the right to commence a Proceeding before a court of competent jurisdiction to challenge such Adverse Determination, and/or to require the Company to make such payments or advances, and/or to recover damages for breach of this Agreement, and/or to recover under any directors’ and officers’ liability insurance policies maintained by the Company (and the Company shall have the right to defend its position in such Proceeding and to appeal any adverse judgment in such Proceeding but shall not oppose Indemnitee’s right to seek such adjudication). Indemnitee shall be entitled to be indemnified for all Expenses incurred in connection with such a Proceeding and to have such Expenses advanced by the Company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regardless of whether Indemnitee ultimately is determined to be entitled to such indemnification, advancement of expenses or insurance recovery. The Company shall not oppose Indemnitee’s right to seek any such adjudication. If Indemnitee fails to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 In the event that an Adverse Determination has been made, any judicial proceeding commenced pursuant to this </w:t>
      </w:r>
      <w:r>
        <w:rPr>
          <w:rFonts w:ascii="Arial" w:cs="Arial" w:eastAsia="Arial" w:hAnsi="Arial"/>
          <w:sz w:val="16"/>
          <w:szCs w:val="16"/>
          <w:u w:val="single" w:color="auto"/>
          <w:color w:val="auto"/>
        </w:rPr>
        <w:t>Section 10(f)</w:t>
      </w:r>
      <w:r>
        <w:rPr>
          <w:rFonts w:ascii="Arial" w:cs="Arial" w:eastAsia="Arial" w:hAnsi="Arial"/>
          <w:sz w:val="16"/>
          <w:szCs w:val="16"/>
          <w:color w:val="auto"/>
        </w:rPr>
        <w:t xml:space="preserve">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on the merits, and Indemnitee shall not be prejudiced by reason of the Adverse Determination. The Company authorizes the Indemnitee from time to time to retain one counsel of Indemnitee’s choice reasonably acceptable to the Board of Directors, at the expense of the Company to the extent provided under applicable Law, to advise and represent Indemnitee in connection with any such judicial adjudication or recovery, including without limitation, the initiation or defense of any litigation or other legal action, whether by or against the Company or any director, officer, stockholder or other person affiliated with the Company; provided that Indemnitee shall have reasonably concluded based on written advice of independent counsel that there is a conflict of interest between the Company and Indemnitee with respect to any judicial action. The Company shall be precluded from asserting in any judicial proceeding commenced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that the procedures and presumptions of this Agreement are not valid, binding and enforceable.</w:t>
      </w:r>
    </w:p>
    <w:p>
      <w:pPr>
        <w:spacing w:after="0" w:line="288" w:lineRule="exact"/>
        <w:rPr>
          <w:rFonts w:ascii="Arial" w:cs="Arial" w:eastAsia="Arial" w:hAnsi="Arial"/>
          <w:sz w:val="16"/>
          <w:szCs w:val="16"/>
          <w:color w:val="auto"/>
        </w:rPr>
      </w:pPr>
    </w:p>
    <w:p>
      <w:pPr>
        <w:ind w:left="-996" w:right="60" w:firstLine="996"/>
        <w:spacing w:after="0" w:line="277" w:lineRule="auto"/>
        <w:tabs>
          <w:tab w:leader="none" w:pos="251"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Presumptions; Burden and Standard of Proof</w:t>
      </w:r>
      <w:r>
        <w:rPr>
          <w:rFonts w:ascii="Arial" w:cs="Arial" w:eastAsia="Arial" w:hAnsi="Arial"/>
          <w:sz w:val="18"/>
          <w:szCs w:val="18"/>
          <w:color w:val="auto"/>
        </w:rPr>
        <w:t>. The parties intend and agree that, to the extent permitted by Law, in connection with any Determination with respect to Indemnitee’s entitlement to indemnification hereunder by any person, including a court:</w:t>
      </w:r>
    </w:p>
    <w:p>
      <w:pPr>
        <w:spacing w:after="0" w:line="62" w:lineRule="exact"/>
        <w:rPr>
          <w:rFonts w:ascii="Arial" w:cs="Arial" w:eastAsia="Arial" w:hAnsi="Arial"/>
          <w:sz w:val="18"/>
          <w:szCs w:val="18"/>
          <w:color w:val="auto"/>
        </w:rPr>
      </w:pPr>
    </w:p>
    <w:p>
      <w:pPr>
        <w:ind w:left="-996" w:right="140" w:firstLine="1436"/>
        <w:spacing w:after="0" w:line="272" w:lineRule="auto"/>
        <w:tabs>
          <w:tab w:leader="none" w:pos="652"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it will be presumed that Indemnitee is entitled to indemnification under this Agreement, and (A) the Company Entities or any other person or entity challenging such right will have the burden of proof and the burden of persuasion by clear and convincing evidence to overcome that presumption in connection with the making by any person, persons or entity of any determination contrary to that presumption, and (B)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create a presumption that Indemnitee has not met the applicable standard of conduct;</w:t>
      </w:r>
    </w:p>
    <w:p>
      <w:pPr>
        <w:spacing w:after="0" w:line="110" w:lineRule="exact"/>
        <w:rPr>
          <w:rFonts w:ascii="Arial" w:cs="Arial" w:eastAsia="Arial" w:hAnsi="Arial"/>
          <w:sz w:val="17"/>
          <w:szCs w:val="17"/>
          <w:color w:val="auto"/>
        </w:rPr>
      </w:pPr>
    </w:p>
    <w:p>
      <w:pPr>
        <w:ind w:left="4464" w:hanging="96"/>
        <w:spacing w:after="0"/>
        <w:tabs>
          <w:tab w:leader="none" w:pos="4464" w:val="left"/>
        </w:tabs>
        <w:numPr>
          <w:ilvl w:val="2"/>
          <w:numId w:val="22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024"/>
          </w:cols>
          <w:pgMar w:left="1436" w:top="274" w:right="439" w:bottom="1440" w:gutter="0" w:footer="0" w:header="0"/>
        </w:sectPr>
      </w:pPr>
    </w:p>
    <w:bookmarkStart w:id="202" w:name="page203"/>
    <w:bookmarkEnd w:id="202"/>
    <w:p>
      <w:pPr>
        <w:ind w:firstLine="1436"/>
        <w:spacing w:after="0" w:line="255" w:lineRule="auto"/>
        <w:tabs>
          <w:tab w:leader="none" w:pos="1698"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settlement or other disposition short of final judgment may be successful if it permits a party to avoid expense, delay, distraction, disruption and uncertainty, and therefore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and anyone seeking to overcome this presumption shall have the burden of proof and the burden of persuasion by clear and convincing evidence;</w:t>
      </w:r>
    </w:p>
    <w:p>
      <w:pPr>
        <w:spacing w:after="0" w:line="85" w:lineRule="exact"/>
        <w:rPr>
          <w:rFonts w:ascii="Arial" w:cs="Arial" w:eastAsia="Arial" w:hAnsi="Arial"/>
          <w:sz w:val="18"/>
          <w:szCs w:val="18"/>
          <w:color w:val="auto"/>
        </w:rPr>
      </w:pPr>
    </w:p>
    <w:p>
      <w:pPr>
        <w:ind w:right="160" w:firstLine="1436"/>
        <w:spacing w:after="0" w:line="264" w:lineRule="auto"/>
        <w:tabs>
          <w:tab w:leader="none" w:pos="174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an unfavorable presumption against Indemnitee; and</w:t>
      </w:r>
    </w:p>
    <w:p>
      <w:pPr>
        <w:spacing w:after="0" w:line="73" w:lineRule="exact"/>
        <w:rPr>
          <w:rFonts w:ascii="Arial" w:cs="Arial" w:eastAsia="Arial" w:hAnsi="Arial"/>
          <w:sz w:val="18"/>
          <w:szCs w:val="18"/>
          <w:color w:val="auto"/>
        </w:rPr>
      </w:pPr>
    </w:p>
    <w:p>
      <w:pPr>
        <w:jc w:val="both"/>
        <w:ind w:firstLine="1436"/>
        <w:spacing w:after="0" w:line="276" w:lineRule="auto"/>
        <w:tabs>
          <w:tab w:leader="none" w:pos="173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Indemnitee will be deemed to have acted reasonably if Indemnitee’s action is based on the records or books of account of the applicable Company Entity, including financial statements, or on information supplied to Indemnitee by the officers, employees or committees of the board of directors (or equivalent governing body) of the applicable Company Entity, or on the advice of legal counsel for the applicable Company Entity or on information or records given in reports made to the applicable Company Entity by an independent certified public accountant or by an appraiser or other expert or advisor selected with reasonable care by the applicable Company Entity.</w:t>
      </w:r>
    </w:p>
    <w:p>
      <w:pPr>
        <w:spacing w:after="0" w:line="17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xml:space="preserve"> shall not be deemed to be exclusive or to limit in any way the other circumstances in which Indemnitee may be deemed to have met the applicable standard of conduct set forth in this Agreement. In addition, whether or not the foregoing provisions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xml:space="preserve"> are satisfied, it shall in no event create any unfavorable presumption with respect to Indemnitee’s actions. Anyone seeking to overcome this presumption shall have the burden of proof and the burden of persuasion by clear and convincing evidence.</w:t>
      </w:r>
    </w:p>
    <w:p>
      <w:pPr>
        <w:spacing w:after="0" w:line="63" w:lineRule="exact"/>
        <w:rPr>
          <w:sz w:val="20"/>
          <w:szCs w:val="20"/>
          <w:color w:val="auto"/>
        </w:rPr>
      </w:pPr>
    </w:p>
    <w:p>
      <w:pPr>
        <w:ind w:left="700" w:hanging="256"/>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Insurance; Subrogation; Other Rights of Recovery, etc</w:t>
      </w:r>
      <w:r>
        <w:rPr>
          <w:rFonts w:ascii="Arial" w:cs="Arial" w:eastAsia="Arial" w:hAnsi="Arial"/>
          <w:sz w:val="18"/>
          <w:szCs w:val="18"/>
          <w:color w:val="auto"/>
        </w:rPr>
        <w:t>.</w:t>
      </w:r>
    </w:p>
    <w:p>
      <w:pPr>
        <w:spacing w:after="0" w:line="117" w:lineRule="exact"/>
        <w:rPr>
          <w:sz w:val="20"/>
          <w:szCs w:val="20"/>
          <w:color w:val="auto"/>
        </w:rPr>
      </w:pPr>
    </w:p>
    <w:p>
      <w:pPr>
        <w:ind w:right="80" w:firstLine="444"/>
        <w:spacing w:after="0" w:line="257"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may purchase and maintain a policy or policies of insurance with reputable insurance companies, providing Indemnitee with coverage for any liability asserted against, and incurred by, Indemnitee or on Indemnitee’s behalf by reason of Indemnitee’s Corporate Status, or arising out of Indemnitee’s status as such, whether or not any the Company would have the power to indemnify Indemnitee against such liability. With respect to the Company, such insurance policies shall have coverage terms and policy limits at least as favorable to Indemnitee as the insurance coverage provided to any other director or officer of such Company Entity.</w:t>
      </w:r>
    </w:p>
    <w:p>
      <w:pPr>
        <w:spacing w:after="0" w:line="80" w:lineRule="exact"/>
        <w:rPr>
          <w:rFonts w:ascii="Arial" w:cs="Arial" w:eastAsia="Arial" w:hAnsi="Arial"/>
          <w:sz w:val="18"/>
          <w:szCs w:val="18"/>
          <w:color w:val="auto"/>
        </w:rPr>
      </w:pPr>
    </w:p>
    <w:p>
      <w:pPr>
        <w:ind w:right="120" w:firstLine="444"/>
        <w:spacing w:after="0" w:line="291" w:lineRule="auto"/>
        <w:tabs>
          <w:tab w:leader="none" w:pos="69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the event of any payment by the Company under this Agreement, the Company shall be subrogated to the extent of such payment to all of the rights of recovery of Indemnitee against any other Company Entity, and Indemnitee hereby agrees, as a condition to obtaining any advancement or indemnification from the Company, to assign to the Company all of Indemnitee’s rights to obtain from such other Company Entity such amounts to the extent that they have been paid by the Company to or for the benefit of Indemnitee as advancement or indemnification under this Agreement and are adequate to indemnify Indemnitee with respect to the costs, Expenses or other items to the full extent that Indemnitee is entitled to indemnification or other payment hereunder; and Indemnitee will (upon request by the Company) execute all papers required and take all action necessary to secure such rights, including execution of such documents as are necessary to enable the Company to bring suit or enforce such rights.</w:t>
      </w:r>
    </w:p>
    <w:p>
      <w:pPr>
        <w:spacing w:after="0" w:line="99" w:lineRule="exact"/>
        <w:rPr>
          <w:rFonts w:ascii="Arial" w:cs="Arial" w:eastAsia="Arial" w:hAnsi="Arial"/>
          <w:sz w:val="16"/>
          <w:szCs w:val="16"/>
          <w:color w:val="auto"/>
        </w:rPr>
      </w:pPr>
    </w:p>
    <w:p>
      <w:pPr>
        <w:ind w:left="5460" w:hanging="96"/>
        <w:spacing w:after="0"/>
        <w:tabs>
          <w:tab w:leader="none" w:pos="546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0"/>
          </w:cols>
          <w:pgMar w:left="440" w:top="274" w:right="459" w:bottom="1440" w:gutter="0" w:footer="0" w:header="0"/>
        </w:sectPr>
      </w:pPr>
    </w:p>
    <w:bookmarkStart w:id="203" w:name="page204"/>
    <w:bookmarkEnd w:id="203"/>
    <w:p>
      <w:pPr>
        <w:ind w:left="-444" w:firstLine="444"/>
        <w:spacing w:after="0" w:line="285" w:lineRule="auto"/>
        <w:tabs>
          <w:tab w:leader="none" w:pos="241" w:val="left"/>
        </w:tabs>
        <w:numPr>
          <w:ilvl w:val="0"/>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provided in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the Company shall not be liable to pay or advance to Indemnitee any amounts otherwise indemnifiable under this Agreement or under any other indemnification agreement if and to the extent that Indemnitee has otherwise actually received such payment under any insurance policy, contract, agreement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Company hereby agrees that it is the indemnitor of first resort under this Agreement and under any other indemnification agreement (i.e., its obligations to Indemnitee under this Agreement or any other agreement or undertaking to provide advancement and/or indemnification to Indemnitee are primary and any obligation of Post (or any affiliate thereof other than a Company Entity) to provide advancement or indemnification for the same Expenses, liabilities, losses, judgments, fines, penalties, costs and amounts paid in settlement (including all interest, assessments and other charges paid or payable in connection with or in respect of such Expenses, liabilities, losses, judgments, fines, penalties, costs and amounts paid in settlement) incurred by Indemnitee, whether pursuant to contract or Organizational Documents or otherwise, are secondary); (ii) the Company hereby agrees that, subject to the other terms and conditions of this Agreement, it shall be required to advance the full amount of Expenses incurred by Indemnitee and shall be liable for the full amount of all Expenses, losses, liabilities, judgments, fines, penalties, costs and amounts paid in settlement to the extent legally permitted and as required by the terms of this Agreement and/or the Organizational Documents of the Company (or any other agreement between the Company and Indemnitee), without regard to any rights Indemnitee may have against Post or any affiliate thereof (other than a Company Entity); and (iii) if Post (or any affiliate thereof other than a Company Entity) pays or causes to be paid, for any reason, any amounts otherwise indemnifiable hereunder or under any other indemnification agreement (whether pursuant to contract or Organizational Documents) with Indemnitee, then (x) Post (or such affiliate, as the case may be) shall have a right to contribution and/or be fully subrogated to all rights of Indemnitee with respect to such payment and (y) the Company shall fully indemnify, reimburse and hold harmless Post (or such affiliate) for all such payments actually made by Post (or such affiliate).</w:t>
      </w:r>
    </w:p>
    <w:p>
      <w:pPr>
        <w:spacing w:after="0" w:line="67" w:lineRule="exact"/>
        <w:rPr>
          <w:rFonts w:ascii="Arial" w:cs="Arial" w:eastAsia="Arial" w:hAnsi="Arial"/>
          <w:sz w:val="16"/>
          <w:szCs w:val="16"/>
          <w:color w:val="auto"/>
        </w:rPr>
      </w:pPr>
    </w:p>
    <w:p>
      <w:pPr>
        <w:ind w:left="-444" w:right="80" w:firstLine="444"/>
        <w:spacing w:after="0" w:line="293" w:lineRule="auto"/>
        <w:tabs>
          <w:tab w:leader="none" w:pos="25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in respect of or relating to Indemnitee’s service at the request of the Company as a director, officer, employee, fiduciary, representative, partner or agent of any other Company Entity shall be reduced by any amount Indemnitee has actually received as payment of indemnification or advancement of Expenses from such other Company Entity, except to the extent that such indemnification payments and advance payment of Expenses when taken together with any such amount actually received from other Company Entities or under director and officer insurance policies maintained by one or more Company Entities are inadequate to fully pay all costs, Expenses or other items to the full extent that Indemnitee is otherwise entitled to indemnification or other payment hereunder.</w:t>
      </w:r>
    </w:p>
    <w:p>
      <w:pPr>
        <w:spacing w:after="0" w:line="56" w:lineRule="exact"/>
        <w:rPr>
          <w:rFonts w:ascii="Arial" w:cs="Arial" w:eastAsia="Arial" w:hAnsi="Arial"/>
          <w:sz w:val="16"/>
          <w:szCs w:val="16"/>
          <w:color w:val="auto"/>
        </w:rPr>
      </w:pPr>
    </w:p>
    <w:p>
      <w:pPr>
        <w:ind w:left="-444" w:right="60" w:firstLine="444"/>
        <w:spacing w:after="0" w:line="273" w:lineRule="auto"/>
        <w:tabs>
          <w:tab w:leader="none" w:pos="24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Except for the rights set forth in </w:t>
      </w:r>
      <w:r>
        <w:rPr>
          <w:rFonts w:ascii="Arial" w:cs="Arial" w:eastAsia="Arial" w:hAnsi="Arial"/>
          <w:sz w:val="17"/>
          <w:szCs w:val="17"/>
          <w:u w:val="single" w:color="auto"/>
          <w:color w:val="auto"/>
        </w:rPr>
        <w:t>Sections 11(c)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of this Agreement, the rights to indemnification and advancement of Expenses as provided by this Agreement shall not be deemed exclusive of any other rights to which Indemnitee may at any time, whenever conferred or arising, be entitled under applicable Law, under the Company Entities’ Organizational Documents or under any other agreement, vote of stockholders or resolution of directors or managers of any Company Entity, or otherwise, and every other right and remedy shall be cumulative and in addition to every other right and remedy given hereunder or now or hereafter existing at law or in equity or otherwise. Indemnitee’s rights under this Agreement are present contractual rights that fully vest upon Indemnitee’s first service as a director or officer of the Company.</w:t>
      </w:r>
    </w:p>
    <w:p>
      <w:pPr>
        <w:spacing w:after="0" w:line="70" w:lineRule="exact"/>
        <w:rPr>
          <w:rFonts w:ascii="Arial" w:cs="Arial" w:eastAsia="Arial" w:hAnsi="Arial"/>
          <w:sz w:val="17"/>
          <w:szCs w:val="17"/>
          <w:color w:val="auto"/>
        </w:rPr>
      </w:pPr>
    </w:p>
    <w:p>
      <w:pPr>
        <w:ind w:left="-444" w:right="60" w:firstLine="444"/>
        <w:spacing w:after="0" w:line="259" w:lineRule="auto"/>
        <w:tabs>
          <w:tab w:leader="none" w:pos="22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applicable Laws of the State of Delaware (or other applicable Law), whether by statute or judicial decision, permits greater indemnification or advancement of Expenses than would be</w:t>
      </w:r>
    </w:p>
    <w:p>
      <w:pPr>
        <w:spacing w:after="0" w:line="119" w:lineRule="exact"/>
        <w:rPr>
          <w:rFonts w:ascii="Arial" w:cs="Arial" w:eastAsia="Arial" w:hAnsi="Arial"/>
          <w:sz w:val="18"/>
          <w:szCs w:val="18"/>
          <w:color w:val="auto"/>
        </w:rPr>
      </w:pPr>
    </w:p>
    <w:p>
      <w:pPr>
        <w:ind w:left="5016" w:hanging="96"/>
        <w:spacing w:after="0"/>
        <w:tabs>
          <w:tab w:leader="none" w:pos="501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76"/>
          </w:cols>
          <w:pgMar w:left="884" w:top="274" w:right="439" w:bottom="1440" w:gutter="0" w:footer="0" w:header="0"/>
        </w:sectPr>
      </w:pPr>
    </w:p>
    <w:bookmarkStart w:id="204" w:name="page205"/>
    <w:bookmarkEnd w:id="20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afforded currently under the Company Entities’ Organizational Documents and this Agreement, it is the intent of the parties hereto that Indemnitee enjoy by this Agreement the greater benefits so afforded by such change. The assertion or employment of any right or remedy hereunder, or otherwise, shall not prevent the concurrent assertion or employment of any other right or remedy.</w:t>
      </w:r>
    </w:p>
    <w:p>
      <w:pPr>
        <w:spacing w:after="0" w:line="73" w:lineRule="exact"/>
        <w:rPr>
          <w:sz w:val="20"/>
          <w:szCs w:val="20"/>
          <w:color w:val="auto"/>
        </w:rPr>
      </w:pPr>
    </w:p>
    <w:p>
      <w:pPr>
        <w:ind w:left="720" w:hanging="276"/>
        <w:spacing w:after="0"/>
        <w:tabs>
          <w:tab w:leader="none" w:pos="72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Employment Rights; Successors; Third Party Beneficiaries</w:t>
      </w:r>
      <w:r>
        <w:rPr>
          <w:rFonts w:ascii="Arial" w:cs="Arial" w:eastAsia="Arial" w:hAnsi="Arial"/>
          <w:sz w:val="18"/>
          <w:szCs w:val="18"/>
          <w:color w:val="auto"/>
        </w:rPr>
        <w:t>.</w:t>
      </w:r>
    </w:p>
    <w:p>
      <w:pPr>
        <w:spacing w:after="0" w:line="117" w:lineRule="exact"/>
        <w:rPr>
          <w:sz w:val="20"/>
          <w:szCs w:val="20"/>
          <w:color w:val="auto"/>
        </w:rPr>
      </w:pPr>
    </w:p>
    <w:p>
      <w:pPr>
        <w:ind w:right="180" w:firstLine="444"/>
        <w:spacing w:after="0" w:line="308" w:lineRule="auto"/>
        <w:tabs>
          <w:tab w:leader="none" w:pos="68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This Agreement shall not be deemed an employment contract between the Company and Indemnitee. This Agreement shall continue in force as provided above after Indemnitee has ceased to serve as a director and/or officer of the Company or any other Corporate Status.</w:t>
      </w:r>
    </w:p>
    <w:p>
      <w:pPr>
        <w:spacing w:after="0" w:line="38" w:lineRule="exact"/>
        <w:rPr>
          <w:rFonts w:ascii="Arial" w:cs="Arial" w:eastAsia="Arial" w:hAnsi="Arial"/>
          <w:sz w:val="17"/>
          <w:szCs w:val="17"/>
          <w:color w:val="auto"/>
        </w:rPr>
      </w:pPr>
    </w:p>
    <w:p>
      <w:pPr>
        <w:ind w:right="900" w:firstLine="444"/>
        <w:spacing w:after="0" w:line="277" w:lineRule="auto"/>
        <w:tabs>
          <w:tab w:leader="none" w:pos="6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This Agreement shall be binding upon the Company and its successors and assigns and shall inure to the benefit of Indemnitee and Indemnitee’s heirs, executors and administrators.</w:t>
      </w:r>
    </w:p>
    <w:p>
      <w:pPr>
        <w:spacing w:after="0" w:line="62" w:lineRule="exact"/>
        <w:rPr>
          <w:rFonts w:ascii="Arial" w:cs="Arial" w:eastAsia="Arial" w:hAnsi="Arial"/>
          <w:sz w:val="18"/>
          <w:szCs w:val="18"/>
          <w:color w:val="auto"/>
        </w:rPr>
      </w:pPr>
    </w:p>
    <w:p>
      <w:pPr>
        <w:ind w:right="380" w:firstLine="444"/>
        <w:spacing w:after="0" w:line="277" w:lineRule="auto"/>
        <w:tabs>
          <w:tab w:leader="none" w:pos="6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Post and its affiliates are express third party beneficiaries of this Agreement, are entitled to rely upon this Agreement and may specifically enforce the Company’s obligations specified in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of this Agreement as though a party hereunder.</w:t>
      </w:r>
    </w:p>
    <w:p>
      <w:pPr>
        <w:spacing w:after="0" w:line="62" w:lineRule="exact"/>
        <w:rPr>
          <w:sz w:val="20"/>
          <w:szCs w:val="20"/>
          <w:color w:val="auto"/>
        </w:rPr>
      </w:pPr>
    </w:p>
    <w:p>
      <w:pPr>
        <w:ind w:left="720" w:hanging="276"/>
        <w:spacing w:after="0"/>
        <w:tabs>
          <w:tab w:leader="none" w:pos="720" w:val="left"/>
        </w:tabs>
        <w:numPr>
          <w:ilvl w:val="1"/>
          <w:numId w:val="23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rFonts w:ascii="Arial" w:cs="Arial" w:eastAsia="Arial" w:hAnsi="Arial"/>
          <w:sz w:val="16"/>
          <w:szCs w:val="16"/>
          <w:color w:val="auto"/>
        </w:rPr>
      </w:pPr>
    </w:p>
    <w:p>
      <w:pPr>
        <w:ind w:right="40" w:firstLine="4"/>
        <w:spacing w:after="0" w:line="268" w:lineRule="auto"/>
        <w:tabs>
          <w:tab w:leader="none" w:pos="24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 In the event any provision hereof conflicts with any applicable Law, such provision shall be deemed modified, consistent with the aforementioned intent, to the extent necessary to resolve such conflict.</w:t>
      </w:r>
    </w:p>
    <w:p>
      <w:pPr>
        <w:spacing w:after="0" w:line="73" w:lineRule="exact"/>
        <w:rPr>
          <w:rFonts w:ascii="Arial" w:cs="Arial" w:eastAsia="Arial" w:hAnsi="Arial"/>
          <w:sz w:val="17"/>
          <w:szCs w:val="17"/>
          <w:color w:val="auto"/>
        </w:rPr>
      </w:pPr>
    </w:p>
    <w:p>
      <w:pPr>
        <w:ind w:firstLine="444"/>
        <w:spacing w:after="0" w:line="269" w:lineRule="auto"/>
        <w:tabs>
          <w:tab w:leader="none" w:pos="711"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Exception to Right of Indemnification or Advancement of Expenses</w:t>
      </w:r>
      <w:r>
        <w:rPr>
          <w:rFonts w:ascii="Arial" w:cs="Arial" w:eastAsia="Arial" w:hAnsi="Arial"/>
          <w:sz w:val="17"/>
          <w:szCs w:val="17"/>
          <w:color w:val="auto"/>
        </w:rPr>
        <w:t xml:space="preserve">. Notwithstanding any other provision of this Agreement and except as provided in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of this Agreement or as may otherwise be agreed by the Company, Indemnitee shall not be entitled to indemnification or advancement of Expenses under this Agreement with respect to (i) any Proceeding brought by Indemnitee (other than a Proceeding by Indemnitee (x) by way of defense or counterclaim, unless a court of competent jurisdiction determines that each of the material assertions made by Indemnitee in such proceeding was not made in good faith or was frivolous, (y) to enforce Indemnitee’s rights under this Agreement or (z) to enforce any other rights of Indemnitee to indemnification, advancement or contribution from the Company under any other contract, Organizational Documents or under statute or other Law, including any rights under Section 145 of the General Corporation Law of the State of Delaware), unless the bringing of such Proceeding or making of such claim shall have been approved by the Board of Directors, (ii) any Proceeding in which a final non-appealable decision by a court of competent jurisdiction determines that such indemnification is prohibited by applicable Law, or (iii) the disgorgement of profits arising from the purchase or sale by Indemnitee of securities of the Company in violation of Section 16(b) of the Securities Exchange Act of 1934, as amended, or any similar successor statute.</w:t>
      </w:r>
    </w:p>
    <w:p>
      <w:pPr>
        <w:spacing w:after="0" w:line="115" w:lineRule="exact"/>
        <w:rPr>
          <w:rFonts w:ascii="Arial" w:cs="Arial" w:eastAsia="Arial" w:hAnsi="Arial"/>
          <w:sz w:val="17"/>
          <w:szCs w:val="17"/>
          <w:color w:val="auto"/>
        </w:rPr>
      </w:pPr>
    </w:p>
    <w:p>
      <w:pPr>
        <w:ind w:left="5420" w:hanging="101"/>
        <w:spacing w:after="0"/>
        <w:tabs>
          <w:tab w:leader="none" w:pos="542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20"/>
          </w:cols>
          <w:pgMar w:left="440" w:top="274" w:right="439" w:bottom="1440" w:gutter="0" w:footer="0" w:header="0"/>
        </w:sectPr>
      </w:pPr>
    </w:p>
    <w:bookmarkStart w:id="205" w:name="page206"/>
    <w:bookmarkEnd w:id="205"/>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left="-4" w:firstLine="444"/>
        <w:spacing w:after="0" w:line="264" w:lineRule="auto"/>
        <w:tabs>
          <w:tab w:leader="none" w:pos="68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Entity</w:t>
      </w:r>
      <w:r>
        <w:rPr>
          <w:rFonts w:ascii="Arial" w:cs="Arial" w:eastAsia="Arial" w:hAnsi="Arial"/>
          <w:sz w:val="18"/>
          <w:szCs w:val="18"/>
          <w:color w:val="auto"/>
        </w:rPr>
        <w:t>” means (i) the Company, (ii) any of its direct or indirect subsidiaries and (iii) any other corporation, partnership, limited liability company, joint venture, trust, employee benefit plan or other enterprise with respect to which Indemnitee serves as a director, officer, employee, partner, representative, fiduciary or agent, or in any similar capacity, at the request of the Company.</w:t>
      </w:r>
    </w:p>
    <w:p>
      <w:pPr>
        <w:spacing w:after="0" w:line="73" w:lineRule="exact"/>
        <w:rPr>
          <w:rFonts w:ascii="Arial" w:cs="Arial" w:eastAsia="Arial" w:hAnsi="Arial"/>
          <w:sz w:val="18"/>
          <w:szCs w:val="18"/>
          <w:color w:val="auto"/>
        </w:rPr>
      </w:pPr>
    </w:p>
    <w:p>
      <w:pPr>
        <w:ind w:left="696" w:hanging="256"/>
        <w:spacing w:after="0"/>
        <w:tabs>
          <w:tab w:leader="none" w:pos="69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4" w:right="300" w:firstLine="444"/>
        <w:spacing w:after="0" w:line="264" w:lineRule="auto"/>
        <w:tabs>
          <w:tab w:leader="none" w:pos="68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by reason of such person’s past, present or future service as a director or officer of the Company or any of its direct or indirect subsidiaries or by reason of such person’s past, present or future service, at the request of the Company, as a director, manager, officer, employee, fiduciary or agent of any other Company Entity.</w:t>
      </w:r>
    </w:p>
    <w:p>
      <w:pPr>
        <w:spacing w:after="0" w:line="73" w:lineRule="exact"/>
        <w:rPr>
          <w:rFonts w:ascii="Arial" w:cs="Arial" w:eastAsia="Arial" w:hAnsi="Arial"/>
          <w:sz w:val="18"/>
          <w:szCs w:val="18"/>
          <w:color w:val="auto"/>
        </w:rPr>
      </w:pPr>
    </w:p>
    <w:p>
      <w:pPr>
        <w:ind w:left="-4" w:right="100" w:firstLine="444"/>
        <w:spacing w:after="0" w:line="255" w:lineRule="auto"/>
        <w:tabs>
          <w:tab w:leader="none" w:pos="69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means a determination that either (x) there is a reasonable basis for the conclusion that indemnification of Indemnitee is proper in the circumstances because Indemnitee met a particular standard of conduct that is a required condition to indemnification of Indemnitee hereunder (a “</w:t>
      </w:r>
      <w:r>
        <w:rPr>
          <w:rFonts w:ascii="Arial" w:cs="Arial" w:eastAsia="Arial" w:hAnsi="Arial"/>
          <w:sz w:val="18"/>
          <w:szCs w:val="18"/>
          <w:u w:val="single" w:color="auto"/>
          <w:color w:val="auto"/>
        </w:rPr>
        <w:t>Favorable Determination</w:t>
      </w:r>
      <w:r>
        <w:rPr>
          <w:rFonts w:ascii="Arial" w:cs="Arial" w:eastAsia="Arial" w:hAnsi="Arial"/>
          <w:sz w:val="18"/>
          <w:szCs w:val="18"/>
          <w:color w:val="auto"/>
        </w:rPr>
        <w:t>”) or (y) there is no reasonable basis for the conclusion that indemnification of Indemnitee is proper in the circumstances because Indemnitee met a particular standard of conduct that is a required condition to indemnification of Indemnitee hereunder (an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An Adverse Determination shall include the decision that a Determination was required in connection with indemnification and the decision as to the applicable standard of conduct.</w:t>
      </w:r>
    </w:p>
    <w:p>
      <w:pPr>
        <w:spacing w:after="0" w:line="85" w:lineRule="exact"/>
        <w:rPr>
          <w:rFonts w:ascii="Arial" w:cs="Arial" w:eastAsia="Arial" w:hAnsi="Arial"/>
          <w:sz w:val="18"/>
          <w:szCs w:val="18"/>
          <w:color w:val="auto"/>
        </w:rPr>
      </w:pPr>
    </w:p>
    <w:p>
      <w:pPr>
        <w:ind w:left="-4" w:right="1140" w:firstLine="444"/>
        <w:spacing w:after="0" w:line="277" w:lineRule="auto"/>
        <w:tabs>
          <w:tab w:leader="none" w:pos="68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62" w:lineRule="exact"/>
        <w:rPr>
          <w:rFonts w:ascii="Arial" w:cs="Arial" w:eastAsia="Arial" w:hAnsi="Arial"/>
          <w:sz w:val="18"/>
          <w:szCs w:val="18"/>
          <w:color w:val="auto"/>
        </w:rPr>
      </w:pPr>
    </w:p>
    <w:p>
      <w:pPr>
        <w:ind w:left="-4" w:firstLine="444"/>
        <w:spacing w:after="0" w:line="289" w:lineRule="auto"/>
        <w:tabs>
          <w:tab w:leader="none" w:pos="66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reasonable direct and indirect costs, fees and expenses of any type or nature whatsoever and shall specifically include, without limitation, all reasonable outside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outside attorneys’ fees and all other expenses incurred by or on behalf of Indemnitee in connection with preparing and submitting any requests or statements for indemnification, advancement, contribution or any other right provided by this Agreement. Expenses, however, shall not include amounts paid in settlement by Indemnitee or the amounts of judgments or fines against Indemnitee.</w:t>
      </w:r>
    </w:p>
    <w:p>
      <w:pPr>
        <w:spacing w:after="0" w:line="58" w:lineRule="exact"/>
        <w:rPr>
          <w:rFonts w:ascii="Arial" w:cs="Arial" w:eastAsia="Arial" w:hAnsi="Arial"/>
          <w:sz w:val="16"/>
          <w:szCs w:val="16"/>
          <w:color w:val="auto"/>
        </w:rPr>
      </w:pPr>
    </w:p>
    <w:p>
      <w:pPr>
        <w:ind w:left="696" w:hanging="256"/>
        <w:spacing w:after="0"/>
        <w:tabs>
          <w:tab w:leader="none" w:pos="696"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at any time, any law firm, or a member of a law firm, that (a) is experienced in matters of corporation law and</w:t>
      </w:r>
    </w:p>
    <w:p>
      <w:pPr>
        <w:spacing w:after="0" w:line="46" w:lineRule="exact"/>
        <w:rPr>
          <w:rFonts w:ascii="Arial" w:cs="Arial" w:eastAsia="Arial" w:hAnsi="Arial"/>
          <w:sz w:val="16"/>
          <w:szCs w:val="16"/>
          <w:color w:val="auto"/>
        </w:rPr>
      </w:pPr>
    </w:p>
    <w:p>
      <w:pPr>
        <w:ind w:left="-4" w:right="60" w:firstLine="4"/>
        <w:spacing w:after="0" w:line="252" w:lineRule="auto"/>
        <w:tabs>
          <w:tab w:leader="none" w:pos="25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not, at such time, or has not been in the five years prior to such time, retained to represent: (i) any Company Entity or Indemnitee in any matter material to either such party (other than with respect to matters concerning Indemnitee under this Agreement, or of other indemnities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and to be liable therefor.</w:t>
      </w:r>
    </w:p>
    <w:p>
      <w:pPr>
        <w:spacing w:after="0" w:line="124" w:lineRule="exact"/>
        <w:rPr>
          <w:rFonts w:ascii="Arial" w:cs="Arial" w:eastAsia="Arial" w:hAnsi="Arial"/>
          <w:sz w:val="18"/>
          <w:szCs w:val="18"/>
          <w:color w:val="auto"/>
        </w:rPr>
      </w:pPr>
    </w:p>
    <w:p>
      <w:pPr>
        <w:ind w:left="5416" w:hanging="98"/>
        <w:spacing w:after="0"/>
        <w:tabs>
          <w:tab w:leader="none" w:pos="5416" w:val="left"/>
        </w:tabs>
        <w:numPr>
          <w:ilvl w:val="2"/>
          <w:numId w:val="236"/>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76"/>
          </w:cols>
          <w:pgMar w:left="444" w:top="274" w:right="479" w:bottom="1440" w:gutter="0" w:footer="0" w:header="0"/>
        </w:sectPr>
      </w:pPr>
    </w:p>
    <w:bookmarkStart w:id="206" w:name="page207"/>
    <w:bookmarkEnd w:id="206"/>
    <w:p>
      <w:pPr>
        <w:ind w:left="-40" w:right="580" w:firstLine="444"/>
        <w:spacing w:after="0" w:line="277" w:lineRule="auto"/>
        <w:tabs>
          <w:tab w:leader="none" w:pos="656"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an entity’s charter, bylaws, partnership agreement, limited liability company agreement, operating agreement, indemnification agreement or other similar or equivalent agreement or document.</w:t>
      </w:r>
    </w:p>
    <w:p>
      <w:pPr>
        <w:spacing w:after="0" w:line="62" w:lineRule="exact"/>
        <w:rPr>
          <w:rFonts w:ascii="Arial" w:cs="Arial" w:eastAsia="Arial" w:hAnsi="Arial"/>
          <w:sz w:val="18"/>
          <w:szCs w:val="18"/>
          <w:color w:val="auto"/>
        </w:rPr>
      </w:pPr>
    </w:p>
    <w:p>
      <w:pPr>
        <w:ind w:left="620" w:hanging="216"/>
        <w:spacing w:after="0"/>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w:t>
      </w:r>
      <w:r>
        <w:rPr>
          <w:rFonts w:ascii="Arial" w:cs="Arial" w:eastAsia="Arial" w:hAnsi="Arial"/>
          <w:sz w:val="18"/>
          <w:szCs w:val="18"/>
          <w:color w:val="auto"/>
        </w:rPr>
        <w:t>” means Post Holdings, Inc., a Missouri corporation.</w:t>
      </w:r>
    </w:p>
    <w:p>
      <w:pPr>
        <w:spacing w:after="0" w:line="117" w:lineRule="exact"/>
        <w:rPr>
          <w:rFonts w:ascii="Arial" w:cs="Arial" w:eastAsia="Arial" w:hAnsi="Arial"/>
          <w:sz w:val="18"/>
          <w:szCs w:val="18"/>
          <w:color w:val="auto"/>
        </w:rPr>
      </w:pPr>
    </w:p>
    <w:p>
      <w:pPr>
        <w:ind w:left="-40" w:right="20" w:firstLine="444"/>
        <w:spacing w:after="0" w:line="271" w:lineRule="auto"/>
        <w:tabs>
          <w:tab w:leader="none" w:pos="61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includes any actual, threatened, pending or completed action, suit, arbitration, alternate dispute resolution mechanism, investigation, inquiry, administrative hearing or any other actual, threatened, pending or completed proceeding, whether brought by or in the right of the Company or otherwise and whether civil, criminal, administrative or investigative in nature, in which Indemnitee was, is, may be or will be involved as a party, witness or otherwise, by reason of Indemnitee’s Corporate Status or by reason of any action taken by Indemnitee or of any inaction on Indemnitee’s part while acting as director or officer (or equivalent position) of any Company Entity (in each case whether or not Indemnitee is acting or serving in any such capacity or has such status at the time any liability or expense is incurred for which indemnification or advancement of Expenses can be provided under this Agreement), including any pending on or before the date of this Agreement, but excluding any initiated by an Indemnitee pursuant to </w:t>
      </w:r>
      <w:r>
        <w:rPr>
          <w:rFonts w:ascii="Arial" w:cs="Arial" w:eastAsia="Arial" w:hAnsi="Arial"/>
          <w:sz w:val="17"/>
          <w:szCs w:val="17"/>
          <w:u w:val="single" w:color="auto"/>
          <w:color w:val="auto"/>
        </w:rPr>
        <w:t>Section 10(f)</w:t>
      </w:r>
      <w:r>
        <w:rPr>
          <w:rFonts w:ascii="Arial" w:cs="Arial" w:eastAsia="Arial" w:hAnsi="Arial"/>
          <w:sz w:val="17"/>
          <w:szCs w:val="17"/>
          <w:color w:val="auto"/>
        </w:rPr>
        <w:t xml:space="preserve"> of this Agreement to enforce Indemnitee’s rights under this Agreement.</w:t>
      </w:r>
    </w:p>
    <w:p>
      <w:pPr>
        <w:spacing w:after="0" w:line="70" w:lineRule="exact"/>
        <w:rPr>
          <w:rFonts w:ascii="Arial" w:cs="Arial" w:eastAsia="Arial" w:hAnsi="Arial"/>
          <w:sz w:val="17"/>
          <w:szCs w:val="17"/>
          <w:color w:val="auto"/>
        </w:rPr>
      </w:pPr>
    </w:p>
    <w:p>
      <w:pPr>
        <w:ind w:left="-40" w:right="520" w:firstLine="444"/>
        <w:spacing w:after="0" w:line="342" w:lineRule="auto"/>
        <w:tabs>
          <w:tab w:leader="none" w:pos="655"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Whenever required by the context, as used in this Agreement the singular number shall include the plural, the plural shall include the singular and all words herein in any gender shall be deemed to include (as appropriate) the masculine, feminine and neuter genders.</w:t>
      </w:r>
    </w:p>
    <w:p>
      <w:pPr>
        <w:spacing w:after="0" w:line="16" w:lineRule="exact"/>
        <w:rPr>
          <w:sz w:val="20"/>
          <w:szCs w:val="20"/>
          <w:color w:val="auto"/>
        </w:rPr>
      </w:pPr>
    </w:p>
    <w:p>
      <w:pPr>
        <w:ind w:left="680" w:hanging="276"/>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Reliance; Integration</w:t>
      </w:r>
      <w:r>
        <w:rPr>
          <w:rFonts w:ascii="Arial" w:cs="Arial" w:eastAsia="Arial" w:hAnsi="Arial"/>
          <w:sz w:val="18"/>
          <w:szCs w:val="18"/>
          <w:color w:val="auto"/>
        </w:rPr>
        <w:t>.</w:t>
      </w:r>
    </w:p>
    <w:p>
      <w:pPr>
        <w:spacing w:after="0" w:line="117" w:lineRule="exact"/>
        <w:rPr>
          <w:sz w:val="20"/>
          <w:szCs w:val="20"/>
          <w:color w:val="auto"/>
        </w:rPr>
      </w:pPr>
    </w:p>
    <w:p>
      <w:pPr>
        <w:ind w:left="-40" w:firstLine="444"/>
        <w:spacing w:after="0" w:line="264" w:lineRule="auto"/>
        <w:tabs>
          <w:tab w:leader="none" w:pos="64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and/or officer of the Company, and the Company acknowledges that Indemnitee is relying upon this Agreement in serving as a director and/or officer of the Company.</w:t>
      </w:r>
    </w:p>
    <w:p>
      <w:pPr>
        <w:spacing w:after="0" w:line="73" w:lineRule="exact"/>
        <w:rPr>
          <w:rFonts w:ascii="Arial" w:cs="Arial" w:eastAsia="Arial" w:hAnsi="Arial"/>
          <w:sz w:val="18"/>
          <w:szCs w:val="18"/>
          <w:color w:val="auto"/>
        </w:rPr>
      </w:pPr>
    </w:p>
    <w:p>
      <w:pPr>
        <w:ind w:left="-40" w:right="180" w:firstLine="444"/>
        <w:spacing w:after="0" w:line="308" w:lineRule="auto"/>
        <w:tabs>
          <w:tab w:leader="none" w:pos="656"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8" w:lineRule="exact"/>
        <w:rPr>
          <w:sz w:val="20"/>
          <w:szCs w:val="20"/>
          <w:color w:val="auto"/>
        </w:rPr>
      </w:pPr>
    </w:p>
    <w:p>
      <w:pPr>
        <w:ind w:left="-40" w:right="240" w:firstLine="444"/>
        <w:spacing w:after="0" w:line="286" w:lineRule="auto"/>
        <w:tabs>
          <w:tab w:leader="none" w:pos="671"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termination or amendment of this Agreement shall be binding unless executed in a writing identified as such by each of the parties hereto. No waiver of any of the provisions of this Agreement shall be deemed or shall constitute a waiver of any other provisions hereof (whether or not similar) nor shall such waiver constitute a continuing waiver.</w:t>
      </w:r>
    </w:p>
    <w:p>
      <w:pPr>
        <w:spacing w:after="0" w:line="57" w:lineRule="exact"/>
        <w:rPr>
          <w:rFonts w:ascii="Arial" w:cs="Arial" w:eastAsia="Arial" w:hAnsi="Arial"/>
          <w:sz w:val="17"/>
          <w:szCs w:val="17"/>
          <w:color w:val="auto"/>
        </w:rPr>
      </w:pPr>
    </w:p>
    <w:p>
      <w:pPr>
        <w:ind w:left="-40" w:firstLine="444"/>
        <w:spacing w:after="0" w:line="259" w:lineRule="auto"/>
        <w:tabs>
          <w:tab w:leader="none" w:pos="67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duly delivered: (i) upon receipt if delivered personally, (ii) one Business Day after it is sent by commercial overnight courier service, or (iii) by electronic mail (in which case, it will be effective on the day sent, or, if not a business day, on the immediately following business day) to the parties at the following addresses (or at such other address for a party as shall be specified by such party by like notice):</w:t>
      </w:r>
    </w:p>
    <w:p>
      <w:pPr>
        <w:spacing w:after="0" w:line="79" w:lineRule="exact"/>
        <w:rPr>
          <w:sz w:val="20"/>
          <w:szCs w:val="20"/>
          <w:color w:val="auto"/>
        </w:rPr>
      </w:pPr>
    </w:p>
    <w:p>
      <w:pPr>
        <w:ind w:left="1400" w:right="8860" w:hanging="996"/>
        <w:spacing w:after="0" w:line="449" w:lineRule="auto"/>
        <w:tabs>
          <w:tab w:leader="none" w:pos="65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If to Indemnitee, to: E-mail:</w:t>
      </w: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40"/>
          </w:cols>
          <w:pgMar w:left="480" w:top="274" w:right="479" w:bottom="1440" w:gutter="0" w:footer="0" w:header="0"/>
        </w:sectPr>
      </w:pPr>
    </w:p>
    <w:bookmarkStart w:id="207" w:name="page208"/>
    <w:bookmarkEnd w:id="2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to the Company, to:</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Craig Rosenthal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Lewis Rice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600 Washington Avenue, Suite 2500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Louis, MO 63101</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Tom W. Zook</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or to such other address as may have been furnished (in the manner prescribed above) as follows: (a) in the case of a change in address for notices to Indemnitee, furnished by Indemnitee to the Company and (b) in the case of a change in address for notices to the Company, furnished by the Company to Indemnitee.</w:t>
      </w:r>
    </w:p>
    <w:p>
      <w:pPr>
        <w:spacing w:after="0" w:line="73" w:lineRule="exact"/>
        <w:rPr>
          <w:sz w:val="20"/>
          <w:szCs w:val="20"/>
          <w:color w:val="auto"/>
        </w:rPr>
      </w:pPr>
    </w:p>
    <w:p>
      <w:pPr>
        <w:ind w:firstLine="444"/>
        <w:spacing w:after="0" w:line="290" w:lineRule="auto"/>
        <w:tabs>
          <w:tab w:leader="none" w:pos="711"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Appointment of Agent for Service of Process</w:t>
      </w:r>
      <w:r>
        <w:rPr>
          <w:rFonts w:ascii="Arial" w:cs="Arial" w:eastAsia="Arial" w:hAnsi="Arial"/>
          <w:sz w:val="16"/>
          <w:szCs w:val="16"/>
          <w:color w:val="auto"/>
        </w:rPr>
        <w:t>. This Agreement and the legal relations among the parties shall, to the fullest extent permitted by Law,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 of Chancery of the State of Delaware (the “</w:t>
      </w:r>
      <w:r>
        <w:rPr>
          <w:rFonts w:ascii="Arial" w:cs="Arial" w:eastAsia="Arial" w:hAnsi="Arial"/>
          <w:sz w:val="16"/>
          <w:szCs w:val="16"/>
          <w:u w:val="single" w:color="auto"/>
          <w:color w:val="auto"/>
        </w:rPr>
        <w:t>Designated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Designated Court for purposes of any action or proceeding arising out of or in connection with this Agreement, (iii) waive any objection to the laying of venue of any such action or proceeding in the Designated Court, and (iv) waive, and agree not to plead or to make, any claim that any such action or proceeding brought in the Designated Court has been brought in an improper or otherwise inconvenient forum.</w:t>
      </w:r>
    </w:p>
    <w:p>
      <w:pPr>
        <w:spacing w:after="0" w:line="58" w:lineRule="exact"/>
        <w:rPr>
          <w:rFonts w:ascii="Arial" w:cs="Arial" w:eastAsia="Arial" w:hAnsi="Arial"/>
          <w:sz w:val="16"/>
          <w:szCs w:val="16"/>
          <w:color w:val="auto"/>
        </w:rPr>
      </w:pPr>
    </w:p>
    <w:p>
      <w:pPr>
        <w:ind w:right="200" w:firstLine="444"/>
        <w:spacing w:after="0" w:line="277"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62" w:lineRule="exact"/>
        <w:rPr>
          <w:rFonts w:ascii="Arial" w:cs="Arial" w:eastAsia="Arial" w:hAnsi="Arial"/>
          <w:sz w:val="18"/>
          <w:szCs w:val="18"/>
          <w:color w:val="auto"/>
        </w:rPr>
      </w:pPr>
    </w:p>
    <w:p>
      <w:pPr>
        <w:ind w:right="180" w:firstLine="444"/>
        <w:spacing w:after="0" w:line="286" w:lineRule="auto"/>
        <w:tabs>
          <w:tab w:leader="none" w:pos="711"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or otherwise) to the other parties.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60"/>
          </w:cols>
          <w:pgMar w:left="440" w:top="274" w:right="499" w:bottom="1440" w:gutter="0" w:footer="0" w:header="0"/>
        </w:sectPr>
      </w:pPr>
    </w:p>
    <w:bookmarkStart w:id="208" w:name="page209"/>
    <w:bookmarkEnd w:id="20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5812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w:t>
      </w:r>
      <w:r>
        <w:rPr>
          <w:rFonts w:ascii="Arial" w:cs="Arial" w:eastAsia="Arial" w:hAnsi="Arial"/>
          <w:sz w:val="18"/>
          <w:szCs w:val="18"/>
          <w:color w:val="auto"/>
        </w:rPr>
        <w:t xml:space="preserve"> – I</w:t>
      </w:r>
      <w:r>
        <w:rPr>
          <w:rFonts w:ascii="Arial" w:cs="Arial" w:eastAsia="Arial" w:hAnsi="Arial"/>
          <w:sz w:val="15"/>
          <w:szCs w:val="15"/>
          <w:color w:val="auto"/>
        </w:rPr>
        <w:t>NDEMNIFICATION</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17145</wp:posOffset>
            </wp:positionV>
            <wp:extent cx="2795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w:t>
      </w:r>
      <w:r>
        <w:rPr>
          <w:rFonts w:ascii="Arial" w:cs="Arial" w:eastAsia="Arial" w:hAnsi="Arial"/>
          <w:sz w:val="18"/>
          <w:szCs w:val="18"/>
          <w:color w:val="auto"/>
        </w:rPr>
        <w:t xml:space="preserve"> – I</w:t>
      </w:r>
      <w:r>
        <w:rPr>
          <w:rFonts w:ascii="Arial" w:cs="Arial" w:eastAsia="Arial" w:hAnsi="Arial"/>
          <w:sz w:val="15"/>
          <w:szCs w:val="15"/>
          <w:color w:val="auto"/>
        </w:rPr>
        <w:t>NDEMNIFICATION</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 ASSIGNMENT AND ASSUMPTION AGREEMENT</w:t>
      </w:r>
    </w:p>
    <w:p>
      <w:pPr>
        <w:spacing w:after="0" w:line="229" w:lineRule="exact"/>
        <w:rPr>
          <w:sz w:val="20"/>
          <w:szCs w:val="20"/>
          <w:color w:val="auto"/>
        </w:rPr>
      </w:pPr>
    </w:p>
    <w:p>
      <w:pPr>
        <w:ind w:right="460" w:firstLine="441"/>
        <w:spacing w:after="0" w:line="312" w:lineRule="auto"/>
        <w:rPr>
          <w:sz w:val="20"/>
          <w:szCs w:val="20"/>
          <w:color w:val="auto"/>
        </w:rPr>
      </w:pPr>
      <w:r>
        <w:rPr>
          <w:rFonts w:ascii="Arial" w:cs="Arial" w:eastAsia="Arial" w:hAnsi="Arial"/>
          <w:sz w:val="16"/>
          <w:szCs w:val="16"/>
          <w:color w:val="auto"/>
        </w:rPr>
        <w:t>This Assignment and Assumption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October 21, 2019, is among Post Holdings, Inc., a Missouri corporation, as assignor (“</w:t>
      </w:r>
      <w:r>
        <w:rPr>
          <w:rFonts w:ascii="Arial" w:cs="Arial" w:eastAsia="Arial" w:hAnsi="Arial"/>
          <w:sz w:val="16"/>
          <w:szCs w:val="16"/>
          <w:u w:val="single" w:color="auto"/>
          <w:color w:val="auto"/>
        </w:rPr>
        <w:t>Assignor</w:t>
      </w:r>
      <w:r>
        <w:rPr>
          <w:rFonts w:ascii="Arial" w:cs="Arial" w:eastAsia="Arial" w:hAnsi="Arial"/>
          <w:sz w:val="16"/>
          <w:szCs w:val="16"/>
          <w:color w:val="auto"/>
        </w:rPr>
        <w:t>”), BellRing Brands, LLC, a Delaware limited liability company, as assignee (“</w:t>
      </w:r>
      <w:r>
        <w:rPr>
          <w:rFonts w:ascii="Arial" w:cs="Arial" w:eastAsia="Arial" w:hAnsi="Arial"/>
          <w:sz w:val="16"/>
          <w:szCs w:val="16"/>
          <w:u w:val="single" w:color="auto"/>
          <w:color w:val="auto"/>
        </w:rPr>
        <w:t>Assignee</w:t>
      </w:r>
      <w:r>
        <w:rPr>
          <w:rFonts w:ascii="Arial" w:cs="Arial" w:eastAsia="Arial" w:hAnsi="Arial"/>
          <w:sz w:val="16"/>
          <w:szCs w:val="16"/>
          <w:color w:val="auto"/>
        </w:rPr>
        <w:t>”) and Morgan Stanley Senior Funding, Inc., as administrative agent (in such capacity and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w:t>
      </w:r>
    </w:p>
    <w:p>
      <w:pPr>
        <w:spacing w:after="0" w:line="225" w:lineRule="exact"/>
        <w:rPr>
          <w:sz w:val="20"/>
          <w:szCs w:val="20"/>
          <w:color w:val="auto"/>
        </w:rPr>
      </w:pPr>
    </w:p>
    <w:p>
      <w:pPr>
        <w:ind w:right="500" w:firstLine="441"/>
        <w:spacing w:after="0" w:line="297" w:lineRule="auto"/>
        <w:rPr>
          <w:sz w:val="20"/>
          <w:szCs w:val="20"/>
          <w:color w:val="auto"/>
        </w:rPr>
      </w:pPr>
      <w:r>
        <w:rPr>
          <w:rFonts w:ascii="Arial" w:cs="Arial" w:eastAsia="Arial" w:hAnsi="Arial"/>
          <w:sz w:val="16"/>
          <w:szCs w:val="16"/>
          <w:color w:val="auto"/>
        </w:rPr>
        <w:t>Assignor, the Lenders and the Administrative Agent are parties to that certain Bridge Facility Agreement, dated as of October 11, 2019, (as amended, restated, supplemented or otherwise modified through the date hereof, the “</w:t>
      </w:r>
      <w:r>
        <w:rPr>
          <w:rFonts w:ascii="Arial" w:cs="Arial" w:eastAsia="Arial" w:hAnsi="Arial"/>
          <w:sz w:val="16"/>
          <w:szCs w:val="16"/>
          <w:u w:val="single" w:color="auto"/>
          <w:color w:val="auto"/>
        </w:rPr>
        <w:t>Bridge Facility Agreement</w:t>
      </w:r>
      <w:r>
        <w:rPr>
          <w:rFonts w:ascii="Arial" w:cs="Arial" w:eastAsia="Arial" w:hAnsi="Arial"/>
          <w:sz w:val="16"/>
          <w:szCs w:val="16"/>
          <w:color w:val="auto"/>
        </w:rPr>
        <w:t xml:space="preserve">”), under which the Lenders have provided bridge loans to the Assignor. In connection with the contribution to the Assignee of certain assets of Assignor, Assignee will become the Borrower under the Bridge Facility Agreement upon the execution and delivery of this Agreement (and satisfaction of the conditions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4.02 (Conditions Precedent to the Debt Assumption) of the Bridge Facility Agreement) to the Administrative Agent.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In consideration of the mutual promises and covenants contained in this Agreement and for other valuable consideration, the receipt and sufficiency of which are hereby acknowledged, the parties agree as follows.</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defined in the Bridge Facility Agreement and not defined herein are used herein (including in the Recital hereto) with the meanings so defined.</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Subject to the satisfaction of the conditions precedent to the Debt Assumption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4.02 (Conditions Precedent to the Debt Assumption) of the Bridge Facility Agreement, including (without limitation) the execution and delivery of this Agreement by the Assignor and the Assignee, effective as of the date hereof (the “</w:t>
      </w:r>
      <w:r>
        <w:rPr>
          <w:rFonts w:ascii="Arial" w:cs="Arial" w:eastAsia="Arial" w:hAnsi="Arial"/>
          <w:sz w:val="18"/>
          <w:szCs w:val="18"/>
          <w:u w:val="single" w:color="auto"/>
          <w:color w:val="auto"/>
        </w:rPr>
        <w:t>Assumption Date</w:t>
      </w:r>
      <w:r>
        <w:rPr>
          <w:rFonts w:ascii="Arial" w:cs="Arial" w:eastAsia="Arial" w:hAnsi="Arial"/>
          <w:sz w:val="18"/>
          <w:szCs w:val="18"/>
          <w:color w:val="auto"/>
        </w:rPr>
        <w:t>”) immediately upon the execution and delivery of this Agreement:</w:t>
      </w:r>
    </w:p>
    <w:p>
      <w:pPr>
        <w:spacing w:after="0" w:line="187" w:lineRule="exact"/>
        <w:rPr>
          <w:sz w:val="20"/>
          <w:szCs w:val="20"/>
          <w:color w:val="auto"/>
        </w:rPr>
      </w:pPr>
    </w:p>
    <w:p>
      <w:pPr>
        <w:ind w:right="60" w:firstLine="992"/>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2.5 below, Assignor hereby irrevocably assigns and transfers to Assignee all of Assignor’s rights, title and interests and duties, liabilities and obligations under the Bridge Facility Agreement and the other Loan Documents and Assignee hereby irrevocably and unconditionally accepts such rights, title and interests and assumes such duties, liabilities and obligations from Assignor on the Assumption Date on the terms contained herein, excluding any claims, liabilities or obligations arising from any failure of Assignor to perform any of its covenants, agreements, commitments and/or obligations to be performed by Assignor on or prior to the Closing Date under the Bridge Facility Agreement or any other Loan Document; provided, for the avoidance of doubt, that interest accrued under the Bridge Facility Agreement or any other Loan Document, whether prior to, on, or after the date hereof, shall be the sole obligation of the Assignee. For the avoidance of doubt, fees, costs and expenses (including any indemnification obligations) accruing up to and including the Closing Date shall be paid by the Assignor, and fees, costs and expenses (including any indemnification obligations) accruing after the Closing Date shall be assumed and paid by the Assignee. The Assignee hereby confirms and agrees that the Bridge Facility Agreement and the other Loan Documents are, and shall continue on and after the Assumption Date to be, in full force and effect in accordance with their respective terms and are hereby ratified and confirmed by the Assignee in all respects. If the Assignor makes a payment of principal, interest or fees to a Lender under the Loans on or after the Assumption Date,</w:t>
      </w:r>
    </w:p>
    <w:p>
      <w:pPr>
        <w:sectPr>
          <w:pgSz w:w="11900" w:h="16838" w:orient="portrait"/>
          <w:cols w:equalWidth="0" w:num="1">
            <w:col w:w="11020"/>
          </w:cols>
          <w:pgMar w:left="440" w:top="121" w:right="439" w:bottom="1440" w:gutter="0" w:footer="0" w:header="0"/>
        </w:sectPr>
      </w:pPr>
    </w:p>
    <w:bookmarkStart w:id="211" w:name="page212"/>
    <w:bookmarkEnd w:id="2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shall become liable to the Assignor for reimbursement of such payment on the same terms under which the Assignee would be liable to the Lenders under the Bridge Facility Agreement; provided that, notwithstanding the foregoing, all rights of the Assignor against the Assignee in respect of such liability and reimbursement shall in all respects be subordinated and junior in right of payment to the prior indefeasible payment in full in cash of all amounts owed by the Assignee to the Lenders under the Bridge Facility Agreement. Without limiting the foregoing, by executing and delivering this Agreement, Assignee hereby (i) becomes a party to the Guarantee and Collateral Agreement as a Grantor (as defined therein) thereunder with the same force and effect as if originally named therein as a Grantor (as defined therein) and, without limiting the generality of the foregoing, hereby expressly assumes all obligations and liabilities of a Grantor (as defined therein) thereunder, and (ii) grants to the Administrative Agent, for the benefit of the Secured Parties, as collateral security for the prompt and complete payment and performance when due (whether at the stated maturity, by acceleration or otherwise) of Assignee’s Obligations, a security interest and Lien in all of the Collateral (as defined in the Guarantee and Collateral Agreement) of Assignee, wherever located and now owned or at any time hereafter acquired by Assignee or in which Assignee now has or at any time in the future may acquire any right, title or interest.</w:t>
      </w:r>
    </w:p>
    <w:p>
      <w:pPr>
        <w:spacing w:after="0" w:line="183" w:lineRule="exact"/>
        <w:rPr>
          <w:sz w:val="20"/>
          <w:szCs w:val="20"/>
          <w:color w:val="auto"/>
        </w:rPr>
      </w:pPr>
    </w:p>
    <w:p>
      <w:pPr>
        <w:ind w:right="100" w:firstLine="992"/>
        <w:spacing w:after="0" w:line="31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Release of Assignor of Duties, Liabilities and Obligations</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9.10(f)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11.06(a)(i) of the Bridge Facility Agreement, the Administrative Agent, on behalf of the Lenders and without recourse or warranty, hereby agrees that, except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2.1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2.5, the Assignor is released from all duties, liabilities and obligations under the Bridge Facility Agreement and the other Loan Documents.</w:t>
      </w:r>
    </w:p>
    <w:p>
      <w:pPr>
        <w:spacing w:after="0" w:line="147" w:lineRule="exact"/>
        <w:rPr>
          <w:sz w:val="20"/>
          <w:szCs w:val="20"/>
          <w:color w:val="auto"/>
        </w:rPr>
      </w:pPr>
    </w:p>
    <w:p>
      <w:pPr>
        <w:ind w:right="120" w:firstLine="992"/>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Lender’s Acceptance of Assignment and Assumption by Assignee</w:t>
      </w:r>
      <w:r>
        <w:rPr>
          <w:rFonts w:ascii="Arial" w:cs="Arial" w:eastAsia="Arial" w:hAnsi="Arial"/>
          <w:sz w:val="16"/>
          <w:szCs w:val="16"/>
          <w:color w:val="auto"/>
        </w:rPr>
        <w:t xml:space="preserve">. The Administrative Agent, for itself and on behalf of the Lenders, hereby consents to the assignment and assumption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2.1 above, and, except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2.1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2.5 hereof, accepts the liability of Assignee as Borrower in place of the liability of Assignor as Borrower arising out of or related to the Bridge Facility Agreement or any other Loan Document and grants to Assignee the same rights under or arising out of or related to the Bridge Facility Agreement or any other Loan Document as were granted to Assignor in every way as if Assignee was and had been the Borrower instead of and in place of Assignor.</w:t>
      </w:r>
    </w:p>
    <w:p>
      <w:pPr>
        <w:spacing w:after="0" w:line="158"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Release of Pre-Assumption Guarantors (Other Than the Post-Assumption Guarantors)</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9.10 of the Bridge Facility Agreement, the Administrative Agent, on behalf of the Lenders and without recourse or warranty, hereby agrees that (x) each Pre-Assumption Guarantor (other than the Post-Assumption Guarantors and other than Assignee) is released from all of its duties, liabilities and obligations under the Guarantee and Collateral Agreement and the other Loan Documents, and (y) the Guarantee of each Pre-Assumption Guarantor (other than the Post-Assumption Guarantors) is hereby terminated.</w:t>
      </w:r>
    </w:p>
    <w:p>
      <w:pPr>
        <w:spacing w:after="0" w:line="188" w:lineRule="exact"/>
        <w:rPr>
          <w:sz w:val="20"/>
          <w:szCs w:val="20"/>
          <w:color w:val="auto"/>
        </w:rPr>
      </w:pPr>
    </w:p>
    <w:p>
      <w:pPr>
        <w:ind w:right="340" w:firstLine="992"/>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Continuing Agreements of the Assignor and Pre-Assumption Guarantors (Other Than the Post-Assumption Guarantors)</w:t>
      </w:r>
      <w:r>
        <w:rPr>
          <w:rFonts w:ascii="Arial" w:cs="Arial" w:eastAsia="Arial" w:hAnsi="Arial"/>
          <w:sz w:val="16"/>
          <w:szCs w:val="16"/>
          <w:color w:val="auto"/>
        </w:rPr>
        <w:t xml:space="preserve">. The provisions set forth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11.04(d) (waiver of consequential damages), 11.14 (governing law, jurisdiction, etc.), 11.15 (waiver of jury trial) and 11.17 (no advisory or fiduciary responsibility) of the Bridge Facility Agreement will remain agreements of the Assignor and the Pre-Assumption Guarantors (other than the Post-Assumption Guarantors) following the Assumption Date, and each of the above-referenced sections of the Bridge Facility Agreement shall be agreements of Assignee and the Post-Assumption Guarantors following the Assumption Date.</w:t>
      </w:r>
    </w:p>
    <w:p>
      <w:pPr>
        <w:spacing w:after="0" w:line="158"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Assignee and Assignor</w:t>
      </w:r>
      <w:r>
        <w:rPr>
          <w:rFonts w:ascii="Arial" w:cs="Arial" w:eastAsia="Arial" w:hAnsi="Arial"/>
          <w:sz w:val="18"/>
          <w:szCs w:val="18"/>
          <w:color w:val="auto"/>
        </w:rPr>
        <w:t>. Each of Assignee and Assignor, each as to itself only, represents and warrants that:</w:t>
      </w:r>
    </w:p>
    <w:p>
      <w:pPr>
        <w:spacing w:after="0" w:line="62"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Corporate Power and Authority</w:t>
      </w:r>
      <w:r>
        <w:rPr>
          <w:rFonts w:ascii="Arial" w:cs="Arial" w:eastAsia="Arial" w:hAnsi="Arial"/>
          <w:sz w:val="18"/>
          <w:szCs w:val="18"/>
          <w:color w:val="auto"/>
        </w:rPr>
        <w:t>. Such Person has all requisite power and authority to execute, deliver and perform this Agreement and to carry out the transactions contemplated hereby, and perform its obligations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12" w:name="page213"/>
    <w:bookmarkEnd w:id="212"/>
    <w:p>
      <w:pPr>
        <w:ind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Due Authorization; No Contravention</w:t>
      </w:r>
      <w:r>
        <w:rPr>
          <w:rFonts w:ascii="Arial" w:cs="Arial" w:eastAsia="Arial" w:hAnsi="Arial"/>
          <w:sz w:val="18"/>
          <w:szCs w:val="18"/>
          <w:color w:val="auto"/>
        </w:rPr>
        <w:t>. The execution, delivery and performance by such Person of this Agreement have been duly authorized by all necessary corporate, limited liability company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spacing w:after="0" w:line="193"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material approval, consent, exemption, authorization, or other action by, or notice to, or filing with, any Governmental Authority or any other Person is necessary or required in connection with the execution, delivery or performance by, or enforcement against, such Person of this Agreement, except for the approvals, consents, exemptions, authorizations, actions, notices and filings which have been duly obtained, taken, given or made and are in full force and effect.</w:t>
      </w:r>
    </w:p>
    <w:p>
      <w:pPr>
        <w:spacing w:after="0" w:line="187"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has been duly executed and delivered by such Person. This Agreement constitutes a legal, valid and binding obligation of such Person, enforceable against such Person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Further Representations and Warranties of Assignee</w:t>
      </w:r>
      <w:r>
        <w:rPr>
          <w:rFonts w:ascii="Arial" w:cs="Arial" w:eastAsia="Arial" w:hAnsi="Arial"/>
          <w:sz w:val="16"/>
          <w:szCs w:val="16"/>
          <w:color w:val="auto"/>
        </w:rPr>
        <w:t>. The Assignee represents and warrants to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Lenders as of the date hereof that immediately after giving effect to the assignment and assumption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 hereof:</w:t>
      </w:r>
    </w:p>
    <w:p>
      <w:pPr>
        <w:spacing w:after="0" w:line="103" w:lineRule="exact"/>
        <w:rPr>
          <w:sz w:val="20"/>
          <w:szCs w:val="20"/>
          <w:color w:val="auto"/>
        </w:rPr>
      </w:pPr>
    </w:p>
    <w:p>
      <w:pPr>
        <w:ind w:right="280" w:firstLine="992"/>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Incorporation of Bridge Facility Agreement Representations and Warranties</w:t>
      </w:r>
      <w:r>
        <w:rPr>
          <w:rFonts w:ascii="Arial" w:cs="Arial" w:eastAsia="Arial" w:hAnsi="Arial"/>
          <w:sz w:val="18"/>
          <w:szCs w:val="18"/>
          <w:color w:val="auto"/>
        </w:rPr>
        <w:t xml:space="preserve">. The representations and warranties of the Borrower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5 (Representations and Warranties) of the Bridge Facility Agreement are true and correct.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Absence of Default</w:t>
      </w:r>
      <w:r>
        <w:rPr>
          <w:rFonts w:ascii="Arial" w:cs="Arial" w:eastAsia="Arial" w:hAnsi="Arial"/>
          <w:sz w:val="18"/>
          <w:szCs w:val="18"/>
          <w:color w:val="auto"/>
        </w:rPr>
        <w:t>. No event has occurred and is continuing that would constitute an Event of Default or a Default.</w:t>
      </w:r>
    </w:p>
    <w:p>
      <w:pPr>
        <w:spacing w:after="0" w:line="225"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The parties hereto agree to execute and deliver such other instruments and documents and to take such other actions as any party hereto may reasonably request in connection with the transactions contemplated by this Agreement.</w:t>
      </w:r>
    </w:p>
    <w:p>
      <w:pPr>
        <w:spacing w:after="0" w:line="147"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required to be given or made to Assignee under this Agreement, the Bridge Facility Agreement or any other Loan Document shall be given or made at the address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11.02 of the Bridge Facility Agreement.</w:t>
      </w:r>
    </w:p>
    <w:p>
      <w:pPr>
        <w:spacing w:after="0" w:line="124"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General</w:t>
      </w:r>
      <w:r>
        <w:rPr>
          <w:rFonts w:ascii="Arial" w:cs="Arial" w:eastAsia="Arial" w:hAnsi="Arial"/>
          <w:sz w:val="18"/>
          <w:szCs w:val="18"/>
          <w:color w:val="auto"/>
        </w:rPr>
        <w:t>. This Agreement is a Loan Document. This Agreement, the Bridge Facility Agreement and the other Loan Documents constitute the entire agreement of the parties hereto with respect to the subject matter hereof and supersede all current and prior agreements and understandings, whether written or oral, with respect to such subject matter. The headings in this Agreement are for convenience of reference only and shall not limit or otherwise affect the meaning hereof. The invalidity or unenforceability of any term or provision hereof shall not affect the validity or enforceability of 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3" w:name="page214"/>
    <w:bookmarkEnd w:id="2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term or provision hereof, and any invalid or unenforceable provision shall be modified so as to be enforced to the maximum extent of its validity or enforceability. This Agreement may be executed in any number of counterparts, which together shall constitute one instrument, and shall bind and inure to the benefit of the parties hereto and their respective successors and assigns, including as such successors and assigns all holders of any Obligations.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This Agreement is not intended to and shall not confer any rights or remedies upon any Person other than the parties hereto, the Lender and its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Assignor nor the Assignee shall have any right to assign any rights, obligations or liabilities hereunder except in accordance with the terms of the Bridge Facility Agreement. No Person other than the parties hereto, the Lender and its successors and assigns will have or be construed to have any legal or equitable right, remedy or claim under, in respect of, or by virtue of this Agreement. THIS AGREEMENT AND ALL CLAIMS OR CAUSES OF ACTION (WHETHER IN CONTRACT, TORT OR OTHERWISE) THAT MAY BE BASED UPON, ARISE OUT OF OR RELATE IN ANY WAY HERETO OR THERETO OR THE NEGOTIATION, EXECUTION OR PERFORMANCE HEREOF OR THEREOF OR THE TRANSACTIONS CONTEMPLATED HEREBY OR THEREBY, UNLESS OTHERWISE EXPRESSLY SET FORTH THEREIN, SHALL BE GOVERNED BY AND CONSTRUED IN ACCORDANCE WITH, THE LAWS OF THE STATE OF NEW YORK.</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4" w:name="page215"/>
    <w:bookmarkEnd w:id="214"/>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ASSIGNOR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 A Zadoks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Jeff A. Zadoks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A. Rhode</w:t>
            </w:r>
          </w:p>
        </w:tc>
      </w:tr>
      <w:tr>
        <w:trPr>
          <w:trHeight w:val="202"/>
        </w:trPr>
        <w:tc>
          <w:tcPr>
            <w:tcW w:w="540" w:type="dxa"/>
            <w:vAlign w:val="bottom"/>
          </w:tcPr>
          <w:p>
            <w:pPr>
              <w:spacing w:after="0" w:line="201"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201" w:lineRule="exact"/>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4" w:right="419" w:bottom="1440" w:gutter="0" w:footer="0" w:header="0"/>
        </w:sectPr>
      </w:pPr>
    </w:p>
    <w:bookmarkStart w:id="215" w:name="page216"/>
    <w:bookmarkEnd w:id="215"/>
    <w:p>
      <w:pPr>
        <w:ind w:left="56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w:t>
      </w:r>
      <w:r>
        <w:rPr>
          <w:rFonts w:ascii="Arial" w:cs="Arial" w:eastAsia="Arial" w:hAnsi="Arial"/>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MORGAN STANLEY SENIOR FUNDING, INC.,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Ethan Plater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Ethan Plater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040"/>
          </w:cols>
          <w:pgMar w:left="1440" w:top="274" w:right="4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AS OF OCTOBER 21, 2019</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BELLRING BRANDS,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BORROWER</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VARIOUS LENDERS,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CREDIT SUISSE LOAN FUNDING LLC,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GOLDMAN SACHS BANK USA,</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AS JOINT LEAD ARRANGERS AND JOINT BOOKRUNNERS,</w:t>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BMO CAPITAL MARKETS CORP.,</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COÖPERATIEVE RABOBANK U.A., NEW YORK BRANCH,</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NOMURA SECURITIES INTERNATIONAL,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SUNTRUST ROBINSON HUMPHREY,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UBS SECURITIES LLC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CO-MANAGERS,</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SENIOR SECURED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020"/>
          </w:cols>
          <w:pgMar w:left="1440" w:top="121" w:right="4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16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Accounting Terms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06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16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160" w:type="dxa"/>
            <w:vAlign w:val="bottom"/>
          </w:tcPr>
          <w:p>
            <w:pPr>
              <w:ind w:left="240"/>
              <w:spacing w:after="0"/>
              <w:rPr>
                <w:sz w:val="20"/>
                <w:szCs w:val="20"/>
                <w:color w:val="auto"/>
              </w:rPr>
            </w:pPr>
            <w:r>
              <w:rPr>
                <w:rFonts w:ascii="Arial" w:cs="Arial" w:eastAsia="Arial" w:hAnsi="Arial"/>
                <w:sz w:val="18"/>
                <w:szCs w:val="18"/>
                <w:color w:val="auto"/>
              </w:rPr>
              <w:t>Other Interpretive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160" w:type="dxa"/>
            <w:vAlign w:val="bottom"/>
          </w:tcPr>
          <w:p>
            <w:pPr>
              <w:ind w:left="240"/>
              <w:spacing w:after="0"/>
              <w:rPr>
                <w:sz w:val="20"/>
                <w:szCs w:val="20"/>
                <w:color w:val="auto"/>
              </w:rPr>
            </w:pPr>
            <w:r>
              <w:rPr>
                <w:rFonts w:ascii="Arial" w:cs="Arial" w:eastAsia="Arial" w:hAnsi="Arial"/>
                <w:sz w:val="18"/>
                <w:szCs w:val="18"/>
                <w:color w:val="auto"/>
              </w:rPr>
              <w:t>Accounting Terms</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160" w:type="dxa"/>
            <w:vAlign w:val="bottom"/>
          </w:tcPr>
          <w:p>
            <w:pPr>
              <w:ind w:left="240"/>
              <w:spacing w:after="0"/>
              <w:rPr>
                <w:sz w:val="20"/>
                <w:szCs w:val="20"/>
                <w:color w:val="auto"/>
              </w:rPr>
            </w:pPr>
            <w:r>
              <w:rPr>
                <w:rFonts w:ascii="Arial" w:cs="Arial" w:eastAsia="Arial" w:hAnsi="Arial"/>
                <w:sz w:val="18"/>
                <w:szCs w:val="18"/>
                <w:color w:val="auto"/>
              </w:rPr>
              <w:t>Rounding</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160" w:type="dxa"/>
            <w:vAlign w:val="bottom"/>
          </w:tcPr>
          <w:p>
            <w:pPr>
              <w:ind w:left="240"/>
              <w:spacing w:after="0"/>
              <w:rPr>
                <w:sz w:val="20"/>
                <w:szCs w:val="20"/>
                <w:color w:val="auto"/>
              </w:rPr>
            </w:pPr>
            <w:r>
              <w:rPr>
                <w:rFonts w:ascii="Arial" w:cs="Arial" w:eastAsia="Arial" w:hAnsi="Arial"/>
                <w:sz w:val="18"/>
                <w:szCs w:val="18"/>
                <w:color w:val="auto"/>
              </w:rPr>
              <w:t>Times of Day</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160" w:type="dxa"/>
            <w:vAlign w:val="bottom"/>
          </w:tcPr>
          <w:p>
            <w:pPr>
              <w:ind w:left="240"/>
              <w:spacing w:after="0"/>
              <w:rPr>
                <w:sz w:val="20"/>
                <w:szCs w:val="20"/>
                <w:color w:val="auto"/>
              </w:rPr>
            </w:pPr>
            <w:r>
              <w:rPr>
                <w:rFonts w:ascii="Arial" w:cs="Arial" w:eastAsia="Arial" w:hAnsi="Arial"/>
                <w:sz w:val="18"/>
                <w:szCs w:val="18"/>
                <w:color w:val="auto"/>
              </w:rPr>
              <w:t>Letter of Credit Amounts</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160" w:type="dxa"/>
            <w:vAlign w:val="bottom"/>
          </w:tcPr>
          <w:p>
            <w:pPr>
              <w:ind w:left="240"/>
              <w:spacing w:after="0"/>
              <w:rPr>
                <w:sz w:val="20"/>
                <w:szCs w:val="20"/>
                <w:color w:val="auto"/>
              </w:rPr>
            </w:pPr>
            <w:r>
              <w:rPr>
                <w:rFonts w:ascii="Arial" w:cs="Arial" w:eastAsia="Arial" w:hAnsi="Arial"/>
                <w:sz w:val="18"/>
                <w:szCs w:val="18"/>
                <w:color w:val="auto"/>
              </w:rPr>
              <w:t>Currency Equivalents Generally; Change of Currency</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160" w:type="dxa"/>
            <w:vAlign w:val="bottom"/>
          </w:tcPr>
          <w:p>
            <w:pPr>
              <w:ind w:left="240"/>
              <w:spacing w:after="0"/>
              <w:rPr>
                <w:sz w:val="20"/>
                <w:szCs w:val="20"/>
                <w:color w:val="auto"/>
              </w:rPr>
            </w:pPr>
            <w:r>
              <w:rPr>
                <w:rFonts w:ascii="Arial" w:cs="Arial" w:eastAsia="Arial" w:hAnsi="Arial"/>
                <w:sz w:val="18"/>
                <w:szCs w:val="18"/>
                <w:color w:val="auto"/>
              </w:rPr>
              <w:t>Timing of Payment and Performance</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9160" w:type="dxa"/>
            <w:vAlign w:val="bottom"/>
          </w:tcPr>
          <w:p>
            <w:pPr>
              <w:ind w:left="240"/>
              <w:spacing w:after="0"/>
              <w:rPr>
                <w:sz w:val="20"/>
                <w:szCs w:val="20"/>
                <w:color w:val="auto"/>
              </w:rPr>
            </w:pPr>
            <w:r>
              <w:rPr>
                <w:rFonts w:ascii="Arial" w:cs="Arial" w:eastAsia="Arial" w:hAnsi="Arial"/>
                <w:sz w:val="18"/>
                <w:szCs w:val="18"/>
                <w:color w:val="auto"/>
              </w:rPr>
              <w:t>Certain Calculations</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160" w:type="dxa"/>
            <w:vAlign w:val="bottom"/>
          </w:tcPr>
          <w:p>
            <w:pPr>
              <w:ind w:left="24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2. The Commitments and Credit Extensions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160" w:type="dxa"/>
            <w:vAlign w:val="bottom"/>
          </w:tcPr>
          <w:p>
            <w:pPr>
              <w:ind w:left="240"/>
              <w:spacing w:after="0"/>
              <w:rPr>
                <w:sz w:val="20"/>
                <w:szCs w:val="20"/>
                <w:color w:val="auto"/>
              </w:rPr>
            </w:pPr>
            <w:r>
              <w:rPr>
                <w:rFonts w:ascii="Arial" w:cs="Arial" w:eastAsia="Arial" w:hAnsi="Arial"/>
                <w:sz w:val="18"/>
                <w:szCs w:val="18"/>
                <w:color w:val="auto"/>
              </w:rPr>
              <w:t>The Loans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160" w:type="dxa"/>
            <w:vAlign w:val="bottom"/>
          </w:tcPr>
          <w:p>
            <w:pPr>
              <w:ind w:left="240"/>
              <w:spacing w:after="0"/>
              <w:rPr>
                <w:sz w:val="20"/>
                <w:szCs w:val="20"/>
                <w:color w:val="auto"/>
              </w:rPr>
            </w:pPr>
            <w:r>
              <w:rPr>
                <w:rFonts w:ascii="Arial" w:cs="Arial" w:eastAsia="Arial" w:hAnsi="Arial"/>
                <w:sz w:val="18"/>
                <w:szCs w:val="18"/>
                <w:color w:val="auto"/>
              </w:rPr>
              <w:t>Borrowings, Conversions and Continuations of Loans</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160" w:type="dxa"/>
            <w:vAlign w:val="bottom"/>
          </w:tcPr>
          <w:p>
            <w:pPr>
              <w:ind w:left="240"/>
              <w:spacing w:after="0"/>
              <w:rPr>
                <w:sz w:val="20"/>
                <w:szCs w:val="20"/>
                <w:color w:val="auto"/>
              </w:rPr>
            </w:pPr>
            <w:r>
              <w:rPr>
                <w:rFonts w:ascii="Arial" w:cs="Arial" w:eastAsia="Arial" w:hAnsi="Arial"/>
                <w:sz w:val="18"/>
                <w:szCs w:val="18"/>
                <w:color w:val="auto"/>
              </w:rPr>
              <w:t>Letters of Credit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160" w:type="dxa"/>
            <w:vAlign w:val="bottom"/>
          </w:tcPr>
          <w:p>
            <w:pPr>
              <w:ind w:left="240"/>
              <w:spacing w:after="0"/>
              <w:rPr>
                <w:sz w:val="20"/>
                <w:szCs w:val="20"/>
                <w:color w:val="auto"/>
              </w:rPr>
            </w:pPr>
            <w:r>
              <w:rPr>
                <w:rFonts w:ascii="Arial" w:cs="Arial" w:eastAsia="Arial" w:hAnsi="Arial"/>
                <w:sz w:val="18"/>
                <w:szCs w:val="18"/>
                <w:color w:val="auto"/>
              </w:rPr>
              <w:t>[Reserved]</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160" w:type="dxa"/>
            <w:vAlign w:val="bottom"/>
          </w:tcPr>
          <w:p>
            <w:pPr>
              <w:ind w:left="240"/>
              <w:spacing w:after="0"/>
              <w:rPr>
                <w:sz w:val="20"/>
                <w:szCs w:val="20"/>
                <w:color w:val="auto"/>
              </w:rPr>
            </w:pPr>
            <w:r>
              <w:rPr>
                <w:rFonts w:ascii="Arial" w:cs="Arial" w:eastAsia="Arial" w:hAnsi="Arial"/>
                <w:sz w:val="18"/>
                <w:szCs w:val="18"/>
                <w:color w:val="auto"/>
              </w:rPr>
              <w:t>Prepayments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9160" w:type="dxa"/>
            <w:vAlign w:val="bottom"/>
          </w:tcPr>
          <w:p>
            <w:pPr>
              <w:ind w:left="240"/>
              <w:spacing w:after="0"/>
              <w:rPr>
                <w:sz w:val="20"/>
                <w:szCs w:val="20"/>
                <w:color w:val="auto"/>
              </w:rPr>
            </w:pPr>
            <w:r>
              <w:rPr>
                <w:rFonts w:ascii="Arial" w:cs="Arial" w:eastAsia="Arial" w:hAnsi="Arial"/>
                <w:sz w:val="18"/>
                <w:szCs w:val="18"/>
                <w:color w:val="auto"/>
              </w:rPr>
              <w:t>Termination or Reduction of Commitments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9160" w:type="dxa"/>
            <w:vAlign w:val="bottom"/>
          </w:tcPr>
          <w:p>
            <w:pPr>
              <w:ind w:left="240"/>
              <w:spacing w:after="0"/>
              <w:rPr>
                <w:sz w:val="20"/>
                <w:szCs w:val="20"/>
                <w:color w:val="auto"/>
              </w:rPr>
            </w:pPr>
            <w:r>
              <w:rPr>
                <w:rFonts w:ascii="Arial" w:cs="Arial" w:eastAsia="Arial" w:hAnsi="Arial"/>
                <w:sz w:val="18"/>
                <w:szCs w:val="18"/>
                <w:color w:val="auto"/>
              </w:rPr>
              <w:t>Repayment of Loans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9160" w:type="dxa"/>
            <w:vAlign w:val="bottom"/>
          </w:tcPr>
          <w:p>
            <w:pPr>
              <w:ind w:left="24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9160" w:type="dxa"/>
            <w:vAlign w:val="bottom"/>
          </w:tcPr>
          <w:p>
            <w:pPr>
              <w:ind w:left="240"/>
              <w:spacing w:after="0"/>
              <w:rPr>
                <w:sz w:val="20"/>
                <w:szCs w:val="20"/>
                <w:color w:val="auto"/>
              </w:rPr>
            </w:pPr>
            <w:r>
              <w:rPr>
                <w:rFonts w:ascii="Arial" w:cs="Arial" w:eastAsia="Arial" w:hAnsi="Arial"/>
                <w:sz w:val="18"/>
                <w:szCs w:val="18"/>
                <w:color w:val="auto"/>
              </w:rPr>
              <w:t>Fees</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160" w:type="dxa"/>
            <w:vAlign w:val="bottom"/>
          </w:tcPr>
          <w:p>
            <w:pPr>
              <w:ind w:left="24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160" w:type="dxa"/>
            <w:vAlign w:val="bottom"/>
          </w:tcPr>
          <w:p>
            <w:pPr>
              <w:ind w:left="240"/>
              <w:spacing w:after="0"/>
              <w:rPr>
                <w:sz w:val="20"/>
                <w:szCs w:val="20"/>
                <w:color w:val="auto"/>
              </w:rPr>
            </w:pPr>
            <w:r>
              <w:rPr>
                <w:rFonts w:ascii="Arial" w:cs="Arial" w:eastAsia="Arial" w:hAnsi="Arial"/>
                <w:sz w:val="18"/>
                <w:szCs w:val="18"/>
                <w:color w:val="auto"/>
              </w:rPr>
              <w:t>Evidence of Debt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160" w:type="dxa"/>
            <w:vAlign w:val="bottom"/>
          </w:tcPr>
          <w:p>
            <w:pPr>
              <w:ind w:left="240"/>
              <w:spacing w:after="0"/>
              <w:rPr>
                <w:sz w:val="20"/>
                <w:szCs w:val="20"/>
                <w:color w:val="auto"/>
              </w:rPr>
            </w:pPr>
            <w:r>
              <w:rPr>
                <w:rFonts w:ascii="Arial" w:cs="Arial" w:eastAsia="Arial" w:hAnsi="Arial"/>
                <w:sz w:val="18"/>
                <w:szCs w:val="18"/>
                <w:color w:val="auto"/>
              </w:rPr>
              <w:t>Payments Generally; Administrative Agent’s Clawback</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160" w:type="dxa"/>
            <w:vAlign w:val="bottom"/>
          </w:tcPr>
          <w:p>
            <w:pPr>
              <w:ind w:left="240"/>
              <w:spacing w:after="0"/>
              <w:rPr>
                <w:sz w:val="20"/>
                <w:szCs w:val="20"/>
                <w:color w:val="auto"/>
              </w:rPr>
            </w:pPr>
            <w:r>
              <w:rPr>
                <w:rFonts w:ascii="Arial" w:cs="Arial" w:eastAsia="Arial" w:hAnsi="Arial"/>
                <w:sz w:val="18"/>
                <w:szCs w:val="18"/>
                <w:color w:val="auto"/>
              </w:rPr>
              <w:t>Sharing of Payments by Lenders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9160" w:type="dxa"/>
            <w:vAlign w:val="bottom"/>
          </w:tcPr>
          <w:p>
            <w:pPr>
              <w:ind w:left="240"/>
              <w:spacing w:after="0"/>
              <w:rPr>
                <w:sz w:val="20"/>
                <w:szCs w:val="20"/>
                <w:color w:val="auto"/>
              </w:rPr>
            </w:pPr>
            <w:r>
              <w:rPr>
                <w:rFonts w:ascii="Arial" w:cs="Arial" w:eastAsia="Arial" w:hAnsi="Arial"/>
                <w:sz w:val="18"/>
                <w:szCs w:val="18"/>
                <w:color w:val="auto"/>
              </w:rPr>
              <w:t>Incremental Facilities</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9160" w:type="dxa"/>
            <w:vAlign w:val="bottom"/>
          </w:tcPr>
          <w:p>
            <w:pPr>
              <w:ind w:left="240"/>
              <w:spacing w:after="0"/>
              <w:rPr>
                <w:sz w:val="20"/>
                <w:szCs w:val="20"/>
                <w:color w:val="auto"/>
              </w:rPr>
            </w:pPr>
            <w:r>
              <w:rPr>
                <w:rFonts w:ascii="Arial" w:cs="Arial" w:eastAsia="Arial" w:hAnsi="Arial"/>
                <w:sz w:val="18"/>
                <w:szCs w:val="18"/>
                <w:color w:val="auto"/>
              </w:rPr>
              <w:t>Cash Collateral</w:t>
            </w: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916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2.17</w:t>
            </w:r>
          </w:p>
        </w:tc>
        <w:tc>
          <w:tcPr>
            <w:tcW w:w="9160" w:type="dxa"/>
            <w:vAlign w:val="bottom"/>
          </w:tcPr>
          <w:p>
            <w:pPr>
              <w:ind w:left="240"/>
              <w:spacing w:after="0"/>
              <w:rPr>
                <w:sz w:val="20"/>
                <w:szCs w:val="20"/>
                <w:color w:val="auto"/>
              </w:rPr>
            </w:pPr>
            <w:r>
              <w:rPr>
                <w:rFonts w:ascii="Arial" w:cs="Arial" w:eastAsia="Arial" w:hAnsi="Arial"/>
                <w:sz w:val="18"/>
                <w:szCs w:val="18"/>
                <w:color w:val="auto"/>
              </w:rPr>
              <w:t>Refinancing Facilities</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Arial" w:cs="Arial" w:eastAsia="Arial" w:hAnsi="Arial"/>
                <w:sz w:val="18"/>
                <w:szCs w:val="18"/>
                <w:color w:val="auto"/>
              </w:rPr>
              <w:t>Article 3. Taxes, Yield Protection and Illegality</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160" w:type="dxa"/>
            <w:vAlign w:val="bottom"/>
          </w:tcPr>
          <w:p>
            <w:pPr>
              <w:ind w:left="240"/>
              <w:spacing w:after="0"/>
              <w:rPr>
                <w:sz w:val="20"/>
                <w:szCs w:val="20"/>
                <w:color w:val="auto"/>
              </w:rPr>
            </w:pPr>
            <w:r>
              <w:rPr>
                <w:rFonts w:ascii="Arial" w:cs="Arial" w:eastAsia="Arial" w:hAnsi="Arial"/>
                <w:sz w:val="18"/>
                <w:szCs w:val="18"/>
                <w:color w:val="auto"/>
              </w:rPr>
              <w:t>Taxes</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16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16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160" w:type="dxa"/>
            <w:vAlign w:val="bottom"/>
          </w:tcPr>
          <w:p>
            <w:pPr>
              <w:ind w:left="240"/>
              <w:spacing w:after="0"/>
              <w:rPr>
                <w:sz w:val="20"/>
                <w:szCs w:val="20"/>
                <w:color w:val="auto"/>
              </w:rPr>
            </w:pPr>
            <w:r>
              <w:rPr>
                <w:rFonts w:ascii="Arial" w:cs="Arial" w:eastAsia="Arial" w:hAnsi="Arial"/>
                <w:sz w:val="18"/>
                <w:szCs w:val="18"/>
                <w:color w:val="auto"/>
              </w:rPr>
              <w:t>Increased Costs; Reserves on Eurodollar Rate Loans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160" w:type="dxa"/>
            <w:vAlign w:val="bottom"/>
          </w:tcPr>
          <w:p>
            <w:pPr>
              <w:ind w:left="240"/>
              <w:spacing w:after="0"/>
              <w:rPr>
                <w:sz w:val="20"/>
                <w:szCs w:val="20"/>
                <w:color w:val="auto"/>
              </w:rPr>
            </w:pPr>
            <w:r>
              <w:rPr>
                <w:rFonts w:ascii="Arial" w:cs="Arial" w:eastAsia="Arial" w:hAnsi="Arial"/>
                <w:sz w:val="18"/>
                <w:szCs w:val="18"/>
                <w:color w:val="auto"/>
              </w:rPr>
              <w:t>Compensation for Losses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16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160" w:type="dxa"/>
            <w:vAlign w:val="bottom"/>
          </w:tcPr>
          <w:p>
            <w:pPr>
              <w:ind w:left="240"/>
              <w:spacing w:after="0"/>
              <w:rPr>
                <w:sz w:val="20"/>
                <w:szCs w:val="20"/>
                <w:color w:val="auto"/>
              </w:rPr>
            </w:pPr>
            <w:r>
              <w:rPr>
                <w:rFonts w:ascii="Arial" w:cs="Arial" w:eastAsia="Arial" w:hAnsi="Arial"/>
                <w:sz w:val="18"/>
                <w:szCs w:val="18"/>
                <w:color w:val="auto"/>
              </w:rPr>
              <w:t>Survival</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160" w:type="dxa"/>
            <w:vAlign w:val="bottom"/>
          </w:tcPr>
          <w:p>
            <w:pPr>
              <w:ind w:left="240"/>
              <w:spacing w:after="0"/>
              <w:rPr>
                <w:sz w:val="20"/>
                <w:szCs w:val="20"/>
                <w:color w:val="auto"/>
              </w:rPr>
            </w:pPr>
            <w:r>
              <w:rPr>
                <w:rFonts w:ascii="Arial" w:cs="Arial" w:eastAsia="Arial" w:hAnsi="Arial"/>
                <w:sz w:val="18"/>
                <w:szCs w:val="18"/>
                <w:color w:val="auto"/>
              </w:rPr>
              <w:t>Effect of Benchmark Transition Event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Article 4. Conditions Precedent</w:t>
            </w:r>
          </w:p>
        </w:tc>
        <w:tc>
          <w:tcPr>
            <w:tcW w:w="2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6820" w:type="dxa"/>
            <w:vAlign w:val="bottom"/>
          </w:tcPr>
          <w:p>
            <w:pPr>
              <w:ind w:left="240"/>
              <w:spacing w:after="0"/>
              <w:rPr>
                <w:sz w:val="20"/>
                <w:szCs w:val="20"/>
                <w:color w:val="auto"/>
              </w:rPr>
            </w:pPr>
            <w:r>
              <w:rPr>
                <w:rFonts w:ascii="Arial" w:cs="Arial" w:eastAsia="Arial" w:hAnsi="Arial"/>
                <w:sz w:val="18"/>
                <w:szCs w:val="18"/>
                <w:color w:val="auto"/>
              </w:rPr>
              <w:t>Conditions Precedent to the Closing Date</w:t>
            </w:r>
          </w:p>
        </w:tc>
        <w:tc>
          <w:tcPr>
            <w:tcW w:w="2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6820" w:type="dxa"/>
            <w:vAlign w:val="bottom"/>
          </w:tcPr>
          <w:p>
            <w:pPr>
              <w:ind w:left="240"/>
              <w:spacing w:after="0"/>
              <w:rPr>
                <w:sz w:val="20"/>
                <w:szCs w:val="20"/>
                <w:color w:val="auto"/>
              </w:rPr>
            </w:pPr>
            <w:r>
              <w:rPr>
                <w:rFonts w:ascii="Arial" w:cs="Arial" w:eastAsia="Arial" w:hAnsi="Arial"/>
                <w:sz w:val="18"/>
                <w:szCs w:val="18"/>
                <w:color w:val="auto"/>
              </w:rPr>
              <w:t>Conditions to All Credit Extensions after the Closing Date</w:t>
            </w:r>
          </w:p>
        </w:tc>
        <w:tc>
          <w:tcPr>
            <w:tcW w:w="26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w:t>
            </w:r>
          </w:p>
        </w:tc>
        <w:tc>
          <w:tcPr>
            <w:tcW w:w="2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82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2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82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2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82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2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682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26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682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w:t>
            </w:r>
          </w:p>
        </w:tc>
        <w:tc>
          <w:tcPr>
            <w:tcW w:w="26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682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6820" w:type="dxa"/>
            <w:vAlign w:val="bottom"/>
          </w:tcPr>
          <w:p>
            <w:pPr>
              <w:ind w:left="240"/>
              <w:spacing w:after="0"/>
              <w:rPr>
                <w:sz w:val="20"/>
                <w:szCs w:val="20"/>
                <w:color w:val="auto"/>
              </w:rPr>
            </w:pPr>
            <w:r>
              <w:rPr>
                <w:rFonts w:ascii="Arial" w:cs="Arial" w:eastAsia="Arial" w:hAnsi="Arial"/>
                <w:sz w:val="18"/>
                <w:szCs w:val="18"/>
                <w:color w:val="auto"/>
              </w:rPr>
              <w:t>Ownership of Property</w:t>
            </w:r>
          </w:p>
        </w:tc>
        <w:tc>
          <w:tcPr>
            <w:tcW w:w="26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6820" w:type="dxa"/>
            <w:vAlign w:val="bottom"/>
          </w:tcPr>
          <w:p>
            <w:pPr>
              <w:ind w:left="240"/>
              <w:spacing w:after="0"/>
              <w:rPr>
                <w:sz w:val="20"/>
                <w:szCs w:val="20"/>
                <w:color w:val="auto"/>
              </w:rPr>
            </w:pPr>
            <w:r>
              <w:rPr>
                <w:rFonts w:ascii="Arial" w:cs="Arial" w:eastAsia="Arial" w:hAnsi="Arial"/>
                <w:sz w:val="18"/>
                <w:szCs w:val="18"/>
                <w:color w:val="auto"/>
              </w:rPr>
              <w:t>Environmental</w:t>
            </w:r>
          </w:p>
        </w:tc>
        <w:tc>
          <w:tcPr>
            <w:tcW w:w="26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682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820" w:type="dxa"/>
            <w:vAlign w:val="bottom"/>
          </w:tcPr>
          <w:p>
            <w:pPr>
              <w:ind w:left="240"/>
              <w:spacing w:after="0"/>
              <w:rPr>
                <w:sz w:val="20"/>
                <w:szCs w:val="20"/>
                <w:color w:val="auto"/>
              </w:rPr>
            </w:pPr>
            <w:r>
              <w:rPr>
                <w:rFonts w:ascii="Arial" w:cs="Arial" w:eastAsia="Arial" w:hAnsi="Arial"/>
                <w:sz w:val="18"/>
                <w:szCs w:val="18"/>
                <w:color w:val="auto"/>
              </w:rPr>
              <w:t>Taxes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820" w:type="dxa"/>
            <w:vAlign w:val="bottom"/>
          </w:tcPr>
          <w:p>
            <w:pPr>
              <w:ind w:left="240"/>
              <w:spacing w:after="0"/>
              <w:rPr>
                <w:sz w:val="20"/>
                <w:szCs w:val="20"/>
                <w:color w:val="auto"/>
              </w:rPr>
            </w:pPr>
            <w:r>
              <w:rPr>
                <w:rFonts w:ascii="Arial" w:cs="Arial" w:eastAsia="Arial" w:hAnsi="Arial"/>
                <w:sz w:val="18"/>
                <w:szCs w:val="18"/>
                <w:color w:val="auto"/>
              </w:rPr>
              <w:t>ERISA Compliance; Labor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820" w:type="dxa"/>
            <w:vAlign w:val="bottom"/>
          </w:tcPr>
          <w:p>
            <w:pPr>
              <w:ind w:left="240"/>
              <w:spacing w:after="0"/>
              <w:rPr>
                <w:sz w:val="20"/>
                <w:szCs w:val="20"/>
                <w:color w:val="auto"/>
              </w:rPr>
            </w:pPr>
            <w:r>
              <w:rPr>
                <w:rFonts w:ascii="Arial" w:cs="Arial" w:eastAsia="Arial" w:hAnsi="Arial"/>
                <w:sz w:val="18"/>
                <w:szCs w:val="18"/>
                <w:color w:val="auto"/>
              </w:rPr>
              <w:t>Subsidiaries; Equity Interests</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82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8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8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820" w:type="dxa"/>
            <w:vAlign w:val="bottom"/>
          </w:tcPr>
          <w:p>
            <w:pPr>
              <w:ind w:left="240"/>
              <w:spacing w:after="0"/>
              <w:rPr>
                <w:sz w:val="20"/>
                <w:szCs w:val="20"/>
                <w:color w:val="auto"/>
              </w:rPr>
            </w:pPr>
            <w:r>
              <w:rPr>
                <w:rFonts w:ascii="Arial" w:cs="Arial" w:eastAsia="Arial" w:hAnsi="Arial"/>
                <w:sz w:val="18"/>
                <w:szCs w:val="18"/>
                <w:color w:val="auto"/>
              </w:rPr>
              <w:t>Intellectual Property; Licenses, Etc.</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82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6820" w:type="dxa"/>
            <w:vAlign w:val="bottom"/>
          </w:tcPr>
          <w:p>
            <w:pPr>
              <w:ind w:left="240"/>
              <w:spacing w:after="0"/>
              <w:rPr>
                <w:sz w:val="20"/>
                <w:szCs w:val="20"/>
                <w:color w:val="auto"/>
              </w:rPr>
            </w:pPr>
            <w:r>
              <w:rPr>
                <w:rFonts w:ascii="Arial" w:cs="Arial" w:eastAsia="Arial" w:hAnsi="Arial"/>
                <w:sz w:val="18"/>
                <w:szCs w:val="18"/>
                <w:color w:val="auto"/>
              </w:rPr>
              <w:t>Collateral Documents</w:t>
            </w:r>
          </w:p>
        </w:tc>
        <w:tc>
          <w:tcPr>
            <w:tcW w:w="2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6820" w:type="dxa"/>
            <w:vAlign w:val="bottom"/>
          </w:tcPr>
          <w:p>
            <w:pPr>
              <w:ind w:left="240"/>
              <w:spacing w:after="0"/>
              <w:rPr>
                <w:sz w:val="20"/>
                <w:szCs w:val="20"/>
                <w:color w:val="auto"/>
              </w:rPr>
            </w:pPr>
            <w:r>
              <w:rPr>
                <w:rFonts w:ascii="Arial" w:cs="Arial" w:eastAsia="Arial" w:hAnsi="Arial"/>
                <w:sz w:val="18"/>
                <w:szCs w:val="18"/>
                <w:color w:val="auto"/>
              </w:rPr>
              <w:t>Anti-Terrorism; Anti-Money Laundering; Etc.</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6820" w:type="dxa"/>
            <w:vAlign w:val="bottom"/>
          </w:tcPr>
          <w:p>
            <w:pPr>
              <w:ind w:left="240"/>
              <w:spacing w:after="0"/>
              <w:rPr>
                <w:sz w:val="20"/>
                <w:szCs w:val="20"/>
                <w:color w:val="auto"/>
              </w:rPr>
            </w:pPr>
            <w:r>
              <w:rPr>
                <w:rFonts w:ascii="Arial" w:cs="Arial" w:eastAsia="Arial" w:hAnsi="Arial"/>
                <w:sz w:val="18"/>
                <w:szCs w:val="18"/>
                <w:color w:val="auto"/>
              </w:rPr>
              <w:t>Foreign Corrupt Practices Act</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5.21</w:t>
            </w:r>
          </w:p>
        </w:tc>
        <w:tc>
          <w:tcPr>
            <w:tcW w:w="6820" w:type="dxa"/>
            <w:vAlign w:val="bottom"/>
          </w:tcPr>
          <w:p>
            <w:pPr>
              <w:ind w:left="240"/>
              <w:spacing w:after="0"/>
              <w:rPr>
                <w:sz w:val="20"/>
                <w:szCs w:val="20"/>
                <w:color w:val="auto"/>
              </w:rPr>
            </w:pPr>
            <w:r>
              <w:rPr>
                <w:rFonts w:ascii="Arial" w:cs="Arial" w:eastAsia="Arial" w:hAnsi="Arial"/>
                <w:sz w:val="18"/>
                <w:szCs w:val="18"/>
                <w:color w:val="auto"/>
              </w:rPr>
              <w:t>EEA Financial Institution</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320" w:type="dxa"/>
            <w:vAlign w:val="bottom"/>
            <w:gridSpan w:val="2"/>
          </w:tcPr>
          <w:p>
            <w:pPr>
              <w:spacing w:after="0"/>
              <w:rPr>
                <w:sz w:val="20"/>
                <w:szCs w:val="20"/>
                <w:color w:val="auto"/>
              </w:rPr>
            </w:pPr>
            <w:r>
              <w:rPr>
                <w:rFonts w:ascii="Arial" w:cs="Arial" w:eastAsia="Arial" w:hAnsi="Arial"/>
                <w:sz w:val="18"/>
                <w:szCs w:val="18"/>
                <w:color w:val="auto"/>
              </w:rPr>
              <w:t>Article 6. Affirmative Covenants</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682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682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6820" w:type="dxa"/>
            <w:vAlign w:val="bottom"/>
          </w:tcPr>
          <w:p>
            <w:pPr>
              <w:ind w:left="240"/>
              <w:spacing w:after="0"/>
              <w:rPr>
                <w:sz w:val="20"/>
                <w:szCs w:val="20"/>
                <w:color w:val="auto"/>
              </w:rPr>
            </w:pPr>
            <w:r>
              <w:rPr>
                <w:rFonts w:ascii="Arial" w:cs="Arial" w:eastAsia="Arial" w:hAnsi="Arial"/>
                <w:sz w:val="18"/>
                <w:szCs w:val="18"/>
                <w:color w:val="auto"/>
              </w:rPr>
              <w:t>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682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682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682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682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682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682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68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6820" w:type="dxa"/>
            <w:vAlign w:val="bottom"/>
          </w:tcPr>
          <w:p>
            <w:pPr>
              <w:ind w:left="240"/>
              <w:spacing w:after="0"/>
              <w:rPr>
                <w:sz w:val="20"/>
                <w:szCs w:val="20"/>
                <w:color w:val="auto"/>
              </w:rPr>
            </w:pPr>
            <w:r>
              <w:rPr>
                <w:rFonts w:ascii="Arial" w:cs="Arial" w:eastAsia="Arial" w:hAnsi="Arial"/>
                <w:sz w:val="18"/>
                <w:szCs w:val="18"/>
                <w:color w:val="auto"/>
              </w:rPr>
              <w:t>Covenant to Guarantee Obligations and Give Security</w:t>
            </w:r>
          </w:p>
        </w:tc>
        <w:tc>
          <w:tcPr>
            <w:tcW w:w="26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6820" w:type="dxa"/>
            <w:vAlign w:val="bottom"/>
          </w:tcPr>
          <w:p>
            <w:pPr>
              <w:ind w:left="240"/>
              <w:spacing w:after="0"/>
              <w:rPr>
                <w:sz w:val="20"/>
                <w:szCs w:val="20"/>
                <w:color w:val="auto"/>
              </w:rPr>
            </w:pPr>
            <w:r>
              <w:rPr>
                <w:rFonts w:ascii="Arial" w:cs="Arial" w:eastAsia="Arial" w:hAnsi="Arial"/>
                <w:sz w:val="18"/>
                <w:szCs w:val="18"/>
                <w:color w:val="auto"/>
              </w:rPr>
              <w:t>Compliance with Environmental Laws</w:t>
            </w:r>
          </w:p>
        </w:tc>
        <w:tc>
          <w:tcPr>
            <w:tcW w:w="2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6820" w:type="dxa"/>
            <w:vAlign w:val="bottom"/>
          </w:tcPr>
          <w:p>
            <w:pPr>
              <w:ind w:left="240"/>
              <w:spacing w:after="0"/>
              <w:rPr>
                <w:sz w:val="20"/>
                <w:szCs w:val="20"/>
                <w:color w:val="auto"/>
              </w:rPr>
            </w:pPr>
            <w:r>
              <w:rPr>
                <w:rFonts w:ascii="Arial" w:cs="Arial" w:eastAsia="Arial" w:hAnsi="Arial"/>
                <w:sz w:val="18"/>
                <w:szCs w:val="18"/>
                <w:color w:val="auto"/>
              </w:rPr>
              <w:t>Environmental Disclosure</w:t>
            </w:r>
          </w:p>
        </w:tc>
        <w:tc>
          <w:tcPr>
            <w:tcW w:w="2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6820" w:type="dxa"/>
            <w:vAlign w:val="bottom"/>
          </w:tcPr>
          <w:p>
            <w:pPr>
              <w:ind w:left="240"/>
              <w:spacing w:after="0"/>
              <w:rPr>
                <w:sz w:val="20"/>
                <w:szCs w:val="20"/>
                <w:color w:val="auto"/>
              </w:rPr>
            </w:pPr>
            <w:r>
              <w:rPr>
                <w:rFonts w:ascii="Arial" w:cs="Arial" w:eastAsia="Arial" w:hAnsi="Arial"/>
                <w:sz w:val="18"/>
                <w:szCs w:val="18"/>
                <w:color w:val="auto"/>
              </w:rPr>
              <w:t>Lender Calls</w:t>
            </w: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67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6780" w:type="dxa"/>
            <w:vAlign w:val="bottom"/>
          </w:tcPr>
          <w:p>
            <w:pPr>
              <w:ind w:left="180"/>
              <w:spacing w:after="0"/>
              <w:rPr>
                <w:sz w:val="20"/>
                <w:szCs w:val="20"/>
                <w:color w:val="auto"/>
              </w:rPr>
            </w:pPr>
            <w:r>
              <w:rPr>
                <w:rFonts w:ascii="Arial" w:cs="Arial" w:eastAsia="Arial" w:hAnsi="Arial"/>
                <w:sz w:val="18"/>
                <w:szCs w:val="18"/>
                <w:color w:val="auto"/>
              </w:rPr>
              <w:t>Ratings</w:t>
            </w:r>
          </w:p>
        </w:tc>
        <w:tc>
          <w:tcPr>
            <w:tcW w:w="26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6780" w:type="dxa"/>
            <w:vAlign w:val="bottom"/>
          </w:tcPr>
          <w:p>
            <w:pPr>
              <w:ind w:left="180"/>
              <w:spacing w:after="0"/>
              <w:rPr>
                <w:sz w:val="20"/>
                <w:szCs w:val="20"/>
                <w:color w:val="auto"/>
              </w:rPr>
            </w:pPr>
            <w:r>
              <w:rPr>
                <w:rFonts w:ascii="Arial" w:cs="Arial" w:eastAsia="Arial" w:hAnsi="Arial"/>
                <w:sz w:val="18"/>
                <w:szCs w:val="18"/>
                <w:color w:val="auto"/>
              </w:rPr>
              <w:t>Designation of Restricted and Unrestricted Subsidiaries</w:t>
            </w:r>
          </w:p>
        </w:tc>
        <w:tc>
          <w:tcPr>
            <w:tcW w:w="26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7. Negative Covenants</w:t>
            </w:r>
          </w:p>
        </w:tc>
        <w:tc>
          <w:tcPr>
            <w:tcW w:w="26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6780" w:type="dxa"/>
            <w:vAlign w:val="bottom"/>
          </w:tcPr>
          <w:p>
            <w:pPr>
              <w:ind w:left="180"/>
              <w:spacing w:after="0"/>
              <w:rPr>
                <w:sz w:val="20"/>
                <w:szCs w:val="20"/>
                <w:color w:val="auto"/>
              </w:rPr>
            </w:pPr>
            <w:r>
              <w:rPr>
                <w:rFonts w:ascii="Arial" w:cs="Arial" w:eastAsia="Arial" w:hAnsi="Arial"/>
                <w:sz w:val="18"/>
                <w:szCs w:val="18"/>
                <w:color w:val="auto"/>
              </w:rPr>
              <w:t>Liens</w:t>
            </w:r>
          </w:p>
        </w:tc>
        <w:tc>
          <w:tcPr>
            <w:tcW w:w="26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67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6780" w:type="dxa"/>
            <w:vAlign w:val="bottom"/>
          </w:tcPr>
          <w:p>
            <w:pPr>
              <w:ind w:left="180"/>
              <w:spacing w:after="0"/>
              <w:rPr>
                <w:sz w:val="20"/>
                <w:szCs w:val="20"/>
                <w:color w:val="auto"/>
              </w:rPr>
            </w:pPr>
            <w:r>
              <w:rPr>
                <w:rFonts w:ascii="Arial" w:cs="Arial" w:eastAsia="Arial" w:hAnsi="Arial"/>
                <w:sz w:val="18"/>
                <w:szCs w:val="18"/>
                <w:color w:val="auto"/>
              </w:rPr>
              <w:t>Indebtedness</w:t>
            </w:r>
          </w:p>
        </w:tc>
        <w:tc>
          <w:tcPr>
            <w:tcW w:w="26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6780" w:type="dxa"/>
            <w:vAlign w:val="bottom"/>
          </w:tcPr>
          <w:p>
            <w:pPr>
              <w:ind w:left="180"/>
              <w:spacing w:after="0"/>
              <w:rPr>
                <w:sz w:val="20"/>
                <w:szCs w:val="20"/>
                <w:color w:val="auto"/>
              </w:rPr>
            </w:pPr>
            <w:r>
              <w:rPr>
                <w:rFonts w:ascii="Arial" w:cs="Arial" w:eastAsia="Arial" w:hAnsi="Arial"/>
                <w:sz w:val="18"/>
                <w:szCs w:val="18"/>
                <w:color w:val="auto"/>
              </w:rPr>
              <w:t>Fundamental Changes</w:t>
            </w:r>
          </w:p>
        </w:tc>
        <w:tc>
          <w:tcPr>
            <w:tcW w:w="26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6780" w:type="dxa"/>
            <w:vAlign w:val="bottom"/>
          </w:tcPr>
          <w:p>
            <w:pPr>
              <w:ind w:left="180"/>
              <w:spacing w:after="0"/>
              <w:rPr>
                <w:sz w:val="20"/>
                <w:szCs w:val="20"/>
                <w:color w:val="auto"/>
              </w:rPr>
            </w:pPr>
            <w:r>
              <w:rPr>
                <w:rFonts w:ascii="Arial" w:cs="Arial" w:eastAsia="Arial" w:hAnsi="Arial"/>
                <w:sz w:val="18"/>
                <w:szCs w:val="18"/>
                <w:color w:val="auto"/>
              </w:rPr>
              <w:t>Dispositions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678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6780" w:type="dxa"/>
            <w:vAlign w:val="bottom"/>
          </w:tcPr>
          <w:p>
            <w:pPr>
              <w:ind w:left="180"/>
              <w:spacing w:after="0"/>
              <w:rPr>
                <w:sz w:val="20"/>
                <w:szCs w:val="20"/>
                <w:color w:val="auto"/>
              </w:rPr>
            </w:pPr>
            <w:r>
              <w:rPr>
                <w:rFonts w:ascii="Arial" w:cs="Arial" w:eastAsia="Arial" w:hAnsi="Arial"/>
                <w:sz w:val="18"/>
                <w:szCs w:val="18"/>
                <w:color w:val="auto"/>
              </w:rPr>
              <w:t>Change in Nature of Business</w:t>
            </w:r>
          </w:p>
        </w:tc>
        <w:tc>
          <w:tcPr>
            <w:tcW w:w="26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678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26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6780" w:type="dxa"/>
            <w:vAlign w:val="bottom"/>
          </w:tcPr>
          <w:p>
            <w:pPr>
              <w:ind w:left="180"/>
              <w:spacing w:after="0"/>
              <w:rPr>
                <w:sz w:val="20"/>
                <w:szCs w:val="20"/>
                <w:color w:val="auto"/>
              </w:rPr>
            </w:pPr>
            <w:r>
              <w:rPr>
                <w:rFonts w:ascii="Arial" w:cs="Arial" w:eastAsia="Arial" w:hAnsi="Arial"/>
                <w:sz w:val="18"/>
                <w:szCs w:val="18"/>
                <w:color w:val="auto"/>
              </w:rPr>
              <w:t>Restrictive Agreements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67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2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6780" w:type="dxa"/>
            <w:vAlign w:val="bottom"/>
          </w:tcPr>
          <w:p>
            <w:pPr>
              <w:ind w:left="180"/>
              <w:spacing w:after="0"/>
              <w:rPr>
                <w:sz w:val="20"/>
                <w:szCs w:val="20"/>
                <w:color w:val="auto"/>
              </w:rPr>
            </w:pPr>
            <w:r>
              <w:rPr>
                <w:rFonts w:ascii="Arial" w:cs="Arial" w:eastAsia="Arial" w:hAnsi="Arial"/>
                <w:sz w:val="18"/>
                <w:szCs w:val="18"/>
                <w:color w:val="auto"/>
              </w:rPr>
              <w:t>Total Net Leverage Ratio</w:t>
            </w:r>
          </w:p>
        </w:tc>
        <w:tc>
          <w:tcPr>
            <w:tcW w:w="2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6780" w:type="dxa"/>
            <w:vAlign w:val="bottom"/>
          </w:tcPr>
          <w:p>
            <w:pPr>
              <w:ind w:left="180"/>
              <w:spacing w:after="0"/>
              <w:rPr>
                <w:sz w:val="20"/>
                <w:szCs w:val="20"/>
                <w:color w:val="auto"/>
              </w:rPr>
            </w:pPr>
            <w:r>
              <w:rPr>
                <w:rFonts w:ascii="Arial" w:cs="Arial" w:eastAsia="Arial" w:hAnsi="Arial"/>
                <w:sz w:val="18"/>
                <w:szCs w:val="18"/>
                <w:color w:val="auto"/>
              </w:rPr>
              <w:t>Amendments of Organization Documents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678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6780" w:type="dxa"/>
            <w:vAlign w:val="bottom"/>
          </w:tcPr>
          <w:p>
            <w:pPr>
              <w:ind w:left="180"/>
              <w:spacing w:after="0"/>
              <w:rPr>
                <w:sz w:val="20"/>
                <w:szCs w:val="20"/>
                <w:color w:val="auto"/>
              </w:rPr>
            </w:pPr>
            <w:r>
              <w:rPr>
                <w:rFonts w:ascii="Arial" w:cs="Arial" w:eastAsia="Arial" w:hAnsi="Arial"/>
                <w:sz w:val="18"/>
                <w:szCs w:val="18"/>
                <w:color w:val="auto"/>
              </w:rPr>
              <w:t>Prepayments of Indebtedness</w:t>
            </w:r>
          </w:p>
        </w:tc>
        <w:tc>
          <w:tcPr>
            <w:tcW w:w="2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6780" w:type="dxa"/>
            <w:vAlign w:val="bottom"/>
          </w:tcPr>
          <w:p>
            <w:pPr>
              <w:ind w:left="180"/>
              <w:spacing w:after="0"/>
              <w:rPr>
                <w:sz w:val="20"/>
                <w:szCs w:val="20"/>
                <w:color w:val="auto"/>
              </w:rPr>
            </w:pPr>
            <w:r>
              <w:rPr>
                <w:rFonts w:ascii="Arial" w:cs="Arial" w:eastAsia="Arial" w:hAnsi="Arial"/>
                <w:sz w:val="18"/>
                <w:szCs w:val="18"/>
                <w:color w:val="auto"/>
              </w:rPr>
              <w:t>Sale-Leaseback Transactions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7.16</w:t>
            </w:r>
          </w:p>
        </w:tc>
        <w:tc>
          <w:tcPr>
            <w:tcW w:w="6780" w:type="dxa"/>
            <w:vAlign w:val="bottom"/>
          </w:tcPr>
          <w:p>
            <w:pPr>
              <w:ind w:left="180"/>
              <w:spacing w:after="0"/>
              <w:rPr>
                <w:sz w:val="20"/>
                <w:szCs w:val="20"/>
                <w:color w:val="auto"/>
              </w:rPr>
            </w:pPr>
            <w:r>
              <w:rPr>
                <w:rFonts w:ascii="Arial" w:cs="Arial" w:eastAsia="Arial" w:hAnsi="Arial"/>
                <w:sz w:val="18"/>
                <w:szCs w:val="18"/>
                <w:color w:val="auto"/>
              </w:rPr>
              <w:t>Amendments of Indebtedness</w:t>
            </w:r>
          </w:p>
        </w:tc>
        <w:tc>
          <w:tcPr>
            <w:tcW w:w="26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8. Events of Default and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67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6780" w:type="dxa"/>
            <w:vAlign w:val="bottom"/>
          </w:tcPr>
          <w:p>
            <w:pPr>
              <w:ind w:left="180"/>
              <w:spacing w:after="0"/>
              <w:rPr>
                <w:sz w:val="20"/>
                <w:szCs w:val="20"/>
                <w:color w:val="auto"/>
              </w:rPr>
            </w:pPr>
            <w:r>
              <w:rPr>
                <w:rFonts w:ascii="Arial" w:cs="Arial" w:eastAsia="Arial" w:hAnsi="Arial"/>
                <w:sz w:val="18"/>
                <w:szCs w:val="18"/>
                <w:color w:val="auto"/>
              </w:rPr>
              <w:t>Remedies Upon Event of Default</w:t>
            </w:r>
          </w:p>
        </w:tc>
        <w:tc>
          <w:tcPr>
            <w:tcW w:w="26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6780" w:type="dxa"/>
            <w:vAlign w:val="bottom"/>
          </w:tcPr>
          <w:p>
            <w:pPr>
              <w:ind w:left="180"/>
              <w:spacing w:after="0"/>
              <w:rPr>
                <w:sz w:val="20"/>
                <w:szCs w:val="20"/>
                <w:color w:val="auto"/>
              </w:rPr>
            </w:pPr>
            <w:r>
              <w:rPr>
                <w:rFonts w:ascii="Arial" w:cs="Arial" w:eastAsia="Arial" w:hAnsi="Arial"/>
                <w:sz w:val="18"/>
                <w:szCs w:val="18"/>
                <w:color w:val="auto"/>
              </w:rPr>
              <w:t>Application of Funds</w:t>
            </w:r>
          </w:p>
        </w:tc>
        <w:tc>
          <w:tcPr>
            <w:tcW w:w="26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1560" w:type="dxa"/>
            <w:vAlign w:val="bottom"/>
          </w:tcPr>
          <w:p>
            <w:pPr>
              <w:spacing w:after="0"/>
              <w:rPr>
                <w:sz w:val="20"/>
                <w:szCs w:val="20"/>
                <w:color w:val="auto"/>
              </w:rPr>
            </w:pPr>
            <w:r>
              <w:rPr>
                <w:rFonts w:ascii="Arial" w:cs="Arial" w:eastAsia="Arial" w:hAnsi="Arial"/>
                <w:sz w:val="18"/>
                <w:szCs w:val="18"/>
                <w:color w:val="auto"/>
              </w:rPr>
              <w:t>Article 9. Agency</w:t>
            </w:r>
          </w:p>
        </w:tc>
        <w:tc>
          <w:tcPr>
            <w:tcW w:w="67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6780" w:type="dxa"/>
            <w:vAlign w:val="bottom"/>
          </w:tcPr>
          <w:p>
            <w:pPr>
              <w:ind w:left="180"/>
              <w:spacing w:after="0"/>
              <w:rPr>
                <w:sz w:val="20"/>
                <w:szCs w:val="20"/>
                <w:color w:val="auto"/>
              </w:rPr>
            </w:pPr>
            <w:r>
              <w:rPr>
                <w:rFonts w:ascii="Arial" w:cs="Arial" w:eastAsia="Arial" w:hAnsi="Arial"/>
                <w:sz w:val="18"/>
                <w:szCs w:val="18"/>
                <w:color w:val="auto"/>
              </w:rPr>
              <w:t>Appointment and Authority</w:t>
            </w:r>
          </w:p>
        </w:tc>
        <w:tc>
          <w:tcPr>
            <w:tcW w:w="26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6780" w:type="dxa"/>
            <w:vAlign w:val="bottom"/>
          </w:tcPr>
          <w:p>
            <w:pPr>
              <w:ind w:left="180"/>
              <w:spacing w:after="0"/>
              <w:rPr>
                <w:sz w:val="20"/>
                <w:szCs w:val="20"/>
                <w:color w:val="auto"/>
              </w:rPr>
            </w:pPr>
            <w:r>
              <w:rPr>
                <w:rFonts w:ascii="Arial" w:cs="Arial" w:eastAsia="Arial" w:hAnsi="Arial"/>
                <w:sz w:val="18"/>
                <w:szCs w:val="18"/>
                <w:color w:val="auto"/>
              </w:rPr>
              <w:t>Rights as a Lender</w:t>
            </w:r>
          </w:p>
        </w:tc>
        <w:tc>
          <w:tcPr>
            <w:tcW w:w="26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6780" w:type="dxa"/>
            <w:vAlign w:val="bottom"/>
          </w:tcPr>
          <w:p>
            <w:pPr>
              <w:ind w:left="180"/>
              <w:spacing w:after="0"/>
              <w:rPr>
                <w:sz w:val="20"/>
                <w:szCs w:val="20"/>
                <w:color w:val="auto"/>
              </w:rPr>
            </w:pPr>
            <w:r>
              <w:rPr>
                <w:rFonts w:ascii="Arial" w:cs="Arial" w:eastAsia="Arial" w:hAnsi="Arial"/>
                <w:sz w:val="18"/>
                <w:szCs w:val="18"/>
                <w:color w:val="auto"/>
              </w:rPr>
              <w:t>Exculpatory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6780" w:type="dxa"/>
            <w:vAlign w:val="bottom"/>
          </w:tcPr>
          <w:p>
            <w:pPr>
              <w:ind w:left="180"/>
              <w:spacing w:after="0"/>
              <w:rPr>
                <w:sz w:val="20"/>
                <w:szCs w:val="20"/>
                <w:color w:val="auto"/>
              </w:rPr>
            </w:pPr>
            <w:r>
              <w:rPr>
                <w:rFonts w:ascii="Arial" w:cs="Arial" w:eastAsia="Arial" w:hAnsi="Arial"/>
                <w:sz w:val="18"/>
                <w:szCs w:val="18"/>
                <w:color w:val="auto"/>
              </w:rPr>
              <w:t>Reliance</w:t>
            </w:r>
          </w:p>
        </w:tc>
        <w:tc>
          <w:tcPr>
            <w:tcW w:w="2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678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6780" w:type="dxa"/>
            <w:vAlign w:val="bottom"/>
          </w:tcPr>
          <w:p>
            <w:pPr>
              <w:ind w:left="180"/>
              <w:spacing w:after="0"/>
              <w:rPr>
                <w:sz w:val="20"/>
                <w:szCs w:val="20"/>
                <w:color w:val="auto"/>
              </w:rPr>
            </w:pPr>
            <w:r>
              <w:rPr>
                <w:rFonts w:ascii="Arial" w:cs="Arial" w:eastAsia="Arial" w:hAnsi="Arial"/>
                <w:sz w:val="18"/>
                <w:szCs w:val="18"/>
                <w:color w:val="auto"/>
              </w:rPr>
              <w:t>Resignation of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6780" w:type="dxa"/>
            <w:vAlign w:val="bottom"/>
          </w:tcPr>
          <w:p>
            <w:pPr>
              <w:ind w:left="180"/>
              <w:spacing w:after="0"/>
              <w:rPr>
                <w:sz w:val="20"/>
                <w:szCs w:val="20"/>
                <w:color w:val="auto"/>
              </w:rPr>
            </w:pPr>
            <w:r>
              <w:rPr>
                <w:rFonts w:ascii="Arial" w:cs="Arial" w:eastAsia="Arial" w:hAnsi="Arial"/>
                <w:sz w:val="18"/>
                <w:szCs w:val="18"/>
                <w:color w:val="auto"/>
              </w:rPr>
              <w:t>Non-Reliance on Administrative Agent and Other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6780" w:type="dxa"/>
            <w:vAlign w:val="bottom"/>
          </w:tcPr>
          <w:p>
            <w:pPr>
              <w:ind w:left="180"/>
              <w:spacing w:after="0"/>
              <w:rPr>
                <w:sz w:val="20"/>
                <w:szCs w:val="20"/>
                <w:color w:val="auto"/>
              </w:rPr>
            </w:pPr>
            <w:r>
              <w:rPr>
                <w:rFonts w:ascii="Arial" w:cs="Arial" w:eastAsia="Arial" w:hAnsi="Arial"/>
                <w:sz w:val="18"/>
                <w:szCs w:val="18"/>
                <w:color w:val="auto"/>
              </w:rPr>
              <w:t>No Other Duties,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6780" w:type="dxa"/>
            <w:vAlign w:val="bottom"/>
          </w:tcPr>
          <w:p>
            <w:pPr>
              <w:ind w:left="180"/>
              <w:spacing w:after="0"/>
              <w:rPr>
                <w:sz w:val="20"/>
                <w:szCs w:val="20"/>
                <w:color w:val="auto"/>
              </w:rPr>
            </w:pPr>
            <w:r>
              <w:rPr>
                <w:rFonts w:ascii="Arial" w:cs="Arial" w:eastAsia="Arial" w:hAnsi="Arial"/>
                <w:sz w:val="18"/>
                <w:szCs w:val="18"/>
                <w:color w:val="auto"/>
              </w:rPr>
              <w:t>Administrative Agent May File Proofs of Claim</w:t>
            </w:r>
          </w:p>
        </w:tc>
        <w:tc>
          <w:tcPr>
            <w:tcW w:w="2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6780" w:type="dxa"/>
            <w:vAlign w:val="bottom"/>
          </w:tcPr>
          <w:p>
            <w:pPr>
              <w:ind w:left="180"/>
              <w:spacing w:after="0"/>
              <w:rPr>
                <w:sz w:val="20"/>
                <w:szCs w:val="20"/>
                <w:color w:val="auto"/>
              </w:rPr>
            </w:pPr>
            <w:r>
              <w:rPr>
                <w:rFonts w:ascii="Arial" w:cs="Arial" w:eastAsia="Arial" w:hAnsi="Arial"/>
                <w:sz w:val="18"/>
                <w:szCs w:val="18"/>
                <w:color w:val="auto"/>
              </w:rPr>
              <w:t>Collateral and Guaranty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6780" w:type="dxa"/>
            <w:vAlign w:val="bottom"/>
          </w:tcPr>
          <w:p>
            <w:pPr>
              <w:ind w:left="180"/>
              <w:spacing w:after="0"/>
              <w:rPr>
                <w:sz w:val="20"/>
                <w:szCs w:val="20"/>
                <w:color w:val="auto"/>
              </w:rPr>
            </w:pPr>
            <w:r>
              <w:rPr>
                <w:rFonts w:ascii="Arial" w:cs="Arial" w:eastAsia="Arial" w:hAnsi="Arial"/>
                <w:sz w:val="18"/>
                <w:szCs w:val="18"/>
                <w:color w:val="auto"/>
              </w:rPr>
              <w:t>Additional Secured Parties</w:t>
            </w:r>
          </w:p>
        </w:tc>
        <w:tc>
          <w:tcPr>
            <w:tcW w:w="26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6780" w:type="dxa"/>
            <w:vAlign w:val="bottom"/>
          </w:tcPr>
          <w:p>
            <w:pPr>
              <w:ind w:left="180"/>
              <w:spacing w:after="0"/>
              <w:rPr>
                <w:sz w:val="20"/>
                <w:szCs w:val="20"/>
                <w:color w:val="auto"/>
              </w:rPr>
            </w:pPr>
            <w:r>
              <w:rPr>
                <w:rFonts w:ascii="Arial" w:cs="Arial" w:eastAsia="Arial" w:hAnsi="Arial"/>
                <w:sz w:val="18"/>
                <w:szCs w:val="18"/>
                <w:color w:val="auto"/>
              </w:rPr>
              <w:t>Certain ERISA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10. Miscellaneous</w:t>
            </w:r>
          </w:p>
        </w:tc>
        <w:tc>
          <w:tcPr>
            <w:tcW w:w="2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780" w:type="dxa"/>
            <w:vAlign w:val="bottom"/>
          </w:tcPr>
          <w:p>
            <w:pPr>
              <w:ind w:left="180"/>
              <w:spacing w:after="0"/>
              <w:rPr>
                <w:sz w:val="20"/>
                <w:szCs w:val="20"/>
                <w:color w:val="auto"/>
              </w:rPr>
            </w:pPr>
            <w:r>
              <w:rPr>
                <w:rFonts w:ascii="Arial" w:cs="Arial" w:eastAsia="Arial" w:hAnsi="Arial"/>
                <w:sz w:val="18"/>
                <w:szCs w:val="18"/>
                <w:color w:val="auto"/>
              </w:rPr>
              <w:t>Amendments, Etc.</w:t>
            </w:r>
          </w:p>
        </w:tc>
        <w:tc>
          <w:tcPr>
            <w:tcW w:w="2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780" w:type="dxa"/>
            <w:vAlign w:val="bottom"/>
          </w:tcPr>
          <w:p>
            <w:pPr>
              <w:ind w:left="180"/>
              <w:spacing w:after="0"/>
              <w:rPr>
                <w:sz w:val="20"/>
                <w:szCs w:val="20"/>
                <w:color w:val="auto"/>
              </w:rPr>
            </w:pPr>
            <w:r>
              <w:rPr>
                <w:rFonts w:ascii="Arial" w:cs="Arial" w:eastAsia="Arial" w:hAnsi="Arial"/>
                <w:sz w:val="18"/>
                <w:szCs w:val="18"/>
                <w:color w:val="auto"/>
              </w:rPr>
              <w:t>Notices; Effectiveness; Electronic Communication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168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74" w:right="47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7260" w:type="dxa"/>
            <w:vAlign w:val="bottom"/>
          </w:tcPr>
          <w:p>
            <w:pPr>
              <w:ind w:left="180"/>
              <w:spacing w:after="0"/>
              <w:rPr>
                <w:sz w:val="20"/>
                <w:szCs w:val="20"/>
                <w:color w:val="auto"/>
              </w:rPr>
            </w:pPr>
            <w:r>
              <w:rPr>
                <w:rFonts w:ascii="Arial" w:cs="Arial" w:eastAsia="Arial" w:hAnsi="Arial"/>
                <w:sz w:val="18"/>
                <w:szCs w:val="18"/>
                <w:color w:val="auto"/>
              </w:rPr>
              <w:t>No Waiver; Cumulative Remedies; Enforcement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7260" w:type="dxa"/>
            <w:vAlign w:val="bottom"/>
          </w:tcPr>
          <w:p>
            <w:pPr>
              <w:ind w:left="180"/>
              <w:spacing w:after="0"/>
              <w:rPr>
                <w:sz w:val="20"/>
                <w:szCs w:val="20"/>
                <w:color w:val="auto"/>
              </w:rPr>
            </w:pPr>
            <w:r>
              <w:rPr>
                <w:rFonts w:ascii="Arial" w:cs="Arial" w:eastAsia="Arial" w:hAnsi="Arial"/>
                <w:sz w:val="18"/>
                <w:szCs w:val="18"/>
                <w:color w:val="auto"/>
              </w:rPr>
              <w:t>Expenses; Indemnity; Damage Waiver</w:t>
            </w:r>
          </w:p>
        </w:tc>
        <w:tc>
          <w:tcPr>
            <w:tcW w:w="2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7260" w:type="dxa"/>
            <w:vAlign w:val="bottom"/>
          </w:tcPr>
          <w:p>
            <w:pPr>
              <w:ind w:left="180"/>
              <w:spacing w:after="0"/>
              <w:rPr>
                <w:sz w:val="20"/>
                <w:szCs w:val="20"/>
                <w:color w:val="auto"/>
              </w:rPr>
            </w:pPr>
            <w:r>
              <w:rPr>
                <w:rFonts w:ascii="Arial" w:cs="Arial" w:eastAsia="Arial" w:hAnsi="Arial"/>
                <w:sz w:val="18"/>
                <w:szCs w:val="18"/>
                <w:color w:val="auto"/>
              </w:rPr>
              <w:t>Payments Set Aside</w:t>
            </w:r>
          </w:p>
        </w:tc>
        <w:tc>
          <w:tcPr>
            <w:tcW w:w="21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10.06</w:t>
            </w:r>
          </w:p>
        </w:tc>
        <w:tc>
          <w:tcPr>
            <w:tcW w:w="726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10.07</w:t>
            </w:r>
          </w:p>
        </w:tc>
        <w:tc>
          <w:tcPr>
            <w:tcW w:w="7260" w:type="dxa"/>
            <w:vAlign w:val="bottom"/>
          </w:tcPr>
          <w:p>
            <w:pPr>
              <w:ind w:left="180"/>
              <w:spacing w:after="0"/>
              <w:rPr>
                <w:sz w:val="20"/>
                <w:szCs w:val="20"/>
                <w:color w:val="auto"/>
              </w:rPr>
            </w:pPr>
            <w:r>
              <w:rPr>
                <w:rFonts w:ascii="Arial" w:cs="Arial" w:eastAsia="Arial" w:hAnsi="Arial"/>
                <w:sz w:val="18"/>
                <w:szCs w:val="18"/>
                <w:color w:val="auto"/>
              </w:rPr>
              <w:t>Treatment of Certain Information;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10.08</w:t>
            </w:r>
          </w:p>
        </w:tc>
        <w:tc>
          <w:tcPr>
            <w:tcW w:w="7260" w:type="dxa"/>
            <w:vAlign w:val="bottom"/>
          </w:tcPr>
          <w:p>
            <w:pPr>
              <w:ind w:left="180"/>
              <w:spacing w:after="0"/>
              <w:rPr>
                <w:sz w:val="20"/>
                <w:szCs w:val="20"/>
                <w:color w:val="auto"/>
              </w:rPr>
            </w:pPr>
            <w:r>
              <w:rPr>
                <w:rFonts w:ascii="Arial" w:cs="Arial" w:eastAsia="Arial" w:hAnsi="Arial"/>
                <w:sz w:val="18"/>
                <w:szCs w:val="18"/>
                <w:color w:val="auto"/>
              </w:rPr>
              <w:t>Right of Setoff</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10.09</w:t>
            </w:r>
          </w:p>
        </w:tc>
        <w:tc>
          <w:tcPr>
            <w:tcW w:w="7260" w:type="dxa"/>
            <w:vAlign w:val="bottom"/>
          </w:tcPr>
          <w:p>
            <w:pPr>
              <w:ind w:left="180"/>
              <w:spacing w:after="0"/>
              <w:rPr>
                <w:sz w:val="20"/>
                <w:szCs w:val="20"/>
                <w:color w:val="auto"/>
              </w:rPr>
            </w:pPr>
            <w:r>
              <w:rPr>
                <w:rFonts w:ascii="Arial" w:cs="Arial" w:eastAsia="Arial" w:hAnsi="Arial"/>
                <w:sz w:val="18"/>
                <w:szCs w:val="18"/>
                <w:color w:val="auto"/>
              </w:rPr>
              <w:t>Interest Rate Limitation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10.10</w:t>
            </w:r>
          </w:p>
        </w:tc>
        <w:tc>
          <w:tcPr>
            <w:tcW w:w="7260" w:type="dxa"/>
            <w:vAlign w:val="bottom"/>
          </w:tcPr>
          <w:p>
            <w:pPr>
              <w:ind w:left="180"/>
              <w:spacing w:after="0"/>
              <w:rPr>
                <w:sz w:val="20"/>
                <w:szCs w:val="20"/>
                <w:color w:val="auto"/>
              </w:rPr>
            </w:pPr>
            <w:r>
              <w:rPr>
                <w:rFonts w:ascii="Arial" w:cs="Arial" w:eastAsia="Arial" w:hAnsi="Arial"/>
                <w:sz w:val="18"/>
                <w:szCs w:val="18"/>
                <w:color w:val="auto"/>
              </w:rPr>
              <w:t>Counterparts; Integration; Effectiveness</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10.11</w:t>
            </w:r>
          </w:p>
        </w:tc>
        <w:tc>
          <w:tcPr>
            <w:tcW w:w="7260" w:type="dxa"/>
            <w:vAlign w:val="bottom"/>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10.12</w:t>
            </w:r>
          </w:p>
        </w:tc>
        <w:tc>
          <w:tcPr>
            <w:tcW w:w="72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10.13</w:t>
            </w:r>
          </w:p>
        </w:tc>
        <w:tc>
          <w:tcPr>
            <w:tcW w:w="7260" w:type="dxa"/>
            <w:vAlign w:val="bottom"/>
          </w:tcPr>
          <w:p>
            <w:pPr>
              <w:ind w:left="180"/>
              <w:spacing w:after="0"/>
              <w:rPr>
                <w:sz w:val="20"/>
                <w:szCs w:val="20"/>
                <w:color w:val="auto"/>
              </w:rPr>
            </w:pPr>
            <w:r>
              <w:rPr>
                <w:rFonts w:ascii="Arial" w:cs="Arial" w:eastAsia="Arial" w:hAnsi="Arial"/>
                <w:sz w:val="18"/>
                <w:szCs w:val="18"/>
                <w:color w:val="auto"/>
              </w:rPr>
              <w:t>Replacement of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10.14</w:t>
            </w:r>
          </w:p>
        </w:tc>
        <w:tc>
          <w:tcPr>
            <w:tcW w:w="7260" w:type="dxa"/>
            <w:vAlign w:val="bottom"/>
          </w:tcPr>
          <w:p>
            <w:pPr>
              <w:ind w:left="180"/>
              <w:spacing w:after="0"/>
              <w:rPr>
                <w:sz w:val="20"/>
                <w:szCs w:val="20"/>
                <w:color w:val="auto"/>
              </w:rPr>
            </w:pPr>
            <w:r>
              <w:rPr>
                <w:rFonts w:ascii="Arial" w:cs="Arial" w:eastAsia="Arial" w:hAnsi="Arial"/>
                <w:sz w:val="18"/>
                <w:szCs w:val="18"/>
                <w:color w:val="auto"/>
              </w:rPr>
              <w:t>Governing Law; Jurisdiction; Etc.</w:t>
            </w:r>
          </w:p>
        </w:tc>
        <w:tc>
          <w:tcPr>
            <w:tcW w:w="21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10.15</w:t>
            </w:r>
          </w:p>
        </w:tc>
        <w:tc>
          <w:tcPr>
            <w:tcW w:w="726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10.16</w:t>
            </w:r>
          </w:p>
        </w:tc>
        <w:tc>
          <w:tcPr>
            <w:tcW w:w="7260" w:type="dxa"/>
            <w:vAlign w:val="bottom"/>
          </w:tcPr>
          <w:p>
            <w:pPr>
              <w:ind w:left="180"/>
              <w:spacing w:after="0"/>
              <w:rPr>
                <w:sz w:val="20"/>
                <w:szCs w:val="20"/>
                <w:color w:val="auto"/>
              </w:rPr>
            </w:pPr>
            <w:r>
              <w:rPr>
                <w:rFonts w:ascii="Arial" w:cs="Arial" w:eastAsia="Arial" w:hAnsi="Arial"/>
                <w:sz w:val="18"/>
                <w:szCs w:val="18"/>
                <w:color w:val="auto"/>
              </w:rPr>
              <w:t>California Judicial Reference</w:t>
            </w:r>
          </w:p>
        </w:tc>
        <w:tc>
          <w:tcPr>
            <w:tcW w:w="2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10.17</w:t>
            </w:r>
          </w:p>
        </w:tc>
        <w:tc>
          <w:tcPr>
            <w:tcW w:w="7260" w:type="dxa"/>
            <w:vAlign w:val="bottom"/>
          </w:tcPr>
          <w:p>
            <w:pPr>
              <w:ind w:left="180"/>
              <w:spacing w:after="0"/>
              <w:rPr>
                <w:sz w:val="20"/>
                <w:szCs w:val="20"/>
                <w:color w:val="auto"/>
              </w:rPr>
            </w:pPr>
            <w:r>
              <w:rPr>
                <w:rFonts w:ascii="Arial" w:cs="Arial" w:eastAsia="Arial" w:hAnsi="Arial"/>
                <w:sz w:val="18"/>
                <w:szCs w:val="18"/>
                <w:color w:val="auto"/>
              </w:rPr>
              <w:t>No Advisory or Fiduciary Responsibility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10.18</w:t>
            </w:r>
          </w:p>
        </w:tc>
        <w:tc>
          <w:tcPr>
            <w:tcW w:w="7260" w:type="dxa"/>
            <w:vAlign w:val="bottom"/>
          </w:tcPr>
          <w:p>
            <w:pPr>
              <w:ind w:left="180"/>
              <w:spacing w:after="0"/>
              <w:rPr>
                <w:sz w:val="20"/>
                <w:szCs w:val="20"/>
                <w:color w:val="auto"/>
              </w:rPr>
            </w:pPr>
            <w:r>
              <w:rPr>
                <w:rFonts w:ascii="Arial" w:cs="Arial" w:eastAsia="Arial" w:hAnsi="Arial"/>
                <w:sz w:val="18"/>
                <w:szCs w:val="18"/>
                <w:color w:val="auto"/>
              </w:rPr>
              <w:t>Electronic Execution of Assignments and Certain Other Documents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10.19</w:t>
            </w:r>
          </w:p>
        </w:tc>
        <w:tc>
          <w:tcPr>
            <w:tcW w:w="726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21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10.20</w:t>
            </w:r>
          </w:p>
        </w:tc>
        <w:tc>
          <w:tcPr>
            <w:tcW w:w="7260" w:type="dxa"/>
            <w:vAlign w:val="bottom"/>
          </w:tcPr>
          <w:p>
            <w:pPr>
              <w:ind w:left="180"/>
              <w:spacing w:after="0"/>
              <w:rPr>
                <w:sz w:val="20"/>
                <w:szCs w:val="20"/>
                <w:color w:val="auto"/>
              </w:rPr>
            </w:pPr>
            <w:r>
              <w:rPr>
                <w:rFonts w:ascii="Arial" w:cs="Arial" w:eastAsia="Arial" w:hAnsi="Arial"/>
                <w:sz w:val="18"/>
                <w:szCs w:val="18"/>
                <w:color w:val="auto"/>
              </w:rPr>
              <w:t>Judgment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10.21</w:t>
            </w:r>
          </w:p>
        </w:tc>
        <w:tc>
          <w:tcPr>
            <w:tcW w:w="7260" w:type="dxa"/>
            <w:vAlign w:val="bottom"/>
          </w:tcPr>
          <w:p>
            <w:pPr>
              <w:ind w:left="180"/>
              <w:spacing w:after="0"/>
              <w:rPr>
                <w:sz w:val="20"/>
                <w:szCs w:val="20"/>
                <w:color w:val="auto"/>
              </w:rPr>
            </w:pPr>
            <w:r>
              <w:rPr>
                <w:rFonts w:ascii="Arial" w:cs="Arial" w:eastAsia="Arial" w:hAnsi="Arial"/>
                <w:sz w:val="18"/>
                <w:szCs w:val="18"/>
                <w:color w:val="auto"/>
              </w:rPr>
              <w:t>Pari Passu Intercreditor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10.22</w:t>
            </w:r>
          </w:p>
        </w:tc>
        <w:tc>
          <w:tcPr>
            <w:tcW w:w="7260" w:type="dxa"/>
            <w:vAlign w:val="bottom"/>
          </w:tcPr>
          <w:p>
            <w:pPr>
              <w:ind w:left="1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10.23</w:t>
            </w:r>
          </w:p>
        </w:tc>
        <w:tc>
          <w:tcPr>
            <w:tcW w:w="7260" w:type="dxa"/>
            <w:vAlign w:val="bottom"/>
          </w:tcPr>
          <w:p>
            <w:pPr>
              <w:ind w:left="180"/>
              <w:spacing w:after="0"/>
              <w:rPr>
                <w:sz w:val="20"/>
                <w:szCs w:val="20"/>
                <w:color w:val="auto"/>
              </w:rPr>
            </w:pPr>
            <w:r>
              <w:rPr>
                <w:rFonts w:ascii="Arial" w:cs="Arial" w:eastAsia="Arial" w:hAnsi="Arial"/>
                <w:sz w:val="18"/>
                <w:szCs w:val="18"/>
                <w:color w:val="auto"/>
              </w:rPr>
              <w:t>Acknowledgement Regarding Any Supported QFCs</w:t>
            </w:r>
          </w:p>
        </w:tc>
        <w:tc>
          <w:tcPr>
            <w:tcW w:w="216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620"/>
          </w:cols>
          <w:pgMar w:left="800" w:top="274" w:right="47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b w:val="1"/>
          <w:bCs w:val="1"/>
          <w:color w:val="auto"/>
        </w:rPr>
        <w:t>SCHEDULES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2.01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4.01(a)(ii)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4.01(a)(iv)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Applicable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-430530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Closing Date Collateral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Local Legal Counsel Opinions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Other Equity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Agent’s Office; Certain Addresses for Notices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Conversion/Continuation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Prepayment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Solvency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Loan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Joinder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and Collateral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H-4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Pari Passu Intercreditor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Junior Lien Intercreditor Agreement</w:t>
      </w:r>
    </w:p>
    <w:p>
      <w:pPr>
        <w:spacing w:after="0" w:line="143"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vi</w:t>
      </w:r>
    </w:p>
    <w:p>
      <w:pPr>
        <w:sectPr>
          <w:pgSz w:w="11900" w:h="16838" w:orient="portrait"/>
          <w:cols w:equalWidth="0" w:num="2">
            <w:col w:w="1100" w:space="560"/>
            <w:col w:w="8359"/>
          </w:cols>
          <w:pgMar w:left="440" w:top="270" w:right="1440"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This CREDIT AGREEMENT (as amended, restated, amended and restated, supplemented or otherwise modified from time to time, this</w:t>
      </w:r>
    </w:p>
    <w:p>
      <w:pPr>
        <w:spacing w:after="0" w:line="3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21, 2019, among BELLRING BRANDS, LLC,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 CREDIT SUISSE AG, CAYMAN ISLANDS BRANCH, as Administrative Agent, and each L/C Issuer (as defined below).</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Whereas, the Borrower has requested that (a) the Term B Lenders extend Term B Loans in an aggregate principal amount of $700,000,000, (b) the Revolving Credit Lenders provide Revolving Credit Commitments in an aggregate amount of $200,000,000 and (c) the L/C Issuers agree to issue Letter of Credit in an aggregate amount available to drawn not in excess of the Letter of Credit Sublimit; and</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Whereas, the Lenders have indicated their willingness to lend and the L/C Issuers have indicated their willingness to issue letters of credit, in each case, on the terms and subject to the conditions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specified in Section 10.19.</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Nutrition Transaction</w:t>
      </w:r>
      <w:r>
        <w:rPr>
          <w:rFonts w:ascii="Arial" w:cs="Arial" w:eastAsia="Arial" w:hAnsi="Arial"/>
          <w:sz w:val="18"/>
          <w:szCs w:val="18"/>
          <w:color w:val="auto"/>
        </w:rPr>
        <w:t>” means, collectively, the “formation transactions” as described in the Master Transaction Agreement and the Registration Statement, the initial public offering of BRBR pursuant to the Registration Statement, and the transactions relating to any of the foregoing, in each case substantially as described in the Master Transaction Agreement and the Registration Statement.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Active Nutrition Business</w:t>
      </w:r>
      <w:r>
        <w:rPr>
          <w:rFonts w:ascii="Arial" w:cs="Arial" w:eastAsia="Arial" w:hAnsi="Arial"/>
          <w:sz w:val="18"/>
          <w:szCs w:val="18"/>
          <w:color w:val="auto"/>
        </w:rPr>
        <w:t>” has the same meaning as “Post’s Active Nutrition business” as used in the Registration Statement.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Refinancing Lender</w:t>
      </w:r>
      <w:r>
        <w:rPr>
          <w:rFonts w:ascii="Arial" w:cs="Arial" w:eastAsia="Arial" w:hAnsi="Arial"/>
          <w:sz w:val="18"/>
          <w:szCs w:val="18"/>
          <w:color w:val="auto"/>
        </w:rPr>
        <w:t>” has the meaning specified in Section 2.17.</w:t>
      </w:r>
    </w:p>
    <w:p>
      <w:pPr>
        <w:spacing w:after="0" w:line="225" w:lineRule="exact"/>
        <w:rPr>
          <w:sz w:val="20"/>
          <w:szCs w:val="20"/>
          <w:color w:val="auto"/>
        </w:rPr>
      </w:pPr>
    </w:p>
    <w:p>
      <w:pPr>
        <w:ind w:right="6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Credit Suisse AG, Cayman Islands Branch, in its capacity as administrative agent under any of the Loan Documents, or any successor administrative agent.</w:t>
      </w:r>
    </w:p>
    <w:p>
      <w:pPr>
        <w:sectPr>
          <w:pgSz w:w="11900" w:h="16838" w:orient="portrait"/>
          <w:cols w:equalWidth="0" w:num="1">
            <w:col w:w="10980"/>
          </w:cols>
          <w:pgMar w:left="440" w:top="270" w:right="479" w:bottom="1440" w:gutter="0" w:footer="0" w:header="0"/>
        </w:sectPr>
      </w:pPr>
    </w:p>
    <w:bookmarkStart w:id="223" w:name="page224"/>
    <w:bookmarkEnd w:id="223"/>
    <w:p>
      <w:pPr>
        <w:ind w:right="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62" w:lineRule="exact"/>
        <w:rPr>
          <w:sz w:val="20"/>
          <w:szCs w:val="20"/>
          <w:color w:val="auto"/>
        </w:rPr>
      </w:pPr>
    </w:p>
    <w:p>
      <w:pPr>
        <w:jc w:val="both"/>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Foreign Subsidiary</w:t>
      </w:r>
      <w:r>
        <w:rPr>
          <w:rFonts w:ascii="Arial" w:cs="Arial" w:eastAsia="Arial" w:hAnsi="Arial"/>
          <w:sz w:val="18"/>
          <w:szCs w:val="18"/>
          <w:color w:val="auto"/>
        </w:rPr>
        <w:t>” means any Foreign Subsidiary to the extent such Foreign Subsidiary acting as a Guarantor, or having a Lien granted in its Equity Interests to secure the Obligations or granting a Lien on any of its assets to secure the Obligations would, in any case, cause a Deemed Dividend Problem.</w:t>
      </w:r>
    </w:p>
    <w:p>
      <w:pPr>
        <w:spacing w:after="0" w:line="176"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Fee Letter</w:t>
      </w:r>
      <w:r>
        <w:rPr>
          <w:rFonts w:ascii="Arial" w:cs="Arial" w:eastAsia="Arial" w:hAnsi="Arial"/>
          <w:sz w:val="18"/>
          <w:szCs w:val="18"/>
          <w:color w:val="auto"/>
        </w:rPr>
        <w:t>” means the Administrative Agent Fee Letter, dated September 26, 2019, between the Borrower and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w:t>
      </w:r>
      <w:r>
        <w:rPr>
          <w:rFonts w:ascii="Arial" w:cs="Arial" w:eastAsia="Arial" w:hAnsi="Arial"/>
          <w:sz w:val="18"/>
          <w:szCs w:val="18"/>
          <w:color w:val="auto"/>
        </w:rPr>
        <w:t>” means Euros and Pounds Sterling.</w:t>
      </w:r>
    </w:p>
    <w:p>
      <w:pPr>
        <w:spacing w:after="0" w:line="225" w:lineRule="exact"/>
        <w:rPr>
          <w:sz w:val="20"/>
          <w:szCs w:val="20"/>
          <w:color w:val="auto"/>
        </w:rPr>
      </w:pPr>
    </w:p>
    <w:p>
      <w:pPr>
        <w:ind w:right="9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xml:space="preserve">” means the most recently delivered audited financial statements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this Agreement.</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any laws, rules and regulations of any jurisdiction applicable to the Borrower or any of its Restricted Subsidiaries from time to time concerning or relating to bribery or corruption of public officials, including without limitation the U.S. Foreign Corrupt Practices Act of 1977, as amended.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Percentage</w:t>
      </w:r>
      <w:r>
        <w:rPr>
          <w:rFonts w:ascii="Arial" w:cs="Arial" w:eastAsia="Arial" w:hAnsi="Arial"/>
          <w:sz w:val="16"/>
          <w:szCs w:val="16"/>
          <w:color w:val="auto"/>
        </w:rPr>
        <w:t>” means, with respect to any Lender at any time, the percentage (carried out to the ninth decimal place) of the aggregate principal amount of all Commitments and, if applicable and without duplication, Loans of such Lender under the applicable Facility or Facilities at such time; provided that, with respect to any Revolving Credit Facility, if the commitment of each Revolving Credit Lender to make Revolving Credit Loans under such Revolving Credit Facility and the obligation of the L/C Issuers to make L/C Credit Extensions have been terminated pursuant to</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or if the Revolving Credit Commitments in respect thereof have expired, then the Applicable Percentage of each Revolving Credit Lender in respect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24" w:name="page225"/>
    <w:bookmarkEnd w:id="22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such Revolving Credit Facility shall be determined based on the Applicable Percentage of such Revolving Credit Lender immediately prior to such termination and after giving effect to any subsequent assignments. The initial Applicable Percentage of each Lender in respect of each of the Term B Facility and the Revolving Credit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 The Applicable Percentage of any Lender is subject to adjustment as provided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0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xml:space="preserve">” means (a) in respect of Term B Loans, 4.00% per annum for Base Rate Loans and 5.00% per annum for Eurodollar Rate Loans and (b), in respect of Original Revolving Credit Loans, (i) from the Closing Date to the date following the Closing Date on which a Compliance Certificate is delivered pursuant to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in respect of the first full fiscal quarter ending after the Closing Date, 3.25% per annum for Base Rate Loans and 4.25% per annum for Eurodollar Rate Loans and (ii) thereafter, the applicable percentage per annum set forth below determined by reference to the Secured Net Leverage Ratio as set forth in the most recent Compliance Certificate received by the Administrative Agent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6.02(a)</w:t>
      </w:r>
      <w:r>
        <w:rPr>
          <w:rFonts w:ascii="Arial" w:cs="Arial" w:eastAsia="Arial" w:hAnsi="Arial"/>
          <w:sz w:val="18"/>
          <w:szCs w:val="18"/>
          <w:color w:val="auto"/>
        </w:rPr>
        <w:t>:</w:t>
      </w:r>
    </w:p>
    <w:p>
      <w:pPr>
        <w:spacing w:after="0" w:line="22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1740" w:type="dxa"/>
            <w:vAlign w:val="bottom"/>
          </w:tcPr>
          <w:p>
            <w:pPr>
              <w:spacing w:after="0"/>
              <w:rPr>
                <w:sz w:val="14"/>
                <w:szCs w:val="14"/>
                <w:color w:val="auto"/>
              </w:rPr>
            </w:pPr>
          </w:p>
        </w:tc>
        <w:tc>
          <w:tcPr>
            <w:tcW w:w="3740" w:type="dxa"/>
            <w:vAlign w:val="bottom"/>
            <w:gridSpan w:val="2"/>
          </w:tcPr>
          <w:p>
            <w:pPr>
              <w:jc w:val="center"/>
              <w:ind w:right="2800"/>
              <w:spacing w:after="0"/>
              <w:rPr>
                <w:sz w:val="20"/>
                <w:szCs w:val="20"/>
                <w:color w:val="auto"/>
              </w:rPr>
            </w:pPr>
            <w:r>
              <w:rPr>
                <w:rFonts w:ascii="Arial" w:cs="Arial" w:eastAsia="Arial" w:hAnsi="Arial"/>
                <w:sz w:val="14"/>
                <w:szCs w:val="14"/>
                <w:b w:val="1"/>
                <w:bCs w:val="1"/>
                <w:color w:val="auto"/>
                <w:w w:val="90"/>
              </w:rPr>
              <w:t>Secured Net</w:t>
            </w: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7"/>
              </w:rPr>
              <w:t>Eurodollar Rate</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w:t>
            </w:r>
          </w:p>
        </w:tc>
      </w:tr>
      <w:tr>
        <w:trPr>
          <w:trHeight w:val="162"/>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548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3"/>
              </w:rPr>
              <w:t>Leverage Ratio</w:t>
            </w: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/Letters of Credit</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spacing w:after="0"/>
              <w:rPr>
                <w:sz w:val="17"/>
                <w:szCs w:val="17"/>
                <w:color w:val="auto"/>
              </w:rPr>
            </w:pPr>
          </w:p>
        </w:tc>
        <w:tc>
          <w:tcPr>
            <w:tcW w:w="5480" w:type="dxa"/>
            <w:vAlign w:val="bottom"/>
            <w:gridSpan w:val="3"/>
            <w:shd w:val="clear" w:color="auto" w:fill="CCEEFF"/>
          </w:tcPr>
          <w:p>
            <w:pPr>
              <w:jc w:val="center"/>
              <w:ind w:right="1040"/>
              <w:spacing w:after="0" w:line="203" w:lineRule="exact"/>
              <w:rPr>
                <w:sz w:val="20"/>
                <w:szCs w:val="20"/>
                <w:color w:val="auto"/>
              </w:rPr>
            </w:pPr>
            <w:r>
              <w:rPr>
                <w:rFonts w:ascii="Arial" w:cs="Arial" w:eastAsia="Arial" w:hAnsi="Arial"/>
                <w:sz w:val="18"/>
                <w:szCs w:val="18"/>
                <w:color w:val="auto"/>
                <w:w w:val="90"/>
              </w:rPr>
              <w:t>&gt; 3.50 to 1.00</w:t>
            </w:r>
          </w:p>
        </w:tc>
        <w:tc>
          <w:tcPr>
            <w:tcW w:w="17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4.25%</w:t>
            </w:r>
          </w:p>
        </w:tc>
        <w:tc>
          <w:tcPr>
            <w:tcW w:w="5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7"/>
              </w:rPr>
              <w:t>3.25%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5480" w:type="dxa"/>
            <w:vAlign w:val="bottom"/>
            <w:gridSpan w:val="3"/>
          </w:tcPr>
          <w:p>
            <w:pPr>
              <w:jc w:val="center"/>
              <w:ind w:right="1040"/>
              <w:spacing w:after="0"/>
              <w:rPr>
                <w:sz w:val="20"/>
                <w:szCs w:val="20"/>
                <w:color w:val="auto"/>
              </w:rPr>
            </w:pPr>
            <w:r>
              <w:rPr>
                <w:rFonts w:ascii="Arial" w:cs="Arial" w:eastAsia="Arial" w:hAnsi="Arial"/>
                <w:sz w:val="18"/>
                <w:szCs w:val="18"/>
                <w:color w:val="auto"/>
                <w:w w:val="90"/>
              </w:rPr>
              <w:t>&lt; 3.50 to 1.00 and &gt; 2.50 to 1.00</w:t>
            </w: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4.00%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3.00%</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jc w:val="center"/>
              <w:ind w:right="1040"/>
              <w:spacing w:after="0"/>
              <w:rPr>
                <w:sz w:val="20"/>
                <w:szCs w:val="20"/>
                <w:color w:val="auto"/>
              </w:rPr>
            </w:pPr>
            <w:r>
              <w:rPr>
                <w:rFonts w:ascii="Arial" w:cs="Arial" w:eastAsia="Arial" w:hAnsi="Arial"/>
                <w:sz w:val="18"/>
                <w:szCs w:val="18"/>
                <w:color w:val="auto"/>
                <w:w w:val="90"/>
              </w:rPr>
              <w:t>&lt; 2.50 to 1.00</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2.75%</w:t>
            </w: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Any increase or decrease in the Applicable Rate resulting from a change in the Secured Net Leverage Ratio shall become effective as of the first Business Day immediately following the date a Compliance Certificate is delivered pursuant to Section 6.02(a); provided, however, that if a Compliance Certificate is not delivered when due in accordance with such Section, then Pricing Level 1 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73"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Furthermore, and notwithstanding anything to the contrary contained in this definition, the Applicable Rate in respect of any Incremental Term Loans, any Refinancing Term Loans or any Other Revolving Commitments (and any Other Revolving Loans thereunder) shall be the applicable percentages per annum set forth in the relevant Joinder Agreement or Refinancing Amendment, as applicable.</w:t>
      </w:r>
    </w:p>
    <w:p>
      <w:pPr>
        <w:spacing w:after="0" w:line="166"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Notwithstanding anything to the contrary contained in this definition, the determination of the Applicable Rate for any period shall be subject to the provisions of Section 2.10(b).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25" w:name="page226"/>
    <w:bookmarkEnd w:id="225"/>
    <w:p>
      <w:pPr>
        <w:ind w:right="3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Percentages in respect of the Revolving Credit Facilities at such time.</w:t>
      </w:r>
    </w:p>
    <w:p>
      <w:pPr>
        <w:spacing w:after="0" w:line="162"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reasonably determined by the Administrative Agent or the applicable L/C Issuer to be necessary for timely settlement on the relevant date in accordance with normal banking procedures in the place of payment.</w:t>
      </w:r>
    </w:p>
    <w:p>
      <w:pPr>
        <w:spacing w:after="0" w:line="176"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Appropriate Lender</w:t>
      </w:r>
      <w:r>
        <w:rPr>
          <w:rFonts w:ascii="Arial" w:cs="Arial" w:eastAsia="Arial" w:hAnsi="Arial"/>
          <w:sz w:val="18"/>
          <w:szCs w:val="18"/>
          <w:color w:val="auto"/>
        </w:rPr>
        <w:t>” means, at any time, (a) with respect to Loans of any Class, the Lenders of such Class and (b) with respect to Letters of Credit, (i) the relevant L/C Issuer and (ii) the Revolving Credit Lenders.</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Arrangers</w:t>
      </w:r>
      <w:r>
        <w:rPr>
          <w:rFonts w:ascii="Arial" w:cs="Arial" w:eastAsia="Arial" w:hAnsi="Arial"/>
          <w:sz w:val="17"/>
          <w:szCs w:val="17"/>
          <w:color w:val="auto"/>
        </w:rPr>
        <w:t>” means Credit Suisse Loan Funding LLC, BofA Securities, Inc., Morgan Stanley Senior Funding, Inc., Barclays Bank PLC, Citibank, N.A., Goldman Sachs Bank USA and JPMorgan Chase Bank, N.A., in their capacities as joint lead arrangers and joint bookrunners.</w:t>
      </w:r>
    </w:p>
    <w:p>
      <w:pPr>
        <w:spacing w:after="0" w:line="138"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the Administrative Agent.</w:t>
      </w:r>
    </w:p>
    <w:p>
      <w:pPr>
        <w:spacing w:after="0" w:line="176"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10.06(b)(vii)(A)</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Availability Period</w:t>
      </w:r>
      <w:r>
        <w:rPr>
          <w:rFonts w:ascii="Arial" w:cs="Arial" w:eastAsia="Arial" w:hAnsi="Arial"/>
          <w:sz w:val="16"/>
          <w:szCs w:val="16"/>
          <w:color w:val="auto"/>
        </w:rPr>
        <w:t xml:space="preserve">” means, in respect of any Revolving Credit Facility, the period from and including the Closing Date (or the date of the effectiveness of the applicable Revolving Credit Commitments in the case of any Revolving Credit Commitments other than the Original Revolving Credit Commitments) to the earliest of (i) the Maturity Date in respect of such Revolving Credit Facility, (ii) the date of termination of the Revolving Credit Commitments in respect of such Revolving Credit Facility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(iii) the date of termination of the commitment of each Revolving Credit Lender in respect of such Revolving Credit Facility to make Revolving Credit Loans under such Revolving Credit Facility and of the obligation of the L/C Issuers to make L/C Credit Extensions in respect of such Revolving Credit Facility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Available Amount</w:t>
      </w:r>
      <w:r>
        <w:rPr>
          <w:rFonts w:ascii="Arial" w:cs="Arial" w:eastAsia="Arial" w:hAnsi="Arial"/>
          <w:sz w:val="18"/>
          <w:szCs w:val="18"/>
          <w:color w:val="auto"/>
        </w:rPr>
        <w:t>” means, at any time, an amount equal to, without duplication:</w:t>
      </w:r>
    </w:p>
    <w:p>
      <w:pPr>
        <w:spacing w:after="0" w:line="135" w:lineRule="exact"/>
        <w:rPr>
          <w:sz w:val="20"/>
          <w:szCs w:val="20"/>
          <w:color w:val="auto"/>
        </w:rPr>
      </w:pPr>
    </w:p>
    <w:p>
      <w:pPr>
        <w:ind w:left="980" w:hanging="430"/>
        <w:spacing w:after="0"/>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1540" w:hanging="545"/>
        <w:spacing w:after="0"/>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an amount, not less than zero, determined on a cumulative basis equal to the Borrower Retained ECF Amount; </w:t>
      </w:r>
      <w:r>
        <w:rPr>
          <w:rFonts w:ascii="Arial" w:cs="Arial" w:eastAsia="Arial" w:hAnsi="Arial"/>
          <w:sz w:val="17"/>
          <w:szCs w:val="17"/>
          <w:i w:val="1"/>
          <w:iCs w:val="1"/>
          <w:color w:val="auto"/>
        </w:rPr>
        <w:t>plus</w:t>
      </w:r>
    </w:p>
    <w:p>
      <w:pPr>
        <w:spacing w:after="0" w:line="142" w:lineRule="exact"/>
        <w:rPr>
          <w:rFonts w:ascii="Arial" w:cs="Arial" w:eastAsia="Arial" w:hAnsi="Arial"/>
          <w:sz w:val="17"/>
          <w:szCs w:val="17"/>
          <w:color w:val="auto"/>
        </w:rPr>
      </w:pPr>
    </w:p>
    <w:p>
      <w:pPr>
        <w:ind w:left="1540" w:hanging="545"/>
        <w:spacing w:after="0" w:line="276" w:lineRule="auto"/>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the amount of any capital contributions or other proceeds of issuances of Equity Interests (other than Disqualified Equity Interests) received as cash and Cash Equivalents by the Borrower,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fair market value, as determined in good faith by the Borrower, of marketable securities or other property received by the Borrower as a capital contribution or in return for issuances of Equity Interests (other than Disqualified Equity Interests), in each case, during the period from and including the day immediately following the Closing Date through and including such time; </w:t>
      </w:r>
      <w:r>
        <w:rPr>
          <w:rFonts w:ascii="Arial" w:cs="Arial" w:eastAsia="Arial" w:hAnsi="Arial"/>
          <w:sz w:val="17"/>
          <w:szCs w:val="17"/>
          <w:i w:val="1"/>
          <w:iCs w:val="1"/>
          <w:color w:val="auto"/>
        </w:rPr>
        <w:t>plus</w:t>
      </w:r>
    </w:p>
    <w:p>
      <w:pPr>
        <w:spacing w:after="0" w:line="77" w:lineRule="exact"/>
        <w:rPr>
          <w:rFonts w:ascii="Arial" w:cs="Arial" w:eastAsia="Arial" w:hAnsi="Arial"/>
          <w:sz w:val="17"/>
          <w:szCs w:val="17"/>
          <w:color w:val="auto"/>
        </w:rPr>
      </w:pPr>
    </w:p>
    <w:p>
      <w:pPr>
        <w:ind w:left="1540" w:hanging="545"/>
        <w:spacing w:after="0" w:line="272" w:lineRule="auto"/>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any Indebtedness or Disqualified Equity Interests, in each case, of the Borrower and/or any Restricted Subsidiary issued after the Closing Date (other than Indebtedness or Disqualified Equity Interests issued to the Borrower or a Restricted Subsidiary) which has been converted into or exchanged for Equity Interests (other than Disqualified Equity Interests) of the Borrower, together with the fair market value of any Cash Equivalents and the fair market value (as reasonably determined by the Borrower) of any other property or assets received by the Borrower or such Restricted Subsidiary upon such exchange or conversion, in each case, during the period from and including the day immediately following the Closing Date through and including such time; </w:t>
      </w:r>
      <w:r>
        <w:rPr>
          <w:rFonts w:ascii="Arial" w:cs="Arial" w:eastAsia="Arial" w:hAnsi="Arial"/>
          <w:sz w:val="17"/>
          <w:szCs w:val="17"/>
          <w:i w:val="1"/>
          <w:iCs w:val="1"/>
          <w:color w:val="auto"/>
        </w:rPr>
        <w:t>plus</w:t>
      </w:r>
    </w:p>
    <w:p>
      <w:pPr>
        <w:spacing w:after="0" w:line="83" w:lineRule="exact"/>
        <w:rPr>
          <w:rFonts w:ascii="Arial" w:cs="Arial" w:eastAsia="Arial" w:hAnsi="Arial"/>
          <w:sz w:val="17"/>
          <w:szCs w:val="17"/>
          <w:color w:val="auto"/>
        </w:rPr>
      </w:pPr>
    </w:p>
    <w:p>
      <w:pPr>
        <w:ind w:left="1540" w:right="60" w:hanging="545"/>
        <w:spacing w:after="0" w:line="279" w:lineRule="auto"/>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the net proceeds received by the Borrower or any Restricted Subsidiary during the period from and including the day immediately following the Closing Date through and including such time in connection with the Disposition to a Person (other than the Borrower or any Restricted Subsidiary) of any Investment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does not exceed the amount of such Investment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p>
    <w:p>
      <w:pPr>
        <w:spacing w:after="0" w:line="76" w:lineRule="exact"/>
        <w:rPr>
          <w:rFonts w:ascii="Arial" w:cs="Arial" w:eastAsia="Arial" w:hAnsi="Arial"/>
          <w:sz w:val="17"/>
          <w:szCs w:val="17"/>
          <w:color w:val="auto"/>
        </w:rPr>
      </w:pPr>
    </w:p>
    <w:p>
      <w:pPr>
        <w:ind w:left="1540" w:right="160" w:hanging="545"/>
        <w:spacing w:after="0" w:line="257" w:lineRule="auto"/>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to the extent not already reflected as a return of capital with respect to such Investment for purposes of determining the amount of such Investment, the cash proceeds received by the Borrower and/or any Restricted Subsidiary during the period from and including the day immediately following the Closing Date through and including such time in respect of any Investment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(in an amount not to exceed the original amount of such Investment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0" w:right="439" w:bottom="1440" w:gutter="0" w:footer="0" w:header="0"/>
        </w:sectPr>
      </w:pPr>
    </w:p>
    <w:bookmarkStart w:id="227" w:name="page228"/>
    <w:bookmarkEnd w:id="227"/>
    <w:p>
      <w:pPr>
        <w:ind w:left="1980" w:hanging="545"/>
        <w:spacing w:after="0" w:line="286" w:lineRule="auto"/>
        <w:tabs>
          <w:tab w:leader="none" w:pos="19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 amount equal to the sum of (A) the amount of any Investments by the Borrower and/or any Restricted Subsidiary pursuant to </w:t>
      </w:r>
      <w:r>
        <w:rPr>
          <w:rFonts w:ascii="Arial" w:cs="Arial" w:eastAsia="Arial" w:hAnsi="Arial"/>
          <w:sz w:val="16"/>
          <w:szCs w:val="16"/>
          <w:u w:val="single" w:color="auto"/>
          <w:color w:val="auto"/>
        </w:rPr>
        <w:t>Section 7.02(o)(2)</w:t>
      </w:r>
      <w:r>
        <w:rPr>
          <w:rFonts w:ascii="Arial" w:cs="Arial" w:eastAsia="Arial" w:hAnsi="Arial"/>
          <w:sz w:val="16"/>
          <w:szCs w:val="16"/>
          <w:color w:val="auto"/>
        </w:rPr>
        <w:t xml:space="preserve"> in any Unrestricted Subsidiary (in an amount not to exceed the original amount of such Investment made pursuant to </w:t>
      </w:r>
      <w:r>
        <w:rPr>
          <w:rFonts w:ascii="Arial" w:cs="Arial" w:eastAsia="Arial" w:hAnsi="Arial"/>
          <w:sz w:val="16"/>
          <w:szCs w:val="16"/>
          <w:u w:val="single" w:color="auto"/>
          <w:color w:val="auto"/>
        </w:rPr>
        <w:t>Section 7.02(o)(2)</w:t>
      </w:r>
      <w:r>
        <w:rPr>
          <w:rFonts w:ascii="Arial" w:cs="Arial" w:eastAsia="Arial" w:hAnsi="Arial"/>
          <w:sz w:val="16"/>
          <w:szCs w:val="16"/>
          <w:color w:val="auto"/>
        </w:rPr>
        <w:t>) that has been re-designated as a Restricted Subsidiary or has been merged, consolidated or amalgamated with or into, or is liquidated, wound up or dissolved into, the Borrower or any Restricted Subsidiary and</w:t>
      </w:r>
    </w:p>
    <w:p>
      <w:pPr>
        <w:spacing w:after="0" w:line="1" w:lineRule="exact"/>
        <w:rPr>
          <w:rFonts w:ascii="Arial" w:cs="Arial" w:eastAsia="Arial" w:hAnsi="Arial"/>
          <w:sz w:val="16"/>
          <w:szCs w:val="16"/>
          <w:color w:val="auto"/>
        </w:rPr>
      </w:pPr>
    </w:p>
    <w:p>
      <w:pPr>
        <w:ind w:left="19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the fair market value (as reasonably determined by the Borrower) of the property or assets of any Unrestricted Subsidiary that have been transferred, conveyed or otherwise distributed (in an amount not to exceed the original amount of the Investment in such Unrestricted Subsidiary made pursuant to </w:t>
      </w:r>
      <w:r>
        <w:rPr>
          <w:rFonts w:ascii="Arial" w:cs="Arial" w:eastAsia="Arial" w:hAnsi="Arial"/>
          <w:sz w:val="18"/>
          <w:szCs w:val="18"/>
          <w:u w:val="single" w:color="auto"/>
          <w:color w:val="auto"/>
        </w:rPr>
        <w:t>Section 7.02(o)(2)</w:t>
      </w:r>
      <w:r>
        <w:rPr>
          <w:rFonts w:ascii="Arial" w:cs="Arial" w:eastAsia="Arial" w:hAnsi="Arial"/>
          <w:sz w:val="18"/>
          <w:szCs w:val="18"/>
          <w:color w:val="auto"/>
        </w:rPr>
        <w:t xml:space="preserve">) to the Borrower and/or any Restricted Subsidiary, in each case, during the period from and including the day immediately following the Closing Date through and including such time; </w:t>
      </w:r>
      <w:r>
        <w:rPr>
          <w:rFonts w:ascii="Arial" w:cs="Arial" w:eastAsia="Arial" w:hAnsi="Arial"/>
          <w:sz w:val="18"/>
          <w:szCs w:val="18"/>
          <w:i w:val="1"/>
          <w:iCs w:val="1"/>
          <w:color w:val="auto"/>
        </w:rPr>
        <w:t>plus</w:t>
      </w:r>
    </w:p>
    <w:p>
      <w:pPr>
        <w:spacing w:after="0" w:line="96" w:lineRule="exact"/>
        <w:rPr>
          <w:rFonts w:ascii="Arial" w:cs="Arial" w:eastAsia="Arial" w:hAnsi="Arial"/>
          <w:sz w:val="16"/>
          <w:szCs w:val="16"/>
          <w:color w:val="auto"/>
        </w:rPr>
      </w:pPr>
    </w:p>
    <w:p>
      <w:pPr>
        <w:ind w:left="1980" w:hanging="545"/>
        <w:spacing w:after="0"/>
        <w:tabs>
          <w:tab w:leader="none" w:pos="19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the amount of Declined Proceeds; </w:t>
      </w:r>
      <w:r>
        <w:rPr>
          <w:rFonts w:ascii="Arial" w:cs="Arial" w:eastAsia="Arial" w:hAnsi="Arial"/>
          <w:sz w:val="18"/>
          <w:szCs w:val="18"/>
          <w:i w:val="1"/>
          <w:iCs w:val="1"/>
          <w:color w:val="auto"/>
        </w:rPr>
        <w:t>minus</w:t>
      </w:r>
    </w:p>
    <w:p>
      <w:pPr>
        <w:spacing w:after="0" w:line="225" w:lineRule="exact"/>
        <w:rPr>
          <w:rFonts w:ascii="Arial" w:cs="Arial" w:eastAsia="Arial" w:hAnsi="Arial"/>
          <w:sz w:val="18"/>
          <w:szCs w:val="18"/>
          <w:color w:val="auto"/>
        </w:rPr>
      </w:pPr>
    </w:p>
    <w:p>
      <w:pPr>
        <w:ind w:left="1120" w:hanging="252"/>
        <w:spacing w:after="0"/>
        <w:tabs>
          <w:tab w:leader="none" w:pos="11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an amount equal to the sum of (1) Investments made pursuant to </w:t>
      </w:r>
      <w:r>
        <w:rPr>
          <w:rFonts w:ascii="Arial" w:cs="Arial" w:eastAsia="Arial" w:hAnsi="Arial"/>
          <w:sz w:val="17"/>
          <w:szCs w:val="17"/>
          <w:u w:val="single" w:color="auto"/>
          <w:color w:val="auto"/>
        </w:rPr>
        <w:t>Section 7.02(o)(2)</w:t>
      </w:r>
      <w:r>
        <w:rPr>
          <w:rFonts w:ascii="Arial" w:cs="Arial" w:eastAsia="Arial" w:hAnsi="Arial"/>
          <w:sz w:val="17"/>
          <w:szCs w:val="17"/>
          <w:color w:val="auto"/>
        </w:rPr>
        <w:t>, (2) Restricted Payments made pursuant to</w:t>
      </w:r>
    </w:p>
    <w:p>
      <w:pPr>
        <w:spacing w:after="0" w:line="35" w:lineRule="exact"/>
        <w:rPr>
          <w:sz w:val="20"/>
          <w:szCs w:val="20"/>
          <w:color w:val="auto"/>
        </w:rPr>
      </w:pPr>
    </w:p>
    <w:p>
      <w:pPr>
        <w:ind w:left="440" w:right="440"/>
        <w:spacing w:after="0" w:line="290" w:lineRule="auto"/>
        <w:rPr>
          <w:sz w:val="20"/>
          <w:szCs w:val="20"/>
          <w:color w:val="auto"/>
        </w:rPr>
      </w:pPr>
      <w:r>
        <w:rPr>
          <w:rFonts w:ascii="Arial" w:cs="Arial" w:eastAsia="Arial" w:hAnsi="Arial"/>
          <w:sz w:val="17"/>
          <w:szCs w:val="17"/>
          <w:u w:val="single" w:color="auto"/>
          <w:color w:val="auto"/>
        </w:rPr>
        <w:t>Section 7.06(e)(2)</w:t>
      </w:r>
      <w:r>
        <w:rPr>
          <w:rFonts w:ascii="Arial" w:cs="Arial" w:eastAsia="Arial" w:hAnsi="Arial"/>
          <w:sz w:val="17"/>
          <w:szCs w:val="17"/>
          <w:color w:val="auto"/>
        </w:rPr>
        <w:t xml:space="preserve"> or (3) payments, redemptions, purchases, defeasements or other satisfactions of Restricted Indebtedness made pursuant to </w:t>
      </w:r>
      <w:r>
        <w:rPr>
          <w:rFonts w:ascii="Arial" w:cs="Arial" w:eastAsia="Arial" w:hAnsi="Arial"/>
          <w:sz w:val="17"/>
          <w:szCs w:val="17"/>
          <w:u w:val="single" w:color="auto"/>
          <w:color w:val="auto"/>
        </w:rPr>
        <w:t>Section 7.14(d)</w:t>
      </w:r>
      <w:r>
        <w:rPr>
          <w:rFonts w:ascii="Arial" w:cs="Arial" w:eastAsia="Arial" w:hAnsi="Arial"/>
          <w:sz w:val="17"/>
          <w:szCs w:val="17"/>
          <w:color w:val="auto"/>
        </w:rPr>
        <w:t>, in each case, made after the Closing Date and prior to such time, or contemporaneously therewith.</w:t>
      </w:r>
    </w:p>
    <w:p>
      <w:pPr>
        <w:spacing w:after="0" w:line="15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jc w:val="both"/>
        <w:ind w:right="120" w:firstLine="441"/>
        <w:spacing w:after="0" w:line="21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xml:space="preserve">” means, with respect to Loans denominated in U.S. Dollars, for any day, a rate per annum equal to the greatest of (a) the Prime Rate in effect on such day, (b) the Federal Funds Effective Rate in effect on such day plus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of 1.00% and (c) the Eurodollar Rate that would be payable on such day for a Eurodollar Rate Loan with a one-month Interest Period plus 1.00%.</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Revolving Credit Loan or a Term Loan that bears interest based on the Base Rate.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8" w:name="page229"/>
    <w:bookmarkEnd w:id="228"/>
    <w:p>
      <w:pPr>
        <w:ind w:right="80" w:firstLine="44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 Rate for U.S. dollar-denominated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Adjustment</w:t>
      </w:r>
      <w:r>
        <w:rPr>
          <w:rFonts w:ascii="Arial" w:cs="Arial" w:eastAsia="Arial" w:hAnsi="Arial"/>
          <w:sz w:val="17"/>
          <w:szCs w:val="17"/>
          <w:color w:val="auto"/>
        </w:rPr>
        <w:t>” means, with respect to any replacement of the LIBO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or (ii) any evolving or then-prevailing market convention for determining a spread adjustment, or method for calculating or determining such spread adjustment, for the replacement of the LIBO Rate with the applicable Unadjusted Benchmark Replacement for U.S. dollar-denominated syndicated credit facilities at such time.</w:t>
      </w:r>
    </w:p>
    <w:p>
      <w:pPr>
        <w:spacing w:after="0" w:line="172" w:lineRule="exact"/>
        <w:rPr>
          <w:sz w:val="20"/>
          <w:szCs w:val="20"/>
          <w:color w:val="auto"/>
        </w:rPr>
      </w:pPr>
    </w:p>
    <w:p>
      <w:pPr>
        <w:ind w:right="8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earlier to occur of the following events with respect to the LIBO Rate:</w:t>
      </w:r>
    </w:p>
    <w:p>
      <w:pPr>
        <w:spacing w:after="0" w:line="135" w:lineRule="exact"/>
        <w:rPr>
          <w:sz w:val="20"/>
          <w:szCs w:val="20"/>
          <w:color w:val="auto"/>
        </w:rPr>
      </w:pPr>
    </w:p>
    <w:p>
      <w:pPr>
        <w:ind w:left="980" w:right="320" w:hanging="544"/>
        <w:spacing w:after="0" w:line="264"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the definition of “Benchmark Transition Event,” the later of (a) the date of the public statement or publication of information referenced therein and (b) the date on which the administrator of the LIBO Rate permanently or indefinitely ceases to provide the LIBO Rate; or</w:t>
      </w:r>
    </w:p>
    <w:p>
      <w:pPr>
        <w:spacing w:after="0" w:line="208"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the definition of “Benchmark Transition Event,” the date of the public statement or publication of information referenced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means the occurrence of one or more of the following events with respect to the LIBO Rate:</w:t>
      </w:r>
    </w:p>
    <w:p>
      <w:pPr>
        <w:spacing w:after="0" w:line="135" w:lineRule="exact"/>
        <w:rPr>
          <w:sz w:val="20"/>
          <w:szCs w:val="20"/>
          <w:color w:val="auto"/>
        </w:rPr>
      </w:pPr>
    </w:p>
    <w:p>
      <w:pPr>
        <w:ind w:left="1420" w:right="480" w:hanging="430"/>
        <w:spacing w:after="0" w:line="286" w:lineRule="auto"/>
        <w:tabs>
          <w:tab w:leader="none" w:pos="142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or on behalf of the administrator of the LIBO Rate announcing that such administrator has ceased or will cease to provide the LIBO Rate,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the LIBO Rate;</w:t>
      </w:r>
    </w:p>
    <w:p>
      <w:pPr>
        <w:spacing w:after="0" w:line="70" w:lineRule="exact"/>
        <w:rPr>
          <w:rFonts w:ascii="Arial" w:cs="Arial" w:eastAsia="Arial" w:hAnsi="Arial"/>
          <w:sz w:val="17"/>
          <w:szCs w:val="17"/>
          <w:color w:val="auto"/>
        </w:rPr>
      </w:pPr>
    </w:p>
    <w:p>
      <w:pPr>
        <w:ind w:left="1420" w:hanging="430"/>
        <w:spacing w:after="0" w:line="255" w:lineRule="auto"/>
        <w:tabs>
          <w:tab w:leader="none" w:pos="14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LIBO Rate; or</w:t>
      </w:r>
    </w:p>
    <w:p>
      <w:pPr>
        <w:spacing w:after="0" w:line="220" w:lineRule="exact"/>
        <w:rPr>
          <w:rFonts w:ascii="Arial" w:cs="Arial" w:eastAsia="Arial" w:hAnsi="Arial"/>
          <w:sz w:val="18"/>
          <w:szCs w:val="18"/>
          <w:color w:val="auto"/>
        </w:rPr>
      </w:pPr>
    </w:p>
    <w:p>
      <w:pPr>
        <w:ind w:left="1420" w:right="60" w:hanging="430"/>
        <w:spacing w:after="0" w:line="277" w:lineRule="auto"/>
        <w:tabs>
          <w:tab w:leader="none" w:pos="14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the LIBO Rate announcing that the LIBO Rate is no longer representative.</w:t>
      </w:r>
    </w:p>
    <w:p>
      <w:pPr>
        <w:spacing w:after="0" w:line="16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8"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xml:space="preserve">” means,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and (y) ending at the time that a Benchmark Replacement has replaced the LIBO Rate for all purposes hereunder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84" w:lineRule="exact"/>
        <w:rPr>
          <w:sz w:val="20"/>
          <w:szCs w:val="20"/>
          <w:color w:val="auto"/>
        </w:rPr>
      </w:pPr>
    </w:p>
    <w:p>
      <w:pPr>
        <w:jc w:val="both"/>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30" w:name="page231"/>
    <w:bookmarkEnd w:id="23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Operating Agreement</w:t>
      </w:r>
      <w:r>
        <w:rPr>
          <w:rFonts w:ascii="Arial" w:cs="Arial" w:eastAsia="Arial" w:hAnsi="Arial"/>
          <w:sz w:val="18"/>
          <w:szCs w:val="18"/>
          <w:color w:val="auto"/>
        </w:rPr>
        <w:t>” means that certain Amended and Restated Limited Liability Company Agreement of the Borrower by and among BRBR, Post and the Borrower, dated as of October 21, 2019, as the same may be amended, modified, supplemented, restated or replaced from time to time.</w:t>
      </w:r>
    </w:p>
    <w:p>
      <w:pPr>
        <w:spacing w:after="0" w:line="176"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Retained ECF Amount</w:t>
      </w:r>
      <w:r>
        <w:rPr>
          <w:rFonts w:ascii="Arial" w:cs="Arial" w:eastAsia="Arial" w:hAnsi="Arial"/>
          <w:sz w:val="18"/>
          <w:szCs w:val="18"/>
          <w:color w:val="auto"/>
        </w:rPr>
        <w:t xml:space="preserve">” means, as at any date of determination, an amount equal to the Borrower Retained ECF Percentage of the Consolidated Excess Cash Flow of the Borrower for each Fiscal Year beginning with the Fiscal Year commencing October 1, 2019 through and including the last day of the most recently completed Fiscal Year with respect to which the Administrative Agent has received the Compliance Certificate required to be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80" w:lineRule="exact"/>
        <w:rPr>
          <w:sz w:val="20"/>
          <w:szCs w:val="20"/>
          <w:color w:val="auto"/>
        </w:rPr>
      </w:pPr>
    </w:p>
    <w:p>
      <w:pPr>
        <w:ind w:right="5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Retained ECF Percentage</w:t>
      </w:r>
      <w:r>
        <w:rPr>
          <w:rFonts w:ascii="Arial" w:cs="Arial" w:eastAsia="Arial" w:hAnsi="Arial"/>
          <w:sz w:val="17"/>
          <w:szCs w:val="17"/>
          <w:color w:val="auto"/>
        </w:rPr>
        <w:t>” means, for any given Fiscal Year, 25%; provided that if, as of the last day of such Fiscal Year, the Secured Net Leverage Ratio is less than or equal to 3.35:1.00, the Borrower Retained ECF Percentage shall be 50%.</w:t>
      </w:r>
    </w:p>
    <w:p>
      <w:pPr>
        <w:spacing w:after="0" w:line="138" w:lineRule="exact"/>
        <w:rPr>
          <w:sz w:val="20"/>
          <w:szCs w:val="20"/>
          <w:color w:val="auto"/>
        </w:rPr>
      </w:pPr>
    </w:p>
    <w:p>
      <w:pPr>
        <w:ind w:right="5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Term B Borrowing, a Revolving Credit Borrowing of a particular Class, a Refinancing Term Loan Borrowing or an Incremental Borrowing, as the context may require.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BRBR</w:t>
      </w:r>
      <w:r>
        <w:rPr>
          <w:rFonts w:ascii="Arial" w:cs="Arial" w:eastAsia="Arial" w:hAnsi="Arial"/>
          <w:sz w:val="18"/>
          <w:szCs w:val="18"/>
          <w:color w:val="auto"/>
        </w:rPr>
        <w:t>” means BellRing Brands, Inc., a Delaware corporation</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Facility Agreement</w:t>
      </w:r>
      <w:r>
        <w:rPr>
          <w:rFonts w:ascii="Arial" w:cs="Arial" w:eastAsia="Arial" w:hAnsi="Arial"/>
          <w:sz w:val="18"/>
          <w:szCs w:val="18"/>
          <w:color w:val="auto"/>
        </w:rPr>
        <w:t>” means the Bridge Facility Agreement, among the Borrower (as assignee of Post) the parties from time to time party thereto as lenders and Morgan Stanley Senior Funding, Inc., as administrative agent, dated October 11, 2019.</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Loan</w:t>
      </w:r>
      <w:r>
        <w:rPr>
          <w:rFonts w:ascii="Arial" w:cs="Arial" w:eastAsia="Arial" w:hAnsi="Arial"/>
          <w:sz w:val="18"/>
          <w:szCs w:val="18"/>
          <w:color w:val="auto"/>
        </w:rPr>
        <w:t>” means the third party debt for borrowed money of the Borrower under the Bridge Facility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Loan Repayment</w:t>
      </w:r>
      <w:r>
        <w:rPr>
          <w:rFonts w:ascii="Arial" w:cs="Arial" w:eastAsia="Arial" w:hAnsi="Arial"/>
          <w:sz w:val="18"/>
          <w:szCs w:val="18"/>
          <w:color w:val="auto"/>
        </w:rPr>
        <w:t>” means the repayment in full of the Bridge Loan and the termination of all commitments thereunder.</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31" w:name="page232"/>
    <w:bookmarkEnd w:id="231"/>
    <w:p>
      <w:pPr>
        <w:ind w:firstLine="44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 any day excluding Saturday, Sunday and any day which is a legal holiday under the laws of the State of New York or is a day on which banking institutions located in such state are authorized or required by law or other governmental action to close and (b) with respect to all notices, determinations, fundings and payments in connection with the Eurodollar Rate or any Eurodollar Rate Loans, means any day which is a Business Day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which is also a day for trading by and between banks in U.S. Dollar deposits in the London interbank market</w:t>
      </w:r>
    </w:p>
    <w:p>
      <w:pPr>
        <w:spacing w:after="0" w:line="151"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means, with respect to any Person for any period, any expenditure in respect of the purchase or other acquisition or maintenance of any fixed or capital asset, in each case, that are capitalized in accordance with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with respect to any Person, any lease that is required by GAAP to be capitalized on a balance sheet of such Person.</w:t>
      </w:r>
    </w:p>
    <w:p>
      <w:pPr>
        <w:spacing w:after="0" w:line="248"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means to pledge and deposit with or deliver to the Administrative Agent, for the benefit of the Administrative Agent or any L/C Issuer (as applicable) and the Lenders, as collateral for L/C Obligations or obligations of Lenders to fund participations in respect thereof (as the context may require), cash or deposit account balances or, if the applicable L/C Issuer benefiting from such collateral shall agree in its sole discretion, other credit support, in each case pursuant to documentation in form and substance reasonably satisfactory to (a) the Administrative Agent and (b) the applicable L/C Issuer. “</w:t>
      </w:r>
      <w:r>
        <w:rPr>
          <w:rFonts w:ascii="Arial" w:cs="Arial" w:eastAsia="Arial" w:hAnsi="Arial"/>
          <w:sz w:val="18"/>
          <w:szCs w:val="18"/>
          <w:b w:val="1"/>
          <w:bCs w:val="1"/>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8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the Borrower or any of its Restricted Subsidiaries free and clear of all Liens (other than Liens created under the Collateral Documents and other Liens permitted hereunder):</w:t>
      </w:r>
    </w:p>
    <w:p>
      <w:pPr>
        <w:spacing w:after="0" w:line="58" w:lineRule="exact"/>
        <w:rPr>
          <w:sz w:val="20"/>
          <w:szCs w:val="20"/>
          <w:color w:val="auto"/>
        </w:rPr>
      </w:pPr>
    </w:p>
    <w:p>
      <w:pPr>
        <w:ind w:left="440" w:right="160" w:firstLine="428"/>
        <w:spacing w:after="0" w:line="264" w:lineRule="auto"/>
        <w:tabs>
          <w:tab w:leader="none" w:pos="110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readily marketable obligations issued or directly and fully guaranteed or insured by the United States of America or any agency or instrumentality thereof having maturities of not more than 360 days from the date of acquisition thereof; provided that the full faith and credit of the United States of America is pledged in support thereof;</w:t>
      </w:r>
    </w:p>
    <w:p>
      <w:pPr>
        <w:spacing w:after="0" w:line="73" w:lineRule="exact"/>
        <w:rPr>
          <w:rFonts w:ascii="Arial" w:cs="Arial" w:eastAsia="Arial" w:hAnsi="Arial"/>
          <w:sz w:val="18"/>
          <w:szCs w:val="18"/>
          <w:color w:val="auto"/>
        </w:rPr>
      </w:pPr>
    </w:p>
    <w:p>
      <w:pPr>
        <w:ind w:left="440" w:firstLine="428"/>
        <w:spacing w:after="0" w:line="255"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(A) is a Lender or (B) is organized under the laws of the United States of America or Canada, any state or province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and (iii) has combined capital and surplus of at least $1,000,000,000, in each case with maturities of not more than 365 days from the date of acquisition thereof;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32" w:name="page233"/>
    <w:bookmarkEnd w:id="232"/>
    <w:p>
      <w:pPr>
        <w:ind w:left="440" w:firstLine="428"/>
        <w:spacing w:after="0" w:line="264" w:lineRule="auto"/>
        <w:tabs>
          <w:tab w:leader="none" w:pos="1108"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paper issued by any Person organized under the laws of any state of the United States of America and maturing no more than 365 days from the time of the acquisition thereof, and having, at the time of acquisition thereof, a rating of A-1 (or the then equivalent grade) or better from S&amp;P or P-1 (or the then equivalent grade) or better from Moody’s;</w:t>
      </w:r>
    </w:p>
    <w:p>
      <w:pPr>
        <w:spacing w:after="0" w:line="73" w:lineRule="exact"/>
        <w:rPr>
          <w:rFonts w:ascii="Arial" w:cs="Arial" w:eastAsia="Arial" w:hAnsi="Arial"/>
          <w:sz w:val="18"/>
          <w:szCs w:val="18"/>
          <w:color w:val="auto"/>
        </w:rPr>
      </w:pPr>
    </w:p>
    <w:p>
      <w:pPr>
        <w:ind w:left="440" w:right="40" w:firstLine="428"/>
        <w:spacing w:after="0" w:line="259" w:lineRule="auto"/>
        <w:tabs>
          <w:tab w:leader="none" w:pos="111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definition; and</w:t>
      </w:r>
    </w:p>
    <w:p>
      <w:pPr>
        <w:spacing w:after="0" w:line="78" w:lineRule="exact"/>
        <w:rPr>
          <w:rFonts w:ascii="Arial" w:cs="Arial" w:eastAsia="Arial" w:hAnsi="Arial"/>
          <w:sz w:val="18"/>
          <w:szCs w:val="18"/>
          <w:color w:val="auto"/>
        </w:rPr>
      </w:pPr>
    </w:p>
    <w:p>
      <w:pPr>
        <w:ind w:left="440" w:right="40" w:firstLine="428"/>
        <w:spacing w:after="0" w:line="264" w:lineRule="auto"/>
        <w:tabs>
          <w:tab w:leader="none" w:pos="110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solely with respect to Foreign Subsidiaries, investments of the types and maturities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issued, where relevant, by any commercial bank of recognized international standing chartered in the country where such Foreign Subsidiary is domiciled having unimpaired capital and surplus of at least $500,000,000.</w:t>
      </w:r>
    </w:p>
    <w:p>
      <w:pPr>
        <w:spacing w:after="0" w:line="177" w:lineRule="exact"/>
        <w:rPr>
          <w:sz w:val="20"/>
          <w:szCs w:val="20"/>
          <w:color w:val="auto"/>
        </w:rPr>
      </w:pPr>
    </w:p>
    <w:p>
      <w:pPr>
        <w:ind w:right="2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means any agreement to provide cash management services, including treasury, depository, overdraft, card services (including services related to credit cards, including purchasing and commercial cards, prepaid cards, including payroll, stored value and gift cards, merchant services processing and debit cards), electronic funds transfer and other cash management arrangements.</w:t>
      </w:r>
    </w:p>
    <w:p>
      <w:pPr>
        <w:spacing w:after="0" w:line="158"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means any Person that, (a) at the time it enters into a Cash Management Agreement with any Loan Party, is a Lender, the Administrative Agent or an Arranger or an Affiliate of a Lender, the Administrative Agent or an Arranger, in its capacity as a party to such Cash Management Agreement, and (b) in the case of any Cash Management Agreement entered into prior to, and existing on, the Closing Date, any Person that is, on the Closing Date, a Lender, the Administrative Agent or an Arranger or Affiliate of a Lender, the Administrative Agent or an Arranger, in its capacity as a party to such Cash Management Agreement.</w:t>
      </w:r>
    </w:p>
    <w:p>
      <w:pPr>
        <w:spacing w:after="0" w:line="184"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amended, and any rules or regulations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Subsidiary of the Borrower that is a “controlled foreign corporation” within the meaning of Section 957 of the Code.</w:t>
      </w:r>
    </w:p>
    <w:p>
      <w:pPr>
        <w:spacing w:after="0" w:line="225" w:lineRule="exact"/>
        <w:rPr>
          <w:sz w:val="20"/>
          <w:szCs w:val="20"/>
          <w:color w:val="auto"/>
        </w:rPr>
      </w:pPr>
    </w:p>
    <w:p>
      <w:pPr>
        <w:ind w:right="18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33" w:name="page234"/>
    <w:bookmarkEnd w:id="233"/>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Bank for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or issued.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121" w:lineRule="exact"/>
        <w:rPr>
          <w:sz w:val="20"/>
          <w:szCs w:val="20"/>
          <w:color w:val="auto"/>
        </w:rPr>
      </w:pPr>
    </w:p>
    <w:p>
      <w:pPr>
        <w:ind w:left="440" w:right="140" w:firstLine="428"/>
        <w:spacing w:after="0" w:line="264" w:lineRule="auto"/>
        <w:tabs>
          <w:tab w:leader="none" w:pos="110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Borrower and its Subsidiaries taken as a whole to any “person” (as such term is used in Section 13(d)(3) of the Exchange Act) other than a Permitted Holder;</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Borrower; or</w:t>
      </w:r>
    </w:p>
    <w:p>
      <w:pPr>
        <w:spacing w:after="0" w:line="117" w:lineRule="exact"/>
        <w:rPr>
          <w:rFonts w:ascii="Arial" w:cs="Arial" w:eastAsia="Arial" w:hAnsi="Arial"/>
          <w:sz w:val="18"/>
          <w:szCs w:val="18"/>
          <w:color w:val="auto"/>
        </w:rPr>
      </w:pPr>
    </w:p>
    <w:p>
      <w:pPr>
        <w:ind w:left="440" w:right="20" w:firstLine="428"/>
        <w:spacing w:after="0" w:line="273" w:lineRule="auto"/>
        <w:tabs>
          <w:tab w:leader="none" w:pos="110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the consummation of any transaction (including, without limitation, any merger or consolidation) the result of which is that any “person” (as defined above) other than a Permitted Holder becomes the Beneficial Owner, directly or indirectly, of 50% or more of the Voting Stock of the Borrower, measured by voting power rather than number of shares; provided, however, that an entity (other than BRBR) that conducts no other material activities other than holding Equity Interests in the Borrower or any direct or indirect parent of the Borrower and has no other material assets or liabilities other than such Equity Interests will not itself be considered a “person” for purposes of this clause (c), unless a change in such entity’s ownership would otherwise cause a Change of Control under this </w:t>
      </w:r>
      <w:r>
        <w:rPr>
          <w:rFonts w:ascii="Arial" w:cs="Arial" w:eastAsia="Arial" w:hAnsi="Arial"/>
          <w:sz w:val="17"/>
          <w:szCs w:val="17"/>
          <w:u w:val="single" w:color="auto"/>
          <w:color w:val="auto"/>
        </w:rPr>
        <w:t>clause (c)</w:t>
      </w:r>
      <w:r>
        <w:rPr>
          <w:rFonts w:ascii="Arial" w:cs="Arial" w:eastAsia="Arial" w:hAnsi="Arial"/>
          <w:sz w:val="17"/>
          <w:szCs w:val="17"/>
          <w:color w:val="auto"/>
        </w:rPr>
        <w:t>.</w:t>
      </w:r>
    </w:p>
    <w:p>
      <w:pPr>
        <w:spacing w:after="0" w:line="178"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Notwithstanding the foregoing, a “Change of Control” shall not be deemed to have occurred by virtue of (i) any indirect Change of Control of the Borrower resulting from a change of control of Post, or (ii) the distribution by Post of its retained beneficial interest in the Borrower and its Subsidiaries by means of a spin-off or split-off to its shareholders (however evidenced or structured).</w:t>
      </w:r>
    </w:p>
    <w:p>
      <w:pPr>
        <w:spacing w:after="0" w:line="17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(a) when used with respect to any Lender, refers to whether such Lender has a Loan or Commitment with respect to a particular class of Loans or Commitments, (b) when used with respect to Commitments, refers to whether such Commitments are Revolving Credit Commitments, Incremental Revolving Credit Commitments, Other Revolving Commitments of a given Refinancing Series, Term B Commitments, Incremental Term Loan Commitments or Refinancing Term Commitments of a given Refinancing Series and (c) when used with respect to Loans or a Borrowing, refers to whether such Loans, or the Loans comprising such Borrowing, are Original Revolving Credit Loans, Incremental Revolving Loans, Other Revolving Loans of a given Refinancing Series, Term B Loans, Incremental Term Loans or Refinancing Term Loans of a given Refinancing Series. Loans that are not fungible for United States federal income tax purposes shall be construed to be in different Classes or tranches. Commitments that, if and when drawn in the form of Loans, would yield Loans that are construed to be in different Classes or tranches pursuant to the immediately preceding sentence shall be construed to be in different Classes or tranches of Commitments corresponding to such Loans. There shall be no more than an aggregate of two Classes of revolving credit facilities and four Classes of term loan facilities under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4" w:name="page235"/>
    <w:bookmarkEnd w:id="234"/>
    <w:p>
      <w:pPr>
        <w:ind w:right="2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Closing Annual Financial Statements</w:t>
      </w:r>
      <w:r>
        <w:rPr>
          <w:rFonts w:ascii="Arial" w:cs="Arial" w:eastAsia="Arial" w:hAnsi="Arial"/>
          <w:sz w:val="18"/>
          <w:szCs w:val="18"/>
          <w:color w:val="auto"/>
        </w:rPr>
        <w:t>” means the audited consolidated balance sheets of the Active Nutrition Business and the consolidated statements of operations, Stockholders Equity and cash flows of the Active Nutrition Business for the three latest Fiscal Years ending more than 90 days prior to the Closing Date.</w:t>
      </w:r>
    </w:p>
    <w:p>
      <w:pPr>
        <w:spacing w:after="0" w:line="176" w:lineRule="exact"/>
        <w:rPr>
          <w:sz w:val="20"/>
          <w:szCs w:val="20"/>
          <w:color w:val="auto"/>
        </w:rPr>
      </w:pPr>
    </w:p>
    <w:p>
      <w:pPr>
        <w:ind w:right="9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means the first date all the conditions precedent referred to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which date is October 21, 2019.</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of the “Collateral” referred to in the Collateral Documents and all of the other property provided as collateral security under the terms of the Collateral Documents.</w:t>
      </w:r>
    </w:p>
    <w:p>
      <w:pPr>
        <w:spacing w:after="0" w:line="162"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Agreement</w:t>
      </w:r>
      <w:r>
        <w:rPr>
          <w:rFonts w:ascii="Arial" w:cs="Arial" w:eastAsia="Arial" w:hAnsi="Arial"/>
          <w:sz w:val="18"/>
          <w:szCs w:val="18"/>
          <w:color w:val="auto"/>
        </w:rPr>
        <w:t xml:space="preserve">” means the guarantee and collateral agreement of even date herewith executed and delivered by the Loan Parties and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62" w:lineRule="exact"/>
        <w:rPr>
          <w:sz w:val="20"/>
          <w:szCs w:val="20"/>
          <w:color w:val="auto"/>
        </w:rPr>
      </w:pPr>
    </w:p>
    <w:p>
      <w:pPr>
        <w:ind w:right="1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xml:space="preserve">” means, collectively, the Collateral Agreement, each of the mortgages, collateral assignments, supplements to all of the foregoing, security agreements, pledge agreements, control agreements or other similar agreements delivered to the Administrative Agent pursuant to </w:t>
      </w:r>
      <w:r>
        <w:rPr>
          <w:rFonts w:ascii="Arial" w:cs="Arial" w:eastAsia="Arial" w:hAnsi="Arial"/>
          <w:sz w:val="18"/>
          <w:szCs w:val="18"/>
          <w:u w:val="single" w:color="auto"/>
          <w:color w:val="auto"/>
        </w:rPr>
        <w:t>Section 4.01(a)(ii)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6.11</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right="3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Co-Managers</w:t>
      </w:r>
      <w:r>
        <w:rPr>
          <w:rFonts w:ascii="Arial" w:cs="Arial" w:eastAsia="Arial" w:hAnsi="Arial"/>
          <w:sz w:val="17"/>
          <w:szCs w:val="17"/>
          <w:color w:val="auto"/>
        </w:rPr>
        <w:t>” means BMO Capital Markets Corp., Coöperatieve Rabobank U.A., New York Branch, Nomura Securities International, Inc., SunTrust Robinson Humphrey, Inc., UBS Securities LLC and Wells Fargo Securities, LLC, in their capacities as co-managers.</w:t>
      </w:r>
    </w:p>
    <w:p>
      <w:pPr>
        <w:spacing w:after="0" w:line="138"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 Term B Commitment, a Revolving Credit Commitment, an Incremental Revolving Credit Commitment, an Incremental Term Loan Commitment, a Refinancing Term Commitment or an Other Revolving Commitment, as the context may require.</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Committed Loan Notice</w:t>
      </w:r>
      <w:r>
        <w:rPr>
          <w:rFonts w:ascii="Arial" w:cs="Arial" w:eastAsia="Arial" w:hAnsi="Arial"/>
          <w:sz w:val="18"/>
          <w:szCs w:val="18"/>
          <w:color w:val="auto"/>
        </w:rPr>
        <w:t xml:space="preserve">” means a notice of (a) a Revolving Credit Borrowing or (b) a Term Borrowing, which shall be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162" w:lineRule="exact"/>
        <w:rPr>
          <w:sz w:val="20"/>
          <w:szCs w:val="20"/>
          <w:color w:val="auto"/>
        </w:rPr>
      </w:pPr>
    </w:p>
    <w:p>
      <w:pPr>
        <w:ind w:right="3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Closing Date, and includes, without limitation, all series and classes of such common stock.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35" w:name="page236"/>
    <w:bookmarkEnd w:id="235"/>
    <w:p>
      <w:pPr>
        <w:ind w:right="840" w:firstLine="44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Consolidated Current Assets</w:t>
      </w:r>
      <w:r>
        <w:rPr>
          <w:rFonts w:ascii="Arial" w:cs="Arial" w:eastAsia="Arial" w:hAnsi="Arial"/>
          <w:sz w:val="16"/>
          <w:szCs w:val="16"/>
          <w:color w:val="auto"/>
        </w:rPr>
        <w:t>” means, as at any date of determination, the total assets of a Person and its Restricted Subsidiaries on a consolidated basis that may properly be classified as current assets in conformity with GAAP, excluding cash and Cash Equivalents.</w:t>
      </w:r>
    </w:p>
    <w:p>
      <w:pPr>
        <w:spacing w:after="0" w:line="116" w:lineRule="exact"/>
        <w:rPr>
          <w:sz w:val="20"/>
          <w:szCs w:val="20"/>
          <w:color w:val="auto"/>
        </w:rPr>
      </w:pPr>
    </w:p>
    <w:p>
      <w:pPr>
        <w:ind w:right="3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Current Liabilities</w:t>
      </w:r>
      <w:r>
        <w:rPr>
          <w:rFonts w:ascii="Arial" w:cs="Arial" w:eastAsia="Arial" w:hAnsi="Arial"/>
          <w:sz w:val="16"/>
          <w:szCs w:val="16"/>
          <w:color w:val="auto"/>
        </w:rPr>
        <w:t>” means, as at any date of determination, the total liabilities of a Person and its Restricted Subsidiaries on a consolidated basis that may properly be classified as current liabilities in conformity with GAAP, excluding the current portion of long term debt.</w:t>
      </w:r>
    </w:p>
    <w:p>
      <w:pPr>
        <w:spacing w:after="0" w:line="116" w:lineRule="exact"/>
        <w:rPr>
          <w:sz w:val="20"/>
          <w:szCs w:val="20"/>
          <w:color w:val="auto"/>
        </w:rPr>
      </w:pPr>
    </w:p>
    <w:p>
      <w:pPr>
        <w:ind w:right="2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at any date of determination, an amount equal to Consolidated Net Income of the Borrower and its Restricted Subsidiaries on a consolidated basis for the most recently completed Measurement Period, plus (i) the following, without duplication, to the extent deducted in calculating such Consolidated Net Income:</w:t>
      </w:r>
    </w:p>
    <w:p>
      <w:pPr>
        <w:spacing w:after="0" w:line="72" w:lineRule="exact"/>
        <w:rPr>
          <w:sz w:val="20"/>
          <w:szCs w:val="20"/>
          <w:color w:val="auto"/>
        </w:rPr>
      </w:pPr>
    </w:p>
    <w:p>
      <w:pPr>
        <w:ind w:left="1120" w:hanging="252"/>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Consolidated Interest Charges,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right="60" w:firstLine="428"/>
        <w:spacing w:after="0" w:line="293" w:lineRule="auto"/>
        <w:tabs>
          <w:tab w:leader="none" w:pos="111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provision for federal, state, local and foreign income and franchise taxes payable (calculated net of federal, state, local and foreign income tax credits) and other taxes, interest and penalties included under GAAP in income tax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amounts in respect of any Restricted Subsidiary shall be included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only to the extent that a corresponding amount would be permitted at the date of determination to be dividended or distributed to the Borrower by such Restricted Subsidiary without prior approval (that has not been obtained), pursuant to the terms of its Organization Documents and all agreements, instruments, judgments, decrees, orders, statutes, rules and governmental regulations applicable to such Restricted Subsidiary or its stockholders, partners or members), </w:t>
      </w:r>
      <w:r>
        <w:rPr>
          <w:rFonts w:ascii="Arial" w:cs="Arial" w:eastAsia="Arial" w:hAnsi="Arial"/>
          <w:sz w:val="16"/>
          <w:szCs w:val="16"/>
          <w:u w:val="single" w:color="auto"/>
          <w:color w:val="auto"/>
        </w:rPr>
        <w:t>plus</w:t>
      </w:r>
    </w:p>
    <w:p>
      <w:pPr>
        <w:spacing w:after="0" w:line="56" w:lineRule="exact"/>
        <w:rPr>
          <w:rFonts w:ascii="Arial" w:cs="Arial" w:eastAsia="Arial" w:hAnsi="Arial"/>
          <w:sz w:val="16"/>
          <w:szCs w:val="16"/>
          <w:color w:val="auto"/>
        </w:rPr>
      </w:pPr>
    </w:p>
    <w:p>
      <w:pPr>
        <w:ind w:left="440" w:right="120" w:firstLine="428"/>
        <w:spacing w:after="0" w:line="277" w:lineRule="auto"/>
        <w:tabs>
          <w:tab w:leader="none" w:pos="110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depreciation and amortization expenses (including amortization of goodwill and other intangibles but excluding amortization of prepaid cash expenses that were paid in a prior period),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firstLine="428"/>
        <w:spacing w:after="0" w:line="259"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other non-recurring expenses, write-offs, write-downs or impairment charges which do not represent a cash item in such period (or in any future period)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440" w:right="920" w:firstLine="428"/>
        <w:spacing w:after="0" w:line="277" w:lineRule="auto"/>
        <w:tabs>
          <w:tab w:leader="none" w:pos="110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non-cash charges or expenses related to stock-based compensation and other non-cash charges or non-cash losses (including, extraordinary, unusual or non-recurring non-cash losses) incurred or recognized,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1100" w:hanging="232"/>
        <w:spacing w:after="0"/>
        <w:tabs>
          <w:tab w:leader="none" w:pos="11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cash or non-cash charges constituting fees and expenses incurred in connection with the Transactions, </w:t>
      </w:r>
      <w:r>
        <w:rPr>
          <w:rFonts w:ascii="Arial" w:cs="Arial" w:eastAsia="Arial" w:hAnsi="Arial"/>
          <w:sz w:val="18"/>
          <w:szCs w:val="18"/>
          <w:u w:val="single" w:color="auto"/>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236" w:name="page237"/>
    <w:bookmarkEnd w:id="236"/>
    <w:p>
      <w:pPr>
        <w:ind w:right="200" w:firstLine="428"/>
        <w:spacing w:after="0" w:line="264" w:lineRule="auto"/>
        <w:tabs>
          <w:tab w:leader="none" w:pos="678"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unrealized and realized net losses in the fair market value of any arrangements under Swap Contracts and losses, charges and expenses attributable to the early extinguishment or conversion of Indebtedness, arrangements under Swap Contracts or other derivative instruments (including deferred financing expenses written off and premiums paid), </w:t>
      </w:r>
      <w:r>
        <w:rPr>
          <w:rFonts w:ascii="Arial" w:cs="Arial" w:eastAsia="Arial" w:hAnsi="Arial"/>
          <w:sz w:val="18"/>
          <w:szCs w:val="18"/>
          <w:u w:val="single" w:color="auto"/>
          <w:color w:val="auto"/>
        </w:rPr>
        <w:t>plus</w:t>
      </w:r>
    </w:p>
    <w:p>
      <w:pPr>
        <w:spacing w:after="0" w:line="73" w:lineRule="exact"/>
        <w:rPr>
          <w:rFonts w:ascii="Arial" w:cs="Arial" w:eastAsia="Arial" w:hAnsi="Arial"/>
          <w:sz w:val="18"/>
          <w:szCs w:val="18"/>
          <w:color w:val="auto"/>
        </w:rPr>
      </w:pPr>
    </w:p>
    <w:p>
      <w:pPr>
        <w:jc w:val="both"/>
        <w:ind w:right="20" w:firstLine="428"/>
        <w:spacing w:after="0" w:line="259" w:lineRule="auto"/>
        <w:tabs>
          <w:tab w:leader="none" w:pos="67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any expenses or charges related to any issuance of Equity Interests or debt securities, Investments (whether or not consummated), acquisitions (whether or not consummated), Dispositions (whether or not consummated), recapitalization or the incurrence, modification or repayment of Indebtedness permitted to be incurred by this Agreement (including a refinancing thereof) (whether or not successful), including any amendment or other modification of the Obligations or other Indebtedness;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640" w:hanging="212"/>
        <w:spacing w:after="0"/>
        <w:tabs>
          <w:tab w:leader="none" w:pos="6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one-time deal advisory, financing, legal, accounting, and consulting cash expenses incurred by the Borrower and its Restricted</w:t>
      </w:r>
    </w:p>
    <w:p>
      <w:pPr>
        <w:spacing w:after="0" w:line="34" w:lineRule="exact"/>
        <w:rPr>
          <w:rFonts w:ascii="Arial" w:cs="Arial" w:eastAsia="Arial" w:hAnsi="Arial"/>
          <w:sz w:val="17"/>
          <w:szCs w:val="17"/>
          <w:color w:val="auto"/>
        </w:rPr>
      </w:pPr>
    </w:p>
    <w:p>
      <w:pPr>
        <w:ind w:right="22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Subsidiaries in connection with any Permitted Acquisitions or other Investment in the nature of an acquisition not constituting the consideration for any such Permitted Acquisition or other Investment in the nature of an acquisition, </w:t>
      </w:r>
      <w:r>
        <w:rPr>
          <w:rFonts w:ascii="Arial" w:cs="Arial" w:eastAsia="Arial" w:hAnsi="Arial"/>
          <w:sz w:val="18"/>
          <w:szCs w:val="18"/>
          <w:u w:val="single" w:color="auto"/>
          <w:color w:val="auto"/>
        </w:rPr>
        <w:t>plus</w:t>
      </w:r>
    </w:p>
    <w:p>
      <w:pPr>
        <w:spacing w:after="0" w:line="75" w:lineRule="exact"/>
        <w:rPr>
          <w:rFonts w:ascii="Arial" w:cs="Arial" w:eastAsia="Arial" w:hAnsi="Arial"/>
          <w:sz w:val="17"/>
          <w:szCs w:val="17"/>
          <w:color w:val="auto"/>
        </w:rPr>
      </w:pPr>
    </w:p>
    <w:p>
      <w:pPr>
        <w:ind w:left="640" w:hanging="212"/>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non-cash losses and expenses resulting from fair value accounting (as permitted by Accounting Standard Codification Topic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825-10-25 – Fair Value Option or any similar accounting standard), </w:t>
      </w:r>
      <w:r>
        <w:rPr>
          <w:rFonts w:ascii="Arial" w:cs="Arial" w:eastAsia="Arial" w:hAnsi="Arial"/>
          <w:sz w:val="18"/>
          <w:szCs w:val="18"/>
          <w:u w:val="single" w:color="auto"/>
          <w:color w:val="auto"/>
        </w:rPr>
        <w:t>plus</w:t>
      </w:r>
    </w:p>
    <w:p>
      <w:pPr>
        <w:spacing w:after="0" w:line="103" w:lineRule="exact"/>
        <w:rPr>
          <w:sz w:val="20"/>
          <w:szCs w:val="20"/>
          <w:color w:val="auto"/>
        </w:rPr>
      </w:pPr>
    </w:p>
    <w:p>
      <w:pPr>
        <w:ind w:left="680" w:hanging="252"/>
        <w:spacing w:after="0"/>
        <w:tabs>
          <w:tab w:leader="none" w:pos="6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non-cash losses on sales of Receivables that are Disposed of in connection with a Qualified Receivables Transaction permitted 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03" w:lineRule="exact"/>
        <w:rPr>
          <w:sz w:val="20"/>
          <w:szCs w:val="20"/>
          <w:color w:val="auto"/>
        </w:rPr>
      </w:pPr>
    </w:p>
    <w:p>
      <w:pPr>
        <w:ind w:left="740" w:hanging="312"/>
        <w:spacing w:after="0"/>
        <w:tabs>
          <w:tab w:leader="none" w:pos="7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cash charges and losses incurred or recognized,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right="160" w:firstLine="428"/>
        <w:spacing w:after="0" w:line="277" w:lineRule="auto"/>
        <w:tabs>
          <w:tab w:leader="none" w:pos="67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any increase in cost of goods sold resulting from the write up of inventory attributable to purchase accounting treatment with respect to any acquisition,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right="20" w:firstLine="428"/>
        <w:spacing w:after="0" w:line="270" w:lineRule="auto"/>
        <w:tabs>
          <w:tab w:leader="none" w:pos="67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amount of any expected cost savings, operating improvements and expense reductions, product margin synergies and other synergies (net of the amount of actual amounts realized) reasonably identifiable and factually supportable (in the good faith determination of the Borrower) related to (A) the Transactions and (B) after the Closing Date, permitted asset sales, mergers or other business combinations, acquisitions, Investments, Dispositions or divestitures, optimizations, facility consolidations, operating improvements and expense reductions, restructurings, cost saving initiatives and other similar initiatives (in each case calculated on a pro forma basis as though such cost savings, operating improvements and expense reductions, product margin synergies and other synergies had been realized on the first day of such period and as if such cost savings, operating improvements and expense reductions, product margin synergies and other synergies were realized during the entirety of such period); provided that, such cost savings, operating improvements and expense reductions, product margin synergies and other synergies are reasonably expected to be realized within 24 months of the event giving rise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37" w:name="page238"/>
    <w:bookmarkEnd w:id="23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thereto or the consummation of such transaction; provided further that, with respect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the aggregate amount of cost savings, operating improvements and expense reductions, product margin synergies and other synergies added-back pursuant to this </w:t>
      </w:r>
      <w:r>
        <w:rPr>
          <w:rFonts w:ascii="Arial" w:cs="Arial" w:eastAsia="Arial" w:hAnsi="Arial"/>
          <w:sz w:val="16"/>
          <w:szCs w:val="16"/>
          <w:u w:val="single" w:color="auto"/>
          <w:color w:val="auto"/>
        </w:rPr>
        <w:t>clause (o)</w:t>
      </w:r>
      <w:r>
        <w:rPr>
          <w:rFonts w:ascii="Arial" w:cs="Arial" w:eastAsia="Arial" w:hAnsi="Arial"/>
          <w:sz w:val="16"/>
          <w:szCs w:val="16"/>
          <w:color w:val="auto"/>
        </w:rPr>
        <w:t xml:space="preserve"> in any four consecutive fiscal quarter period, taken together with the aggregate amount of cost savings, operating expense reductions, other operating improvements and acquisition synergies added-back in connection with Permitted Acquisitions or other permitted Investments pursuant to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280" w:hanging="276"/>
        <w:spacing w:after="0"/>
        <w:tabs>
          <w:tab w:leader="none" w:pos="280" w:val="left"/>
        </w:tabs>
        <w:numPr>
          <w:ilvl w:val="0"/>
          <w:numId w:val="255"/>
        </w:numPr>
        <w:rPr>
          <w:rFonts w:ascii="Arial" w:cs="Arial" w:eastAsia="Arial" w:hAnsi="Arial"/>
          <w:sz w:val="18"/>
          <w:szCs w:val="18"/>
          <w:u w:val="single" w:color="auto"/>
          <w:color w:val="auto"/>
        </w:rPr>
      </w:pPr>
      <w:r>
        <w:rPr>
          <w:rFonts w:ascii="Arial" w:cs="Arial" w:eastAsia="Arial" w:hAnsi="Arial"/>
          <w:sz w:val="18"/>
          <w:szCs w:val="18"/>
          <w:color w:val="auto"/>
        </w:rPr>
        <w:t xml:space="preserve">below, shall not exceed 25.00% of Consolidated EBITDA for such period prior to giving effect to this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02" w:lineRule="exact"/>
        <w:rPr>
          <w:rFonts w:ascii="Arial" w:cs="Arial" w:eastAsia="Arial" w:hAnsi="Arial"/>
          <w:sz w:val="18"/>
          <w:szCs w:val="18"/>
          <w:u w:val="single" w:color="auto"/>
          <w:color w:val="auto"/>
        </w:rPr>
      </w:pPr>
    </w:p>
    <w:p>
      <w:pPr>
        <w:ind w:right="380" w:firstLine="428"/>
        <w:spacing w:after="0" w:line="270" w:lineRule="auto"/>
        <w:tabs>
          <w:tab w:leader="none" w:pos="678"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costs, charges, accruals, reserves or expenses attributable to the undertaking and/or implementation of cost savings initiatives or operating expense reductions, product margin synergies and other synergies and similar initiatives, integration, transition, reconstruction, decommissioning, recommissioning or reconfiguration of fixed assets for alternative uses, facilities opening and pre-opening, business optimization and other restructuring costs, charges, accruals, reserves and expenses including inventory optimization programs, software development costs and costs related to the closure or consolidation of facilities, branches or distribution centers, and plants, the closure, consolidation or transfer of production lines between facilities and curtailments, costs related to entry into new markets, consulting and other professional fees, signing costs and bonuses, retention or completion bonuses, executive recruiting costs, relocation expenses, severance payments, modifications to, or losses on settlement of, pension and post-retirement employee benefit plans, new systems design and implementation costs, and project startup costs, </w:t>
      </w:r>
      <w:r>
        <w:rPr>
          <w:rFonts w:ascii="Arial" w:cs="Arial" w:eastAsia="Arial" w:hAnsi="Arial"/>
          <w:sz w:val="17"/>
          <w:szCs w:val="17"/>
          <w:u w:val="single" w:color="auto"/>
          <w:color w:val="auto"/>
        </w:rPr>
        <w:t>plus</w:t>
      </w:r>
    </w:p>
    <w:p>
      <w:pPr>
        <w:spacing w:after="0" w:line="73" w:lineRule="exact"/>
        <w:rPr>
          <w:rFonts w:ascii="Arial" w:cs="Arial" w:eastAsia="Arial" w:hAnsi="Arial"/>
          <w:sz w:val="17"/>
          <w:szCs w:val="17"/>
          <w:color w:val="auto"/>
        </w:rPr>
      </w:pPr>
    </w:p>
    <w:p>
      <w:pPr>
        <w:jc w:val="both"/>
        <w:ind w:right="160" w:firstLine="428"/>
        <w:spacing w:after="0" w:line="279" w:lineRule="auto"/>
        <w:tabs>
          <w:tab w:leader="none" w:pos="678"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to the extent not otherwise included above, proceeds of business interruption insurance in an amount representing the earnings for the applicable period that such proceeds are intended to replace (whether or not received so long as such Person in good faith expects to receive the same within the next four fiscal quarters (it being understood that to the extent not actually received within such fiscal quarters, such proceeds shall be deducted in calculating Consolidated EBITDA for such fiscal quarters)), </w:t>
      </w:r>
      <w:r>
        <w:rPr>
          <w:rFonts w:ascii="Arial" w:cs="Arial" w:eastAsia="Arial" w:hAnsi="Arial"/>
          <w:sz w:val="17"/>
          <w:szCs w:val="17"/>
          <w:u w:val="single" w:color="auto"/>
          <w:color w:val="auto"/>
        </w:rPr>
        <w:t>plus</w:t>
      </w:r>
    </w:p>
    <w:p>
      <w:pPr>
        <w:spacing w:after="0" w:line="63" w:lineRule="exact"/>
        <w:rPr>
          <w:rFonts w:ascii="Arial" w:cs="Arial" w:eastAsia="Arial" w:hAnsi="Arial"/>
          <w:sz w:val="17"/>
          <w:szCs w:val="17"/>
          <w:color w:val="auto"/>
        </w:rPr>
      </w:pPr>
    </w:p>
    <w:p>
      <w:pPr>
        <w:ind w:firstLine="428"/>
        <w:spacing w:after="0" w:line="277" w:lineRule="auto"/>
        <w:tabs>
          <w:tab w:leader="none" w:pos="64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amount of any earn-out and contingent consideration obligations incurred or accrued in connection with any Permitted Acquisition or other Investment in the nature of an acquisition and paid or accrued during such applicable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(ii) </w:t>
      </w:r>
      <w:r>
        <w:rPr>
          <w:rFonts w:ascii="Arial" w:cs="Arial" w:eastAsia="Arial" w:hAnsi="Arial"/>
          <w:sz w:val="18"/>
          <w:szCs w:val="18"/>
          <w:u w:val="single" w:color="auto"/>
          <w:color w:val="auto"/>
        </w:rPr>
        <w:t>minus</w:t>
      </w:r>
      <w:r>
        <w:rPr>
          <w:rFonts w:ascii="Arial" w:cs="Arial" w:eastAsia="Arial" w:hAnsi="Arial"/>
          <w:sz w:val="18"/>
          <w:szCs w:val="18"/>
          <w:color w:val="auto"/>
        </w:rPr>
        <w:t>, without duplication,</w:t>
      </w:r>
    </w:p>
    <w:p>
      <w:pPr>
        <w:spacing w:after="0" w:line="117" w:lineRule="exact"/>
        <w:rPr>
          <w:sz w:val="20"/>
          <w:szCs w:val="20"/>
          <w:color w:val="auto"/>
        </w:rPr>
      </w:pPr>
    </w:p>
    <w:p>
      <w:pPr>
        <w:ind w:firstLine="428"/>
        <w:spacing w:after="0" w:line="264"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unrealized and realized net gains included in Consolidated EBITDA for such Measurement Period in respect of hedging transactions and mark-to-market of Indebtedness denominated in foreign currencies resulting from the application of FASB ASC 830 or any similar accounting standard,</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880" w:top="274" w:right="499" w:bottom="1440" w:gutter="0" w:footer="0" w:header="0"/>
        </w:sectPr>
      </w:pPr>
    </w:p>
    <w:bookmarkStart w:id="238" w:name="page239"/>
    <w:bookmarkEnd w:id="238"/>
    <w:p>
      <w:pPr>
        <w:ind w:left="440" w:right="280" w:firstLine="428"/>
        <w:spacing w:after="0" w:line="277" w:lineRule="auto"/>
        <w:tabs>
          <w:tab w:leader="none" w:pos="1118"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gains included in Consolidated Net Income for such Measurement Period (excluding any such non-cash gain to the extent it represents the reversal of an accrual or a reserve for a potential cash gain in any prior period), and</w:t>
      </w:r>
    </w:p>
    <w:p>
      <w:pPr>
        <w:spacing w:after="0" w:line="62"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amount added back in Consolidated EBITDA pursuant to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above, to the extent such business interruption proceeds were not received within the time period anticipated or required by such clause,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If there has occurred a Permitted Acquisition or other Investment in the nature of an acquisition permitted by this Agreement during the applicable Measurement Period, or for purposes of calculating the pro forma Total Net Leverage Ratio or Secured Net Leverage Ratio after the applicable Measurement Period but on or prior to the Ratio Calculation Date in accordance with </w:t>
      </w:r>
      <w:r>
        <w:rPr>
          <w:rFonts w:ascii="Arial" w:cs="Arial" w:eastAsia="Arial" w:hAnsi="Arial"/>
          <w:sz w:val="18"/>
          <w:szCs w:val="18"/>
          <w:u w:val="single" w:color="auto"/>
          <w:color w:val="auto"/>
        </w:rPr>
        <w:t>Section 1.09(b)</w:t>
      </w:r>
      <w:r>
        <w:rPr>
          <w:rFonts w:ascii="Arial" w:cs="Arial" w:eastAsia="Arial" w:hAnsi="Arial"/>
          <w:sz w:val="18"/>
          <w:szCs w:val="18"/>
          <w:color w:val="auto"/>
        </w:rPr>
        <w:t>, Consolidated EBITDA shall be calculated on a Pro Forma Basis.</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Calculating Consolidated EBITDA on a “Pro Forma Basis” shall mean giving effect to any such Permitted Acquisition or other Investment in the nature of an acquisition, and any Indebtedness incurred or assumed in connection therewith, as follows:</w:t>
      </w:r>
    </w:p>
    <w:p>
      <w:pPr>
        <w:spacing w:after="0" w:line="76" w:lineRule="exact"/>
        <w:rPr>
          <w:sz w:val="20"/>
          <w:szCs w:val="20"/>
          <w:color w:val="auto"/>
        </w:rPr>
      </w:pPr>
    </w:p>
    <w:p>
      <w:pPr>
        <w:ind w:left="1420" w:right="120" w:hanging="430"/>
        <w:spacing w:after="0" w:line="342" w:lineRule="auto"/>
        <w:tabs>
          <w:tab w:leader="none" w:pos="14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any Indebtedness incurred or assumed in connection with such Permitted Acquisition or other permitted Investment in the nature of an acquisition was incurred or assumed on the first day of the applicable Measurement Period and remained outstanding,</w:t>
      </w:r>
    </w:p>
    <w:p>
      <w:pPr>
        <w:spacing w:after="0" w:line="29" w:lineRule="exact"/>
        <w:rPr>
          <w:rFonts w:ascii="Arial" w:cs="Arial" w:eastAsia="Arial" w:hAnsi="Arial"/>
          <w:sz w:val="16"/>
          <w:szCs w:val="16"/>
          <w:color w:val="auto"/>
        </w:rPr>
      </w:pPr>
    </w:p>
    <w:p>
      <w:pPr>
        <w:ind w:left="1420" w:right="140" w:hanging="430"/>
        <w:spacing w:after="0" w:line="264" w:lineRule="auto"/>
        <w:tabs>
          <w:tab w:leader="none" w:pos="14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rate on such Indebtedness shall be calculated as if the rate in effect on the date of such Permitted Acquisition or other permitted Investment in the nature of an acquisition had been the applicable rate for the entire period (taking into account any interest rate Swap Contracts applicable to such Indebtedness), and</w:t>
      </w:r>
    </w:p>
    <w:p>
      <w:pPr>
        <w:spacing w:after="0" w:line="86" w:lineRule="exact"/>
        <w:rPr>
          <w:rFonts w:ascii="Arial" w:cs="Arial" w:eastAsia="Arial" w:hAnsi="Arial"/>
          <w:sz w:val="18"/>
          <w:szCs w:val="18"/>
          <w:color w:val="auto"/>
        </w:rPr>
      </w:pPr>
    </w:p>
    <w:p>
      <w:pPr>
        <w:ind w:left="1420" w:right="60" w:hanging="430"/>
        <w:spacing w:after="0" w:line="287" w:lineRule="auto"/>
        <w:tabs>
          <w:tab w:leader="none" w:pos="14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all income, depreciation, amortization, taxes, and expense associated with the assets or entity acquired in connection with such Permitted Acquisition or other permitted Investment in the nature of an acquisition for the applicable period shall be calculated on a pro forma basis after giving effect to cost savings, operating expense reductions, other operating improvements and acquisition synergies that are reasonably identifiable and projected by the Borrower in good faith to be realized within twenty-four (24) months after such Permitted Acquisition or other such permitted Investment in the nature of an acquisition (calculated on a pro forma basis as though such items had been realized on the first day of such period) as a result of actions taken by the Borrower or any Restricted Subsidiary in connection with such Permitted Acquisition or other permitted Investment and net of (x) the amount of actual benefits realized during such period from such actions that are otherwise included in the calculation of Consolidated EBITDA in each case from and after the first day of such Measurement Period and (y) the amount of all income, depreciation, amortization, taxes and expenses associated with any assets or entity acquired in connection with such Permitted Acquisition or other such permitted Investment that the Borrower reasonably anticipates will be divested pursuant to </w:t>
      </w:r>
      <w:r>
        <w:rPr>
          <w:rFonts w:ascii="Arial" w:cs="Arial" w:eastAsia="Arial" w:hAnsi="Arial"/>
          <w:sz w:val="16"/>
          <w:szCs w:val="16"/>
          <w:u w:val="single" w:color="auto"/>
          <w:color w:val="auto"/>
        </w:rPr>
        <w:t>Section 7.05(k)</w:t>
      </w:r>
      <w:r>
        <w:rPr>
          <w:rFonts w:ascii="Arial" w:cs="Arial" w:eastAsia="Arial" w:hAnsi="Arial"/>
          <w:sz w:val="16"/>
          <w:szCs w:val="16"/>
          <w:color w:val="auto"/>
        </w:rPr>
        <w:t xml:space="preserve">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9" w:name="page240"/>
    <w:bookmarkEnd w:id="239"/>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w:t>
      </w:r>
    </w:p>
    <w:p>
      <w:pPr>
        <w:spacing w:after="0" w:line="117" w:lineRule="exact"/>
        <w:rPr>
          <w:sz w:val="20"/>
          <w:szCs w:val="20"/>
          <w:color w:val="auto"/>
        </w:rPr>
      </w:pPr>
    </w:p>
    <w:p>
      <w:pPr>
        <w:ind w:left="1000" w:right="20" w:firstLine="397"/>
        <w:spacing w:after="0" w:line="257" w:lineRule="auto"/>
        <w:tabs>
          <w:tab w:leader="none" w:pos="161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aggregate amount of cost savings, operating expense reductions, other operating improvements and acquisition synergies added-back in connection with Permitted Acquisitions or other permitted Investments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in any four consecutive fiscal quarter period, taken together with the aggregate amount of cost savings, operating improvements and expense reductions, product margin synergies and other synergies added-back pursuant to </w:t>
      </w:r>
      <w:r>
        <w:rPr>
          <w:rFonts w:ascii="Arial" w:cs="Arial" w:eastAsia="Arial" w:hAnsi="Arial"/>
          <w:sz w:val="18"/>
          <w:szCs w:val="18"/>
          <w:u w:val="single" w:color="auto"/>
          <w:color w:val="auto"/>
        </w:rPr>
        <w:t>clause (o) above</w:t>
      </w:r>
      <w:r>
        <w:rPr>
          <w:rFonts w:ascii="Arial" w:cs="Arial" w:eastAsia="Arial" w:hAnsi="Arial"/>
          <w:sz w:val="18"/>
          <w:szCs w:val="18"/>
          <w:color w:val="auto"/>
        </w:rPr>
        <w:t xml:space="preserve">, shall not exceed 25.00% of Consolidated EBITDA for such period prior to giving effect to this </w:t>
      </w:r>
      <w:r>
        <w:rPr>
          <w:rFonts w:ascii="Arial" w:cs="Arial" w:eastAsia="Arial" w:hAnsi="Arial"/>
          <w:sz w:val="18"/>
          <w:szCs w:val="18"/>
          <w:u w:val="single" w:color="auto"/>
          <w:color w:val="auto"/>
        </w:rPr>
        <w:t>clause (C)</w:t>
      </w:r>
      <w:r>
        <w:rPr>
          <w:rFonts w:ascii="Arial" w:cs="Arial" w:eastAsia="Arial" w:hAnsi="Arial"/>
          <w:sz w:val="18"/>
          <w:szCs w:val="18"/>
          <w:color w:val="auto"/>
        </w:rPr>
        <w:t>; and</w:t>
      </w:r>
    </w:p>
    <w:p>
      <w:pPr>
        <w:spacing w:after="0" w:line="80" w:lineRule="exact"/>
        <w:rPr>
          <w:rFonts w:ascii="Arial" w:cs="Arial" w:eastAsia="Arial" w:hAnsi="Arial"/>
          <w:sz w:val="18"/>
          <w:szCs w:val="18"/>
          <w:color w:val="auto"/>
        </w:rPr>
      </w:pPr>
    </w:p>
    <w:p>
      <w:pPr>
        <w:jc w:val="both"/>
        <w:ind w:left="1000" w:right="320" w:firstLine="397"/>
        <w:spacing w:after="0" w:line="286" w:lineRule="auto"/>
        <w:tabs>
          <w:tab w:leader="none" w:pos="166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at the time any such calculation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is made, the Borrower shall deliver to the Administrative Agent a certificate signed by a Responsible Officer (which may be the Compliance Certificate) setting forth reasonably detailed calculations in respect of the matters referred to in this </w:t>
      </w:r>
      <w:r>
        <w:rPr>
          <w:rFonts w:ascii="Arial" w:cs="Arial" w:eastAsia="Arial" w:hAnsi="Arial"/>
          <w:sz w:val="17"/>
          <w:szCs w:val="17"/>
          <w:u w:val="single" w:color="auto"/>
          <w:color w:val="auto"/>
        </w:rPr>
        <w:t>clause (C)</w:t>
      </w:r>
      <w:r>
        <w:rPr>
          <w:rFonts w:ascii="Arial" w:cs="Arial" w:eastAsia="Arial" w:hAnsi="Arial"/>
          <w:sz w:val="17"/>
          <w:szCs w:val="17"/>
          <w:color w:val="auto"/>
        </w:rPr>
        <w:t>, as well as the relevant factual support in respect thereof.</w:t>
      </w:r>
    </w:p>
    <w:p>
      <w:pPr>
        <w:spacing w:after="0" w:line="166"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Notwithstanding anything to the contrary contained herein, for any period that includes any of the fiscal quarters set forth below, Consolidated EBITDA (pro forma) for such fiscal quarter shall be deemed to be the amount set forth below opposite such fiscal quarter:</w:t>
      </w:r>
    </w:p>
    <w:p>
      <w:pPr>
        <w:spacing w:after="0" w:line="48"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Fiscal Quarter Ended</w:t>
            </w:r>
          </w:p>
        </w:tc>
        <w:tc>
          <w:tcPr>
            <w:tcW w:w="2540" w:type="dxa"/>
            <w:vAlign w:val="bottom"/>
          </w:tcPr>
          <w:p>
            <w:pPr>
              <w:spacing w:after="0"/>
              <w:rPr>
                <w:sz w:val="16"/>
                <w:szCs w:val="16"/>
                <w:color w:val="auto"/>
              </w:rPr>
            </w:pPr>
          </w:p>
        </w:tc>
        <w:tc>
          <w:tcPr>
            <w:tcW w:w="3720" w:type="dxa"/>
            <w:vAlign w:val="bottom"/>
            <w:gridSpan w:val="4"/>
          </w:tcPr>
          <w:p>
            <w:pPr>
              <w:ind w:left="2340"/>
              <w:spacing w:after="0"/>
              <w:rPr>
                <w:sz w:val="20"/>
                <w:szCs w:val="20"/>
                <w:color w:val="auto"/>
              </w:rPr>
            </w:pPr>
            <w:r>
              <w:rPr>
                <w:rFonts w:ascii="Arial" w:cs="Arial" w:eastAsia="Arial" w:hAnsi="Arial"/>
                <w:sz w:val="14"/>
                <w:szCs w:val="14"/>
                <w:color w:val="auto"/>
                <w:w w:val="99"/>
              </w:rPr>
              <w:t>Consolidated EBITDA</w:t>
            </w: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30, 2019</w:t>
            </w:r>
          </w:p>
        </w:tc>
        <w:tc>
          <w:tcPr>
            <w:tcW w:w="2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61,200,000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264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49,700,000</w:t>
            </w:r>
          </w:p>
        </w:tc>
        <w:tc>
          <w:tcPr>
            <w:tcW w:w="6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6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41,100,000</w:t>
            </w:r>
          </w:p>
        </w:tc>
        <w:tc>
          <w:tcPr>
            <w:tcW w:w="60" w:type="dxa"/>
            <w:vAlign w:val="bottom"/>
            <w:shd w:val="clear" w:color="auto" w:fill="CCEEFF"/>
          </w:tcPr>
          <w:p>
            <w:pPr>
              <w:spacing w:after="0"/>
              <w:rPr>
                <w:sz w:val="18"/>
                <w:szCs w:val="18"/>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264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44,000,000</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Excess Cash Flow</w:t>
      </w:r>
      <w:r>
        <w:rPr>
          <w:rFonts w:ascii="Arial" w:cs="Arial" w:eastAsia="Arial" w:hAnsi="Arial"/>
          <w:sz w:val="17"/>
          <w:szCs w:val="17"/>
          <w:color w:val="auto"/>
        </w:rPr>
        <w:t xml:space="preserve">” means, for any period, an amount (if positive) equal to: (a) the sum, without duplication, of the amounts for such period of (i) Consolidated Net Income,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to the extent reducing Consolidated Net Income, the sum, without duplication, of amounts for non-cash charges reducing Consolidated Net Income, including for depreciation and amortization (excluding any such non-cash charge to the extent that it represents an accrual or reserve for a potential cash charge in any future period or amortization of a prepaid cash charge that was paid in a prior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Consolidated Working Capital Adjustment,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without duplication, of (i) the amounts for such period paid in cash by the Borrower and its Restricted Subsidiaries from operating cash flow (and not already reducing Consolidated Net Income) of (1) scheduled repayments (but not optional or mandatory prepayments) of Indebtedness for borrowed money of the Borrower and its Restricted Subsidiaries (excluding scheduled repayments of Revolving Credit Loans (or other loans which by their terms may be re-borrowed if prepaid) except to the extent the Revolving Credit Commitments (or commitments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40" w:name="page241"/>
    <w:bookmarkEnd w:id="240"/>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 of such other revolving loans) are permanently reduced in connection with such repayments) and scheduled repayments of obligations of the Borrower and its Restricted Subsidiaries under Capital Leases (excluding any interest expense portion thereof), (2) Capital Expenditures, (3) payments of the type described in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the definition of Consolidated EBITDA, and (4) consideration in respect of Investments made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(and financed with internally generated cash (and not from the proceeds of Indebtedness))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other non-cash gains increasing Consolidated Net Income for such period (excluding any such non-cash gain to the extent it represents the reversal of an accrual or reserve for a potential cash gain in any prior period).</w:t>
      </w:r>
    </w:p>
    <w:p>
      <w:pPr>
        <w:spacing w:after="0" w:line="174"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Funded Indebtedness</w:t>
      </w:r>
      <w:r>
        <w:rPr>
          <w:rFonts w:ascii="Arial" w:cs="Arial" w:eastAsia="Arial" w:hAnsi="Arial"/>
          <w:sz w:val="16"/>
          <w:szCs w:val="16"/>
          <w:color w:val="auto"/>
        </w:rPr>
        <w:t xml:space="preserve">” means, as of any date of determination, for the Borrower and its Restricted Subsidiaries on a consolidated basis, the sum, without duplication, of (a) the outstanding principal amount of all obligations, whether current or long-term, for borrowed money (including the Obligations hereunder and any Indebtedness owing or paid to non-Affiliated third parties in respect of Receivables Program Obligations) and all obligations evidenced by bonds, debentures, notes, loan agreements or other similar instruments, (b) all purchase money Indebtedness, (c) all direct non-contingent obligations arising in connection with letters of credit (including standby and commercial), bankers’ acceptances, bank guaranties, surety bonds and similar instruments, (d) all obligations to pay the deferred purchase price of property or services (other than (i) trade accounts payable in the ordinary course of business and (ii) contingent earn-outs, hold-backs and other deferred payment of consideration in Permitted Acquisitions), (e) Attributable Indebtedness in respect of Capital Leases, (f) all Guarantees with respect to outstanding Indebtedness of the types specified in </w:t>
      </w:r>
      <w:r>
        <w:rPr>
          <w:rFonts w:ascii="Arial" w:cs="Arial" w:eastAsia="Arial" w:hAnsi="Arial"/>
          <w:sz w:val="16"/>
          <w:szCs w:val="16"/>
          <w:u w:val="single" w:color="auto"/>
          <w:color w:val="auto"/>
        </w:rPr>
        <w:t>clauses</w:t>
      </w:r>
    </w:p>
    <w:p>
      <w:pPr>
        <w:spacing w:after="0" w:line="5" w:lineRule="exact"/>
        <w:rPr>
          <w:sz w:val="20"/>
          <w:szCs w:val="20"/>
          <w:color w:val="auto"/>
        </w:rPr>
      </w:pPr>
    </w:p>
    <w:p>
      <w:pPr>
        <w:ind w:left="240" w:hanging="236"/>
        <w:spacing w:after="0"/>
        <w:tabs>
          <w:tab w:leader="none" w:pos="240" w:val="left"/>
        </w:tabs>
        <w:numPr>
          <w:ilvl w:val="0"/>
          <w:numId w:val="260"/>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of Persons other than the Borrower or any Restricted Subsidiary, and (g) all Indebtedness of the types referred to in </w:t>
      </w:r>
      <w:r>
        <w:rPr>
          <w:rFonts w:ascii="Arial" w:cs="Arial" w:eastAsia="Arial" w:hAnsi="Arial"/>
          <w:sz w:val="17"/>
          <w:szCs w:val="17"/>
          <w:u w:val="single" w:color="auto"/>
          <w:color w:val="auto"/>
        </w:rPr>
        <w:t>clauses</w:t>
      </w:r>
    </w:p>
    <w:p>
      <w:pPr>
        <w:spacing w:after="0" w:line="21" w:lineRule="exact"/>
        <w:rPr>
          <w:sz w:val="20"/>
          <w:szCs w:val="20"/>
          <w:color w:val="auto"/>
        </w:rPr>
      </w:pPr>
    </w:p>
    <w:p>
      <w:pPr>
        <w:jc w:val="both"/>
        <w:ind w:right="100" w:firstLine="4"/>
        <w:spacing w:after="0" w:line="255" w:lineRule="auto"/>
        <w:tabs>
          <w:tab w:leader="none" w:pos="245" w:val="left"/>
        </w:tabs>
        <w:numPr>
          <w:ilvl w:val="0"/>
          <w:numId w:val="261"/>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above of any partnership or joint venture (other than a joint venture that is itself a corporation or limited liability company) in which the Borrower or a Restricted Subsidiary is a general partner or joint venturer, unless such Indebtedness is expressly made non-recourse to the Borrower or such Restricted Subsidiary.</w:t>
      </w:r>
    </w:p>
    <w:p>
      <w:pPr>
        <w:spacing w:after="0" w:line="186"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Charges</w:t>
      </w:r>
      <w:r>
        <w:rPr>
          <w:rFonts w:ascii="Arial" w:cs="Arial" w:eastAsia="Arial" w:hAnsi="Arial"/>
          <w:sz w:val="17"/>
          <w:szCs w:val="17"/>
          <w:color w:val="auto"/>
        </w:rPr>
        <w:t xml:space="preserve">” means, for any Measurement Period, consolidated interest expense (net of interest income) for such period whether paid or accrued (but without duplication if accrued and paid in the same period and, for purposes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of Consolidated EBITDA, not including any such amount paid if previously accrued and added back in the prior period) and whether or not capitalized (including, without limitation, and without duplication, amortization of original issue discount, non-cash interest payments, the interest component of any deferred payment obligations, the interest component of all payments associated with Capital Leases, imputed interest with respect to Attributable Indebtedness, commissions, discounts and other fees and charges incurred in respect of letters of credit or bankers’ acceptances, discounts, yield and other fees and charges (including any interest expense) related to any Qualified Receivables Transaction owing or paid to non-Affiliated third parties, dividend and distribution payments made in cash on any Disqualified Equity Interests, and net payments, if any, pursuant to interest rate Swap Contracts, but excluding amortization of debt issuance costs), in each case, of or by the Borrower and its Restricted Subsidiaries on a consolidated basis for the most recently completed Measurement Period.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41" w:name="page242"/>
    <w:bookmarkEnd w:id="241"/>
    <w:p>
      <w:pPr>
        <w:ind w:right="2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herein, for any period that includes any of the fiscal quarters set forth below, Consolidated Interest Charges (pro forma) for such fiscal quarter shall be deemed to be the amount set forth below opposite such fiscal quarter:</w:t>
      </w:r>
    </w:p>
    <w:p>
      <w:pPr>
        <w:spacing w:after="0" w:line="1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4"/>
                <w:szCs w:val="14"/>
                <w:color w:val="auto"/>
                <w:w w:val="90"/>
              </w:rPr>
              <w:t>Fiscal Quarter Ended</w:t>
            </w:r>
          </w:p>
        </w:tc>
        <w:tc>
          <w:tcPr>
            <w:tcW w:w="2600" w:type="dxa"/>
            <w:vAlign w:val="bottom"/>
            <w:vMerge w:val="restart"/>
          </w:tcPr>
          <w:p>
            <w:pPr>
              <w:spacing w:after="0"/>
              <w:rPr>
                <w:sz w:val="14"/>
                <w:szCs w:val="14"/>
                <w:color w:val="auto"/>
              </w:rPr>
            </w:pPr>
          </w:p>
        </w:tc>
        <w:tc>
          <w:tcPr>
            <w:tcW w:w="3660" w:type="dxa"/>
            <w:vAlign w:val="bottom"/>
            <w:gridSpan w:val="4"/>
          </w:tcPr>
          <w:p>
            <w:pPr>
              <w:jc w:val="right"/>
              <w:ind w:right="60"/>
              <w:spacing w:after="0"/>
              <w:rPr>
                <w:sz w:val="20"/>
                <w:szCs w:val="20"/>
                <w:color w:val="auto"/>
              </w:rPr>
            </w:pPr>
            <w:r>
              <w:rPr>
                <w:rFonts w:ascii="Arial" w:cs="Arial" w:eastAsia="Arial" w:hAnsi="Arial"/>
                <w:sz w:val="14"/>
                <w:szCs w:val="14"/>
                <w:color w:val="auto"/>
              </w:rPr>
              <w:t>Consolidated Interest</w:t>
            </w:r>
          </w:p>
        </w:tc>
        <w:tc>
          <w:tcPr>
            <w:tcW w:w="0" w:type="dxa"/>
            <w:vAlign w:val="bottom"/>
          </w:tcPr>
          <w:p>
            <w:pPr>
              <w:spacing w:after="0"/>
              <w:rPr>
                <w:sz w:val="1"/>
                <w:szCs w:val="1"/>
                <w:color w:val="auto"/>
              </w:rPr>
            </w:pPr>
          </w:p>
        </w:tc>
      </w:tr>
      <w:tr>
        <w:trPr>
          <w:trHeight w:val="174"/>
        </w:trPr>
        <w:tc>
          <w:tcPr>
            <w:tcW w:w="122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Charges</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30, 2019</w:t>
            </w:r>
          </w:p>
        </w:tc>
        <w:tc>
          <w:tcPr>
            <w:tcW w:w="2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2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2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at any date of determination, the net income (or loss) of the Borrower and its Restricted Subsidiaries on a consolidated basis for the most recently completed Measurement Period taken as a single accounting period determined in conformity with GAAP;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Consolidated Net Income shall exclude, without duplication, (a) extraordinary gains and extraordinary non-cash losses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Measurement Period, (b) the net income of any Restricted Subsidiary that is not a Loan Party (other than a Receivables Subsidiary) during such Measurement Period to the extent that the declaration or payment of dividends or similar distributions by such Restricted Subsidiary of such income is not permitted by operation of the terms of its Organization Documents or any agreement, instrument or Law applicable to such Restricted Subsidiary during such Measurement Period, except that the Borrower’s equity in any net loss of any such Restricted Subsidiary for such Measurement Period shall be included in determining Consolidated Net Income, (c) any income (or loss) for such Measurement Period of any Person if such Person is not a Restricted Subsidiary or is a Receivables Subsidiary, except that (x) the Borrower’s equity in the net income of any such Person for such Measurement Period shall be included in Consolidated Net Income up to the aggregate amount of cash actually distributed by such Person during such Measurement Period to the Borrower or a Restricted Subsidiary as a dividend or other distribution (and in the case of a dividend or other distribution to a Restricted Subsidiary, such Restricted Subsidiary is not precluded from further distributing such amount to the Borrower as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 and (y) any such loss for such Measurement Period shall be included to the extent funded with cash contributed by the Borrower or a Restricted Subsidiary, (d) any cancellation of debt income arising from a repurchase of Term Loans by the Borrower pursuant to </w:t>
      </w:r>
      <w:r>
        <w:rPr>
          <w:rFonts w:ascii="Arial" w:cs="Arial" w:eastAsia="Arial" w:hAnsi="Arial"/>
          <w:sz w:val="16"/>
          <w:szCs w:val="16"/>
          <w:u w:val="single" w:color="auto"/>
          <w:color w:val="auto"/>
        </w:rPr>
        <w:t>Section 10.06(b)(vii)</w:t>
      </w:r>
      <w:r>
        <w:rPr>
          <w:rFonts w:ascii="Arial" w:cs="Arial" w:eastAsia="Arial" w:hAnsi="Arial"/>
          <w:sz w:val="16"/>
          <w:szCs w:val="16"/>
          <w:color w:val="auto"/>
        </w:rPr>
        <w:t xml:space="preserve"> or any other early extinguishment of Indebtedness, hedging agreements or other similar instruments, (e) any (i) write-off or amortization made in such period of deferred financing costs and premiums paid or other expenses incurred directly in connection with any early extinguishment of Indebtedness, or</w:t>
      </w:r>
    </w:p>
    <w:p>
      <w:pPr>
        <w:spacing w:after="0" w:line="4" w:lineRule="exact"/>
        <w:rPr>
          <w:sz w:val="20"/>
          <w:szCs w:val="20"/>
          <w:color w:val="auto"/>
        </w:rPr>
      </w:pPr>
    </w:p>
    <w:p>
      <w:pPr>
        <w:ind w:firstLine="4"/>
        <w:spacing w:after="0" w:line="302" w:lineRule="auto"/>
        <w:tabs>
          <w:tab w:leader="none" w:pos="2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good will or other asset impairment charges, write-offs or write-downs, and (f) the effects of purchase accounting adjustments (including the effects of such adjustments pushed down to the Borrower and its Restricted Subsidiaries) in component amounts required or permitted by GAAP resulting from the application of purchase accounting in relation to any consummated acquisition or the amortization or write-off of any amounts thereof, net of taxes.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42" w:name="page243"/>
    <w:bookmarkEnd w:id="242"/>
    <w:p>
      <w:pPr>
        <w:ind w:right="600"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Consolidated Senior Secured Debt</w:t>
      </w:r>
      <w:r>
        <w:rPr>
          <w:rFonts w:ascii="Arial" w:cs="Arial" w:eastAsia="Arial" w:hAnsi="Arial"/>
          <w:sz w:val="16"/>
          <w:szCs w:val="16"/>
          <w:color w:val="auto"/>
        </w:rPr>
        <w:t>” means, as of any date of determination, without duplication, the aggregate principal amount of Consolidated Funded Indebtedness outstanding on such date that is secured by a Lien on any asset or property of the Borrower or any Restricted Subsidiary (including, for the avoidance of doubt, purchase money Indebtedness and Attributable Indebtedness in respect of Capital Leases).</w:t>
      </w:r>
    </w:p>
    <w:p>
      <w:pPr>
        <w:spacing w:after="0" w:line="14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Assets</w:t>
      </w:r>
      <w:r>
        <w:rPr>
          <w:rFonts w:ascii="Arial" w:cs="Arial" w:eastAsia="Arial" w:hAnsi="Arial"/>
          <w:sz w:val="17"/>
          <w:szCs w:val="17"/>
          <w:color w:val="auto"/>
        </w:rPr>
        <w:t xml:space="preserve">” means, on any date of determination, the total assets of the Borrower and its Restricted Subsidiaries, determined in accordance with GAAP as shown on the most recent consolidated balance sheet of the Borrower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on or prior to such date or, for the period prior to the time any such statements are so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the financial statements for the fiscal quarter ended June 30, 2019, in each case after giving pro forma effect to acquisitions or dispositions of Persons, divisions or lines of business that had occurred on or after such balance sheet date and on or prior to such date of determination.</w:t>
      </w:r>
    </w:p>
    <w:p>
      <w:pPr>
        <w:spacing w:after="0" w:line="168"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at any date of determination, Consolidated Current Assets of the Borrower and its Restricted Subsidiaries less Consolidated Current Liabilities of the Borrower and its Restricted Subsidiaries.</w:t>
      </w:r>
    </w:p>
    <w:p>
      <w:pPr>
        <w:spacing w:after="0" w:line="162"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Working Capital Adjustment</w:t>
      </w:r>
      <w:r>
        <w:rPr>
          <w:rFonts w:ascii="Arial" w:cs="Arial" w:eastAsia="Arial" w:hAnsi="Arial"/>
          <w:sz w:val="16"/>
          <w:szCs w:val="16"/>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In calculating the Consolidated Working Capital Adjustment there shall be excluded the effect of reclassification during such period of current assets to long term assets and current liabilities to long term liabilities and the effect of any Permitted Acquisition during such period; </w:t>
      </w:r>
      <w:r>
        <w:rPr>
          <w:rFonts w:ascii="Arial" w:cs="Arial" w:eastAsia="Arial" w:hAnsi="Arial"/>
          <w:sz w:val="16"/>
          <w:szCs w:val="16"/>
          <w:i w:val="1"/>
          <w:iCs w:val="1"/>
          <w:color w:val="auto"/>
        </w:rPr>
        <w:t>provided</w:t>
      </w:r>
      <w:r>
        <w:rPr>
          <w:rFonts w:ascii="Arial" w:cs="Arial" w:eastAsia="Arial" w:hAnsi="Arial"/>
          <w:sz w:val="16"/>
          <w:szCs w:val="16"/>
          <w:color w:val="auto"/>
        </w:rPr>
        <w:t>, that there shall be included with respect to any Permitted Acquisition during such period an amount (which may be a negative number) by which the Consolidated Working Capital of the Person acquired in such Permitted Acquisition as at the time of such acquisition exceeds (or is less than) the Consolidated Working Capital of the Person acquired at the end of such period (in each case, substituting the Person acquired for the Borrower and its Restricted Subsidiaries in the calculation of such acquired Consolidated Working Capital).</w:t>
      </w:r>
    </w:p>
    <w:p>
      <w:pPr>
        <w:spacing w:after="0" w:line="160"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3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thereto.</w:t>
      </w:r>
    </w:p>
    <w:p>
      <w:pPr>
        <w:spacing w:after="0" w:line="116"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Notice</w:t>
      </w:r>
      <w:r>
        <w:rPr>
          <w:rFonts w:ascii="Arial" w:cs="Arial" w:eastAsia="Arial" w:hAnsi="Arial"/>
          <w:sz w:val="18"/>
          <w:szCs w:val="18"/>
          <w:color w:val="auto"/>
        </w:rPr>
        <w:t xml:space="preserve">” means a notice of (a) a conversion of Loans of a particular Class from one Type to the other or (b)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any other form approved by the Administrative Agent.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43" w:name="page244"/>
    <w:bookmarkEnd w:id="2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Covenant 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means Indebtedness incurred solely by the Borrower in the form of one or more series or classes of Loans or Commitments under this Agreement, in each case, issued, incurred or otherwise obtained (including by means of the amendment, extension, refinancing, or renewal of existing Indebtedness) in exchange for, or to refinance, in whole or part, existing Term Loans (and/or Term Commitments) and Revolving Credit Loans (and/or Revolving Credit Commitments), or any then-existing Credit Agreement Refinancing Indebtedness (“</w:t>
      </w:r>
      <w:r>
        <w:rPr>
          <w:rFonts w:ascii="Arial" w:cs="Arial" w:eastAsia="Arial" w:hAnsi="Arial"/>
          <w:sz w:val="16"/>
          <w:szCs w:val="16"/>
          <w:b w:val="1"/>
          <w:bCs w:val="1"/>
          <w:color w:val="auto"/>
        </w:rPr>
        <w:t>Refinanced</w:t>
      </w:r>
      <w:r>
        <w:rPr>
          <w:rFonts w:ascii="Arial" w:cs="Arial" w:eastAsia="Arial" w:hAnsi="Arial"/>
          <w:sz w:val="16"/>
          <w:szCs w:val="16"/>
          <w:color w:val="auto"/>
        </w:rPr>
        <w:t xml:space="preserve"> </w:t>
      </w:r>
      <w:r>
        <w:rPr>
          <w:rFonts w:ascii="Arial" w:cs="Arial" w:eastAsia="Arial" w:hAnsi="Arial"/>
          <w:sz w:val="16"/>
          <w:szCs w:val="16"/>
          <w:b w:val="1"/>
          <w:bCs w:val="1"/>
          <w:color w:val="auto"/>
        </w:rPr>
        <w:t>Debt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such Indebtedness is secured by the Collateral on a pari passu basis with the Liens securing the other Obligations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is not secured by any property or assets other than the Collateral, (ii) such Indebtedness is not guaranteed by any Person other than the Guarantors,</w:t>
      </w:r>
    </w:p>
    <w:p>
      <w:pPr>
        <w:spacing w:after="0" w:line="4" w:lineRule="exact"/>
        <w:rPr>
          <w:sz w:val="20"/>
          <w:szCs w:val="20"/>
          <w:color w:val="auto"/>
        </w:rPr>
      </w:pPr>
    </w:p>
    <w:p>
      <w:pPr>
        <w:ind w:right="80" w:firstLine="4"/>
        <w:spacing w:after="0" w:line="281" w:lineRule="auto"/>
        <w:tabs>
          <w:tab w:leader="none" w:pos="3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such Indebtedness is incurred solely to refinance, in whole or part, Refinanced Debt, and the proceeds thereof shall be substantially contemporaneously applied to prepay such Refinanced Debt, interest and any premium (if any) thereon, and fees and expenses incurred in connection with such Indebtedness, and any Term Commitments and/or Revolving Credit Commitments so refinanced shall be concurrently terminated, (iv) such Indebtedness (including, if such Indebtedness includes any Revolving Credit Commitments, the unused amount of such Revolving Credit Commitments) is in an original aggregate principal amount not greater than the aggregate principal amount of the Refinanced Debt (and, in the case of Refinanced Debt consisting, in whole or in part, of unused Revolving Credit Commitments, the applicable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any premium, and fees and expenses reasonably incurred in connection therewith, (v) such Indebtedness has a maturity no earlier, and a Weighted Average Life to Maturity no shorter, than the Refinanced Debt, (vi) the terms and conditions of such Indebtedness (except as otherwise provided above and with respect to pricing, premiums, fees, rate floors and optional prepayment or redemption terms) are substantially identical to the terms and conditions applicable to the Refinanced Debt, unless (x) such terms apply only after the Latest Maturity Date at the time such Indebtedness is established or (y) this Agreement is amended so that such terms are also applicable for the benefit of the Lenders under any then-existing Facilities and</w:t>
      </w:r>
    </w:p>
    <w:p>
      <w:pPr>
        <w:spacing w:after="0" w:line="7" w:lineRule="exact"/>
        <w:rPr>
          <w:rFonts w:ascii="Arial" w:cs="Arial" w:eastAsia="Arial" w:hAnsi="Arial"/>
          <w:sz w:val="16"/>
          <w:szCs w:val="16"/>
          <w:color w:val="auto"/>
        </w:rPr>
      </w:pPr>
    </w:p>
    <w:p>
      <w:pPr>
        <w:ind w:right="500" w:firstLine="4"/>
        <w:spacing w:after="0" w:line="261" w:lineRule="auto"/>
        <w:tabs>
          <w:tab w:leader="none" w:pos="3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Refinanced Debt shall be repaid, all accrued interest, fees, premiums (if any) and penalties in connection therewith shall be paid, and all commitments in respect thereof shall be terminated, on the date such Indebtedness is incurred.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244" w:name="page245"/>
    <w:bookmarkEnd w:id="244"/>
    <w:p>
      <w:pPr>
        <w:ind w:right="20" w:firstLine="441"/>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Deemed Dividend Problem</w:t>
      </w:r>
      <w:r>
        <w:rPr>
          <w:rFonts w:ascii="Arial" w:cs="Arial" w:eastAsia="Arial" w:hAnsi="Arial"/>
          <w:sz w:val="17"/>
          <w:szCs w:val="17"/>
          <w:color w:val="auto"/>
        </w:rPr>
        <w:t>” means, with respect to any CFC, such CFC’s current and accumulated and undistributed earnings and profits (other than earnings and profits described in Sections 959(c)(1) and 959(c)(2) of the Code), being deemed to be repatriated to the Borrower, the applicable Domestic Subsidiary of the Borrower, or any direct or indirect owner of any of the foregoing, under Section 956 of the Code and the United States Treasury Regulations promulgated thereunder and the effect of such deemed repatriation causing adverse tax consequences to the Borrower, the applicable Domestic Subsidiary of the Borrower, or any direct or indirect owner of any of the foregoing, in each case as determined by the Borrower in its commercially reasonable judgment acting in good faith and in consultation with the Administrative Agent.</w:t>
      </w:r>
    </w:p>
    <w:p>
      <w:pPr>
        <w:spacing w:after="0" w:line="174"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means (a) when used with respect to Obligations other than Letter of Credit Fees, an interest rate equal to (x) with respect to principal, interest or other fees attributable to a Facility, (i) in the case of Loans denominated in an Alternative Currency, the interest rate (including any Applicable Rate) otherwise applicable to such Loan plus 2.0% and (ii) in the case of Loans denominated in U.S. Dollars, the Base Rate plus the Applicable Rate applicable to Base Rate Loans under such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(y) with respect to all other Obligations,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under the Original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in each case to the fullest extent permitted by applicable Laws, and (b) when used with respect to Letter of Credit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2.16(b)</w:t>
      </w:r>
      <w:r>
        <w:rPr>
          <w:rFonts w:ascii="Arial" w:cs="Arial" w:eastAsia="Arial" w:hAnsi="Arial"/>
          <w:sz w:val="16"/>
          <w:szCs w:val="16"/>
          <w:color w:val="auto"/>
        </w:rPr>
        <w:t>, any Lender that, as determined by the Administrative Agent, (a) has failed to perform any of its funding obligations hereunder, including in respect of its Loans or participations in respect of Letters of Credit, within three Business Days of the date required to be funded by it hereunder, unless, with respect to funding obligations in respect of Loans,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provided written notice to the Borrower and the Administrative Agent that it does not intend to comply with its funding obligations or has made a public statement to that effect with respect to its funding obligations hereunder (unless such written notice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made in good faith belief that such Lender may not honor its funding obligations, to confirm in a manner reasonably satisfactory to the Administrative Agent that it will comply with its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245" w:name="page246"/>
    <w:bookmarkEnd w:id="245"/>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Bail-In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judgements or writs of attachment on its assets or permits such Lender (or such Governmental Authority) to reject, repudiate, disavow or disaffirm any contracts or agreements made with such Lender.</w:t>
      </w:r>
    </w:p>
    <w:p>
      <w:pPr>
        <w:spacing w:after="0" w:line="184"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means the fair market value (as determined by the Borrower in good faith) of non-cash consideration received by the Borrower or a Restricted Subsidiary in connection with a Disposition pursuant to </w:t>
      </w:r>
      <w:r>
        <w:rPr>
          <w:rFonts w:ascii="Arial" w:cs="Arial" w:eastAsia="Arial" w:hAnsi="Arial"/>
          <w:sz w:val="18"/>
          <w:szCs w:val="18"/>
          <w:u w:val="single" w:color="auto"/>
          <w:color w:val="auto"/>
        </w:rPr>
        <w:t>Section 7.05(j)</w:t>
      </w:r>
      <w:r>
        <w:rPr>
          <w:rFonts w:ascii="Arial" w:cs="Arial" w:eastAsia="Arial" w:hAnsi="Arial"/>
          <w:sz w:val="18"/>
          <w:szCs w:val="18"/>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84" w:lineRule="exact"/>
        <w:rPr>
          <w:sz w:val="20"/>
          <w:szCs w:val="20"/>
          <w:color w:val="auto"/>
        </w:rPr>
      </w:pPr>
    </w:p>
    <w:p>
      <w:pPr>
        <w:ind w:right="16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or “</w:t>
      </w:r>
      <w:r>
        <w:rPr>
          <w:rFonts w:ascii="Arial" w:cs="Arial" w:eastAsia="Arial" w:hAnsi="Arial"/>
          <w:sz w:val="17"/>
          <w:szCs w:val="17"/>
          <w:b w:val="1"/>
          <w:bCs w:val="1"/>
          <w:color w:val="auto"/>
        </w:rPr>
        <w:t>Dispose</w:t>
      </w:r>
      <w:r>
        <w:rPr>
          <w:rFonts w:ascii="Arial" w:cs="Arial" w:eastAsia="Arial" w:hAnsi="Arial"/>
          <w:sz w:val="17"/>
          <w:szCs w:val="17"/>
          <w:color w:val="auto"/>
        </w:rPr>
        <w:t>” means the sale, consignment, transfer, license, lease or other disposition (including any sale and leaseback transaction) of any property by any Person, including (x) any sale, assignment, transfer or other disposal, with or without recourse, of any notes or accounts receivable or any rights and claims associated therewith and (y) any issuance of Equity Interests by any Restricted Subsidiary of such Person. For the avoidance of doubt, any issuance of Equity Interests by the Borrower shall not be a Disposition.</w:t>
      </w:r>
    </w:p>
    <w:p>
      <w:pPr>
        <w:spacing w:after="0" w:line="16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Interests</w:t>
      </w:r>
      <w:r>
        <w:rPr>
          <w:rFonts w:ascii="Arial" w:cs="Arial" w:eastAsia="Arial" w:hAnsi="Arial"/>
          <w:sz w:val="17"/>
          <w:szCs w:val="17"/>
          <w:color w:val="auto"/>
        </w:rPr>
        <w:t xml:space="preserve">” means any Equity Interests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mandatory scheduled payment of distributions or dividends in cash or (d) are or become convertible into or exchangeable for Indebtedness or any other Equity Interests that would constitute Disqualified Equity Interests, in each case prior to the date that is 91 days after the Latest Maturity Date in effect at the time of issuance of such Equity Interests;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only the portion of Equity Interests which so mature or are mandatorily redeemable, are redeemable at the option of the holder thereof, provide for the mandatory scheduled prepayment of distributions or dividends, or which are or become convertible as described above after the Latest Maturity Date shall be deemed to be Disqualified Equity Interests;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if such Equity Interests are issued pursuant to a plan for the benefit of the employees of the Borrower or its Restricted Subsidiaries, such Equity Interests shall not constitute Disqualified Equity Interests solely because they may be required to be repurchased by the Borrower or its Restricted Subsidiaries in order to satisfy applicable statutory or regulatory obligations.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46" w:name="page247"/>
    <w:bookmarkEnd w:id="246"/>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Disqualified Lender</w:t>
      </w:r>
      <w:r>
        <w:rPr>
          <w:rFonts w:ascii="Arial" w:cs="Arial" w:eastAsia="Arial" w:hAnsi="Arial"/>
          <w:sz w:val="17"/>
          <w:szCs w:val="17"/>
          <w:color w:val="auto"/>
        </w:rPr>
        <w:t xml:space="preserve">” means (a) any Person (or its Subsidiaries and Affiliates) who is an operating competitor of the Borrower or its Subsidiaries and that is separately identified by the Borrower to the Administrative Agent by name in writing prior to the Closing Date (which list of operating competitors may be supplemented by the Borrower after the Closing Date by means of a written notice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supplementation shall not apply retroactively to disqualify any Persons that have previously acquired an assignment or participation in the Loans or Commitments hereunder) and (b) with respect to each Person that is a “Disqualified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any of its Affiliates (other than any Affiliate of a Person that is solely a “Disqualified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is a bona fide debt fund or an investment vehicle that is primarily engaged in making, purchasing, holding or otherwise investing in commercial loans, bonds and similar extensions of credit in the ordinary course of its business and for purposes hereof, a “vulture fund” or Person that purchases distressed debt in the ordinary course of its business shall be deemed not to be a bona fide debt fund or an investment vehicle that is primarily engaged in making, purchasing, holding or otherwise investing in commercial loans, bonds and similar extensions of credit in the ordinary course of its business) that is either (i) identified to the Administrative Agent by name in writing by the Borrower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supplementation shall not apply retroactively to disqualify any Persons that have previously acquired an assignment or participation in the Loans hereunder) or (ii) clearly identifiable as an Affiliate of such Disqualified Lender solely on the basis of such Affiliate’s name.</w:t>
      </w:r>
    </w:p>
    <w:p>
      <w:pPr>
        <w:spacing w:after="0" w:line="177" w:lineRule="exact"/>
        <w:rPr>
          <w:sz w:val="20"/>
          <w:szCs w:val="20"/>
          <w:color w:val="auto"/>
        </w:rPr>
      </w:pPr>
    </w:p>
    <w:p>
      <w:pPr>
        <w:jc w:val="both"/>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Disregarded Domestic Subsidiary</w:t>
      </w:r>
      <w:r>
        <w:rPr>
          <w:rFonts w:ascii="Arial" w:cs="Arial" w:eastAsia="Arial" w:hAnsi="Arial"/>
          <w:sz w:val="18"/>
          <w:szCs w:val="18"/>
          <w:color w:val="auto"/>
        </w:rPr>
        <w:t>” means any Domestic Subsidiary (a) substantially all of the assets of which consist of the Equity Interests of one or more CFCs or (b) that is treated as a disregarded entity for U.S. federal income tax purposes that holds, directly or indirectly, the Equity Interests of one or more CFCs.</w:t>
      </w:r>
    </w:p>
    <w:p>
      <w:pPr>
        <w:spacing w:after="0" w:line="176"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Restricted Subsidiary organized in the United States or any political subdivision thereof but excluding any direct or indirect Subsidiary of a CFC.</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xml:space="preserve">” means, for any given Fiscal Year, 75%;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as of the last day of such Fiscal Year, the Secured Net Leverage Ratio is less than or equal to 3.35:1.00, the ECF Percentage shall be 50%.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the occurrence of:</w:t>
      </w:r>
    </w:p>
    <w:p>
      <w:pPr>
        <w:spacing w:after="0" w:line="135" w:lineRule="exact"/>
        <w:rPr>
          <w:sz w:val="20"/>
          <w:szCs w:val="20"/>
          <w:color w:val="auto"/>
        </w:rPr>
      </w:pPr>
    </w:p>
    <w:p>
      <w:pPr>
        <w:ind w:left="1420" w:right="280" w:hanging="430"/>
        <w:spacing w:after="0" w:line="279" w:lineRule="auto"/>
        <w:tabs>
          <w:tab w:leader="none" w:pos="142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w:t>
      </w:r>
      <w:r>
        <w:rPr>
          <w:rFonts w:ascii="Arial" w:cs="Arial" w:eastAsia="Arial" w:hAnsi="Arial"/>
          <w:sz w:val="17"/>
          <w:szCs w:val="17"/>
          <w:u w:val="single" w:color="auto"/>
          <w:color w:val="auto"/>
        </w:rPr>
        <w:t>Section 3.08</w:t>
      </w:r>
      <w:r>
        <w:rPr>
          <w:rFonts w:ascii="Arial" w:cs="Arial" w:eastAsia="Arial" w:hAnsi="Arial"/>
          <w:sz w:val="17"/>
          <w:szCs w:val="17"/>
          <w:color w:val="auto"/>
        </w:rPr>
        <w:t>, are being executed or amended, as applicable, to incorporate or adopt a new benchmark interest rate to replace the LIBO Rate,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247" w:name="page248"/>
    <w:bookmarkEnd w:id="247"/>
    <w:p>
      <w:pPr>
        <w:ind w:left="1420" w:right="140" w:hanging="430"/>
        <w:spacing w:after="0" w:line="286"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62"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Yield</w:t>
      </w:r>
      <w:r>
        <w:rPr>
          <w:rFonts w:ascii="Arial" w:cs="Arial" w:eastAsia="Arial" w:hAnsi="Arial"/>
          <w:sz w:val="18"/>
          <w:szCs w:val="18"/>
          <w:color w:val="auto"/>
        </w:rPr>
        <w:t>”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payable generally to Lenders making such Loans, but excluding arrangement fees, structuring fees, administrative or agency fees, commitment fees, underwriting fees or other fees payable to any lead arranger (or its affiliates) (regardless of whether paid in whole or in part to any or all Lenders) in connection with the commitment or syndication of such Indebtedness.</w:t>
      </w:r>
    </w:p>
    <w:p>
      <w:pPr>
        <w:spacing w:after="0" w:line="188" w:lineRule="exact"/>
        <w:rPr>
          <w:sz w:val="20"/>
          <w:szCs w:val="20"/>
          <w:color w:val="auto"/>
        </w:rPr>
      </w:pPr>
    </w:p>
    <w:p>
      <w:pPr>
        <w:ind w:right="7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10.06(b)(v)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62"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Matters Agreement</w:t>
      </w:r>
      <w:r>
        <w:rPr>
          <w:rFonts w:ascii="Arial" w:cs="Arial" w:eastAsia="Arial" w:hAnsi="Arial"/>
          <w:sz w:val="18"/>
          <w:szCs w:val="18"/>
          <w:color w:val="auto"/>
        </w:rPr>
        <w:t>” means that certain Employee Matters Agreement by and among Post, the Borrower, and BRBR, dated as of October 21, 2019, as the same may be amended, modified, supplemented, restated or replaced from time to time.</w:t>
      </w:r>
    </w:p>
    <w:p>
      <w:pPr>
        <w:spacing w:after="0" w:line="162"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Engagement Letter</w:t>
      </w:r>
      <w:r>
        <w:rPr>
          <w:rFonts w:ascii="Arial" w:cs="Arial" w:eastAsia="Arial" w:hAnsi="Arial"/>
          <w:sz w:val="18"/>
          <w:szCs w:val="18"/>
          <w:color w:val="auto"/>
        </w:rPr>
        <w:t>” means the Engagement and Commitment Letter, dated September 26, 2019, among the Borrower, the Arrangers and the Co-Managers.</w:t>
      </w:r>
    </w:p>
    <w:p>
      <w:pPr>
        <w:spacing w:after="0" w:line="162"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written notice, claim, demand, action, litigation, toxic tort, proceeding, demand, request for information, complaint, citation, summons, investigation, notice of non-compliance or violation, cause of action, consent order, consent decree, investigation, or other proceeding by any Governmental Authority or any other Person, arising out of, based on or pursuant to any Environmental Law or related in any way to any actual, alleged or threatened Environmental Liability.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48" w:name="page249"/>
    <w:bookmarkEnd w:id="248"/>
    <w:p>
      <w:pPr>
        <w:ind w:right="120"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Federal, state, local, and foreign statutes, laws, regulations, ordinances, rules, judgments, orders, decrees, agreements or governmental restrictions relating to human health and safety, pollution, the protection of the environment or the release of any materials into the environment, including those related to hazardous materials, substances or wastes and air and water emissions and discharges.</w:t>
      </w:r>
    </w:p>
    <w:p>
      <w:pPr>
        <w:spacing w:after="0" w:line="142"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obligation, responsibility or cost directly or indirectly resulting from or based upon (a) any violation of, or liability under, any Environmental Law, (b) the generation, use, handling, transportation, storage, distribution, treatment or disposal of any Hazardous Materials,</w:t>
      </w:r>
    </w:p>
    <w:p>
      <w:pPr>
        <w:spacing w:after="0" w:line="2" w:lineRule="exact"/>
        <w:rPr>
          <w:sz w:val="20"/>
          <w:szCs w:val="20"/>
          <w:color w:val="auto"/>
        </w:rPr>
      </w:pPr>
    </w:p>
    <w:p>
      <w:pPr>
        <w:jc w:val="both"/>
        <w:ind w:right="320" w:firstLine="4"/>
        <w:spacing w:after="0" w:line="255" w:lineRule="auto"/>
        <w:tabs>
          <w:tab w:leader="none" w:pos="24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(e) natural resource damage or (f) any contract, agreement or other consensual arrangement pursuant to which liability is assumed or imposed with respect to any of the foregoing.</w:t>
      </w:r>
    </w:p>
    <w:p>
      <w:pPr>
        <w:spacing w:after="0" w:line="186"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approval, identification number, license or other authorization issued pursuant to or required under any Environmental Law.</w:t>
      </w:r>
    </w:p>
    <w:p>
      <w:pPr>
        <w:spacing w:after="0" w:line="162" w:lineRule="exact"/>
        <w:rPr>
          <w:sz w:val="20"/>
          <w:szCs w:val="20"/>
          <w:color w:val="auto"/>
        </w:rPr>
      </w:pPr>
    </w:p>
    <w:p>
      <w:pPr>
        <w:ind w:right="10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as amended, and the rules and regulations promulgated thereunder.</w:t>
      </w:r>
    </w:p>
    <w:p>
      <w:pPr>
        <w:spacing w:after="0" w:line="248" w:lineRule="exact"/>
        <w:rPr>
          <w:sz w:val="20"/>
          <w:szCs w:val="20"/>
          <w:color w:val="auto"/>
        </w:rPr>
      </w:pPr>
    </w:p>
    <w:p>
      <w:pPr>
        <w:ind w:right="2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(or Sections 414(m) and (o) of the Code for purposes of provisions relating to Section 412 of the Code).</w:t>
      </w:r>
    </w:p>
    <w:p>
      <w:pPr>
        <w:spacing w:after="0" w:line="116"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the occurrence of any of the following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ind w:right="20" w:firstLine="4"/>
        <w:spacing w:after="0" w:line="255" w:lineRule="auto"/>
        <w:tabs>
          <w:tab w:leader="none" w:pos="24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complete or partial withdrawal by the Borrower or any ERISA Affiliate from a Multiemployer Plan or notification concerning the imposition upon the Borrower or any of its ERISA Affiliates of any liability with respect to such withdrawal, or a determination that a Multiemployer Plan is or is expected to be insolvent within the meaning of Title IV of ERISA; (d) the filing of a notice of intent to terminate,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0" w:right="499" w:bottom="1440" w:gutter="0" w:footer="0" w:header="0"/>
        </w:sectPr>
      </w:pPr>
    </w:p>
    <w:bookmarkStart w:id="249" w:name="page250"/>
    <w:bookmarkEnd w:id="24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treatment of a Pension Plan amendment as a termination of, any Pension Plan,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the adjusted funding target attainment percentage (as defined in Section 436(j)(2) of the Code) of any Pension Plan is both less than 80% and such Pension Plan is more than $20,000,000 underfunded on an adjusted funding target attainment percentage basis; (h) the imposition of any liability under Title IV of ERISA, other than for PBGC premiums due but not delinquent under Section 4007 of ERISA, upon the Borrower or any ERISA Affiliate; or (i) the failure to satisfy the Pension Funding Rules with respect to any Pension Plan, whether or not waived.</w:t>
      </w:r>
    </w:p>
    <w:p>
      <w:pPr>
        <w:spacing w:after="0" w:line="174"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Escrow Subsidiary</w:t>
      </w:r>
      <w:r>
        <w:rPr>
          <w:rFonts w:ascii="Arial" w:cs="Arial" w:eastAsia="Arial" w:hAnsi="Arial"/>
          <w:sz w:val="17"/>
          <w:szCs w:val="17"/>
          <w:color w:val="auto"/>
        </w:rPr>
        <w:t xml:space="preserve">” means a wholly-owned Subsidiary (i) created by the Borrower or any Subsidiary for the sole purpose of issuing debt securities the net proceeds of which must be deposited into a secured escrow account of such Subsidiary pending consummation of a Permitted Acquisition and which debt securities must be redeemed if such Permitted Acquisition is not consummated, (ii) engaged in no activities other than those incidental to the issuance of such debt securities, (iii) owning no assets other than amounts that have been deposited into such secured escrow account and (iv) which has been designated as an Escrow Subsidiary by the Borrower’s Board of Directors as evidenced by a filing with the Administrative Agent of (1) a board resolution of the Borrower giving effect to such designation and (2) an officers’ certificate certifying that such designation, and the transactions in which such Subsidiary will engage (including the terms of the debt securities issued by such Subsidiary), comply with the requirements of this definition;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(x) such Subsidiary ceases to comply with the requirements of this definition or (y) the debt securities become guaranteed by (or secured by assets of) any Person other than such Subsidiary, such designated Subsidiary shall no longer constitute an Escrow Subsidiary under this Agreement.</w:t>
      </w:r>
    </w:p>
    <w:p>
      <w:pPr>
        <w:spacing w:after="0" w:line="178"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any member state of the European Union that adopts or has adopted the Euro as its lawful currency in accordance with the legislation of the European Union relating to economic and monetary union.</w:t>
      </w:r>
    </w:p>
    <w:p>
      <w:pPr>
        <w:spacing w:after="0" w:line="162"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Eurodollar Rate</w:t>
      </w:r>
      <w:r>
        <w:rPr>
          <w:rFonts w:ascii="Arial" w:cs="Arial" w:eastAsia="Arial" w:hAnsi="Arial"/>
          <w:sz w:val="16"/>
          <w:szCs w:val="16"/>
          <w:color w:val="auto"/>
        </w:rPr>
        <w:t>” means for any Interest Rate Determination Date with respect to an Interest Period for a Eurodollar Rate Loan, the rate per annum obtained by multiplying (I)(x) (i) the rate per annum equal to the rate determined by the Administrative Agent to be the offered Screen Rate for deposits (for delivery on the first day of such period) (such page currently being in relation to a Loan denominated in U.S. Dollars or Pounds Sterling, as currently published on Reuters Screen LIBOR01 Page or LIBOR02 Page (or any successor thereto) and (ii) in relation to a Loan denominated in Euros, the EURIBOR01 page) (the “</w:t>
      </w:r>
      <w:r>
        <w:rPr>
          <w:rFonts w:ascii="Arial" w:cs="Arial" w:eastAsia="Arial" w:hAnsi="Arial"/>
          <w:sz w:val="16"/>
          <w:szCs w:val="16"/>
          <w:b w:val="1"/>
          <w:bCs w:val="1"/>
          <w:color w:val="auto"/>
        </w:rPr>
        <w:t>LIBO Rate</w:t>
      </w:r>
      <w:r>
        <w:rPr>
          <w:rFonts w:ascii="Arial" w:cs="Arial" w:eastAsia="Arial" w:hAnsi="Arial"/>
          <w:sz w:val="16"/>
          <w:szCs w:val="16"/>
          <w:color w:val="auto"/>
        </w:rPr>
        <w:t xml:space="preserve">”) with a term equivalent to such Interest Period in the relevant currency, determined as of approximately 11:00 a.m. (London, England time) on such Interest Rate Determination Date, or (y) in the event the rates referenced in the preceding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do not appear on such page or service or if such page or service shall cease to be available, the rate determined by the Administrative Agent to be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offered rate on such other page or other service which displays an average London Interbank Offered Rate for deposits (for delivery on the first day of such period) with a term equivalent to such Interest Period in such currency, determined as of approximately 11:00 a.m. (London, England time) on such Interest Rate Determination Date, or (z) in the event the rates referenced in the preceding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are not available, the rate per annum equal to the offered quotation rate by first class banks in the London interbank market to the Administrative Agent for deposits (for delivery on the first day of the relevant period) in such currency of amounts in same day funds comparable to the principal amount of the applicable Loan of the Administrative Agent for which the Eurodollar Rate is then being determined with maturities comparable to such period as of approximately 11:00 a.m. (London, England time) on such Interest Rate Determination Date; provided that, if the rates referenced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shall not be available at the applicable time for the applicable Interest Period (an “</w:t>
      </w:r>
      <w:r>
        <w:rPr>
          <w:rFonts w:ascii="Arial" w:cs="Arial" w:eastAsia="Arial" w:hAnsi="Arial"/>
          <w:sz w:val="17"/>
          <w:szCs w:val="17"/>
          <w:b w:val="1"/>
          <w:bCs w:val="1"/>
          <w:color w:val="auto"/>
        </w:rPr>
        <w:t>Impacted Interest Period</w:t>
      </w:r>
      <w:r>
        <w:rPr>
          <w:rFonts w:ascii="Arial" w:cs="Arial" w:eastAsia="Arial" w:hAnsi="Arial"/>
          <w:sz w:val="17"/>
          <w:szCs w:val="17"/>
          <w:color w:val="auto"/>
        </w:rPr>
        <w:t xml:space="preserve">”), then the Eurodollar Rate for such currency and Interest Period shall be the Interpolated Rate by (II) the Statutory Reserve Rate; </w:t>
      </w:r>
      <w:r>
        <w:rPr>
          <w:rFonts w:ascii="Arial" w:cs="Arial" w:eastAsia="Arial" w:hAnsi="Arial"/>
          <w:sz w:val="17"/>
          <w:szCs w:val="17"/>
          <w:i w:val="1"/>
          <w:iCs w:val="1"/>
          <w:color w:val="auto"/>
        </w:rPr>
        <w:t>provided, however</w:t>
      </w:r>
      <w:r>
        <w:rPr>
          <w:rFonts w:ascii="Arial" w:cs="Arial" w:eastAsia="Arial" w:hAnsi="Arial"/>
          <w:sz w:val="17"/>
          <w:szCs w:val="17"/>
          <w:color w:val="auto"/>
        </w:rPr>
        <w:t>, notwithstanding the foregoing, at no time will the Eurodollar Rate be deemed to be less than 1.00% per annum.</w:t>
      </w:r>
    </w:p>
    <w:p>
      <w:pPr>
        <w:spacing w:after="0" w:line="174"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Revolving Credit Loan or a Term Loan that bears interest at a rate based on the definition of “</w:t>
      </w:r>
      <w:r>
        <w:rPr>
          <w:rFonts w:ascii="Arial" w:cs="Arial" w:eastAsia="Arial" w:hAnsi="Arial"/>
          <w:sz w:val="18"/>
          <w:szCs w:val="18"/>
          <w:b w:val="1"/>
          <w:bCs w:val="1"/>
          <w:color w:val="auto"/>
        </w:rPr>
        <w:t>Eurodollar</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specified in the Collateral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 any Affected Foreign Subsidiary, or any direct or indirect Subsidiary of any Affected Foreign Subsidiary,</w:t>
      </w:r>
    </w:p>
    <w:p>
      <w:pPr>
        <w:spacing w:after="0" w:line="39" w:lineRule="exact"/>
        <w:rPr>
          <w:sz w:val="20"/>
          <w:szCs w:val="20"/>
          <w:color w:val="auto"/>
        </w:rPr>
      </w:pPr>
    </w:p>
    <w:p>
      <w:pPr>
        <w:ind w:right="40" w:firstLine="4"/>
        <w:spacing w:after="0" w:line="269" w:lineRule="auto"/>
        <w:tabs>
          <w:tab w:leader="none" w:pos="25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any Receivables Subsidiary, (c) any Escrow Subsidiary, (d) any Unrestricted Subsidiary, (e) any Disregarded Domestic Subsidiary, (f) Active Nutrition International GmbH, or (g) any Restricted Subsidiary that is not a wholly owned Subsidiary and that constitutes a bona fide joint venture with a third party that is not an Affiliate of the Borrower, if, in the case of this </w:t>
      </w:r>
      <w:r>
        <w:rPr>
          <w:rFonts w:ascii="Arial" w:cs="Arial" w:eastAsia="Arial" w:hAnsi="Arial"/>
          <w:sz w:val="17"/>
          <w:szCs w:val="17"/>
          <w:u w:val="single" w:color="auto"/>
          <w:color w:val="auto"/>
        </w:rPr>
        <w:t>clause (g)</w:t>
      </w:r>
      <w:r>
        <w:rPr>
          <w:rFonts w:ascii="Arial" w:cs="Arial" w:eastAsia="Arial" w:hAnsi="Arial"/>
          <w:sz w:val="17"/>
          <w:szCs w:val="17"/>
          <w:color w:val="auto"/>
        </w:rPr>
        <w:t>, the granting of a security interest therein (i) would be prohibited by, cause a default under or result in a breach of, or would give another Person (other than the Borrower or any Restricted Subsidiary) a right to terminate, under any organizational document, shareholders, joint venture or similar agreement applicable to such Restricted Subsidiary that is not a wholly owned Subsidiary and that constitutes a bona fide joint venture with a third party that is not an Affiliate of the Borrower or (ii) would require obtaining the consent of any Person (other than the Borrower or any Restricted Subsidiary).</w:t>
      </w:r>
    </w:p>
    <w:p>
      <w:pPr>
        <w:spacing w:after="0" w:line="17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overall net income (however denominated), franchise Taxes (in lieu of net income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 required by the Code to be withheld from amounts payable to a Lender that has failed to comply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3.01(e)(ii)</w:t>
      </w:r>
      <w:r>
        <w:rPr>
          <w:rFonts w:ascii="Arial" w:cs="Arial" w:eastAsia="Arial" w:hAnsi="Arial"/>
          <w:sz w:val="17"/>
          <w:szCs w:val="17"/>
          <w:color w:val="auto"/>
        </w:rPr>
        <w:t xml:space="preserve">, (c) in the case of a Lender (other than an assignee pursuant to a request by the Borrower under </w:t>
      </w:r>
      <w:r>
        <w:rPr>
          <w:rFonts w:ascii="Arial" w:cs="Arial" w:eastAsia="Arial" w:hAnsi="Arial"/>
          <w:sz w:val="17"/>
          <w:szCs w:val="17"/>
          <w:u w:val="single" w:color="auto"/>
          <w:color w:val="auto"/>
        </w:rPr>
        <w:t>Section 10.13</w:t>
      </w:r>
      <w:r>
        <w:rPr>
          <w:rFonts w:ascii="Arial" w:cs="Arial" w:eastAsia="Arial" w:hAnsi="Arial"/>
          <w:sz w:val="17"/>
          <w:szCs w:val="17"/>
          <w:color w:val="auto"/>
        </w:rPr>
        <w:t>), any United States federal withholding Tax that (i)</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51" w:name="page252"/>
    <w:bookmarkEnd w:id="25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is required to be imposed on amounts payable to or for the account of such Lender pursuant to the Laws in force at the time such Lender acquires such interest in the Loan or Commitment (or designates a new Lending Office) or (ii) is attributable to such Lender’s failure or inability (other than as a result of a Change in Law) to comply with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3.01(e)(ii)</w:t>
      </w:r>
      <w:r>
        <w:rPr>
          <w:rFonts w:ascii="Arial" w:cs="Arial" w:eastAsia="Arial" w:hAnsi="Arial"/>
          <w:sz w:val="17"/>
          <w:szCs w:val="17"/>
          <w:color w:val="auto"/>
        </w:rPr>
        <w:t>, except that in the case of a Lender that designates a new Lending Office or becomes a Party to this Agreement pursuant to an assignment, withholding Taxes shall not be Excluded Taxes to the extent that such Taxes were not Excluded Taxes with respect to such Lender or its assignor, as the case may be, immediately before such designation of a new Lending Office or assignment; and (d) any U.S. federal withholding Taxes imposed under FATCA.</w:t>
      </w:r>
    </w:p>
    <w:p>
      <w:pPr>
        <w:spacing w:after="0" w:line="174"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Receipt</w:t>
      </w:r>
      <w:r>
        <w:rPr>
          <w:rFonts w:ascii="Arial" w:cs="Arial" w:eastAsia="Arial" w:hAnsi="Arial"/>
          <w:sz w:val="18"/>
          <w:szCs w:val="18"/>
          <w:color w:val="auto"/>
        </w:rPr>
        <w:t xml:space="preserve">” means any cash received by or paid to any Person as a result of proceeds of insurance (other than proceeds of business interruption insurance to the extent such proceeds constitute compensation for lost earnings) and condemnation awards (and payments in lieu thereof);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 Extraordinary Receipt shall not include cash receipts from proceeds of insurance or condemnation awards (or payments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lieu thereof) to the extent that such proceeds or awards are received by any Person in respect of any third party claim against, or liability of, such Person and applied to pay (or to reimburse such Person for its prior payment of) such claim or liability and the costs and expenses of such Person with respect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means the Term B Facility, a Revolving Credit Facility, an Incremental Facility or a Refinancing Facility, as the context may require.</w:t>
      </w:r>
    </w:p>
    <w:p>
      <w:pPr>
        <w:spacing w:after="0" w:line="248" w:lineRule="exact"/>
        <w:rPr>
          <w:sz w:val="20"/>
          <w:szCs w:val="20"/>
          <w:color w:val="auto"/>
        </w:rPr>
      </w:pPr>
    </w:p>
    <w:p>
      <w:pPr>
        <w:ind w:right="1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Fee Rate</w:t>
      </w:r>
      <w:r>
        <w:rPr>
          <w:rFonts w:ascii="Arial" w:cs="Arial" w:eastAsia="Arial" w:hAnsi="Arial"/>
          <w:sz w:val="17"/>
          <w:szCs w:val="17"/>
          <w:color w:val="auto"/>
        </w:rPr>
        <w:t xml:space="preserve">” means, with respect to the Original Revolving Credit Commitments, (a) from the Closing Date to the date following the Closing Date on which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in respect of the first full fiscal quarter following the Closing Date, 0.50% and (b) thereafter, the applicable percentage per annum set forth below determined by reference to the Secured Net Leverage Ratio as set forth in the most recent Compliance Certificate received by the Administrative Agent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w:t>
      </w:r>
    </w:p>
    <w:p>
      <w:pPr>
        <w:spacing w:after="0" w:line="17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Pricing</w:t>
            </w:r>
          </w:p>
        </w:tc>
        <w:tc>
          <w:tcPr>
            <w:tcW w:w="2840" w:type="dxa"/>
            <w:vAlign w:val="bottom"/>
          </w:tcPr>
          <w:p>
            <w:pPr>
              <w:spacing w:after="0"/>
              <w:rPr>
                <w:sz w:val="14"/>
                <w:szCs w:val="14"/>
                <w:color w:val="auto"/>
              </w:rPr>
            </w:pPr>
          </w:p>
        </w:tc>
        <w:tc>
          <w:tcPr>
            <w:tcW w:w="272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0"/>
              </w:rPr>
              <w:t>Secured Net</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5560" w:type="dxa"/>
            <w:vAlign w:val="bottom"/>
            <w:gridSpan w:val="5"/>
          </w:tcPr>
          <w:p>
            <w:pPr>
              <w:jc w:val="center"/>
              <w:ind w:left="974"/>
              <w:spacing w:after="0"/>
              <w:rPr>
                <w:sz w:val="20"/>
                <w:szCs w:val="20"/>
                <w:color w:val="auto"/>
              </w:rPr>
            </w:pPr>
            <w:r>
              <w:rPr>
                <w:rFonts w:ascii="Arial" w:cs="Arial" w:eastAsia="Arial" w:hAnsi="Arial"/>
                <w:sz w:val="14"/>
                <w:szCs w:val="14"/>
                <w:b w:val="1"/>
                <w:bCs w:val="1"/>
                <w:color w:val="auto"/>
                <w:w w:val="93"/>
              </w:rPr>
              <w:t>Leverage Ratio</w:t>
            </w:r>
          </w:p>
        </w:tc>
        <w:tc>
          <w:tcPr>
            <w:tcW w:w="2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Facility Fee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5560" w:type="dxa"/>
            <w:vAlign w:val="bottom"/>
            <w:gridSpan w:val="5"/>
            <w:shd w:val="clear" w:color="auto" w:fill="CCEEFF"/>
          </w:tcPr>
          <w:p>
            <w:pPr>
              <w:jc w:val="center"/>
              <w:ind w:left="954"/>
              <w:spacing w:after="0" w:line="203" w:lineRule="exact"/>
              <w:rPr>
                <w:sz w:val="20"/>
                <w:szCs w:val="20"/>
                <w:color w:val="auto"/>
              </w:rPr>
            </w:pPr>
            <w:r>
              <w:rPr>
                <w:rFonts w:ascii="Arial" w:cs="Arial" w:eastAsia="Arial" w:hAnsi="Arial"/>
                <w:sz w:val="18"/>
                <w:szCs w:val="18"/>
                <w:color w:val="auto"/>
                <w:w w:val="90"/>
              </w:rPr>
              <w:t>³ 3.50 to 1.00</w:t>
            </w:r>
          </w:p>
        </w:tc>
        <w:tc>
          <w:tcPr>
            <w:tcW w:w="1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5560" w:type="dxa"/>
            <w:vAlign w:val="bottom"/>
            <w:gridSpan w:val="5"/>
          </w:tcPr>
          <w:p>
            <w:pPr>
              <w:jc w:val="center"/>
              <w:ind w:left="974"/>
              <w:spacing w:after="0" w:line="176" w:lineRule="exact"/>
              <w:rPr>
                <w:sz w:val="20"/>
                <w:szCs w:val="20"/>
                <w:color w:val="auto"/>
              </w:rPr>
            </w:pPr>
            <w:r>
              <w:rPr>
                <w:rFonts w:ascii="Arial" w:cs="Arial" w:eastAsia="Arial" w:hAnsi="Arial"/>
                <w:sz w:val="18"/>
                <w:szCs w:val="18"/>
                <w:color w:val="auto"/>
                <w:w w:val="89"/>
              </w:rPr>
              <w:t>&lt; 3.50 to 1.00 and ³ 2.50 to 1.00</w:t>
            </w:r>
          </w:p>
        </w:tc>
        <w:tc>
          <w:tcPr>
            <w:tcW w:w="234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560" w:type="dxa"/>
            <w:vAlign w:val="bottom"/>
            <w:gridSpan w:val="5"/>
            <w:shd w:val="clear" w:color="auto" w:fill="CCEEFF"/>
          </w:tcPr>
          <w:p>
            <w:pPr>
              <w:jc w:val="center"/>
              <w:ind w:left="974"/>
              <w:spacing w:after="0"/>
              <w:rPr>
                <w:sz w:val="20"/>
                <w:szCs w:val="20"/>
                <w:color w:val="auto"/>
              </w:rPr>
            </w:pPr>
            <w:r>
              <w:rPr>
                <w:rFonts w:ascii="Arial" w:cs="Arial" w:eastAsia="Arial" w:hAnsi="Arial"/>
                <w:sz w:val="18"/>
                <w:szCs w:val="18"/>
                <w:color w:val="auto"/>
                <w:w w:val="92"/>
              </w:rPr>
              <w:t>&lt; 2.50 to 1.00</w:t>
            </w:r>
          </w:p>
        </w:tc>
        <w:tc>
          <w:tcPr>
            <w:tcW w:w="2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Any increase or decrease in the Facility Fee Rate resulting from a change in the Secured Net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Compliance Certificate is not delivered when due in accordance with such Section, then Pricing Level 1 shall apply as of the first Business Day after the date on which such Compliance Certificate was required to have been delivered and shall remain in effect until the date on which such Compliance Certificate is delivered (and thereafter the Pricing Level otherwise determined in accordance with this definition shall apply).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52" w:name="page253"/>
    <w:bookmarkEnd w:id="252"/>
    <w:p>
      <w:pPr>
        <w:ind w:right="4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Furthermore, the Facility Fee Rate in respect of Other Revolving Commitments shall be the applicable percentage per annum set forth in the relevant Refinancing Amendment.</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Facility Fee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44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116" w:lineRule="exact"/>
        <w:rPr>
          <w:sz w:val="20"/>
          <w:szCs w:val="20"/>
          <w:color w:val="auto"/>
        </w:rPr>
      </w:pPr>
    </w:p>
    <w:p>
      <w:pPr>
        <w:ind w:right="6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Effective Rate</w:t>
      </w:r>
      <w:r>
        <w:rPr>
          <w:rFonts w:ascii="Arial" w:cs="Arial" w:eastAsia="Arial" w:hAnsi="Arial"/>
          <w:sz w:val="16"/>
          <w:szCs w:val="16"/>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Federal Funds Effective Rate for any day is less than zero, the Federal Funds Effective Rate for such day will be deemed zero.</w:t>
      </w:r>
    </w:p>
    <w:p>
      <w:pPr>
        <w:spacing w:after="0" w:line="151"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62" w:lineRule="exact"/>
        <w:rPr>
          <w:sz w:val="20"/>
          <w:szCs w:val="20"/>
          <w:color w:val="auto"/>
        </w:rPr>
      </w:pPr>
    </w:p>
    <w:p>
      <w:pPr>
        <w:ind w:right="1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Fee Letters</w:t>
      </w:r>
      <w:r>
        <w:rPr>
          <w:rFonts w:ascii="Arial" w:cs="Arial" w:eastAsia="Arial" w:hAnsi="Arial"/>
          <w:sz w:val="16"/>
          <w:szCs w:val="16"/>
          <w:color w:val="auto"/>
        </w:rPr>
        <w:t>” means (a) the Agency Fee Letter, (b) the Arranger Fee Letter, dated September 26, 2019, among the Borrower, the Arrangers and the Co-Managers and (c) the Additional Fee Letter, dated September 26, 2019, among the Borrower and the other parties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Borrower and its Restricted Subsidiaries ending on September 30 of each calendar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Government Scheme or Arrangement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b w:val="1"/>
          <w:bCs w:val="1"/>
          <w:color w:val="auto"/>
        </w:rPr>
        <w:t xml:space="preserve">“Formation Documents” </w:t>
      </w:r>
      <w:r>
        <w:rPr>
          <w:rFonts w:ascii="Arial" w:cs="Arial" w:eastAsia="Arial" w:hAnsi="Arial"/>
          <w:sz w:val="18"/>
          <w:szCs w:val="18"/>
          <w:color w:val="auto"/>
        </w:rPr>
        <w:t>means the Employee Matters Agreement, the Master Services Agreement, the Master Transaction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Operating Agreement, the Tax Matters Agreement and the Tax Receivable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253" w:name="page254"/>
    <w:bookmarkEnd w:id="253"/>
    <w:p>
      <w:pPr>
        <w:ind w:right="12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Fronting Exposure</w:t>
      </w:r>
      <w:r>
        <w:rPr>
          <w:rFonts w:ascii="Arial" w:cs="Arial" w:eastAsia="Arial" w:hAnsi="Arial"/>
          <w:sz w:val="18"/>
          <w:szCs w:val="18"/>
          <w:color w:val="auto"/>
        </w:rPr>
        <w:t>” means, at any time there is a Defaulting Lender, with respect to any L/C Issuer, such Defaulting Lender’s Applicable Revolving Credit Percentage of the outstanding L/C Obligations in respect of Letters of Credit issued by such L/C Issuer other than L/C Obligations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National Association of Insurance Commissioners and any supra-national bodies such as the European Union or the European Central Bank).</w:t>
      </w:r>
    </w:p>
    <w:p>
      <w:pPr>
        <w:spacing w:after="0" w:line="165"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5" w:lineRule="exact"/>
        <w:rPr>
          <w:sz w:val="20"/>
          <w:szCs w:val="20"/>
          <w:color w:val="auto"/>
        </w:rPr>
      </w:pPr>
    </w:p>
    <w:p>
      <w:pPr>
        <w:ind w:firstLine="4"/>
        <w:spacing w:after="0" w:line="268" w:lineRule="auto"/>
        <w:tabs>
          <w:tab w:leader="none" w:pos="25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b w:val="1"/>
          <w:bCs w:val="1"/>
          <w:color w:val="auto"/>
        </w:rPr>
        <w:t>Guarantee</w:t>
      </w:r>
      <w:r>
        <w:rPr>
          <w:rFonts w:ascii="Arial" w:cs="Arial" w:eastAsia="Arial" w:hAnsi="Arial"/>
          <w:sz w:val="17"/>
          <w:szCs w:val="17"/>
          <w:color w:val="auto"/>
        </w:rPr>
        <w:t>” as a verb has a corresponding meaning.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254" w:name="page255"/>
    <w:bookmarkEnd w:id="254"/>
    <w:p>
      <w:pPr>
        <w:ind w:right="16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each existing and future direct or indirect Subsidiary of the Borrower (other than any Excluded Subsidiary or any Immaterial Subsidiary).</w:t>
      </w:r>
    </w:p>
    <w:p>
      <w:pPr>
        <w:spacing w:after="0" w:line="162" w:lineRule="exact"/>
        <w:rPr>
          <w:sz w:val="20"/>
          <w:szCs w:val="20"/>
          <w:color w:val="auto"/>
        </w:rPr>
      </w:pPr>
    </w:p>
    <w:p>
      <w:pPr>
        <w:ind w:right="4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explosive or radioactive substances or wastes, contaminants, pollutants or any other hazardous or toxic substances, wastes or materials regulated under or defined in any Environmental Law, including petroleum, its derivatives or petroleum distillates, asbestos or asbestos-containing materials, polychlorinated biphenyls, radon gas, and infectious or medical wastes.</w:t>
      </w:r>
    </w:p>
    <w:p>
      <w:pPr>
        <w:spacing w:after="0" w:line="158"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 Activity</w:t>
      </w:r>
      <w:r>
        <w:rPr>
          <w:rFonts w:ascii="Arial" w:cs="Arial" w:eastAsia="Arial" w:hAnsi="Arial"/>
          <w:sz w:val="17"/>
          <w:szCs w:val="17"/>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65" w:lineRule="exact"/>
        <w:rPr>
          <w:sz w:val="20"/>
          <w:szCs w:val="20"/>
          <w:color w:val="auto"/>
        </w:rPr>
      </w:pPr>
    </w:p>
    <w:p>
      <w:pPr>
        <w:ind w:right="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Bank</w:t>
      </w:r>
      <w:r>
        <w:rPr>
          <w:rFonts w:ascii="Arial" w:cs="Arial" w:eastAsia="Arial" w:hAnsi="Arial"/>
          <w:sz w:val="17"/>
          <w:szCs w:val="17"/>
          <w:color w:val="auto"/>
        </w:rPr>
        <w:t>” means any Person that, at the time it enters into a Swap Contract permitted hereunder, is a Lender, the Administrative Agent or an Arranger or an Affiliate of a Lender, the Administrative Agent or an Arranger in its capacity as a party to such Swap Contract.</w:t>
      </w:r>
    </w:p>
    <w:p>
      <w:pPr>
        <w:spacing w:after="0" w:line="13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xml:space="preserve">” means, as of any date, any Restricted Subsidiary that, (a) as of the last date of the most recent fiscal quarter of the Borrower for which financial statements have been delivered, accounts for less than 5.00% of the Consolidated Total Assets of the Borrower and its Restricted Subsidiaries and less than 5.00% of the total revenue of the Borrower and its Restricted Subsidiaries on a consolidated basis, in each case, as measured as of the last day of the most recent fiscal quarter of the Borrower for which financial statements have been delivered and (b) does not, directly or indirectly, hold Equity Interests in any Restricted Subsidiary that is not an Immaterial Subsidiary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as of the last date of the most recent fiscal quarter of the Borrower for which financial statements have been delivered, the aggregate amount of Consolidated Total Assets or net sales attributable to all Restricted Subsidiaries that are Immaterial Subsidiaries exceeds 7.50% of the Consolidated Total Assets of the Borrower and its Restricted Subsidiaries or 7.50% of the total revenues of the Borrower and its Restricted Subsidiaries on a consolidated basis, then a sufficient number of Restricted Subsidiaries which are not Excluded Subsidiaries shall be designated by the Borrower (or, in the event the Borrower has failed to do so within twenty days, the Administrative Agent) to eliminate such excess, and such designated Restricted Subsidiaries shall no longer constitute Immaterial Subsidiaries under this Agreement.</w:t>
      </w:r>
    </w:p>
    <w:p>
      <w:pPr>
        <w:spacing w:after="0" w:line="174" w:lineRule="exact"/>
        <w:rPr>
          <w:sz w:val="20"/>
          <w:szCs w:val="20"/>
          <w:color w:val="auto"/>
        </w:rPr>
      </w:pPr>
    </w:p>
    <w:p>
      <w:pPr>
        <w:ind w:right="10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in each case, acting on their behalf) or any private foundation or fund that is controlled by any of the foregoing individuals or any donor-advised fund of which any such individual is the donor.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255" w:name="page256"/>
    <w:bookmarkEnd w:id="2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Available Amount</w:t>
      </w:r>
      <w:r>
        <w:rPr>
          <w:rFonts w:ascii="Arial" w:cs="Arial" w:eastAsia="Arial" w:hAnsi="Arial"/>
          <w:sz w:val="18"/>
          <w:szCs w:val="18"/>
          <w:color w:val="auto"/>
        </w:rPr>
        <w:t>” means</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(a)(i) $95,000,000 less (ii) the aggregate principal amount of Indebtedness incurred pursuant to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7.03(s)</w:t>
      </w:r>
      <w:r>
        <w:rPr>
          <w:rFonts w:ascii="Arial" w:cs="Arial" w:eastAsia="Arial" w:hAnsi="Arial"/>
          <w:sz w:val="18"/>
          <w:szCs w:val="18"/>
          <w:color w:val="auto"/>
        </w:rPr>
        <w:t xml:space="preserve"> in reliance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70"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(b)(i) the amount of any voluntary prepayments or debt buybacks of Term Loans, loans under any Incremental Equivalent Debt and/or loans under other Indebtedness, in each case, secured on a pari passu basis with the Liens securing the Obligations hereunder (which, in the case of any such Indebtedness that constitutes revolving Indebtedness, is accompanied by a permanent reduction in the relevant commitment), (ii) voluntary prepayments of Revolving Credit Loans to the extent accompanied by a permanent reduction in the relevant commitment, and (iii) the amount paid in cash in respect of any reduction in the outstanding principal amount of any Term Loan resulting from any assignment of such Term Loan to the Borrower pursuant to </w:t>
      </w:r>
      <w:r>
        <w:rPr>
          <w:rFonts w:ascii="Arial" w:cs="Arial" w:eastAsia="Arial" w:hAnsi="Arial"/>
          <w:sz w:val="16"/>
          <w:szCs w:val="16"/>
          <w:u w:val="single" w:color="auto"/>
          <w:color w:val="auto"/>
        </w:rPr>
        <w:t>Section 10.06(b)(vii)</w:t>
      </w:r>
      <w:r>
        <w:rPr>
          <w:rFonts w:ascii="Arial" w:cs="Arial" w:eastAsia="Arial" w:hAnsi="Arial"/>
          <w:sz w:val="16"/>
          <w:szCs w:val="16"/>
          <w:color w:val="auto"/>
        </w:rPr>
        <w:t xml:space="preserve"> and/or the application of “yank-a-bank” provisions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in each case, made prior to the Increased Amount Date (in the case of each of </w:t>
      </w:r>
      <w:r>
        <w:rPr>
          <w:rFonts w:ascii="Arial" w:cs="Arial" w:eastAsia="Arial" w:hAnsi="Arial"/>
          <w:sz w:val="16"/>
          <w:szCs w:val="16"/>
          <w:u w:val="single" w:color="auto"/>
          <w:color w:val="auto"/>
        </w:rPr>
        <w:t>clauses (b)(i)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other than prepayments, repayments or commitment reductions financed with the proceeds of long-term indebtedness (other than revolving indebtedness (except where revolving indebtedness is used to replace revolving indebtedness))) </w:t>
      </w:r>
      <w:r>
        <w:rPr>
          <w:rFonts w:ascii="Arial" w:cs="Arial" w:eastAsia="Arial" w:hAnsi="Arial"/>
          <w:sz w:val="16"/>
          <w:szCs w:val="16"/>
          <w:u w:val="single" w:color="auto"/>
          <w:color w:val="auto"/>
        </w:rPr>
        <w:t>less</w:t>
      </w:r>
    </w:p>
    <w:p>
      <w:pPr>
        <w:spacing w:after="0" w:line="1" w:lineRule="exact"/>
        <w:rPr>
          <w:sz w:val="20"/>
          <w:szCs w:val="20"/>
          <w:color w:val="auto"/>
        </w:rPr>
      </w:pPr>
    </w:p>
    <w:p>
      <w:pPr>
        <w:ind w:left="300" w:hanging="296"/>
        <w:spacing w:after="0"/>
        <w:tabs>
          <w:tab w:leader="none" w:pos="3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Indebtedness incurred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7.03(s)</w:t>
      </w:r>
      <w:r>
        <w:rPr>
          <w:rFonts w:ascii="Arial" w:cs="Arial" w:eastAsia="Arial" w:hAnsi="Arial"/>
          <w:sz w:val="17"/>
          <w:szCs w:val="17"/>
          <w:color w:val="auto"/>
        </w:rPr>
        <w:t xml:space="preserve"> in reliance on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222" w:lineRule="exact"/>
        <w:rPr>
          <w:rFonts w:ascii="Arial" w:cs="Arial" w:eastAsia="Arial" w:hAnsi="Arial"/>
          <w:sz w:val="17"/>
          <w:szCs w:val="17"/>
          <w:color w:val="auto"/>
        </w:rPr>
      </w:pPr>
    </w:p>
    <w:p>
      <w:pPr>
        <w:ind w:firstLine="444"/>
        <w:spacing w:after="0" w:line="254" w:lineRule="auto"/>
        <w:tabs>
          <w:tab w:leader="none" w:pos="685"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 unlimited amount so long as, after giving effect to the incurrence of such Incremental Equivalent Debt or such Incremental Facility (assuming all commitments under or in respect of the Revolving Credit Facility Increase, Incremental Term Loans or Incremental Equivalent Debt are fully funded and without netting the cash proceeds thereof), (i) in the case of any Incremental Facility or Incremental Equivalent Debt secured by any or all of the Collateral on a pari passu basis with the Liens securing the Obligations hereunder, the pro forma Secured Net Leverage Ratio would not exceed 3.50:1.00, (ii) in the case of any Incremental Facility or Incremental Equivalent Debt secured by any or all of the Collateral on a junior basis to the Liens securing the Obligations hereunder or secured by assets that do not constitute Collateral, the pro forma Secured Net Leverage Ratio would not exceed 4.10:1.00 and (iii) in the case of any Incremental Facility or Incremental Equivalent Debt that is unsecured, the pro forma Total Net Leverage Ratio would not exceed 4.10:1.00,</w:t>
      </w:r>
    </w:p>
    <w:p>
      <w:pPr>
        <w:spacing w:after="0" w:line="19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to the extent the proceeds of any Incremental Term Loans or Incremental Equivalent Debt are intended to be applied to finance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Limited Condition Acquisition, pro forma compliance shall be tested in accordance with </w:t>
      </w:r>
      <w:r>
        <w:rPr>
          <w:rFonts w:ascii="Arial" w:cs="Arial" w:eastAsia="Arial" w:hAnsi="Arial"/>
          <w:sz w:val="18"/>
          <w:szCs w:val="18"/>
          <w:u w:val="single" w:color="auto"/>
          <w:color w:val="auto"/>
        </w:rPr>
        <w:t>Section 1.09(c)</w:t>
      </w:r>
      <w:r>
        <w:rPr>
          <w:rFonts w:ascii="Arial" w:cs="Arial" w:eastAsia="Arial" w:hAnsi="Arial"/>
          <w:sz w:val="18"/>
          <w:szCs w:val="18"/>
          <w:color w:val="auto"/>
        </w:rPr>
        <w:t>; and</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at the election of the Borrower, (I) the Borrower shall be deemed to have used amounts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compliant therewith) prior to utilization of amounts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(II) Loans may be incurred simultaneously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proceeds from any such incurrence may be utilized in a single transaction, at the election of the Borrower, by first calculating the incurrence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and then calculating the incurrence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(b) above and (III) any Loans incurred in reliance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may be reclassified, as the Borrower may elect from time to time, as incurred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to the extent permitted thereunder at such time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-304800</wp:posOffset>
            </wp:positionV>
            <wp:extent cx="1619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256" w:name="page257"/>
    <w:bookmarkEnd w:id="2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Incremental Borrowing</w:t>
      </w:r>
      <w:r>
        <w:rPr>
          <w:rFonts w:ascii="Arial" w:cs="Arial" w:eastAsia="Arial" w:hAnsi="Arial"/>
          <w:sz w:val="18"/>
          <w:szCs w:val="18"/>
          <w:color w:val="auto"/>
        </w:rPr>
        <w:t>” means a borrowing of Incremental Revolving Loans or Incremental Term Loans,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7.03(s)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means, at any time, as the context may require, the aggregate amount of the Incremental Revolving Loan Lenders’ Incremental Revolving Credit Commitments and/or the Incremental Term Loan Lenders’ Incremental Term Loan Commitments of a given Class at such time and, in each case, but without duplication, the Credit Extensions made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Maturity Date</w:t>
      </w:r>
      <w:r>
        <w:rPr>
          <w:rFonts w:ascii="Arial" w:cs="Arial" w:eastAsia="Arial" w:hAnsi="Arial"/>
          <w:sz w:val="18"/>
          <w:szCs w:val="18"/>
          <w:color w:val="auto"/>
        </w:rPr>
        <w:t>” means the date on which Incremental Term Loans of a Class shall become due and payable in full hereunder, as specified in the applicable Joinder Agreement, including by acceleration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2.14(f)</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8" w:lineRule="exact"/>
        <w:rPr>
          <w:sz w:val="20"/>
          <w:szCs w:val="20"/>
          <w:color w:val="auto"/>
        </w:rPr>
      </w:pPr>
    </w:p>
    <w:p>
      <w:pPr>
        <w:ind w:left="440" w:right="520" w:firstLine="428"/>
        <w:spacing w:after="0" w:line="277" w:lineRule="auto"/>
        <w:tabs>
          <w:tab w:leader="none" w:pos="110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0" w:right="640" w:firstLine="428"/>
        <w:spacing w:after="0" w:line="277" w:lineRule="auto"/>
        <w:tabs>
          <w:tab w:leader="none" w:pos="111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0" w:right="400" w:firstLine="428"/>
        <w:spacing w:after="0" w:line="308" w:lineRule="auto"/>
        <w:tabs>
          <w:tab w:leader="none" w:pos="111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purchase price of property or services (other than (i) trade accounts payable in the ordinary course of business and not past due for more than 60 days after the date on which such trade account is due (unless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257" w:name="page258"/>
    <w:bookmarkEnd w:id="257"/>
    <w:p>
      <w:pPr>
        <w:ind w:left="44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being contested in good faith and by appropriate proceedings) and (ii) earn-outs, hold-backs and other deferred payment of consideration in Permitted Acquisitions to the extent not required to be reflected as liabilities on the balance sheet of the Borrower and its Restricted Subsidiaries in accordance with GAAP);</w:t>
      </w:r>
    </w:p>
    <w:p>
      <w:pPr>
        <w:spacing w:after="0" w:line="73" w:lineRule="exact"/>
        <w:rPr>
          <w:sz w:val="20"/>
          <w:szCs w:val="20"/>
          <w:color w:val="auto"/>
        </w:rPr>
      </w:pPr>
    </w:p>
    <w:p>
      <w:pPr>
        <w:jc w:val="both"/>
        <w:ind w:left="440" w:right="280" w:firstLine="428"/>
        <w:spacing w:after="0" w:line="264" w:lineRule="auto"/>
        <w:tabs>
          <w:tab w:leader="none" w:pos="110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1100" w:hanging="232"/>
        <w:spacing w:after="0"/>
        <w:tabs>
          <w:tab w:leader="none" w:pos="11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Capital Leases;</w:t>
      </w:r>
    </w:p>
    <w:p>
      <w:pPr>
        <w:spacing w:after="0" w:line="117" w:lineRule="exact"/>
        <w:rPr>
          <w:rFonts w:ascii="Arial" w:cs="Arial" w:eastAsia="Arial" w:hAnsi="Arial"/>
          <w:sz w:val="18"/>
          <w:szCs w:val="18"/>
          <w:color w:val="auto"/>
        </w:rPr>
      </w:pPr>
    </w:p>
    <w:p>
      <w:pPr>
        <w:ind w:left="440" w:right="240" w:firstLine="428"/>
        <w:spacing w:after="0" w:line="264" w:lineRule="auto"/>
        <w:tabs>
          <w:tab w:leader="none" w:pos="111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all obligations of such Person in respect of Disqualified Equity Interests valued, in the case of a redeemable preferred interest that is a Disqualified Equity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distributions or dividends;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as of any date shall be deemed to be the amount of Attributable Indebtedness in respect thereof as of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w:t>
      </w:r>
    </w:p>
    <w:p>
      <w:pPr>
        <w:spacing w:after="0" w:line="17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December, March, June and September and the Maturity Date of the Facility under which such Loan was made.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58" w:name="page259"/>
    <w:bookmarkEnd w:id="258"/>
    <w:p>
      <w:pPr>
        <w:ind w:right="80" w:firstLine="44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as applicable, and ending on the date one, two, three or six months (or, if approved by the relevant Lenders, 12 months or any period less than one month) thereafter, provided that if an Interest Period other than one, two, three or six months is requested, notice shall be delivered not later than 10 a.m. four Business Days before the date of the proposed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7" w:lineRule="exact"/>
        <w:rPr>
          <w:sz w:val="20"/>
          <w:szCs w:val="20"/>
          <w:color w:val="auto"/>
        </w:rPr>
      </w:pPr>
    </w:p>
    <w:p>
      <w:pPr>
        <w:ind w:left="440" w:right="140" w:firstLine="428"/>
        <w:spacing w:after="0" w:line="342" w:lineRule="auto"/>
        <w:tabs>
          <w:tab w:leader="none" w:pos="110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440" w:right="100" w:firstLine="428"/>
        <w:spacing w:after="0" w:line="264" w:lineRule="auto"/>
        <w:tabs>
          <w:tab w:leader="none" w:pos="111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21"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with respect to any Interest Period in respect of Eurodollar Rate Loans, the date that is two Business Days prior to the first day of such Interest Period.</w:t>
      </w:r>
    </w:p>
    <w:p>
      <w:pPr>
        <w:spacing w:after="0" w:line="162" w:lineRule="exact"/>
        <w:rPr>
          <w:sz w:val="20"/>
          <w:szCs w:val="20"/>
          <w:color w:val="auto"/>
        </w:rPr>
      </w:pPr>
    </w:p>
    <w:p>
      <w:pPr>
        <w:ind w:right="3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Interpolated Rate</w:t>
      </w:r>
      <w:r>
        <w:rPr>
          <w:rFonts w:ascii="Arial" w:cs="Arial" w:eastAsia="Arial" w:hAnsi="Arial"/>
          <w:sz w:val="16"/>
          <w:szCs w:val="16"/>
          <w:color w:val="auto"/>
        </w:rPr>
        <w:t>” means, in relation to any Eurodollar Rate Loan, the rate per annum determined by the Administrative Agent (which determination shall be conclusive and binding absent manifest error) to be equal to the rate that results from interpolating on a linear basis between:</w:t>
      </w:r>
    </w:p>
    <w:p>
      <w:pPr>
        <w:spacing w:after="0" w:line="1" w:lineRule="exact"/>
        <w:rPr>
          <w:sz w:val="20"/>
          <w:szCs w:val="20"/>
          <w:color w:val="auto"/>
        </w:rPr>
      </w:pPr>
    </w:p>
    <w:p>
      <w:pPr>
        <w:ind w:right="60" w:firstLine="4"/>
        <w:spacing w:after="0" w:line="271" w:lineRule="auto"/>
        <w:tabs>
          <w:tab w:leader="none" w:pos="24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applicable Eurodollar Rate for the longest period (for which the applicable Eurodollar Rate is available for deposits in the applicable currency) that is shorter than the Impacted Interest Period of that Eurodollar Rate Loan and (b) the applicable Eurodollar Rate for the shortest period (for which such Eurodollar Rate is available for deposits in the applicable currency) that exceeds the Impacted Interest Period of that Eurodollar Rate Loan, in each case, as of 11:00 a.m. (London time) two (2) Business Days prior to the first day of such Interest Period; provided that if the Interpolated Rate shall be less than zero, such rate shall be deemed to be zero for the purposes of this Agreement.</w:t>
      </w:r>
    </w:p>
    <w:p>
      <w:pPr>
        <w:spacing w:after="0" w:line="17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of another Person, (b) the purchase or other acquisition of assets of another Person if such assets constitute a business, division or operating unit (other than purchases or other acquisitions of inventory, materials, supplies and/or equipment in the ordinary course of business), (c) a loan, advance or capital contribution to, Guarantee or assumption of Indebtedness of, or purchase or other acquisition of any other debt or interest in, another Person, or (d)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259" w:name="page260"/>
    <w:bookmarkEnd w:id="2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4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means with respect to any Letter of Credit, the Letter of Credit Application and any other document, agreement or instrument entered into by the applicable L/C Issuer and the Borrower (or any Restricted Subsidiary) or in favor of such L/C Issuer relating to such Letter of Credit.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means an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 Intercreditor Agreement</w:t>
      </w:r>
      <w:r>
        <w:rPr>
          <w:rFonts w:ascii="Arial" w:cs="Arial" w:eastAsia="Arial" w:hAnsi="Arial"/>
          <w:sz w:val="18"/>
          <w:szCs w:val="18"/>
          <w:color w:val="auto"/>
        </w:rPr>
        <w:t xml:space="preserve">” means an intercreditor agreement among the Administrative Agent and the other parties from time to time party thereto,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62"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62"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Issuer</w:t>
      </w:r>
      <w:r>
        <w:rPr>
          <w:rFonts w:ascii="Arial" w:cs="Arial" w:eastAsia="Arial" w:hAnsi="Arial"/>
          <w:sz w:val="16"/>
          <w:szCs w:val="16"/>
          <w:color w:val="auto"/>
        </w:rPr>
        <w:t>” means with respect to Letters of Credit issued hereunder on or after the Closing Date, (i) Credit Suisse AG, Cayman Islands Branch,</w:t>
      </w:r>
    </w:p>
    <w:p>
      <w:pPr>
        <w:spacing w:after="0" w:line="50" w:lineRule="exact"/>
        <w:rPr>
          <w:sz w:val="20"/>
          <w:szCs w:val="20"/>
          <w:color w:val="auto"/>
        </w:rPr>
      </w:pPr>
    </w:p>
    <w:p>
      <w:pPr>
        <w:ind w:left="260" w:hanging="256"/>
        <w:spacing w:after="0"/>
        <w:tabs>
          <w:tab w:leader="none" w:pos="2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Bank of America, N.A., (iii) any other Revolving Credit Lender that may become and agrees to become an L/C Issuer pursuant to </w:t>
      </w:r>
      <w:r>
        <w:rPr>
          <w:rFonts w:ascii="Arial" w:cs="Arial" w:eastAsia="Arial" w:hAnsi="Arial"/>
          <w:sz w:val="16"/>
          <w:szCs w:val="16"/>
          <w:u w:val="single" w:color="auto"/>
          <w:color w:val="auto"/>
        </w:rPr>
        <w:t>Section 2.03(l)</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firstLine="4"/>
        <w:spacing w:after="0" w:line="254" w:lineRule="auto"/>
        <w:tabs>
          <w:tab w:leader="none" w:pos="30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any successor issuer of Letters of Credit hereunder or (v) collectively, all of the foregoing, in each case, in their respective capacities as an issuer thereof. It is understood and agreed that each L/C Issuer’s and its respective Affiliates’ share of the Letter of Credit Sublimit shall not exceed the amount set forth opposite such L/C Issuer’s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(as such Schedule may be amended with the consent of each affected L/C Issuer and the Borrower) under the caption “Letter of Credit Commitment.”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260" w:name="page261"/>
    <w:bookmarkEnd w:id="260"/>
    <w:p>
      <w:pPr>
        <w:ind w:right="80" w:firstLine="441"/>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L/C Obligations</w:t>
      </w:r>
      <w:r>
        <w:rPr>
          <w:rFonts w:ascii="Arial" w:cs="Arial" w:eastAsia="Arial" w:hAnsi="Arial"/>
          <w:sz w:val="17"/>
          <w:szCs w:val="17"/>
          <w:color w:val="auto"/>
        </w:rPr>
        <w:t xml:space="preserve">” means, as at any date of determination, (i)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of all Unreimbursed Amounts, including all L/C Borrowings, in each case, using the U.S. Dollar Equivalent of amounts denominated in an Alternative Currency.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4"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Refinancing Term Loan, any Refinancing Term Commitment, any Incremental Term Loans, any Incremental Revolving Credit Commitments or any Other Revolving Commitments, in each case as extended in accordance with this Agreement from time to time.</w:t>
      </w:r>
    </w:p>
    <w:p>
      <w:pPr>
        <w:spacing w:after="0" w:line="180"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5"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Election</w:t>
      </w:r>
      <w:r>
        <w:rPr>
          <w:rFonts w:ascii="Arial" w:cs="Arial" w:eastAsia="Arial" w:hAnsi="Arial"/>
          <w:sz w:val="18"/>
          <w:szCs w:val="18"/>
          <w:color w:val="auto"/>
        </w:rPr>
        <w:t>” means the Borrower’s election to treat a specified Investment that is an acquisition or in the nature of an acquisition (including a Permitted Acquisition) as a Limited Condition Acquisition by giving written notice of such election to the Administrative Agent at any time prior to the closing of such Limited Condition Acquisition.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LCA Test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standby letter of credit issued hereunder.</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means the day that is seven days prior to the Maturity Date then in effect for the applicable Revolving Credit Facility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261" w:name="page262"/>
    <w:bookmarkEnd w:id="261"/>
    <w:p>
      <w:pPr>
        <w:ind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Letter of Credit Sublimit</w:t>
      </w:r>
      <w:r>
        <w:rPr>
          <w:rFonts w:ascii="Arial" w:cs="Arial" w:eastAsia="Arial" w:hAnsi="Arial"/>
          <w:sz w:val="18"/>
          <w:szCs w:val="18"/>
          <w:color w:val="auto"/>
        </w:rPr>
        <w:t>” means an amount equal to $20,000,000. The Letter of Credit Sublimit is part of, and not in addition to, the Revolving Credit Facilities.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has the meaning specified in the definition of Eurodollar Rate.</w:t>
      </w:r>
    </w:p>
    <w:p>
      <w:pPr>
        <w:spacing w:after="0" w:line="225"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means any Permitted Acquisition, or other Investment in the nature of an acquisition, by the Borrower or one or more of its Restricted Subsidiaries whose consummation is not, by the terms of the applicable purchase, sale, joint venture, merger or any other definitive agreement with respect to such Permitted Acquisition or other Investment, conditioned on the availability of, or on obtaining, third party financing.</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 extension of credit by a Lender to the Borrower hereunder in the form of a Term Loan or Revolving Credit Loan.</w:t>
      </w:r>
    </w:p>
    <w:p>
      <w:pPr>
        <w:spacing w:after="0" w:line="225" w:lineRule="exact"/>
        <w:rPr>
          <w:sz w:val="20"/>
          <w:szCs w:val="20"/>
          <w:color w:val="auto"/>
        </w:rPr>
      </w:pPr>
    </w:p>
    <w:p>
      <w:pPr>
        <w:ind w:right="1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xml:space="preserve">” means this Agreement, each Note, each Issuer Document, the Collateral Documents, the Pari Passu Intercreditor Agreement, the Fee Letters, each agreement creating or perfecting rights in Cash Collateral pursuant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any Refinancing Amendment, any Joinder Agreement and any other agreement or instrument designated as a “Loan Document” by its terms.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Capitalization</w:t>
      </w:r>
      <w:r>
        <w:rPr>
          <w:rFonts w:ascii="Arial" w:cs="Arial" w:eastAsia="Arial" w:hAnsi="Arial"/>
          <w:sz w:val="17"/>
          <w:szCs w:val="17"/>
          <w:color w:val="auto"/>
        </w:rPr>
        <w:t>” means an amount equal to (a) the total number of issued and outstanding shares of BRBR’s Common Stock that are issued and outstanding on the date of the relevant Restricted Payment and listed on The New York Stock Exchange (or, if the primary listing of such Common Stock is on another exchange, on such other exchange) multiplied by (b) the arithmetic mean of the closing price per share of such Common Stock as reported by The New York Stock Exchange (or, if the primary listing of such Common Stock is on another exchange, on such other exchange) for each of the 30 consecutive trading days immediately preceding the date of such Restricted Payment.</w:t>
      </w:r>
    </w:p>
    <w:p>
      <w:pPr>
        <w:spacing w:after="0" w:line="16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Services Agreement</w:t>
      </w:r>
      <w:r>
        <w:rPr>
          <w:rFonts w:ascii="Arial" w:cs="Arial" w:eastAsia="Arial" w:hAnsi="Arial"/>
          <w:sz w:val="18"/>
          <w:szCs w:val="18"/>
          <w:color w:val="auto"/>
        </w:rPr>
        <w:t>” means that certain Master Services Agreement dated as of October 21, 2019 by and among Post, BRBR and the Borrower, as the same may be amended, modified, supplemented, restated or replaced from time to time.</w:t>
      </w:r>
    </w:p>
    <w:p>
      <w:pPr>
        <w:spacing w:after="0" w:line="162" w:lineRule="exact"/>
        <w:rPr>
          <w:sz w:val="20"/>
          <w:szCs w:val="20"/>
          <w:color w:val="auto"/>
        </w:rPr>
      </w:pPr>
    </w:p>
    <w:p>
      <w:pPr>
        <w:ind w:right="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Master Transaction Agreement</w:t>
      </w:r>
      <w:r>
        <w:rPr>
          <w:rFonts w:ascii="Arial" w:cs="Arial" w:eastAsia="Arial" w:hAnsi="Arial"/>
          <w:sz w:val="17"/>
          <w:szCs w:val="17"/>
          <w:color w:val="auto"/>
        </w:rPr>
        <w:t>” means that certain Master Transaction Agreement dated as of October 7, 2019 by and among Post, BRBR and the Borrower, as the same may be as the same may be amended, modified, supplemented, restated or replaced from time to time.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262" w:name="page263"/>
    <w:bookmarkEnd w:id="262"/>
    <w:p>
      <w:pPr>
        <w:ind w:right="200" w:firstLine="44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a material adverse change in, or a material adverse effect upon, the results of operations, business, properties, liabilities (actual or contingent) or financial condition of the Borrower and its Restricted Subsidiaries taken as a whole; (b) a material impairment of the rights and remedies of the Administrative Agent or any Lender under any Loan Document; or (c) a material adverse effect upon the legality, validity, binding effect or enforceability against any Loan Party of any Loan Document to which it is a party.</w:t>
      </w:r>
    </w:p>
    <w:p>
      <w:pPr>
        <w:spacing w:after="0" w:line="165"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means, (i) with respect to the Term B Loans and any subsequent additions thereto, October 21, 2024, (ii) with respect to the Original Revolving Credit Commitments and any subsequent additions thereto, October 21, 2024, (iii) with respect to any Refinancing Term Loans or Other Revolving Commitments, the final maturity date applicable thereto as specified in the applicable Refinancing Amendment and (iv) with respect to any Incremental Term Loans, the final maturity date applicable thereto as specified in the applicable Joinder Agreement; provided, in each case, that if such date is not a Business Day, then the applicable Maturity Date shall be the next preceding Business Day.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xml:space="preserve">” means, at any date of determination, the most recently completed four fiscal quarters of the Borrower for which financial statements are available (other than for purposes of calculating ratios pursuant to </w:t>
      </w:r>
      <w:r>
        <w:rPr>
          <w:rFonts w:ascii="Arial" w:cs="Arial" w:eastAsia="Arial" w:hAnsi="Arial"/>
          <w:sz w:val="18"/>
          <w:szCs w:val="18"/>
          <w:u w:val="single" w:color="auto"/>
          <w:color w:val="auto"/>
        </w:rPr>
        <w:t>Section 7.11</w:t>
      </w:r>
      <w:r>
        <w:rPr>
          <w:rFonts w:ascii="Arial" w:cs="Arial" w:eastAsia="Arial" w:hAnsi="Arial"/>
          <w:sz w:val="18"/>
          <w:szCs w:val="18"/>
          <w:color w:val="auto"/>
        </w:rPr>
        <w:t>, which shall look to the most recently completed four fiscal quarters of the Borrower).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MFN Protection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2.14(d)(ii)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1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an employee benefit plan defined in Section 4001(a)(3) of ERISA to which the Borrower or any ERISA Affiliate makes or is obligated to make contributions, or during the preceding five plan years has made or been obligated to make contributions.</w:t>
      </w:r>
    </w:p>
    <w:p>
      <w:pPr>
        <w:spacing w:after="0" w:line="138"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 Proceeds</w:t>
      </w:r>
      <w:r>
        <w:rPr>
          <w:rFonts w:ascii="Arial" w:cs="Arial" w:eastAsia="Arial" w:hAnsi="Arial"/>
          <w:sz w:val="17"/>
          <w:szCs w:val="17"/>
          <w:color w:val="auto"/>
        </w:rPr>
        <w:t>” means with respect to any Disposition by the Borrower or any of its Restricted Subsidiaries that are Domestic Subsidiaries, or any Extraordinary Receipt received by or paid to or for the account of the Borrower or any of its Restricted Subsidiaries that are Domestic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in cash or Cash Equivalents) over (ii) the sum of (A) the principal amount of any Indebtedness that is secured by the applicable asset and that is required to be repaid in connection with such transaction (other than Indebtedness under the Loan Documents or Indebtedness that is secured by a Lien that ranks pari passu with or junior to the Liens securing the Obligations), (B)</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263" w:name="page264"/>
    <w:bookmarkEnd w:id="26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out-of-pocket expenses incurred (or reasonably expected to be incurred) by the Borrower or such Restricted Subsidiary that is a Domestic Subsidiary in connection with such transaction, (C) taxes reasonably estimated to be actually payable within two years of the date of the relevant transaction, including any taxes payable as a result of any gain recognized in connection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amount of any estimated taxes pursuant to </w:t>
      </w:r>
      <w:r>
        <w:rPr>
          <w:rFonts w:ascii="Arial" w:cs="Arial" w:eastAsia="Arial" w:hAnsi="Arial"/>
          <w:sz w:val="17"/>
          <w:szCs w:val="17"/>
          <w:u w:val="single" w:color="auto"/>
          <w:color w:val="auto"/>
        </w:rPr>
        <w:t>subclause (C)</w:t>
      </w:r>
      <w:r>
        <w:rPr>
          <w:rFonts w:ascii="Arial" w:cs="Arial" w:eastAsia="Arial" w:hAnsi="Arial"/>
          <w:sz w:val="17"/>
          <w:szCs w:val="17"/>
          <w:color w:val="auto"/>
        </w:rPr>
        <w:t xml:space="preserve"> exceeds the amount of taxes actually required to be paid in cash in respect of such Disposition, the aggregate amount of such excess shall be a reduction of the Taxes previously taken into account under </w:t>
      </w:r>
      <w:r>
        <w:rPr>
          <w:rFonts w:ascii="Arial" w:cs="Arial" w:eastAsia="Arial" w:hAnsi="Arial"/>
          <w:sz w:val="17"/>
          <w:szCs w:val="17"/>
          <w:u w:val="single" w:color="auto"/>
          <w:color w:val="auto"/>
        </w:rPr>
        <w:t>subclause (C)</w:t>
      </w:r>
      <w:r>
        <w:rPr>
          <w:rFonts w:ascii="Arial" w:cs="Arial" w:eastAsia="Arial" w:hAnsi="Arial"/>
          <w:sz w:val="17"/>
          <w:szCs w:val="17"/>
          <w:color w:val="auto"/>
        </w:rPr>
        <w:t xml:space="preserve"> for purposes of redetermining Net Cash Proceeds and (D) any reserve for adjustment in respect of the sale price of such asset or assets established in accordance with GAAP, including, without limitation, any working capital adjustments, escrows, earn-outs, and similar items in connection with such transaction, until such reserve is released at which point such amounts shall constitute Net Cash Proceeds.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Non-Guarantor Debt</w:t>
      </w:r>
      <w:r>
        <w:rPr>
          <w:rFonts w:ascii="Arial" w:cs="Arial" w:eastAsia="Arial" w:hAnsi="Arial"/>
          <w:sz w:val="18"/>
          <w:szCs w:val="18"/>
          <w:color w:val="auto"/>
        </w:rPr>
        <w:t>” means Indebtedness incurred, created or assumed by Restricted Subsidiaries that are not Loan Parties.</w:t>
      </w:r>
    </w:p>
    <w:p>
      <w:pPr>
        <w:spacing w:after="0" w:line="225" w:lineRule="exact"/>
        <w:rPr>
          <w:sz w:val="20"/>
          <w:szCs w:val="20"/>
          <w:color w:val="auto"/>
        </w:rPr>
      </w:pPr>
    </w:p>
    <w:p>
      <w:pPr>
        <w:ind w:right="7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Non-Guarantor Debt Cap</w:t>
      </w:r>
      <w:r>
        <w:rPr>
          <w:rFonts w:ascii="Arial" w:cs="Arial" w:eastAsia="Arial" w:hAnsi="Arial"/>
          <w:sz w:val="17"/>
          <w:szCs w:val="17"/>
          <w:color w:val="auto"/>
        </w:rPr>
        <w:t xml:space="preserve">” means an amount equal to the greater of (x) $114,000,000 and (y) 60.00% of Consolidated EBITDA of the Borrower and its Restricted Subsidiaries based on the most recent financial statements delivered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Debt</w:t>
      </w:r>
      <w:r>
        <w:rPr>
          <w:rFonts w:ascii="Arial" w:cs="Arial" w:eastAsia="Arial" w:hAnsi="Arial"/>
          <w:sz w:val="18"/>
          <w:szCs w:val="18"/>
          <w:color w:val="auto"/>
        </w:rPr>
        <w:t>” means Indebtedness:</w:t>
      </w:r>
    </w:p>
    <w:p>
      <w:pPr>
        <w:spacing w:after="0" w:line="121" w:lineRule="exact"/>
        <w:rPr>
          <w:sz w:val="20"/>
          <w:szCs w:val="20"/>
          <w:color w:val="auto"/>
        </w:rPr>
      </w:pPr>
    </w:p>
    <w:p>
      <w:pPr>
        <w:ind w:left="440" w:right="600" w:firstLine="428"/>
        <w:spacing w:after="0" w:line="342" w:lineRule="auto"/>
        <w:tabs>
          <w:tab w:leader="none" w:pos="110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as to which neither the Borrower nor any of its Restricted Subsidiaries (a) provides credit support of any kind (including any undertaking, agreement or instrument that would constitute Indebtedness), or (b) is directly or indirectly liable as a guarantor or otherwise;</w:t>
      </w:r>
    </w:p>
    <w:p>
      <w:pPr>
        <w:spacing w:after="0" w:line="15" w:lineRule="exact"/>
        <w:rPr>
          <w:rFonts w:ascii="Arial" w:cs="Arial" w:eastAsia="Arial" w:hAnsi="Arial"/>
          <w:sz w:val="16"/>
          <w:szCs w:val="16"/>
          <w:color w:val="auto"/>
        </w:rPr>
      </w:pPr>
    </w:p>
    <w:p>
      <w:pPr>
        <w:ind w:left="440" w:right="20" w:firstLine="428"/>
        <w:spacing w:after="0" w:line="259" w:lineRule="auto"/>
        <w:tabs>
          <w:tab w:leader="none" w:pos="111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default with respect to which (including any rights that the holders thereof may have to take enforcement action against an Unrestricted Subsidiary) would not permit upon notice, lapse of time or both any holder of any other Indebtedness (other than the Obligations) of the Borrower or any of its Restricted Subsidiaries to declare a default on such other Indebtedness or cause the payment thereof to be accelerated or payable prior to its stated maturity; and</w:t>
      </w:r>
    </w:p>
    <w:p>
      <w:pPr>
        <w:spacing w:after="0" w:line="78" w:lineRule="exact"/>
        <w:rPr>
          <w:rFonts w:ascii="Arial" w:cs="Arial" w:eastAsia="Arial" w:hAnsi="Arial"/>
          <w:sz w:val="18"/>
          <w:szCs w:val="18"/>
          <w:color w:val="auto"/>
        </w:rPr>
      </w:pPr>
    </w:p>
    <w:p>
      <w:pPr>
        <w:ind w:left="440" w:right="100" w:firstLine="428"/>
        <w:spacing w:after="0" w:line="277" w:lineRule="auto"/>
        <w:tabs>
          <w:tab w:leader="none" w:pos="110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Borrower or any of its Restricted Subsidiaries.</w:t>
      </w:r>
    </w:p>
    <w:p>
      <w:pPr>
        <w:spacing w:after="0" w:line="166"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xml:space="preserve">” means a promissory note made by the Borrower (x) in favor of a Term Lender evidencing Term Loans made by such Term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(y) in favor of a Revolving Credit Lender evidencing Revolving Credit Loans made by such Revolving Credit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6"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264" w:name="page265"/>
    <w:bookmarkEnd w:id="26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10.06(b)(vii)(A)</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4"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w:t>
      </w:r>
      <w:r>
        <w:rPr>
          <w:rFonts w:ascii="Arial" w:cs="Arial" w:eastAsia="Arial" w:hAnsi="Arial"/>
          <w:sz w:val="18"/>
          <w:szCs w:val="18"/>
          <w:color w:val="auto"/>
        </w:rPr>
        <w:t xml:space="preserve">” means, as to each Revolving Credit Lender, its commitment in effect as of the Closing Date to make Original Revolving Credit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“Original Revolving Credit Commitment” or opposite such caption in the Assignment and Assumption pursuant to which such Lender becomes a party hereto, as applicable, as such amount may be adjusted from time to time in accordance with this Agreement. As of the Closing Date, the aggregate amount of the Original Revolving Credit Commitments of all Revolving Credit Lenders is $200,000,000.</w:t>
      </w:r>
    </w:p>
    <w:p>
      <w:pPr>
        <w:spacing w:after="0" w:line="188"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Facility</w:t>
      </w:r>
      <w:r>
        <w:rPr>
          <w:rFonts w:ascii="Arial" w:cs="Arial" w:eastAsia="Arial" w:hAnsi="Arial"/>
          <w:sz w:val="18"/>
          <w:szCs w:val="18"/>
          <w:color w:val="auto"/>
        </w:rPr>
        <w:t>” means, at any time, the aggregate amount of the Revolving Credit Lenders’ Original Revolving Credit Commitments at such time and the Credit Extensions made thereunder.</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Lender</w:t>
      </w:r>
      <w:r>
        <w:rPr>
          <w:rFonts w:ascii="Arial" w:cs="Arial" w:eastAsia="Arial" w:hAnsi="Arial"/>
          <w:sz w:val="18"/>
          <w:szCs w:val="18"/>
          <w:color w:val="auto"/>
        </w:rPr>
        <w:t>” means, at any time, any Lender that has an Original Revolving Credit Commitment at such time or that has Original Revolving Credit Loans outstanding at such time.</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Loan</w:t>
      </w:r>
      <w:r>
        <w:rPr>
          <w:rFonts w:ascii="Arial" w:cs="Arial" w:eastAsia="Arial" w:hAnsi="Arial"/>
          <w:sz w:val="18"/>
          <w:szCs w:val="18"/>
          <w:color w:val="auto"/>
        </w:rPr>
        <w:t xml:space="preserve">” means the Revolving Credit Loans made by the Revolving Credit Lenders to the Borrower under the Original Revolving Credit Commitments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62" w:lineRule="exact"/>
        <w:rPr>
          <w:sz w:val="20"/>
          <w:szCs w:val="20"/>
          <w:color w:val="auto"/>
        </w:rPr>
      </w:pPr>
    </w:p>
    <w:p>
      <w:pPr>
        <w:ind w:right="4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solely from one or more of the following: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265" w:name="page266"/>
    <w:bookmarkEnd w:id="26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Other Revolving Commitments</w:t>
      </w:r>
      <w:r>
        <w:rPr>
          <w:rFonts w:ascii="Arial" w:cs="Arial" w:eastAsia="Arial" w:hAnsi="Arial"/>
          <w:sz w:val="16"/>
          <w:szCs w:val="16"/>
          <w:color w:val="auto"/>
        </w:rPr>
        <w:t>” means one or more Classes of revolving commitments hereunder that result from a Refinancing Amendment.</w:t>
      </w:r>
    </w:p>
    <w:p>
      <w:pPr>
        <w:spacing w:after="0" w:line="248"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means one or more Classes of revolving credit loans made pursuant to Other Revolving Commitments that result from a Refinancing Amendment.</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mortgage or mortgage recording Taxes, any other excise or property Taxes, or similar Taxes arising from any payment made hereunder or under any other Loan Document or from the execution, delivery, performance, or enforcement or registration of, from the receipt or perfection of a security interest under, or otherwise with respect to, this Agreement or any other Loan Document.</w:t>
      </w:r>
    </w:p>
    <w:p>
      <w:pPr>
        <w:spacing w:after="0" w:line="180"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Amount</w:t>
      </w:r>
      <w:r>
        <w:rPr>
          <w:rFonts w:ascii="Arial" w:cs="Arial" w:eastAsia="Arial" w:hAnsi="Arial"/>
          <w:sz w:val="18"/>
          <w:szCs w:val="18"/>
          <w:color w:val="auto"/>
        </w:rPr>
        <w:t>” means (a) with respect to Term Loans and Revolving Credit Loans on any date, the aggregate outstanding principal amount thereof after giving effect to any borrowings and prepayments or repayments of Term Loans and Revolving Credit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in each case, using the U.S. Dollar Equivalent of obligations denominated in an Alternative Currency.</w:t>
      </w:r>
    </w:p>
    <w:p>
      <w:pPr>
        <w:spacing w:after="0" w:line="188"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means BRBR so long as BRBR shall own, directly or indirectly, at least 10% of the outstanding non-Voting Stock or at least 10% of the outstanding Voting Stock of the Borrower, and/or any other Person who owns, directly or indirectly, at least 35% of the outstanding non-Voting Stock or at least 35% of the outstanding Voting Stock of the Borrower.</w:t>
      </w:r>
    </w:p>
    <w:p>
      <w:pPr>
        <w:spacing w:after="0" w:line="17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Pari Passu Intercreditor Agreement</w:t>
      </w:r>
      <w:r>
        <w:rPr>
          <w:rFonts w:ascii="Arial" w:cs="Arial" w:eastAsia="Arial" w:hAnsi="Arial"/>
          <w:sz w:val="18"/>
          <w:szCs w:val="18"/>
          <w:color w:val="auto"/>
        </w:rPr>
        <w:t xml:space="preserve">” means an intercreditor agreement among the Administrative Agent and the other parties from time to time party thereto,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Funding Rules</w:t>
      </w:r>
      <w:r>
        <w:rPr>
          <w:rFonts w:ascii="Arial" w:cs="Arial" w:eastAsia="Arial" w:hAnsi="Arial"/>
          <w:sz w:val="18"/>
          <w:szCs w:val="18"/>
          <w:color w:val="auto"/>
        </w:rPr>
        <w:t>” means the rules of the Code and ERISA regarding minimum funding standards and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266" w:name="page267"/>
    <w:bookmarkEnd w:id="266"/>
    <w:p>
      <w:pPr>
        <w:ind w:right="80" w:firstLine="44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Pension Plan</w:t>
      </w:r>
      <w:r>
        <w:rPr>
          <w:rFonts w:ascii="Arial" w:cs="Arial" w:eastAsia="Arial" w:hAnsi="Arial"/>
          <w:sz w:val="16"/>
          <w:szCs w:val="16"/>
          <w:color w:val="auto"/>
        </w:rPr>
        <w:t>” means any employee pension benefit plan (including, but not limited to, Multiple Employer Plans, Multiemployer Plans, defined benefit plans or defined contribution plans) that is maintained or is contributed to, or during the preceding five plan years has been maintained or contributed to, by the Borrower and any ERISA Affiliate and is either covered by Title IV of ERISA or is subject to the Pension Funding Rules.</w:t>
      </w:r>
    </w:p>
    <w:p>
      <w:pPr>
        <w:spacing w:after="0" w:line="142"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investment by the Borrower or any Restricted Subsidiary in the form of acquisitions of all or substantially all of the business or a line of business or a separate operation (whether by the acquisition of capital stock, assets or any combination thereof) of any other Person if:</w:t>
      </w:r>
    </w:p>
    <w:p>
      <w:pPr>
        <w:spacing w:after="0" w:line="72" w:lineRule="exact"/>
        <w:rPr>
          <w:sz w:val="20"/>
          <w:szCs w:val="20"/>
          <w:color w:val="auto"/>
        </w:rPr>
      </w:pPr>
    </w:p>
    <w:p>
      <w:pPr>
        <w:ind w:left="1120" w:hanging="252"/>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acquired entity, assets or operations shall be in the Permitted Business;</w:t>
      </w:r>
    </w:p>
    <w:p>
      <w:pPr>
        <w:spacing w:after="0" w:line="117" w:lineRule="exact"/>
        <w:rPr>
          <w:rFonts w:ascii="Arial" w:cs="Arial" w:eastAsia="Arial" w:hAnsi="Arial"/>
          <w:sz w:val="18"/>
          <w:szCs w:val="18"/>
          <w:color w:val="auto"/>
        </w:rPr>
      </w:pPr>
    </w:p>
    <w:p>
      <w:pPr>
        <w:ind w:left="440" w:firstLine="428"/>
        <w:spacing w:after="0" w:line="257" w:lineRule="auto"/>
        <w:tabs>
          <w:tab w:leader="none" w:pos="111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aggregate amount of acquisitions made by the Borrower and its Restricted Subsidiaries in Persons that do not become Loan Parties as a result of any such acquisition and all other Permitted Acquisitions closed on or after the Closing Date shall not exceed the greater of (i) $75,000,000 and (ii) 40.00% of the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(b) after giving effect to all acquisitions whether closed prior to, on or after the Closing Date, but prior to giving effect to the proposed acquisition; and</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shall have occurred and be continuing.</w:t>
      </w:r>
    </w:p>
    <w:p>
      <w:pPr>
        <w:spacing w:after="0" w:line="221"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w:t>
      </w:r>
      <w:r>
        <w:rPr>
          <w:rFonts w:ascii="Arial" w:cs="Arial" w:eastAsia="Arial" w:hAnsi="Arial"/>
          <w:sz w:val="18"/>
          <w:szCs w:val="18"/>
          <w:color w:val="auto"/>
        </w:rPr>
        <w:t>” means the growing, packaging, manufacturing, processing, licensing, distribution and/or sale of any product that is ingestible by a natural person or the provision of any service with respect thereto or a line of business reasonably related, complementary, synergistic or ancillary thereto or reasonable extensions thereof.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“Permitted Holder” </w:t>
      </w:r>
      <w:r>
        <w:rPr>
          <w:rFonts w:ascii="Arial" w:cs="Arial" w:eastAsia="Arial" w:hAnsi="Arial"/>
          <w:sz w:val="18"/>
          <w:szCs w:val="18"/>
          <w:color w:val="auto"/>
        </w:rPr>
        <w:t>means (1) Post or any of its Affiliates and (2) BRBR.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means those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Prior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xml:space="preserve">” means, with respect to any Person, any modification, refinancing, refunding, renewal or extension of any Indebtedness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reasonable amounts paid, and fees and expenses reasonably incurred, in connection with such modification, refinancing, refunding, renewal or extension and by an amount equal to any existing commitments unutilized thereunder, (b) such modification, refinancing, refunding, renewal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267" w:name="page268"/>
    <w:bookmarkEnd w:id="26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extension has a final maturity date equal to or later than the final maturity date of, and has a Weighted Average Life to Maturity equal to or greater than the remaining Weighted Average Life to Maturity of, the Indebtedness being modified, refinanced, refunded, renewed or extended, (c) at the time thereof, no Event of Default shall have occurred and be continuing, (d) if such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(e) if such Indebtedness being modified, refinanced, refunded, renewed or extended is secured, the terms and conditions relating to collateral of any such modified, refinanced, refunded, renewed or extended indebtedness, taken as a whole, are not materially less favorable to the Loan Parties or the Lenders than the terms and conditions with respect to the collateral for the Indebtedness being modified, refinanced, refunded, renewed or extended, taken as a whole, and the Liens on any Collateral securing any such modified, refinanced, refunded, renewed or extended Indebtedness shall have the same (or lesser) priority relative to the Liens on the Collateral securing the Obligations and, if secured by the Collateral, the holders of such Indebtedness or a representative thereof shall be or become a party to a Pari Passu Intercreditor Agreement and (if then in effect) the Junior Lien Intercreditor Agreement (if such Indebtedness is secured by any or all of the Collateral on a pari passu basis (without regard to control of remedies) with the Obligations) or to the Junior Lien Intercreditor Agreement (if such Indebtedness is secured by any or all of the Collateral on a junior basis (without regard to the control of remedies) with the Obligations), (f) the terms and conditions (excluding as to collateral, subordination, interest rate and redemption premium) of any such modified, refinanced, refunded, renewed or extended Indebtedness, taken as a whole, shall not be materially less favorable to the Loan Parties than the Indebtedness being modified, refinanced, refunded, renewed or extended, taken as a whole, (g) if such Indebtedness being modified, refinanced, refunded, renewed or extended was unsecured, such modification, refinancing, refunding, renewal or extension shall also be unsecured and (h) such modification, refinancing, refunding, renewal or extension is incurred by one or more Persons who is an obligor of the Indebtedness being modified, refinanced, refunded, renewed or extended.</w:t>
      </w:r>
    </w:p>
    <w:p>
      <w:pPr>
        <w:spacing w:after="0" w:line="166"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w:t>
      </w:r>
      <w:r>
        <w:rPr>
          <w:rFonts w:ascii="Arial" w:cs="Arial" w:eastAsia="Arial" w:hAnsi="Arial"/>
          <w:sz w:val="18"/>
          <w:szCs w:val="18"/>
          <w:color w:val="auto"/>
        </w:rPr>
        <w:t>” means Post Holdings,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Pounds Sterling</w:t>
      </w:r>
      <w:r>
        <w:rPr>
          <w:rFonts w:ascii="Arial" w:cs="Arial" w:eastAsia="Arial" w:hAnsi="Arial"/>
          <w:sz w:val="18"/>
          <w:szCs w:val="18"/>
          <w:color w:val="auto"/>
        </w:rPr>
        <w:t>” and “</w:t>
      </w:r>
      <w:r>
        <w:rPr>
          <w:rFonts w:ascii="Arial" w:cs="Arial" w:eastAsia="Arial" w:hAnsi="Arial"/>
          <w:sz w:val="18"/>
          <w:szCs w:val="18"/>
          <w:b w:val="1"/>
          <w:bCs w:val="1"/>
          <w:color w:val="auto"/>
        </w:rPr>
        <w:t>GBP</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xml:space="preserve">” means a notice of the optional prepayment of Revolving Credit Loans or Term Loans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A-3</w:t>
      </w:r>
      <w:r>
        <w:rPr>
          <w:rFonts w:ascii="Arial" w:cs="Arial" w:eastAsia="Arial" w:hAnsi="Arial"/>
          <w:sz w:val="18"/>
          <w:szCs w:val="18"/>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68" w:name="page269"/>
    <w:bookmarkEnd w:id="268"/>
    <w:p>
      <w:pPr>
        <w:jc w:val="both"/>
        <w:ind w:right="60" w:firstLine="44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Prime Rate</w:t>
      </w:r>
      <w:r>
        <w:rPr>
          <w:rFonts w:ascii="Arial" w:cs="Arial" w:eastAsia="Arial" w:hAnsi="Arial"/>
          <w:sz w:val="17"/>
          <w:szCs w:val="17"/>
          <w:color w:val="auto"/>
        </w:rPr>
        <w:t>” means the rate of interest per annum determined from time to time by Credit Suisse AG, Cayman Islands Branch, to be its prime rate in effect at its principal office in New York City and notified to the Borrower in writing (the Prime Rate not being intended to be the lowest rate of interest charged by Credit Suisse AG, Cayman Islands Branch in connection with extensions of credit to debtors).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Obligations</w:t>
      </w:r>
      <w:r>
        <w:rPr>
          <w:rFonts w:ascii="Arial" w:cs="Arial" w:eastAsia="Arial" w:hAnsi="Arial"/>
          <w:sz w:val="18"/>
          <w:szCs w:val="18"/>
          <w:color w:val="auto"/>
        </w:rPr>
        <w:t>” means the Loans and the 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4.01(j)</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Receivables Transaction</w:t>
      </w:r>
      <w:r>
        <w:rPr>
          <w:rFonts w:ascii="Arial" w:cs="Arial" w:eastAsia="Arial" w:hAnsi="Arial"/>
          <w:sz w:val="16"/>
          <w:szCs w:val="16"/>
          <w:color w:val="auto"/>
        </w:rPr>
        <w:t xml:space="preserve">” means any transaction or series of transactions that may be entered into by the Borrower or any Restricted Subsidiary pursuant to which the Borrower or any such Restricted Subsidiary may sell, convey or otherwise transfer to a Receivables Subsidiary (in the case of a transfer by the Borrower or any Restricted Subsidiary) or to any Special Purpose Vehicle (in the case of a transfer by a Receivables Subsidiary), or may grant a security interest in, any Receivables Program Assets (whether existing on the Closing Date or arising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no portion of the Indebtedness or any other obligations (contingent or otherwise) of a Receivables Subsidiary or Special Purpose Vehicle (a) is Guaranteed by the Borrower or any Restricted Subsidiary (other than a Receivables Subsidiary), excluding Guarantees of obligations pursuant to Standard Securitization Undertakings, (b) is recourse to or obligates the Borrower or any Restricted Subsidiary (other than a Receivables Subsidiary) in any way other than pursuant to Standard Securitization Undertakings, or (c) subjects any property or asset of the Borrower or any Restricted Subsidiary (other than a Receivables Subsidiary), directly or indirectly, contingently or otherwise, to the satisfaction of obligations incurred in such transactions, other than pursuant to Standard Securitization Undertakings; (2) neither the Borrower nor any Restricted Subsidiary (other than a Receivables Subsidiary) has any material contract, agreement, arrangement or understanding with a Receivables Subsidiary or a Special Purpose Vehicle other than on terms no less favorable to the Borrower or such Restricted Subsidiary than those that might be obtained at the time from Persons that are not Affiliates of the Borrower, other than fees payable in the ordinary course of business in connection with servicing accounts receivable and Standard Securitization Undertakings; and (3) the Borrower and its Restricted Subsidiaries (other than a Receivables Subsidiary) do not have any obligation to maintain or preserve the financial condition of a Receivables Subsidiary or a Special Purpose Vehicle or cause such entity to achieve certain levels of operating results other than Standard Securitization Undertakings.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Calculation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1.09(b)(i)</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440" w:top="270" w:right="539" w:bottom="1440" w:gutter="0" w:footer="0" w:header="0"/>
        </w:sectPr>
      </w:pPr>
    </w:p>
    <w:bookmarkStart w:id="269" w:name="page270"/>
    <w:bookmarkEnd w:id="269"/>
    <w:p>
      <w:pPr>
        <w:ind w:right="40" w:firstLine="44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Receivables</w:t>
      </w:r>
      <w:r>
        <w:rPr>
          <w:rFonts w:ascii="Arial" w:cs="Arial" w:eastAsia="Arial" w:hAnsi="Arial"/>
          <w:sz w:val="17"/>
          <w:szCs w:val="17"/>
          <w:color w:val="auto"/>
        </w:rPr>
        <w:t>” means all rights of the Borrower or any of its Restricted Subsidiaries (other than a Receivables Subsidiary) to payments (whether constituting accounts, chattel paper, instruments, general intangibles or otherwise, and including the right to payment of any interest or finance charges), which rights are identified in the accounting records of the Borrower or such Restricted Subsidiary as accounts receivable.</w:t>
      </w:r>
    </w:p>
    <w:p>
      <w:pPr>
        <w:spacing w:after="0" w:line="158" w:lineRule="exact"/>
        <w:rPr>
          <w:sz w:val="20"/>
          <w:szCs w:val="20"/>
          <w:color w:val="auto"/>
        </w:rPr>
      </w:pPr>
    </w:p>
    <w:p>
      <w:pPr>
        <w:ind w:right="4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Documents</w:t>
      </w:r>
      <w:r>
        <w:rPr>
          <w:rFonts w:ascii="Arial" w:cs="Arial" w:eastAsia="Arial" w:hAnsi="Arial"/>
          <w:sz w:val="16"/>
          <w:szCs w:val="16"/>
          <w:color w:val="auto"/>
        </w:rPr>
        <w:t xml:space="preserve">” means: (1) one or more receivables purchase agreements, pooling and servicing agreements, credit agreements, agreements to acquire undivided interests or other agreements to transfer or obtain loans or advances against, or create a security interest in, Receivables Program Assets, in each case as amended, modified, supplemented or restated and in effect from time to time and entered into by the Borrower, a Restricted Subsidiary and/or a Receivables Subsidiary, and (2) each other instrument, agreement and other document entered into by the Borrower, a Restricted Subsidiary or a Receivables Subsidiary relating to the transactions contemplated by the agreements referred to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above.</w:t>
      </w:r>
    </w:p>
    <w:p>
      <w:pPr>
        <w:spacing w:after="0" w:line="15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Program Assets</w:t>
      </w:r>
      <w:r>
        <w:rPr>
          <w:rFonts w:ascii="Arial" w:cs="Arial" w:eastAsia="Arial" w:hAnsi="Arial"/>
          <w:sz w:val="17"/>
          <w:szCs w:val="17"/>
          <w:color w:val="auto"/>
        </w:rPr>
        <w:t xml:space="preserve">” means: (1) all Receivables which are described as being transferred by the Borrower, a Restricted Subsidiary or a Receivables Subsidiary pursuant to the Receivables Documents; (2) all Receivables Related Assets in respect of Receivables described in </w:t>
      </w:r>
      <w:r>
        <w:rPr>
          <w:rFonts w:ascii="Arial" w:cs="Arial" w:eastAsia="Arial" w:hAnsi="Arial"/>
          <w:sz w:val="17"/>
          <w:szCs w:val="17"/>
          <w:u w:val="single" w:color="auto"/>
          <w:color w:val="auto"/>
        </w:rPr>
        <w:t>clause (1)</w:t>
      </w:r>
      <w:r>
        <w:rPr>
          <w:rFonts w:ascii="Arial" w:cs="Arial" w:eastAsia="Arial" w:hAnsi="Arial"/>
          <w:sz w:val="17"/>
          <w:szCs w:val="17"/>
          <w:color w:val="auto"/>
        </w:rPr>
        <w:t>; and (3) all collections (including recoveries) and other proceeds of the assets described in the foregoing clauses.</w:t>
      </w:r>
    </w:p>
    <w:p>
      <w:pPr>
        <w:spacing w:after="0" w:line="158"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Program Obligations</w:t>
      </w:r>
      <w:r>
        <w:rPr>
          <w:rFonts w:ascii="Arial" w:cs="Arial" w:eastAsia="Arial" w:hAnsi="Arial"/>
          <w:sz w:val="18"/>
          <w:szCs w:val="18"/>
          <w:color w:val="auto"/>
        </w:rPr>
        <w:t>” means Indebtedness and other obligations owing in respect of notes, trust certificates, undivided interests, partnership interests or other interests sold, issued and/or pledged, or otherwise incurred, in connection with a Qualified Receivables Transaction; and related obligations of the Borrower, a Restricted Subsidiary or a Special Purpose Vehicle (including, without limitation, Standard Securitization Undertakings).</w:t>
      </w:r>
    </w:p>
    <w:p>
      <w:pPr>
        <w:spacing w:after="0" w:line="180" w:lineRule="exact"/>
        <w:rPr>
          <w:sz w:val="20"/>
          <w:szCs w:val="20"/>
          <w:color w:val="auto"/>
        </w:rPr>
      </w:pPr>
    </w:p>
    <w:p>
      <w:pPr>
        <w:ind w:right="24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Related Assets</w:t>
      </w:r>
      <w:r>
        <w:rPr>
          <w:rFonts w:ascii="Arial" w:cs="Arial" w:eastAsia="Arial" w:hAnsi="Arial"/>
          <w:sz w:val="17"/>
          <w:szCs w:val="17"/>
          <w:color w:val="auto"/>
        </w:rPr>
        <w:t>” means: (1) any rights arising under the documentation governing or relating to Receivables (including rights in respect of Liens securing such Receivables and other credit support in respect of such Receivables); (2) any proceeds of such Receivables and any lockboxes or accounts in which such proceeds are deposited; (3) spread accounts and other similar accounts (and any amounts on deposit therein) established in connection with a Qualified Receivables Transaction; (4) any warranty, indemnity, dilution and other intercompany claim arising out of Receivables Documents; and (5) other assets which are customarily transferred or in respect of which security interests are customarily granted in connection with asset securitization transactions involving accounts receivable.</w:t>
      </w:r>
    </w:p>
    <w:p>
      <w:pPr>
        <w:spacing w:after="0" w:line="174"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Repurchase Obligation</w:t>
      </w:r>
      <w:r>
        <w:rPr>
          <w:rFonts w:ascii="Arial" w:cs="Arial" w:eastAsia="Arial" w:hAnsi="Arial"/>
          <w:sz w:val="18"/>
          <w:szCs w:val="18"/>
          <w:color w:val="auto"/>
        </w:rPr>
        <w:t>” means any obligation of the Borrower or a Restricted Subsidiary (other than a Receivables Subsidiary) in a Qualified Receivables Transaction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Borrower or a Restricted Subsidiary (other than a Receivables Subsidiary).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0" w:right="439" w:bottom="1440" w:gutter="0" w:footer="0" w:header="0"/>
        </w:sectPr>
      </w:pPr>
    </w:p>
    <w:bookmarkStart w:id="270" w:name="page271"/>
    <w:bookmarkEnd w:id="270"/>
    <w:p>
      <w:pPr>
        <w:ind w:firstLine="441"/>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means a special purpose wholly-owned Subsidiary created by the Borrower or any Restricted Subsidiary in connection with the transactions contemplated by a Qualified Receivables Transaction, which Subsidiary engages in no activities other than those incidental to such Qualified Receivables Transaction and which is designated as a Receivables Subsidiary by the Borrower’s Board of Directors. Any such designation by the Board of Directors shall be evidenced by filing with the Administrative Agent of a board resolution of the Borrower giving effect to such designation and an officers’ certificate certifying, to the best of such officers’ knowledge and belief after consulting with counsel, that such designation, and the transactions in which the Receivables Subsidiary will engage, comply with the requirements of the definition of Qualified Receivables Transaction.</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the Administrative Agent, any Lender or any L/C Issuer,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Debt</w:t>
      </w:r>
      <w:r>
        <w:rPr>
          <w:rFonts w:ascii="Arial" w:cs="Arial" w:eastAsia="Arial" w:hAnsi="Arial"/>
          <w:sz w:val="18"/>
          <w:szCs w:val="18"/>
          <w:color w:val="auto"/>
        </w:rPr>
        <w:t>” has the meaning specified in the definition of “Credit Agreement Refinancing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4.01(c)</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Amendment</w:t>
      </w:r>
      <w:r>
        <w:rPr>
          <w:rFonts w:ascii="Arial" w:cs="Arial" w:eastAsia="Arial" w:hAnsi="Arial"/>
          <w:sz w:val="16"/>
          <w:szCs w:val="16"/>
          <w:color w:val="auto"/>
        </w:rPr>
        <w:t xml:space="preserve">” means an amendment, supplement, or joinder to this Agreement executed by the Borrower, the Administrative Agent, each Additional Refinancing Lender and each Lender that agrees to provide any portion of Refinancing Term Commitments, Refinancing Term Loans, Other Revolving Commitments or Other Revolving Loans, in each case in accordance with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42" w:lineRule="exact"/>
        <w:rPr>
          <w:sz w:val="20"/>
          <w:szCs w:val="20"/>
          <w:color w:val="auto"/>
        </w:rPr>
      </w:pPr>
    </w:p>
    <w:p>
      <w:pPr>
        <w:ind w:right="1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Facility</w:t>
      </w:r>
      <w:r>
        <w:rPr>
          <w:rFonts w:ascii="Arial" w:cs="Arial" w:eastAsia="Arial" w:hAnsi="Arial"/>
          <w:sz w:val="16"/>
          <w:szCs w:val="16"/>
          <w:color w:val="auto"/>
        </w:rPr>
        <w:t>” means, at any time, as the context may require, the aggregate amount of Refinancing Term Commitments and/or Other Revolving Commitments of a given Refinancing Series at such time and, in each case, but without duplication, the Credit Extensions made thereunder.</w:t>
      </w:r>
    </w:p>
    <w:p>
      <w:pPr>
        <w:spacing w:after="0" w:line="116" w:lineRule="exact"/>
        <w:rPr>
          <w:sz w:val="20"/>
          <w:szCs w:val="20"/>
          <w:color w:val="auto"/>
        </w:rPr>
      </w:pPr>
    </w:p>
    <w:p>
      <w:pPr>
        <w:ind w:right="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Series</w:t>
      </w:r>
      <w:r>
        <w:rPr>
          <w:rFonts w:ascii="Arial" w:cs="Arial" w:eastAsia="Arial" w:hAnsi="Arial"/>
          <w:sz w:val="16"/>
          <w:szCs w:val="16"/>
          <w:color w:val="auto"/>
        </w:rPr>
        <w:t>” means all Refinancing Term Loans, Refinancing Term Commitments, Other Revolving Commitments or Other Revolving Loans that are established pursuant to the same Refinancing Amendment (or any subsequent Refinancing Amendment to the extent such Refinancing Amendment expressly provides that the Refinancing Term Loans, Refinancing Term Commitments, Other Revolving Commitments or Other Revolving Credit Loans provided for therein are intended to be a part of any previously established Refinancing Series) and that provide for the same Effective Yield and, in the case of Refinancing Term Loans or Refinancing Term Commitments, amortization schedule.</w:t>
      </w:r>
    </w:p>
    <w:p>
      <w:pPr>
        <w:spacing w:after="0" w:line="154"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Term Commitments</w:t>
      </w:r>
      <w:r>
        <w:rPr>
          <w:rFonts w:ascii="Arial" w:cs="Arial" w:eastAsia="Arial" w:hAnsi="Arial"/>
          <w:sz w:val="18"/>
          <w:szCs w:val="18"/>
          <w:color w:val="auto"/>
        </w:rPr>
        <w:t>” means one or more Classes of Term Commitments that are established to fund Refinancing Term Loans hereunder pursuant to a Refinancing Amendment.</w:t>
      </w:r>
    </w:p>
    <w:p>
      <w:pPr>
        <w:spacing w:after="0" w:line="162" w:lineRule="exact"/>
        <w:rPr>
          <w:sz w:val="20"/>
          <w:szCs w:val="20"/>
          <w:color w:val="auto"/>
        </w:rPr>
      </w:pPr>
    </w:p>
    <w:p>
      <w:pPr>
        <w:ind w:right="3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Term Loan Borrowing</w:t>
      </w:r>
      <w:r>
        <w:rPr>
          <w:rFonts w:ascii="Arial" w:cs="Arial" w:eastAsia="Arial" w:hAnsi="Arial"/>
          <w:sz w:val="17"/>
          <w:szCs w:val="17"/>
          <w:color w:val="auto"/>
        </w:rPr>
        <w:t xml:space="preserve">” means a borrowing consisting of one or more simultaneous Refinancing Term Loans of the same Type under a Refinancing Facility and, in the case of Eurodollar Rate Loans, having the same Interest Period made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0" w:right="439" w:bottom="1440" w:gutter="0" w:footer="0" w:header="0"/>
        </w:sectPr>
      </w:pPr>
    </w:p>
    <w:bookmarkStart w:id="271" w:name="page272"/>
    <w:bookmarkEnd w:id="2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Refinancing Term Loans</w:t>
      </w:r>
      <w:r>
        <w:rPr>
          <w:rFonts w:ascii="Arial" w:cs="Arial" w:eastAsia="Arial" w:hAnsi="Arial"/>
          <w:sz w:val="18"/>
          <w:szCs w:val="18"/>
          <w:color w:val="auto"/>
        </w:rPr>
        <w:t>” means one or more Classes of Term Loans that result from a Refinancing Amendment.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of BRBR on Form S-1, File No. 333-233867, as amended from time to time.</w:t>
      </w:r>
    </w:p>
    <w:p>
      <w:pPr>
        <w:spacing w:after="0" w:line="237"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right="4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38"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or leaching of any Hazardous Material into the environment (including the abandonment or disposal of any barrels, containers or other closed receptacles containing any Hazardous Material).</w:t>
      </w:r>
    </w:p>
    <w:p>
      <w:pPr>
        <w:spacing w:after="0" w:line="176"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or Conversion/Continuation Notice, as applicable and (b) with respect to an L/C Credit Extension, a Letter of Credit Application.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Facility Lenders</w:t>
      </w:r>
      <w:r>
        <w:rPr>
          <w:rFonts w:ascii="Arial" w:cs="Arial" w:eastAsia="Arial" w:hAnsi="Arial"/>
          <w:sz w:val="16"/>
          <w:szCs w:val="16"/>
          <w:color w:val="auto"/>
        </w:rPr>
        <w:t>” means, as of any date of determination, with respect to any Facility, Lenders having more than 50% of the sum of</w:t>
      </w:r>
    </w:p>
    <w:p>
      <w:pPr>
        <w:spacing w:after="0" w:line="50" w:lineRule="exact"/>
        <w:rPr>
          <w:sz w:val="20"/>
          <w:szCs w:val="20"/>
          <w:color w:val="auto"/>
        </w:rPr>
      </w:pPr>
    </w:p>
    <w:p>
      <w:pPr>
        <w:ind w:right="140" w:firstLine="4"/>
        <w:spacing w:after="0" w:line="273" w:lineRule="auto"/>
        <w:tabs>
          <w:tab w:leader="none" w:pos="24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the Total Outstandings under such Facility (with the aggregate amount of each Lender’s risk participation and funded participation in L/C Obligations under such Facility being deemed “held” by such Lender for purposes of this definition) and (b) the aggregate unused Commitments under such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unused Commitments of, and the portion of the Total Outstandings under such Facility held or deemed held by, any Defaulting Lender shall be excluded for purposes of making a determination of the Required Facility Lenders.</w:t>
      </w:r>
    </w:p>
    <w:p>
      <w:pPr>
        <w:spacing w:after="0" w:line="173"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means, as of any date of determination, Lenders holding more than 50% of the sum of the (a) Total Outstandings (with the aggregate amount of each Revolving Credit Lender’s risk participation and funded participation in L/C Obligations being deemed “held” by such Revolving Credit Lender for purposes of this definition) and (b) aggregate unused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unused Commitment of, and the portion of the Total Outstandings held or deemed held by, any Defaulting Lender shall be excluded for purposes of making a determination of Required Lenders.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0" w:right="439" w:bottom="1440" w:gutter="0" w:footer="0" w:header="0"/>
        </w:sectPr>
      </w:pPr>
    </w:p>
    <w:bookmarkStart w:id="272" w:name="page273"/>
    <w:bookmarkEnd w:id="272"/>
    <w:p>
      <w:pPr>
        <w:ind w:right="20" w:firstLine="44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Required Revolving Credit Lenders</w:t>
      </w:r>
      <w:r>
        <w:rPr>
          <w:rFonts w:ascii="Arial" w:cs="Arial" w:eastAsia="Arial" w:hAnsi="Arial"/>
          <w:sz w:val="16"/>
          <w:szCs w:val="16"/>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54"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B Lenders</w:t>
      </w:r>
      <w:r>
        <w:rPr>
          <w:rFonts w:ascii="Arial" w:cs="Arial" w:eastAsia="Arial" w:hAnsi="Arial"/>
          <w:sz w:val="18"/>
          <w:szCs w:val="18"/>
          <w:color w:val="auto"/>
        </w:rPr>
        <w:t>” means, as of any date of determination, Term B Lenders holding more than 50% of the Term B Facility on such date; provided that the portion of the Term B Facility held by any Defaulting Lender shall be excluded for purposes of making a determination of Required Term B Lenders.</w:t>
      </w:r>
    </w:p>
    <w:p>
      <w:pPr>
        <w:spacing w:after="0" w:line="17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xml:space="preserve">” means the chief executive officer, president, chief financial officer, director of corporate finance, treasurer, assistant treasurer or controller of a Loan Party, and including solely for purposes of </w:t>
      </w:r>
      <w:r>
        <w:rPr>
          <w:rFonts w:ascii="Arial" w:cs="Arial" w:eastAsia="Arial" w:hAnsi="Arial"/>
          <w:sz w:val="18"/>
          <w:szCs w:val="18"/>
          <w:u w:val="single" w:color="auto"/>
          <w:color w:val="auto"/>
        </w:rPr>
        <w:t>Section 4.01(a)</w:t>
      </w:r>
      <w:r>
        <w:rPr>
          <w:rFonts w:ascii="Arial" w:cs="Arial" w:eastAsia="Arial" w:hAnsi="Arial"/>
          <w:sz w:val="18"/>
          <w:szCs w:val="18"/>
          <w:color w:val="auto"/>
        </w:rPr>
        <w:t>, the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any dividend, other distribution or other payment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 or any option, warrant or other right to acquire any such dividend or other distribution or payment.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Borrowing</w:t>
      </w:r>
      <w:r>
        <w:rPr>
          <w:rFonts w:ascii="Arial" w:cs="Arial" w:eastAsia="Arial" w:hAnsi="Arial"/>
          <w:sz w:val="18"/>
          <w:szCs w:val="18"/>
          <w:color w:val="auto"/>
        </w:rPr>
        <w:t xml:space="preserve">” means a borrowing consisting of one or more simultaneous Revolving Credit Loans of the same Class and Type and, in the case of Eurodollar Rate Loans, having the same Interest Period made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62" w:lineRule="exact"/>
        <w:rPr>
          <w:sz w:val="20"/>
          <w:szCs w:val="20"/>
          <w:color w:val="auto"/>
        </w:rPr>
      </w:pPr>
    </w:p>
    <w:p>
      <w:pPr>
        <w:ind w:right="1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means, as to each Revolving Credit Lender, its Original Revolving Credit Commitment and shall include, as the context may require, any Incremental Revolving Credit Commitments and Other Revolving Commitments of such Revolving Credit Lender.</w:t>
      </w:r>
    </w:p>
    <w:p>
      <w:pPr>
        <w:spacing w:after="0" w:line="116"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collective reference to the Original Revolving Credit Facility and any additional revolving credit facilities resulting from Incremental Revolving Credit Commitments and Other Revolving Commitments and the Credit Extensions made thereunder, or, as the context may require, to any of such revolving credit facilities individually.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273" w:name="page274"/>
    <w:bookmarkEnd w:id="273"/>
    <w:p>
      <w:pPr>
        <w:ind w:right="14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means, at any time, any Lender that has a Revolving Credit Commitment at such time or that has Revolving Credit Loans or risk participations in L/C Obligations outstanding at such time.</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shall include, as the context may require, any Incremental Revolving Loans or Other Revolving Loans.</w:t>
      </w:r>
    </w:p>
    <w:p>
      <w:pPr>
        <w:spacing w:after="0" w:line="162"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means all economic or financial sanctions or trade embargoes imposed, administered or enforced from time to time by the U.S. government, including those administered by the Office of Foreign Assets Control of the U.S. Department of the Treasury or the U.S. Department of State, the United Nations Security Council, the European Union, any European Union member state, or Her Majesty’s Treasury of the United Kingdom.</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 country, territory or a government of a country or territory that is subject to Sanctions.</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xml:space="preserve">” means (a) any Person listed in any Sanctions-related list of designated Persons maintained by OFAC,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Inc., through its S&amp;P Global Ratings division or any successor thereto.</w:t>
      </w:r>
    </w:p>
    <w:p>
      <w:pPr>
        <w:spacing w:after="0" w:line="225"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(a) with respect to disbursements and payments in U.S. Dollars, immediately available funds and (b) with respect to disbursements and payments in an Alternative Currency, same day or other funds as may be reasonably determined by the Administrative Agent or the applicable L/C Issuer, as the case may be, to be customary in the place of disbursement or payment for the settlements of international banking transactions in the relevant Alternative Currency.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Screen Rate</w:t>
      </w:r>
      <w:r>
        <w:rPr>
          <w:rFonts w:ascii="Arial" w:cs="Arial" w:eastAsia="Arial" w:hAnsi="Arial"/>
          <w:sz w:val="17"/>
          <w:szCs w:val="17"/>
          <w:color w:val="auto"/>
        </w:rPr>
        <w:t>” means, (i) in relation to a Loan denominated in U.S. Dollars or Pounds Sterling, the London Interbank Offered Rate administered by the ICE Benchmark Association Limited (or any other Person that takes over the administration of such rate) for the relevant currency and Interest Period and (ii) in relation to a Loan denominated in Euros, the percentage rate per annum determined by the Banking Federation of the European Union for the relevant period, in each case, displayed on the appropriate page of the Reuters screen. If the agreed page is replaced or service ceases to be available, the Administrative Agent may specify another page or service displaying the appropriate rate.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0" w:right="499" w:bottom="1440" w:gutter="0" w:footer="0" w:header="0"/>
        </w:sectPr>
      </w:pPr>
    </w:p>
    <w:bookmarkStart w:id="274" w:name="page275"/>
    <w:bookmarkEnd w:id="274"/>
    <w:p>
      <w:pPr>
        <w:ind w:right="6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Cash Management Agreement</w:t>
      </w:r>
      <w:r>
        <w:rPr>
          <w:rFonts w:ascii="Arial" w:cs="Arial" w:eastAsia="Arial" w:hAnsi="Arial"/>
          <w:sz w:val="18"/>
          <w:szCs w:val="18"/>
          <w:color w:val="auto"/>
        </w:rPr>
        <w:t>” means any Cash Management Agreement that is entered into by and between any Loan Party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Cash Management Bank.</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means any interest rate, currency or commodity Swap Contract permitted under this Agreement that is entered into by and between a Loan Party and any Hedge Bank.</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Net Leverage Ratio</w:t>
      </w:r>
      <w:r>
        <w:rPr>
          <w:rFonts w:ascii="Arial" w:cs="Arial" w:eastAsia="Arial" w:hAnsi="Arial"/>
          <w:sz w:val="18"/>
          <w:szCs w:val="18"/>
          <w:color w:val="auto"/>
        </w:rPr>
        <w:t>” means, with respect to any Measurement Period, the ratio of (i) Consolidated Senior Secured Debt (which shall be calculated net of the Unrestricted Cash Amount) as of the last day of such Measurement Period to (ii) Consolidated EBITDA for such Measurement Period, in each case for the Borrower and its Restricted Subsidiaries.</w:t>
      </w:r>
    </w:p>
    <w:p>
      <w:pPr>
        <w:spacing w:after="0" w:line="176" w:lineRule="exact"/>
        <w:rPr>
          <w:sz w:val="20"/>
          <w:szCs w:val="20"/>
          <w:color w:val="auto"/>
        </w:rPr>
      </w:pPr>
    </w:p>
    <w:p>
      <w:pPr>
        <w:jc w:val="both"/>
        <w:ind w:right="2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means, collectively, the Administrative Agent, the Lenders, the L/C Issuers, with respect to any Secured Cash Management Agreement, the Cash Management Banks, with respect to any Secured Hedge Agreement, the Hedge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0"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62"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and “</w:t>
      </w:r>
      <w:r>
        <w:rPr>
          <w:rFonts w:ascii="Arial" w:cs="Arial" w:eastAsia="Arial" w:hAnsi="Arial"/>
          <w:sz w:val="17"/>
          <w:szCs w:val="17"/>
          <w:b w:val="1"/>
          <w:bCs w:val="1"/>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Purpose Vehicle</w:t>
      </w:r>
      <w:r>
        <w:rPr>
          <w:rFonts w:ascii="Arial" w:cs="Arial" w:eastAsia="Arial" w:hAnsi="Arial"/>
          <w:sz w:val="18"/>
          <w:szCs w:val="18"/>
          <w:color w:val="auto"/>
        </w:rPr>
        <w:t>” means a trust, partnership or other special purpose Person established by the Borrower and/or any of its Restricted Subsidiaries to implement a Qualified Receivables Transaction.</w:t>
      </w:r>
    </w:p>
    <w:p>
      <w:pPr>
        <w:spacing w:after="0" w:line="162"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0" w:right="439" w:bottom="1440" w:gutter="0" w:footer="0" w:header="0"/>
        </w:sectPr>
      </w:pPr>
    </w:p>
    <w:bookmarkStart w:id="275" w:name="page276"/>
    <w:bookmarkEnd w:id="27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Agent or the applicable L/C Issuer may obtain such spot rate from another financial institution designated by the Administrative Agent or the applicable L/C Issuer if the Person acting in such capacity does not have as of the date of determination a spot buying rate for any such currency;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the applicable L/C Issuer may use such spot rate quoted on the date as of which any foreign exchange computation is to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any Letter of Credit denominated in an Alternative Currency.</w:t>
      </w:r>
    </w:p>
    <w:p>
      <w:pPr>
        <w:spacing w:after="0" w:line="183"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Standard Securitization Undertakings</w:t>
      </w:r>
      <w:r>
        <w:rPr>
          <w:rFonts w:ascii="Arial" w:cs="Arial" w:eastAsia="Arial" w:hAnsi="Arial"/>
          <w:sz w:val="17"/>
          <w:szCs w:val="17"/>
          <w:color w:val="auto"/>
        </w:rPr>
        <w:t>” means representations, warranties, covenants, performance guarantees and indemnities entered into by the Borrower or any Restricted Subsidiary of the Borrower which, in the good faith judgment of the board of directors of the appropriate company, are reasonably customary in an accounts receivable transaction, including any Receivables Repurchase Obligation.</w:t>
      </w:r>
    </w:p>
    <w:p>
      <w:pPr>
        <w:spacing w:after="0" w:line="15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Statutory Reserve R</w:t>
      </w:r>
      <w:r>
        <w:rPr>
          <w:rFonts w:ascii="Arial" w:cs="Arial" w:eastAsia="Arial" w:hAnsi="Arial"/>
          <w:sz w:val="17"/>
          <w:szCs w:val="17"/>
          <w:color w:val="auto"/>
        </w:rPr>
        <w:t>ate” means, a fraction (expressed as a decimal), the numerator of which is the number one and the denominator of which is the number one minus the arithmetic mean, taken over each day in such Interest Period, of the aggregate of the maximum reserve percentages (including any marginal, special, emergency or supplemental reserves) expressed as a decimal established by the FRB to which the Administrative Agent is subject with respect to the Eurodollar Rate, for eurocurrency funding (currently referred to as “Eurocurrency Liabilities” (as such term is defined in Regulation D of the FRB)). Such reserve percentages shall include those imposed pursuant to such Regulation D. Without limiting the effect of the foregoing, the Statutory Reserve Rate shall reflect any other reserves required to be maintained by such member banks with respect to (a) any category of liabilities which includes deposits by reference to which the applicable Eurodollar Rate or any other interest rate of a Loan is to be determined or (b) any category of extensions of credit or other assets which include Eurodollar Rate Loans,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4"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Equity</w:t>
      </w:r>
      <w:r>
        <w:rPr>
          <w:rFonts w:ascii="Arial" w:cs="Arial" w:eastAsia="Arial" w:hAnsi="Arial"/>
          <w:sz w:val="18"/>
          <w:szCs w:val="18"/>
          <w:color w:val="auto"/>
        </w:rPr>
        <w:t>” means, as of any date of determination, consolidated stockholders’, partner or member equity of the Borrower and its Restricted Subsidiaries as of that date determined in accordance with GAAP.</w:t>
      </w:r>
    </w:p>
    <w:p>
      <w:pPr>
        <w:spacing w:after="0" w:line="162"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7"/>
          <w:szCs w:val="17"/>
          <w:b w:val="1"/>
          <w:bCs w:val="1"/>
          <w:color w:val="auto"/>
        </w:rPr>
        <w:t>Subsidiary</w:t>
      </w:r>
      <w:r>
        <w:rPr>
          <w:rFonts w:ascii="Arial" w:cs="Arial" w:eastAsia="Arial" w:hAnsi="Arial"/>
          <w:sz w:val="17"/>
          <w:szCs w:val="17"/>
          <w:color w:val="auto"/>
        </w:rPr>
        <w:t>” or to “</w:t>
      </w:r>
      <w:r>
        <w:rPr>
          <w:rFonts w:ascii="Arial" w:cs="Arial" w:eastAsia="Arial" w:hAnsi="Arial"/>
          <w:sz w:val="17"/>
          <w:szCs w:val="17"/>
          <w:b w:val="1"/>
          <w:bCs w:val="1"/>
          <w:color w:val="auto"/>
        </w:rPr>
        <w:t>Subsidiaries</w:t>
      </w:r>
      <w:r>
        <w:rPr>
          <w:rFonts w:ascii="Arial" w:cs="Arial" w:eastAsia="Arial" w:hAnsi="Arial"/>
          <w:sz w:val="17"/>
          <w:szCs w:val="17"/>
          <w:color w:val="auto"/>
        </w:rPr>
        <w:t>” shall refer to a Subsidiary or Subsidiaries of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276" w:name="page277"/>
    <w:bookmarkEnd w:id="276"/>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Swap Contract</w:t>
      </w:r>
      <w:r>
        <w:rPr>
          <w:rFonts w:ascii="Arial" w:cs="Arial" w:eastAsia="Arial" w:hAnsi="Arial"/>
          <w:sz w:val="17"/>
          <w:szCs w:val="17"/>
          <w:color w:val="auto"/>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similar master agreement relating to a transaction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(any such master agreement, together with any related schedules, a “Master Agreement”), including any such obligations or liabilities under any Master Agreement.</w:t>
      </w:r>
    </w:p>
    <w:p>
      <w:pPr>
        <w:spacing w:after="0" w:line="178" w:lineRule="exact"/>
        <w:rPr>
          <w:sz w:val="20"/>
          <w:szCs w:val="20"/>
          <w:color w:val="auto"/>
        </w:rPr>
      </w:pPr>
    </w:p>
    <w:p>
      <w:pPr>
        <w:ind w:right="16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and Related Distributions</w:t>
      </w:r>
      <w:r>
        <w:rPr>
          <w:rFonts w:ascii="Arial" w:cs="Arial" w:eastAsia="Arial" w:hAnsi="Arial"/>
          <w:sz w:val="18"/>
          <w:szCs w:val="18"/>
          <w:color w:val="auto"/>
        </w:rPr>
        <w:t>” means, without duplication,</w:t>
      </w:r>
    </w:p>
    <w:p>
      <w:pPr>
        <w:spacing w:after="0" w:line="229" w:lineRule="exact"/>
        <w:rPr>
          <w:sz w:val="20"/>
          <w:szCs w:val="20"/>
          <w:color w:val="auto"/>
        </w:rPr>
      </w:pPr>
    </w:p>
    <w:p>
      <w:pPr>
        <w:ind w:right="40" w:firstLine="444"/>
        <w:spacing w:after="0" w:line="271" w:lineRule="auto"/>
        <w:tabs>
          <w:tab w:leader="none" w:pos="68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for any taxable period for which the Borrower is a member of a consolidated, combined, unitary or similar tax group for U.S. federal and/or applicable state or local tax purposes, payments to discharge the consolidated, combined, unitary or similar Tax liabilities of such tax group when and as due, to the extent such liabilities are attributable to the income of the Borrower and/or any Restricted Subsidiary of Borrower (or any Unrestricted Subsidiary of the Borrower to the extent such Unrestricted Subsidiary has distributed a corresponding amount to the Borrower or a Restricted Subsidiary), taking into account any carryovers of losses, excess interest deductions, and any available credits, in each case incurred on or following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taxable period the amount of any such payment shall not be greater than the amount of such taxes that are reasonably expected to be due and payable by the Borrower and such Subsidiaries if the Borrower and such Subsidiaries filed a consolidated, combined, unitary or similar type tax return with the Borrower as the consolidated parent;</w:t>
      </w:r>
    </w:p>
    <w:p>
      <w:pPr>
        <w:spacing w:after="0" w:line="178" w:lineRule="exact"/>
        <w:rPr>
          <w:rFonts w:ascii="Arial" w:cs="Arial" w:eastAsia="Arial" w:hAnsi="Arial"/>
          <w:sz w:val="17"/>
          <w:szCs w:val="17"/>
          <w:color w:val="auto"/>
        </w:rPr>
      </w:pPr>
    </w:p>
    <w:p>
      <w:pPr>
        <w:jc w:val="both"/>
        <w:ind w:right="100" w:firstLine="444"/>
        <w:spacing w:after="0" w:line="259" w:lineRule="auto"/>
        <w:tabs>
          <w:tab w:leader="none" w:pos="6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payment made by the Borrower (including, without limitation, any amounts treated as being paid on behalf of BRBR) pursuant to the Tax Matters Agreement or the Tax Receivable Agreement (in each case as in effect on the date of this Agreement, or as amended, modified or restated from time to time in a manner not materially adverse to the interests of the Lenders), other than any payments described in Article IV of the Tax Receivable Agreement;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0" w:right="439" w:bottom="1440" w:gutter="0" w:footer="0" w:header="0"/>
        </w:sectPr>
      </w:pPr>
    </w:p>
    <w:bookmarkStart w:id="277" w:name="page278"/>
    <w:bookmarkEnd w:id="277"/>
    <w:p>
      <w:pPr>
        <w:ind w:right="120" w:firstLine="444"/>
        <w:spacing w:after="0" w:line="255" w:lineRule="auto"/>
        <w:tabs>
          <w:tab w:leader="none" w:pos="6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the Borrower is properly treated as a partnership or other “pass-through” entity for United States federal income Tax purposes, any payments made to any direct or indirect owner (or former owner) of the Borrower (and including for the avoidance of doubt, amounts paid to BRBR to satisfy its obligations under the Tax Receivable Agreement (other than any payments described in Article IV of the Tax Receivable Agreement)) pursuant to Section 5.03(e) or Section 9.01(d) of the Borrower Operating Agreement (in the case of the Tax Receivable Agreement and the Borrower Operating Agreement, as in effect on the date of this Agreement, or as amended, modified or restated from time to time in a manner not materially adverse to the interests of the Lenders).</w:t>
      </w:r>
    </w:p>
    <w:p>
      <w:pPr>
        <w:spacing w:after="0" w:line="189" w:lineRule="exact"/>
        <w:rPr>
          <w:sz w:val="20"/>
          <w:szCs w:val="20"/>
          <w:color w:val="auto"/>
        </w:rPr>
      </w:pPr>
    </w:p>
    <w:p>
      <w:pPr>
        <w:ind w:right="3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Matters Agreement</w:t>
      </w:r>
      <w:r>
        <w:rPr>
          <w:rFonts w:ascii="Arial" w:cs="Arial" w:eastAsia="Arial" w:hAnsi="Arial"/>
          <w:sz w:val="17"/>
          <w:szCs w:val="17"/>
          <w:color w:val="auto"/>
        </w:rPr>
        <w:t>” means that certain Tax Matters Agreement by and among Post, the Borrower, and BRBR, dated as of October 21, 2019, as the same may be as the same may be amended, modified, supplemented, restated or replaced from time to time.</w:t>
      </w:r>
    </w:p>
    <w:p>
      <w:pPr>
        <w:spacing w:after="0" w:line="138" w:lineRule="exact"/>
        <w:rPr>
          <w:sz w:val="20"/>
          <w:szCs w:val="20"/>
          <w:color w:val="auto"/>
        </w:rPr>
      </w:pPr>
    </w:p>
    <w:p>
      <w:pPr>
        <w:ind w:right="7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Receivable Agreement</w:t>
      </w:r>
      <w:r>
        <w:rPr>
          <w:rFonts w:ascii="Arial" w:cs="Arial" w:eastAsia="Arial" w:hAnsi="Arial"/>
          <w:sz w:val="16"/>
          <w:szCs w:val="16"/>
          <w:color w:val="auto"/>
        </w:rPr>
        <w:t>” means that certain Tax Receivable Agreement by and among Post, the Borrower, and BRBR, dated as of October 21, 2019, as the same may be as the same may be amended, modified, supplemented, restated or replaced from time to time.</w:t>
      </w:r>
    </w:p>
    <w:p>
      <w:pPr>
        <w:spacing w:after="0" w:line="116" w:lineRule="exact"/>
        <w:rPr>
          <w:sz w:val="20"/>
          <w:szCs w:val="20"/>
          <w:color w:val="auto"/>
        </w:rPr>
      </w:pPr>
    </w:p>
    <w:p>
      <w:pPr>
        <w:ind w:right="1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Borrowing</w:t>
      </w:r>
      <w:r>
        <w:rPr>
          <w:rFonts w:ascii="Arial" w:cs="Arial" w:eastAsia="Arial" w:hAnsi="Arial"/>
          <w:sz w:val="18"/>
          <w:szCs w:val="18"/>
          <w:color w:val="auto"/>
        </w:rPr>
        <w:t xml:space="preserve">” means a borrowing consisting of one or more simultaneous Term B Loans of the same Type under the Term B Facility and, in the case of Eurodollar Rate Loans, having the same Interest Period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6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Commitment</w:t>
      </w:r>
      <w:r>
        <w:rPr>
          <w:rFonts w:ascii="Arial" w:cs="Arial" w:eastAsia="Arial" w:hAnsi="Arial"/>
          <w:sz w:val="18"/>
          <w:szCs w:val="18"/>
          <w:color w:val="auto"/>
        </w:rPr>
        <w:t xml:space="preserve">” means, as to each Term B Lender, its obligation to make Term B Loans to the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an aggregate principal amount at any one time outstanding not to exceed the amount set forth opposite such Term B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B Commitment” or opposite such caption in the Assignment and Assumption pursuant to which such Term B Lender becomes a party hereto, as applicable, as such amount may be adjusted from time to time in accordance with this Agreement. As of the Closing Date, the aggregate amount of the Term B Commitments of the Term B Lenders is $700,000,000.</w:t>
      </w:r>
    </w:p>
    <w:p>
      <w:pPr>
        <w:spacing w:after="0" w:line="184" w:lineRule="exact"/>
        <w:rPr>
          <w:sz w:val="20"/>
          <w:szCs w:val="20"/>
          <w:color w:val="auto"/>
        </w:rPr>
      </w:pPr>
    </w:p>
    <w:p>
      <w:pPr>
        <w:ind w:right="3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B Facility</w:t>
      </w:r>
      <w:r>
        <w:rPr>
          <w:rFonts w:ascii="Arial" w:cs="Arial" w:eastAsia="Arial" w:hAnsi="Arial"/>
          <w:sz w:val="16"/>
          <w:szCs w:val="16"/>
          <w:color w:val="auto"/>
        </w:rPr>
        <w:t>” means, at any time, (a) prior to the funding of the Term B Loans on the Closing Date, the aggregate amount of the Term B Commitments at such time and (b) thereafter, the aggregate principal amount of the Term B Loans of all Term B Lenders outstanding at such time.</w:t>
      </w:r>
    </w:p>
    <w:p>
      <w:pPr>
        <w:spacing w:after="0" w:line="116"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Lender</w:t>
      </w:r>
      <w:r>
        <w:rPr>
          <w:rFonts w:ascii="Arial" w:cs="Arial" w:eastAsia="Arial" w:hAnsi="Arial"/>
          <w:sz w:val="18"/>
          <w:szCs w:val="18"/>
          <w:color w:val="auto"/>
        </w:rPr>
        <w:t>” means (a) prior to the funding of the Term B Loans on the Closing Date, any Lender that has a Term B Commitment at such time and (b) thereafter, any Lender that holds Term B Loans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xml:space="preserve">” means a loan made by any Term B Lender under the Term B Facility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78" w:name="page279"/>
    <w:bookmarkEnd w:id="278"/>
    <w:p>
      <w:pPr>
        <w:ind w:right="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Term Borrowing</w:t>
      </w:r>
      <w:r>
        <w:rPr>
          <w:rFonts w:ascii="Arial" w:cs="Arial" w:eastAsia="Arial" w:hAnsi="Arial"/>
          <w:sz w:val="18"/>
          <w:szCs w:val="18"/>
          <w:color w:val="auto"/>
        </w:rPr>
        <w:t>” means a borrowing consisting of simultaneous Term Loans of the same Class and Type and, in the case of Eurocurrency Rate Loans, having the same Interest Period made by each of the applicable Term Lenders.</w:t>
      </w:r>
    </w:p>
    <w:p>
      <w:pPr>
        <w:spacing w:after="0" w:line="162"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Commitment</w:t>
      </w:r>
      <w:r>
        <w:rPr>
          <w:rFonts w:ascii="Arial" w:cs="Arial" w:eastAsia="Arial" w:hAnsi="Arial"/>
          <w:sz w:val="18"/>
          <w:szCs w:val="18"/>
          <w:color w:val="auto"/>
        </w:rPr>
        <w:t>” means, as to each Term Lender, its Term B Commitment, and, if the context so requires, its commitment to make other Term Loans pursuant to a Joinder Agreement or a Refinancing Amendment, as applicable.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at any time, any Lender that has a Term Commitment or a Term Loan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w:t>
      </w:r>
      <w:r>
        <w:rPr>
          <w:rFonts w:ascii="Arial" w:cs="Arial" w:eastAsia="Arial" w:hAnsi="Arial"/>
          <w:sz w:val="16"/>
          <w:szCs w:val="16"/>
          <w:color w:val="auto"/>
        </w:rPr>
        <w:t>” means a Term B Loan, Incremental Term Loan or Refinancing Term Loan, individually or collectively as the context may require.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w:t>
      </w:r>
      <w:r>
        <w:rPr>
          <w:rFonts w:ascii="Arial" w:cs="Arial" w:eastAsia="Arial" w:hAnsi="Arial"/>
          <w:sz w:val="16"/>
          <w:szCs w:val="16"/>
          <w:color w:val="auto"/>
        </w:rPr>
        <w:t>” means the forward-looking term rate based on SOFR that has been selected or recommended by the Relevant Governmental Body.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$65,000,000.</w:t>
      </w:r>
    </w:p>
    <w:p>
      <w:pPr>
        <w:spacing w:after="0" w:line="22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Leverage Ratio</w:t>
      </w:r>
      <w:r>
        <w:rPr>
          <w:rFonts w:ascii="Arial" w:cs="Arial" w:eastAsia="Arial" w:hAnsi="Arial"/>
          <w:sz w:val="18"/>
          <w:szCs w:val="18"/>
          <w:color w:val="auto"/>
        </w:rPr>
        <w:t>” means, with respect to any Measurement Period, the ratio of (a) Consolidated Funded Indebtedness (which shall be calculated net of the Unrestricted Cash Amount) as of the last day of such Measurement Period to (b) Consolidated EBITDA for the most recently completed Measurement Period, in each case, for the Borrower and its Restricted Subsidiaries.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Revolving Credit Outstandings</w:t>
      </w:r>
      <w:r>
        <w:rPr>
          <w:rFonts w:ascii="Arial" w:cs="Arial" w:eastAsia="Arial" w:hAnsi="Arial"/>
          <w:sz w:val="17"/>
          <w:szCs w:val="17"/>
          <w:color w:val="auto"/>
        </w:rPr>
        <w:t>” means the aggregate Outstanding Amount of all Revolving Credit Loans and L/C Obligations.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10.06(h)</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(a) the Active Nutrition Transaction, (b) the Refinancing, (c) the entering into by the Borrower and the other Loan Parties of the Loan Documents to which they are or are intended to be a party, (d) any initial Credit Extensions on the Closing Date and (e) the payment of the fees and expenses incurred in connection with the consummation of the foregoing.</w:t>
      </w:r>
    </w:p>
    <w:p>
      <w:pPr>
        <w:spacing w:after="0" w:line="176" w:lineRule="exact"/>
        <w:rPr>
          <w:sz w:val="20"/>
          <w:szCs w:val="20"/>
          <w:color w:val="auto"/>
        </w:rPr>
      </w:pPr>
    </w:p>
    <w:p>
      <w:pPr>
        <w:ind w:right="8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Transformative Acquisition</w:t>
      </w:r>
      <w:r>
        <w:rPr>
          <w:rFonts w:ascii="Arial" w:cs="Arial" w:eastAsia="Arial" w:hAnsi="Arial"/>
          <w:sz w:val="17"/>
          <w:szCs w:val="17"/>
          <w:color w:val="auto"/>
        </w:rPr>
        <w:t>” means any Permitted Acquisition by the Borrower or any Restricted Subsidiary that (i) is not permitted by the terms of the Loan Documents immediately prior to the consummation of such acquisition, (ii) if permitted by the terms of the Loan Documents immediately prior to the consummation of such acquisition, would not provide the Borrower and the other Restricted Subsidiaries with adequate flexibility under the Loan Documents for the continuation and/or expansion of their combined operations following such consummation, as determined by the Borrower acting in good faith or (iii) results in a refinancing of the Revolving Credit Facility or the Term B Facility that involves an upsizing of the Revolving Credit Facility or the Term B Facility in connection with such acquisition.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0" w:right="479" w:bottom="1440" w:gutter="0" w:footer="0" w:header="0"/>
        </w:sectPr>
      </w:pPr>
    </w:p>
    <w:bookmarkStart w:id="279" w:name="page280"/>
    <w:bookmarkEnd w:id="2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1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UCC</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 Amount</w:t>
      </w:r>
      <w:r>
        <w:rPr>
          <w:rFonts w:ascii="Arial" w:cs="Arial" w:eastAsia="Arial" w:hAnsi="Arial"/>
          <w:sz w:val="18"/>
          <w:szCs w:val="18"/>
          <w:color w:val="auto"/>
        </w:rPr>
        <w:t>” means, as of any date of determination, the aggregate amount of (i) unrestricted cash and Cash Equivalents of the Borrower and its Restricted Subsidiaries and (ii) cash and Cash Equivalents of the Borrower and its Restricted Subsidiaries restricted in favor of, or pledged to, the Administrative Agent, any Lender or any Issuing Bank (in each case, in its capacity as such) whether or not held in an account pledged to the Administrative Agent, any Lender or any Issuing Bank.</w:t>
      </w:r>
    </w:p>
    <w:p>
      <w:pPr>
        <w:spacing w:after="0" w:line="180"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means any Subsidiary of the Borrower that is designated by the Borrower as an Unrestricted Subsidiary in accordance with </w:t>
      </w:r>
      <w:r>
        <w:rPr>
          <w:rFonts w:ascii="Arial" w:cs="Arial" w:eastAsia="Arial" w:hAnsi="Arial"/>
          <w:sz w:val="18"/>
          <w:szCs w:val="18"/>
          <w:u w:val="single" w:color="auto"/>
          <w:color w:val="auto"/>
        </w:rPr>
        <w:t>Section 6.17</w:t>
      </w:r>
      <w:r>
        <w:rPr>
          <w:rFonts w:ascii="Arial" w:cs="Arial" w:eastAsia="Arial" w:hAnsi="Arial"/>
          <w:sz w:val="18"/>
          <w:szCs w:val="18"/>
          <w:color w:val="auto"/>
        </w:rPr>
        <w:t>, but only to the extent that such Subsidiary:</w:t>
      </w:r>
    </w:p>
    <w:p>
      <w:pPr>
        <w:spacing w:after="0" w:line="58" w:lineRule="exact"/>
        <w:rPr>
          <w:sz w:val="20"/>
          <w:szCs w:val="20"/>
          <w:color w:val="auto"/>
        </w:rPr>
      </w:pPr>
    </w:p>
    <w:p>
      <w:pPr>
        <w:ind w:left="1120" w:hanging="252"/>
        <w:spacing w:after="0"/>
        <w:tabs>
          <w:tab w:leader="none" w:pos="11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40" w:right="240" w:firstLine="428"/>
        <w:spacing w:after="0" w:line="286" w:lineRule="auto"/>
        <w:tabs>
          <w:tab w:leader="none" w:pos="111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57" w:lineRule="exact"/>
        <w:rPr>
          <w:rFonts w:ascii="Arial" w:cs="Arial" w:eastAsia="Arial" w:hAnsi="Arial"/>
          <w:sz w:val="17"/>
          <w:szCs w:val="17"/>
          <w:color w:val="auto"/>
        </w:rPr>
      </w:pPr>
    </w:p>
    <w:p>
      <w:pPr>
        <w:jc w:val="both"/>
        <w:ind w:left="440" w:right="240" w:firstLine="428"/>
        <w:spacing w:after="0" w:line="264" w:lineRule="auto"/>
        <w:tabs>
          <w:tab w:leader="none" w:pos="110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is a Person with respect to which neither the Borrower nor any of its Restricted Subsidiaries has any direct or indirect obligation (x) to subscribe for additional Equity Interests or (y) to maintain or preserve such Person’s financial condition or to cause such Person to achieve any specified level of operating results; and</w:t>
      </w:r>
    </w:p>
    <w:p>
      <w:pPr>
        <w:spacing w:after="0" w:line="73" w:lineRule="exact"/>
        <w:rPr>
          <w:rFonts w:ascii="Arial" w:cs="Arial" w:eastAsia="Arial" w:hAnsi="Arial"/>
          <w:sz w:val="18"/>
          <w:szCs w:val="18"/>
          <w:color w:val="auto"/>
        </w:rPr>
      </w:pPr>
    </w:p>
    <w:p>
      <w:pPr>
        <w:ind w:left="440" w:right="720" w:firstLine="428"/>
        <w:spacing w:after="0" w:line="342" w:lineRule="auto"/>
        <w:tabs>
          <w:tab w:leader="none" w:pos="111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has not guaranteed or otherwise directly or indirectly provided credit support for any Indebtedness of the Borrower or any of its Restricted Subsidiaries unless such guarantee or credit support is released upon its designation as an Unrestricted Subsidiary.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0" w:right="439" w:bottom="1440" w:gutter="0" w:footer="0" w:header="0"/>
        </w:sectPr>
      </w:pPr>
    </w:p>
    <w:bookmarkStart w:id="280" w:name="page281"/>
    <w:bookmarkEnd w:id="2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U.S. 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 Equivalent</w:t>
      </w:r>
      <w:r>
        <w:rPr>
          <w:rFonts w:ascii="Arial" w:cs="Arial" w:eastAsia="Arial" w:hAnsi="Arial"/>
          <w:sz w:val="18"/>
          <w:szCs w:val="18"/>
          <w:color w:val="auto"/>
        </w:rPr>
        <w:t>” means, at any time, (a) with respect to any amount denominated in U.S. Dollars, such amount, and (b) with respect to any amount denominated in any Alternative Currency, the equivalent amount thereof in U.S. Dollars as determined by the Administrative Agent at such time on the basis of the Spot Rate (determined in respect of the most recent Valuation Date) for the purchase of U.S. Dollars with such Alternative Currency.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xml:space="preserve">” means a certificate substantially in the form of any of </w:t>
      </w:r>
      <w:r>
        <w:rPr>
          <w:rFonts w:ascii="Arial" w:cs="Arial" w:eastAsia="Arial" w:hAnsi="Arial"/>
          <w:sz w:val="17"/>
          <w:szCs w:val="17"/>
          <w:u w:val="single" w:color="auto"/>
          <w:color w:val="auto"/>
        </w:rPr>
        <w:t>Exhibits H1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H4</w:t>
      </w:r>
      <w:r>
        <w:rPr>
          <w:rFonts w:ascii="Arial" w:cs="Arial" w:eastAsia="Arial" w:hAnsi="Arial"/>
          <w:sz w:val="17"/>
          <w:szCs w:val="17"/>
          <w:color w:val="auto"/>
        </w:rPr>
        <w:t>, as the context requires.</w:t>
      </w:r>
    </w:p>
    <w:p>
      <w:pPr>
        <w:spacing w:after="0" w:line="237"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Date</w:t>
      </w:r>
      <w:r>
        <w:rPr>
          <w:rFonts w:ascii="Arial" w:cs="Arial" w:eastAsia="Arial" w:hAnsi="Arial"/>
          <w:sz w:val="18"/>
          <w:szCs w:val="18"/>
          <w:color w:val="auto"/>
        </w:rPr>
        <w:t>” means (i) the date two Business Days prior to the making, continuing or converting of any Revolving Credit Loan or the date of issuance, amendment or continuation of any Letter of Credit, (ii) the first Business Day of each calendar month, (iii) any other date reasonably designated by the Administrative Agent or an L/C Issuer in order to reasonably assure a correct exchange rate or (iv) any date that is as otherwise expressly provided for herein.</w:t>
      </w:r>
    </w:p>
    <w:p>
      <w:pPr>
        <w:spacing w:after="0" w:line="180"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the Equity Interests of such Person that is at the time entitled to vote in the election of the board of directors of such Person.</w:t>
      </w:r>
    </w:p>
    <w:p>
      <w:pPr>
        <w:spacing w:after="0" w:line="16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determining the Weighted Average Life to Maturity of any Indebtedness that is being modified, refinanced, refunded, renewed, replaced or extended (the “</w:t>
      </w:r>
      <w:r>
        <w:rPr>
          <w:rFonts w:ascii="Arial" w:cs="Arial" w:eastAsia="Arial" w:hAnsi="Arial"/>
          <w:sz w:val="17"/>
          <w:szCs w:val="17"/>
          <w:b w:val="1"/>
          <w:bCs w:val="1"/>
          <w:color w:val="auto"/>
        </w:rPr>
        <w:t>Applicable Indebtedness</w:t>
      </w:r>
      <w:r>
        <w:rPr>
          <w:rFonts w:ascii="Arial" w:cs="Arial" w:eastAsia="Arial" w:hAnsi="Arial"/>
          <w:sz w:val="17"/>
          <w:szCs w:val="17"/>
          <w:color w:val="auto"/>
        </w:rPr>
        <w:t>”), the effect of any prepayments made on such Applicable Indebtedness prior to the date of the applicable modification, refinancing, refunding, renewal, replacement or extension shall be disregarded.</w:t>
      </w:r>
    </w:p>
    <w:p>
      <w:pPr>
        <w:spacing w:after="0" w:line="172"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any Loan Party and the Administrative Agent.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0" w:right="439" w:bottom="1440" w:gutter="0" w:footer="0" w:header="0"/>
        </w:sectPr>
      </w:pPr>
    </w:p>
    <w:bookmarkStart w:id="281" w:name="page282"/>
    <w:bookmarkEnd w:id="281"/>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firstLine="996"/>
        <w:spacing w:after="0" w:line="268" w:lineRule="auto"/>
        <w:tabs>
          <w:tab w:leader="none" w:pos="123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permitted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5" w:lineRule="exact"/>
        <w:rPr>
          <w:rFonts w:ascii="Arial" w:cs="Arial" w:eastAsia="Arial" w:hAnsi="Arial"/>
          <w:sz w:val="17"/>
          <w:szCs w:val="17"/>
          <w:color w:val="auto"/>
        </w:rPr>
      </w:pPr>
    </w:p>
    <w:p>
      <w:pPr>
        <w:ind w:right="120" w:firstLine="996"/>
        <w:spacing w:after="0" w:line="277" w:lineRule="auto"/>
        <w:tabs>
          <w:tab w:leader="none" w:pos="12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520" w:firstLine="996"/>
        <w:spacing w:after="0" w:line="277" w:lineRule="auto"/>
        <w:tabs>
          <w:tab w:leader="none" w:pos="123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firstLine="996"/>
        <w:spacing w:after="0" w:line="255" w:lineRule="auto"/>
        <w:tabs>
          <w:tab w:leader="none" w:pos="12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w:t>
      </w:r>
    </w:p>
    <w:p>
      <w:pPr>
        <w:spacing w:after="0" w:line="19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Accounting Terms</w:t>
      </w:r>
      <w:r>
        <w:rPr>
          <w:rFonts w:ascii="Arial" w:cs="Arial" w:eastAsia="Arial" w:hAnsi="Arial"/>
          <w:sz w:val="18"/>
          <w:szCs w:val="18"/>
          <w:color w:val="auto"/>
        </w:rPr>
        <w:t xml:space="preserve">. (a) </w:t>
      </w:r>
      <w:r>
        <w:rPr>
          <w:rFonts w:ascii="Arial" w:cs="Arial" w:eastAsia="Arial" w:hAnsi="Arial"/>
          <w:sz w:val="18"/>
          <w:szCs w:val="18"/>
          <w:i w:val="1"/>
          <w:iCs w:val="1"/>
          <w:color w:val="auto"/>
        </w:rPr>
        <w:t>Generally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1.03(b)</w:t>
      </w:r>
      <w:r>
        <w:rPr>
          <w:rFonts w:ascii="Arial" w:cs="Arial" w:eastAsia="Arial" w:hAnsi="Arial"/>
          <w:sz w:val="18"/>
          <w:szCs w:val="18"/>
          <w:color w:val="auto"/>
        </w:rPr>
        <w:t>, all accounting terms not specifically or completely defined herein shall be construed in conformity with GAAP, and all financial data (including financial ratios and other financial calculations) required to be submitted pursuant to this Agreement shall be prepared in conformity with GAAP, applied on a consistent basis, as in effect from time to time and applied in a manner consistent with that used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282" w:name="page283"/>
    <w:bookmarkEnd w:id="28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preparing the Closing Annual Financial Statements, except as otherwise specifically prescribed herein and except for any differences arising because the Closing Annual Financial Statements do not take into account BRBR and the transactions occurring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 change in GAAP occurs that would result in a change to the method of accounting for obligations relating to a lease that was accounted for by a Person as an operating lease as of September 30, 2019 (or any similar lease entered into after September 30, 2019 by such Person), such obligations shall be accounted for as obligations relating to an operating lease and not as a Capital Lease.</w:t>
      </w:r>
    </w:p>
    <w:p>
      <w:pPr>
        <w:spacing w:after="0" w:line="173" w:lineRule="exact"/>
        <w:rPr>
          <w:sz w:val="20"/>
          <w:szCs w:val="20"/>
          <w:color w:val="auto"/>
        </w:rPr>
      </w:pPr>
    </w:p>
    <w:p>
      <w:pPr>
        <w:ind w:right="120" w:firstLine="996"/>
        <w:spacing w:after="0" w:line="257" w:lineRule="auto"/>
        <w:tabs>
          <w:tab w:leader="none" w:pos="1247"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Changes in GAAP</w:t>
      </w:r>
      <w:r>
        <w:rPr>
          <w:rFonts w:ascii="Arial" w:cs="Arial" w:eastAsia="Arial" w:hAnsi="Arial"/>
          <w:sz w:val="18"/>
          <w:szCs w:val="18"/>
          <w:color w:val="auto"/>
        </w:rPr>
        <w:t>. If at any time any change in GAAP would affect the computation of any financial ratio or requirement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so amended, such ratio or requirement shall continue to be computed in accordance with GAAP prior to such change therein.</w:t>
      </w:r>
    </w:p>
    <w:p>
      <w:pPr>
        <w:spacing w:after="0" w:line="188" w:lineRule="exact"/>
        <w:rPr>
          <w:rFonts w:ascii="Arial" w:cs="Arial" w:eastAsia="Arial" w:hAnsi="Arial"/>
          <w:sz w:val="18"/>
          <w:szCs w:val="18"/>
          <w:color w:val="auto"/>
        </w:rPr>
      </w:pPr>
    </w:p>
    <w:p>
      <w:pPr>
        <w:ind w:firstLine="996"/>
        <w:spacing w:after="0" w:line="272" w:lineRule="auto"/>
        <w:tabs>
          <w:tab w:leader="none" w:pos="123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Rounding</w:t>
      </w:r>
      <w:r>
        <w:rPr>
          <w:rFonts w:ascii="Arial" w:cs="Arial" w:eastAsia="Arial" w:hAnsi="Arial"/>
          <w:sz w:val="18"/>
          <w:szCs w:val="18"/>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7"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Letter of Credit Amounts</w:t>
      </w:r>
      <w:r>
        <w:rPr>
          <w:rFonts w:ascii="Arial" w:cs="Arial" w:eastAsia="Arial" w:hAnsi="Arial"/>
          <w:sz w:val="16"/>
          <w:szCs w:val="16"/>
          <w:color w:val="auto"/>
        </w:rPr>
        <w: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283" w:name="page284"/>
    <w:bookmarkEnd w:id="283"/>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1.07 </w:t>
      </w:r>
      <w:r>
        <w:rPr>
          <w:rFonts w:ascii="Arial" w:cs="Arial" w:eastAsia="Arial" w:hAnsi="Arial"/>
          <w:sz w:val="17"/>
          <w:szCs w:val="17"/>
          <w:i w:val="1"/>
          <w:iCs w:val="1"/>
          <w:color w:val="auto"/>
        </w:rPr>
        <w:t>Currency Equivalents Generally; Change of Currency</w:t>
      </w:r>
      <w:r>
        <w:rPr>
          <w:rFonts w:ascii="Arial" w:cs="Arial" w:eastAsia="Arial" w:hAnsi="Arial"/>
          <w:sz w:val="17"/>
          <w:szCs w:val="17"/>
          <w:color w:val="auto"/>
        </w:rPr>
        <w:t xml:space="preserve">. For purposes of this Agreement and the other Loan Documents (other than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where the permissibility of a transaction or determinations of required actions or circumstances depend upon compliance with, or are determined by reference to, amounts stated in U.S. Dollars, such amounts shall be deemed to refer to U.S. Dollars or U.S. Dollar Equivalents and any requisite currency translation shall be based on the Spot Rate in effect on the Business Day of such transaction or determination. Notwithstanding the foregoing, 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with respect to any amount of Liens, Indebtedness or Investment in currencies other than U.S. Dollars, no Default shall be deemed to have occurred solely as a result of changes in rates of exchange occurring after the time such Lien is created, Indebtedness is incurred or Investment is made. Each provision of this Agreement shall be subject to such reasonable changes of construction as the Administrative Agent may from time to time specify with the Borrower’s consent (not to be unreasonably withheld) to appropriately reflect a change in currency of any country and any relevant market conventions or practices relating to such change in currency.</w:t>
      </w:r>
    </w:p>
    <w:p>
      <w:pPr>
        <w:spacing w:after="0" w:line="17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Timing of Payment and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Certain Calculations</w:t>
      </w:r>
      <w:r>
        <w:rPr>
          <w:rFonts w:ascii="Arial" w:cs="Arial" w:eastAsia="Arial" w:hAnsi="Arial"/>
          <w:sz w:val="18"/>
          <w:szCs w:val="18"/>
          <w:color w:val="auto"/>
        </w:rPr>
        <w:t>.</w:t>
      </w:r>
    </w:p>
    <w:p>
      <w:pPr>
        <w:spacing w:after="0" w:line="225" w:lineRule="exact"/>
        <w:rPr>
          <w:sz w:val="20"/>
          <w:szCs w:val="20"/>
          <w:color w:val="auto"/>
        </w:rPr>
      </w:pPr>
    </w:p>
    <w:p>
      <w:pPr>
        <w:ind w:right="40" w:firstLine="996"/>
        <w:spacing w:after="0" w:line="257" w:lineRule="auto"/>
        <w:tabs>
          <w:tab w:leader="none" w:pos="12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pro forma calculations permitted or required to be made by the Borrower or any Restricted Subsidiary pursuant to this Agreement shall include only those adjustments that have been certified by a Responsible Officer of the Borrower as having been prepared in good faith based upon reasonably detailed written assumptions believed by the Borrower at the time of preparation to be reasonable and which are reasonably foreseeable. Any ratio calculated hereunder that includes Consolidated EBITDA shall look to Consolidated EBITDA for the most recently completed Measurement Period.</w:t>
      </w:r>
    </w:p>
    <w:p>
      <w:pPr>
        <w:spacing w:after="0" w:line="188" w:lineRule="exact"/>
        <w:rPr>
          <w:rFonts w:ascii="Arial" w:cs="Arial" w:eastAsia="Arial" w:hAnsi="Arial"/>
          <w:sz w:val="18"/>
          <w:szCs w:val="18"/>
          <w:color w:val="auto"/>
        </w:rPr>
      </w:pPr>
    </w:p>
    <w:p>
      <w:pPr>
        <w:ind w:left="1260" w:hanging="264"/>
        <w:spacing w:after="0"/>
        <w:tabs>
          <w:tab w:leader="none" w:pos="1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pro forma Secured Net Leverage Ratio and Total Net Leverage Ratio shall be calculated as follows:</w:t>
      </w:r>
    </w:p>
    <w:p>
      <w:pPr>
        <w:spacing w:after="0" w:line="117" w:lineRule="exact"/>
        <w:rPr>
          <w:rFonts w:ascii="Arial" w:cs="Arial" w:eastAsia="Arial" w:hAnsi="Arial"/>
          <w:sz w:val="18"/>
          <w:szCs w:val="18"/>
          <w:color w:val="auto"/>
        </w:rPr>
      </w:pPr>
    </w:p>
    <w:p>
      <w:pPr>
        <w:ind w:left="440" w:right="20" w:firstLine="745"/>
        <w:spacing w:after="0" w:line="291" w:lineRule="auto"/>
        <w:tabs>
          <w:tab w:leader="none" w:pos="1395"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 the event that the Borrower or any Restricted Subsidiary incurs, assumes, guarantees, redeems, retires or extinguishes any Indebtedness subsequent to the last day of the Measurement Period for which such pro forma ratio is being calculated but on or prior to the date of the event for which the calculation of such pro forma ratio is being made (a “</w:t>
      </w:r>
      <w:r>
        <w:rPr>
          <w:rFonts w:ascii="Arial" w:cs="Arial" w:eastAsia="Arial" w:hAnsi="Arial"/>
          <w:sz w:val="16"/>
          <w:szCs w:val="16"/>
          <w:b w:val="1"/>
          <w:bCs w:val="1"/>
          <w:color w:val="auto"/>
        </w:rPr>
        <w:t>Ratio Calculation Date</w:t>
      </w:r>
      <w:r>
        <w:rPr>
          <w:rFonts w:ascii="Arial" w:cs="Arial" w:eastAsia="Arial" w:hAnsi="Arial"/>
          <w:sz w:val="16"/>
          <w:szCs w:val="16"/>
          <w:color w:val="auto"/>
        </w:rPr>
        <w:t xml:space="preserve">”), then such pro forma ratio shall be calculated as if such incurrence, assumption, guarantee, redemption, retirement or extinguishment of Indebtedness (and all other incurrences, assumptions, guarantees, redemptions, retirements or extinguishments of Indebtedness consummated since the last day of the applicable Measurement Period but on or prior to the Ratio Calculation Date) had occurred at the last day of the applicable Measurement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 the case of any incurrence of Indebtedness or establishment of any revolving credit or delayed draw commitments,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284" w:name="page285"/>
    <w:bookmarkEnd w:id="284"/>
    <w:p>
      <w:pPr>
        <w:ind w:left="420" w:right="220" w:firstLine="4"/>
        <w:spacing w:after="0" w:line="320" w:lineRule="auto"/>
        <w:tabs>
          <w:tab w:leader="none" w:pos="675" w:val="left"/>
        </w:tabs>
        <w:numPr>
          <w:ilvl w:val="0"/>
          <w:numId w:val="2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borrowing of the maximum amount of Indebtedness available under such revolving credit or delayed draw commitments shall be assumed and (y) the cash proceeds of such incurred Indebtedness shall be excluded from amounts that may be netted in the calculation of the pro forma Secured Net Leverage Ratio or Total Net Leverage Ratio, as applicable and (ii) the pro forma Consolidated Interest Charges for the applicable Measurement Period shall be calculated assuming such Indebtedness had been outstanding or repaid, as the case may be, since the first day and through the end of the applicable Measurement Period (taking into account any interest rate Swap Contracts applicable to such Indebtedness);</w:t>
      </w:r>
    </w:p>
    <w:p>
      <w:pPr>
        <w:spacing w:after="0" w:line="38" w:lineRule="exact"/>
        <w:rPr>
          <w:rFonts w:ascii="Arial" w:cs="Arial" w:eastAsia="Arial" w:hAnsi="Arial"/>
          <w:sz w:val="15"/>
          <w:szCs w:val="15"/>
          <w:color w:val="auto"/>
        </w:rPr>
      </w:pPr>
    </w:p>
    <w:p>
      <w:pPr>
        <w:ind w:left="420" w:firstLine="745"/>
        <w:spacing w:after="0" w:line="285" w:lineRule="auto"/>
        <w:tabs>
          <w:tab w:leader="none" w:pos="1425" w:val="left"/>
        </w:tabs>
        <w:numPr>
          <w:ilvl w:val="2"/>
          <w:numId w:val="287"/>
        </w:numPr>
        <w:rPr>
          <w:rFonts w:ascii="Arial" w:cs="Arial" w:eastAsia="Arial" w:hAnsi="Arial"/>
          <w:sz w:val="16"/>
          <w:szCs w:val="16"/>
          <w:color w:val="auto"/>
        </w:rPr>
      </w:pPr>
      <w:r>
        <w:rPr>
          <w:rFonts w:ascii="Arial" w:cs="Arial" w:eastAsia="Arial" w:hAnsi="Arial"/>
          <w:sz w:val="16"/>
          <w:szCs w:val="16"/>
          <w:color w:val="auto"/>
        </w:rPr>
        <w:t>in the event that any Permitted Acquisitions or other permitted Investments in the nature of an acquisition are made subsequent to the last day of the applicable Measurement Period for which such pro forma ratio is being calculated but on or prior to the Ratio Calculation Date, then Consolidated EBITDA shall be (x) increased by an amount equal to the Consolidated EBITDA attributable to the property or Investment that is the subject of such Permitted Acquisition or other permitted Investment in the nature of an acquisition, in each case assuming such Permitted Acquisition or other permitted Investment in the nature of an acquisition had been made on the first day of the applicable Measurement Period and</w:t>
      </w:r>
    </w:p>
    <w:p>
      <w:pPr>
        <w:spacing w:after="0" w:line="2" w:lineRule="exact"/>
        <w:rPr>
          <w:rFonts w:ascii="Arial" w:cs="Arial" w:eastAsia="Arial" w:hAnsi="Arial"/>
          <w:sz w:val="16"/>
          <w:szCs w:val="16"/>
          <w:color w:val="auto"/>
        </w:rPr>
      </w:pPr>
    </w:p>
    <w:p>
      <w:pPr>
        <w:ind w:left="680" w:hanging="256"/>
        <w:spacing w:after="0"/>
        <w:tabs>
          <w:tab w:leader="none" w:pos="6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otherwise calculated as set forth in the third paragraph of the definition of “Consolidated EBITDA” on a Pro Forma Basis;</w:t>
      </w:r>
    </w:p>
    <w:p>
      <w:pPr>
        <w:spacing w:after="0" w:line="102" w:lineRule="exact"/>
        <w:rPr>
          <w:rFonts w:ascii="Arial" w:cs="Arial" w:eastAsia="Arial" w:hAnsi="Arial"/>
          <w:sz w:val="18"/>
          <w:szCs w:val="18"/>
          <w:color w:val="auto"/>
        </w:rPr>
      </w:pPr>
    </w:p>
    <w:p>
      <w:pPr>
        <w:ind w:left="420" w:right="20" w:firstLine="745"/>
        <w:spacing w:after="0" w:line="257" w:lineRule="auto"/>
        <w:tabs>
          <w:tab w:leader="none" w:pos="1475" w:val="left"/>
        </w:tabs>
        <w:numPr>
          <w:ilvl w:val="2"/>
          <w:numId w:val="288"/>
        </w:numPr>
        <w:rPr>
          <w:rFonts w:ascii="Arial" w:cs="Arial" w:eastAsia="Arial" w:hAnsi="Arial"/>
          <w:sz w:val="18"/>
          <w:szCs w:val="18"/>
          <w:color w:val="auto"/>
        </w:rPr>
      </w:pPr>
      <w:r>
        <w:rPr>
          <w:rFonts w:ascii="Arial" w:cs="Arial" w:eastAsia="Arial" w:hAnsi="Arial"/>
          <w:sz w:val="18"/>
          <w:szCs w:val="18"/>
          <w:color w:val="auto"/>
        </w:rPr>
        <w:t>in the event that Dispositions are made subsequent to the last day of the applicable Measurement Period for which such pro forma ratio is being calculated but on or prior to the relevant Ratio Calculation Date, then Consolidated EBITDA shall be reduced by an amount equal to the Consolidated EBITDA (if positive) attributable to the property that is the subject of such Disposition or increased by an amount equal to the Consolidated EBITDA (if negative) attributable thereto, in each case assuming such Disposition had been made on the first day of the applicable Measurement Period; and</w:t>
      </w:r>
    </w:p>
    <w:p>
      <w:pPr>
        <w:spacing w:after="0" w:line="80" w:lineRule="exact"/>
        <w:rPr>
          <w:rFonts w:ascii="Arial" w:cs="Arial" w:eastAsia="Arial" w:hAnsi="Arial"/>
          <w:sz w:val="18"/>
          <w:szCs w:val="18"/>
          <w:color w:val="auto"/>
        </w:rPr>
      </w:pPr>
    </w:p>
    <w:p>
      <w:pPr>
        <w:ind w:left="420" w:right="200" w:firstLine="745"/>
        <w:spacing w:after="0" w:line="308" w:lineRule="auto"/>
        <w:tabs>
          <w:tab w:leader="none" w:pos="1465" w:val="left"/>
        </w:tabs>
        <w:numPr>
          <w:ilvl w:val="2"/>
          <w:numId w:val="288"/>
        </w:numPr>
        <w:rPr>
          <w:rFonts w:ascii="Arial" w:cs="Arial" w:eastAsia="Arial" w:hAnsi="Arial"/>
          <w:sz w:val="17"/>
          <w:szCs w:val="17"/>
          <w:color w:val="auto"/>
        </w:rPr>
      </w:pPr>
      <w:r>
        <w:rPr>
          <w:rFonts w:ascii="Arial" w:cs="Arial" w:eastAsia="Arial" w:hAnsi="Arial"/>
          <w:sz w:val="17"/>
          <w:szCs w:val="17"/>
          <w:color w:val="auto"/>
        </w:rPr>
        <w:t>for the avoidance of doubt, the cash used in connection with any transaction specified above shall be excluded from amounts that may be netted in the calculation of pro forma Secured Net Leverage Ratio or Total Net Leverage Ratio, as applicable.</w:t>
      </w:r>
    </w:p>
    <w:p>
      <w:pPr>
        <w:spacing w:after="0" w:line="146" w:lineRule="exact"/>
        <w:rPr>
          <w:rFonts w:ascii="Arial" w:cs="Arial" w:eastAsia="Arial" w:hAnsi="Arial"/>
          <w:sz w:val="17"/>
          <w:szCs w:val="17"/>
          <w:color w:val="auto"/>
        </w:rPr>
      </w:pPr>
    </w:p>
    <w:p>
      <w:pPr>
        <w:ind w:left="-20" w:right="80" w:firstLine="996"/>
        <w:spacing w:after="0" w:line="270" w:lineRule="auto"/>
        <w:tabs>
          <w:tab w:leader="none" w:pos="1217" w:val="left"/>
        </w:tabs>
        <w:numPr>
          <w:ilvl w:val="1"/>
          <w:numId w:val="28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solely for the purpose of (A) measuring the relevant financial ratios and basket availability or pro forma compliance with any covenant with respect to the incurrence of any Indebtedness (including any Incremental Term Loans, Incremental Revolving Loans, Incremental Term Loan Commitments or Incremental Revolving Credit Commitments) or Liens or the making of any Investments (including the determination of whether an acquisition is a Permitted Acquisition) or Dispositions or the designation of any Subsidiary as a Restricted Subsidiary or an Unrestricted Subsidiary or (B) other than in connection with the incurrence of any Incremental Revolving Credit Commitments, any Other Revolving Commitments or any Revolving Credit Loans, determining compliance with representations and warranties or the occurrence of any Default or Event of Default, in each case, in connection with a Limited Condition Acquisition or the incurrence or payment of Indebtedness or incurrence of Liens in connection therewith, if the Borrower has made an LCA Election with respect to such Limited Condition Acquisition, the date of determination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60" w:top="274" w:right="459" w:bottom="1440" w:gutter="0" w:footer="0" w:header="0"/>
        </w:sectPr>
      </w:pPr>
    </w:p>
    <w:bookmarkStart w:id="285" w:name="page286"/>
    <w:bookmarkEnd w:id="28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any such action is permitted hereunder shall be deemed to be the date on which the definitive agreements for such Limited Condition Acquisition are entered into (the “</w:t>
      </w:r>
      <w:r>
        <w:rPr>
          <w:rFonts w:ascii="Arial" w:cs="Arial" w:eastAsia="Arial" w:hAnsi="Arial"/>
          <w:sz w:val="16"/>
          <w:szCs w:val="16"/>
          <w:b w:val="1"/>
          <w:bCs w:val="1"/>
          <w:color w:val="auto"/>
        </w:rPr>
        <w:t>LCA Test Date</w:t>
      </w:r>
      <w:r>
        <w:rPr>
          <w:rFonts w:ascii="Arial" w:cs="Arial" w:eastAsia="Arial" w:hAnsi="Arial"/>
          <w:sz w:val="16"/>
          <w:szCs w:val="16"/>
          <w:color w:val="auto"/>
        </w:rPr>
        <w:t>”), and if, after giving effect on a Pro Forma Basis to the Limited Condition Acquisition and the other transactions to be entered into in connection therewith as if they had occurred at the beginning of the most recently completed Measurement Period ending prior to the LCA Test Date, the Borrower could have taken such action on the relevant LCA Test Date in compliance with such financial ratio or basket, such financial ratio or basket shall be deemed to have been complied with. If the Borrower has made an LCA Election for any Limited Condition Acquisition, then in connection with any subsequent calculation of any financial ratio or basket availability on or following the relevant LCA Test Date and prior to the earlier of (x) the date on which such Limited Condition Acquisition is consummated or (y) the date that the definitive agreement for such Limited Condition Acquisition is terminated or expires without consummation of such Limited Condition Acquisition, any such financial ratio or basket availability shall be calculated (and tested) on (A) a Pro Forma Basis assuming such Limited Condition Acquisition and other transactions in connection therewith (including any incurrence or payment of Indebtedness (and the use of proceeds of such Indebtedness) or the incurrence of any Liens in connection therewith) have been consummated until such time as the applicable Limited Condition Acquisition has actually closed or the definitive agreement with respect thereto has been terminated and (B) solely with respect to the making of any Restricted Payments, on a standalone basis without giving effect to such Limited Condition Acquisition and the other transactions in connection therewith.</w:t>
      </w:r>
    </w:p>
    <w:p>
      <w:pPr>
        <w:spacing w:after="0" w:line="175" w:lineRule="exact"/>
        <w:rPr>
          <w:sz w:val="20"/>
          <w:szCs w:val="20"/>
          <w:color w:val="auto"/>
        </w:rPr>
      </w:pPr>
    </w:p>
    <w:p>
      <w:pPr>
        <w:ind w:firstLine="996"/>
        <w:spacing w:after="0" w:line="276" w:lineRule="auto"/>
        <w:tabs>
          <w:tab w:leader="none" w:pos="124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7.14</w:t>
      </w:r>
      <w:r>
        <w:rPr>
          <w:rFonts w:ascii="Arial" w:cs="Arial" w:eastAsia="Arial" w:hAnsi="Arial"/>
          <w:sz w:val="17"/>
          <w:szCs w:val="17"/>
          <w:color w:val="auto"/>
        </w:rPr>
        <w:t>, with respect to any grant of any Lien, the making of any Investment or Restricted Payment, the incurrence of any Indebtedness or the prepayment, redemption, purchase, defeasement or satisfaction of Restricted Indebtedness (each, a “</w:t>
      </w:r>
      <w:r>
        <w:rPr>
          <w:rFonts w:ascii="Arial" w:cs="Arial" w:eastAsia="Arial" w:hAnsi="Arial"/>
          <w:sz w:val="17"/>
          <w:szCs w:val="17"/>
          <w:b w:val="1"/>
          <w:bCs w:val="1"/>
          <w:color w:val="auto"/>
        </w:rPr>
        <w:t>Covenant Transaction</w:t>
      </w:r>
      <w:r>
        <w:rPr>
          <w:rFonts w:ascii="Arial" w:cs="Arial" w:eastAsia="Arial" w:hAnsi="Arial"/>
          <w:sz w:val="17"/>
          <w:szCs w:val="17"/>
          <w:color w:val="auto"/>
        </w:rPr>
        <w:t>”) in reliance on a “basket” that makes reference to a percentage of Consolidated EBITDA, no Default or Event of Default shall be deemed to have occurred solely as a result of changes in the amount of Consolidated EBITDA occurring after the time such Covenant Transaction is incurred, granted or made in reliance on such provision.</w:t>
      </w:r>
    </w:p>
    <w:p>
      <w:pPr>
        <w:spacing w:after="0" w:line="172" w:lineRule="exact"/>
        <w:rPr>
          <w:rFonts w:ascii="Arial" w:cs="Arial" w:eastAsia="Arial" w:hAnsi="Arial"/>
          <w:sz w:val="17"/>
          <w:szCs w:val="17"/>
          <w:color w:val="auto"/>
        </w:rPr>
      </w:pPr>
    </w:p>
    <w:p>
      <w:pPr>
        <w:ind w:right="80" w:firstLine="996"/>
        <w:spacing w:after="0" w:line="255" w:lineRule="auto"/>
        <w:tabs>
          <w:tab w:leader="none" w:pos="123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For purposes of calculating any “net” ratio test utilized in any debt incurrence test (including any amounts permitted to be incurred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7.03(s)</w:t>
      </w:r>
      <w:r>
        <w:rPr>
          <w:rFonts w:ascii="Arial" w:cs="Arial" w:eastAsia="Arial" w:hAnsi="Arial"/>
          <w:sz w:val="18"/>
          <w:szCs w:val="18"/>
          <w:color w:val="auto"/>
        </w:rPr>
        <w:t>), such ratio shall be calculated after giving effect to any such incurrence on a pro forma basis, and, in each case, with respect to any revolving credit or delayed draw commitments being established utilizing a debt incurrence test (including any Incremental Revolving Commitment), assuming a borrowing of the maximum amount of such revolving credit or delayed draw commitment (but for the avoidance of doubt, no other previously established revolving commitment), and such calculation shall be made excluding the cash proceeds from such incurrence from the amount of cash and Cash Equivalents that may be netted in the calculation of pro forma Secured Net Leverage Ratio or Total Net Leverage Ratio, as applicable.</w:t>
      </w:r>
    </w:p>
    <w:p>
      <w:pPr>
        <w:spacing w:after="0" w:line="189" w:lineRule="exact"/>
        <w:rPr>
          <w:rFonts w:ascii="Arial" w:cs="Arial" w:eastAsia="Arial" w:hAnsi="Arial"/>
          <w:sz w:val="18"/>
          <w:szCs w:val="18"/>
          <w:color w:val="auto"/>
        </w:rPr>
      </w:pPr>
    </w:p>
    <w:p>
      <w:pPr>
        <w:ind w:right="20" w:firstLine="996"/>
        <w:spacing w:after="0" w:line="259" w:lineRule="auto"/>
        <w:tabs>
          <w:tab w:leader="none" w:pos="121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at any time with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 Section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in the event that any Lien, Indebtedness, Investment, Restricted Payment or payment of Restricted Indebtedness, as applicable, meets the criteria of more than one of the categories of transactions within such covenant or items permitted pursuant to any clause of such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7.14</w:t>
      </w:r>
      <w:r>
        <w:rPr>
          <w:rFonts w:ascii="Arial" w:cs="Arial" w:eastAsia="Arial" w:hAnsi="Arial"/>
          <w:sz w:val="18"/>
          <w:szCs w:val="18"/>
          <w:color w:val="auto"/>
        </w:rPr>
        <w:t>, the Borrower, in its sole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286" w:name="page287"/>
    <w:bookmarkEnd w:id="28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discretion, from time to time, may classify or reclassify such transaction or item (or portion thereof) and will only be required to include the amount and type of such transaction (or portion thereof) in any one category; provided that, notwithstanding the foregoing, Liens of the nature described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may only be incurred and exist under such respective sections, Indebtedness of the nature described in </w:t>
      </w:r>
      <w:r>
        <w:rPr>
          <w:rFonts w:ascii="Arial" w:cs="Arial" w:eastAsia="Arial" w:hAnsi="Arial"/>
          <w:sz w:val="17"/>
          <w:szCs w:val="17"/>
          <w:u w:val="single" w:color="auto"/>
          <w:color w:val="auto"/>
        </w:rPr>
        <w:t>Section 7.03(d)</w:t>
      </w:r>
      <w:r>
        <w:rPr>
          <w:rFonts w:ascii="Arial" w:cs="Arial" w:eastAsia="Arial" w:hAnsi="Arial"/>
          <w:sz w:val="17"/>
          <w:szCs w:val="17"/>
          <w:color w:val="auto"/>
        </w:rPr>
        <w:t xml:space="preserve"> may only be incurred and exist under such Section and Incremental Equivalent Debt may only be incurred under </w:t>
      </w:r>
      <w:r>
        <w:rPr>
          <w:rFonts w:ascii="Arial" w:cs="Arial" w:eastAsia="Arial" w:hAnsi="Arial"/>
          <w:sz w:val="17"/>
          <w:szCs w:val="17"/>
          <w:u w:val="single" w:color="auto"/>
          <w:color w:val="auto"/>
        </w:rPr>
        <w:t>Section 7.03(s)</w:t>
      </w:r>
      <w:r>
        <w:rPr>
          <w:rFonts w:ascii="Arial" w:cs="Arial" w:eastAsia="Arial" w:hAnsi="Arial"/>
          <w:sz w:val="17"/>
          <w:szCs w:val="17"/>
          <w:color w:val="auto"/>
        </w:rPr>
        <w:t>.</w:t>
      </w:r>
    </w:p>
    <w:p>
      <w:pPr>
        <w:spacing w:after="0" w:line="17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The Loans</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57" w:lineRule="auto"/>
        <w:tabs>
          <w:tab w:leader="none" w:pos="123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each Term B Lender severally agrees to make a single loan to the Borrower on the Closing Date in an amount not to exceed such Term B Lender’s Term B Commitment. The Term B Borrowing shall consist of Term B Loans made simultaneously by the Term B Lenders in accordance with their respective Applicable Percentage of the Term B Facility. Amounts borrowed under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repaid or prepaid may not be reborrowed. Term B Loans shall be denominated in Dollars and may be Base Rate Loans or Eurodollar Rate Loans, as further provided herein.</w:t>
      </w:r>
    </w:p>
    <w:p>
      <w:pPr>
        <w:spacing w:after="0" w:line="188" w:lineRule="exact"/>
        <w:rPr>
          <w:rFonts w:ascii="Arial" w:cs="Arial" w:eastAsia="Arial" w:hAnsi="Arial"/>
          <w:sz w:val="18"/>
          <w:szCs w:val="18"/>
          <w:color w:val="auto"/>
        </w:rPr>
      </w:pPr>
    </w:p>
    <w:p>
      <w:pPr>
        <w:ind w:left="1260" w:hanging="264"/>
        <w:spacing w:after="0"/>
        <w:tabs>
          <w:tab w:leader="none" w:pos="12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each Revolving Credit Lender severally agrees to make loans (each such loan,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Loan</w:t>
      </w:r>
      <w:r>
        <w:rPr>
          <w:rFonts w:ascii="Arial" w:cs="Arial" w:eastAsia="Arial" w:hAnsi="Arial"/>
          <w:sz w:val="16"/>
          <w:szCs w:val="16"/>
          <w:color w:val="auto"/>
        </w:rPr>
        <w:t>”) to the Borrower in U.S. Dollars or an Alternative Currency, in each case, from time to time, on any Business Day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Availability Period for the Revolving Credit Facility under which such Revolving Credit Lender has a Revolving Credit Commitment, in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aggregate amount not to exceed at any time outstanding the amount of such Revolving Credit Lender’s Revolving Credit Commitment; </w:t>
      </w:r>
      <w:r>
        <w:rPr>
          <w:rFonts w:ascii="Arial" w:cs="Arial" w:eastAsia="Arial" w:hAnsi="Arial"/>
          <w:sz w:val="17"/>
          <w:szCs w:val="17"/>
          <w:i w:val="1"/>
          <w:iCs w:val="1"/>
          <w:color w:val="auto"/>
        </w:rPr>
        <w:t>provided,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after giving effect to any Revolving Credit Borrowing, (i) the Total Revolving Credit Outstandings shall not exceed the aggregate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Revolving Credit Lenders’ Revolving Credit Commitments at such time and (ii) the aggregate Outstanding Amount of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L/C Obligations shall not exceed such Revolving Credit Lender’s Revolving Credit Commitment; </w:t>
      </w:r>
      <w:r>
        <w:rPr>
          <w:rFonts w:ascii="Arial" w:cs="Arial" w:eastAsia="Arial" w:hAnsi="Arial"/>
          <w:sz w:val="17"/>
          <w:szCs w:val="17"/>
          <w:i w:val="1"/>
          <w:iCs w:val="1"/>
          <w:color w:val="auto"/>
        </w:rPr>
        <w:t>provided, further</w:t>
      </w:r>
      <w:r>
        <w:rPr>
          <w:rFonts w:ascii="Arial" w:cs="Arial" w:eastAsia="Arial" w:hAnsi="Arial"/>
          <w:sz w:val="17"/>
          <w:szCs w:val="17"/>
          <w:color w:val="auto"/>
        </w:rPr>
        <w:t>, that solely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Loans made on the Closing Date, amounts available to be drawn under the Revolving Credit Facility shall not be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 Within the limits of each Revolving Credit Lender’s Revolving Credit Commitment, and subject to the other terms and conditions 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Revolving Credit Loans</w:t>
      </w:r>
    </w:p>
    <w:p>
      <w:pPr>
        <w:spacing w:after="0" w:line="21" w:lineRule="exact"/>
        <w:rPr>
          <w:sz w:val="20"/>
          <w:szCs w:val="20"/>
          <w:color w:val="auto"/>
        </w:rPr>
      </w:pPr>
    </w:p>
    <w:p>
      <w:pPr>
        <w:ind w:right="80" w:firstLine="4"/>
        <w:spacing w:after="0" w:line="261" w:lineRule="auto"/>
        <w:tabs>
          <w:tab w:leader="none" w:pos="25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denominated in U.S. Dollars may be Base Rate Loans or Eurodollar Rate Loans and (y) denominated in an Alternative Currency shall be Eurodollar Rate Loans, in each case, as further provided herein.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87" w:name="page288"/>
    <w:bookmarkEnd w:id="2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i w:val="1"/>
          <w:iCs w:val="1"/>
          <w:color w:val="auto"/>
        </w:rPr>
        <w:t>Borrowings, Conversions and Continuations of Loans</w:t>
      </w:r>
      <w:r>
        <w:rPr>
          <w:rFonts w:ascii="Arial" w:cs="Arial" w:eastAsia="Arial" w:hAnsi="Arial"/>
          <w:sz w:val="18"/>
          <w:szCs w:val="18"/>
          <w:color w:val="auto"/>
        </w:rPr>
        <w:t>.</w:t>
      </w:r>
    </w:p>
    <w:p>
      <w:pPr>
        <w:spacing w:after="0" w:line="225" w:lineRule="exact"/>
        <w:rPr>
          <w:sz w:val="20"/>
          <w:szCs w:val="20"/>
          <w:color w:val="auto"/>
        </w:rPr>
      </w:pPr>
    </w:p>
    <w:p>
      <w:pPr>
        <w:ind w:right="120" w:firstLine="996"/>
        <w:spacing w:after="0" w:line="285" w:lineRule="auto"/>
        <w:tabs>
          <w:tab w:leader="none" w:pos="1237"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Each Borrowing, each conversion of Term Loans or Revolving Credit Loans from one Type to the other, and each continuation of Eurodollar Rate Loans shall be made upon the Borrower’s irrevocable notice to the Administrative Agent, which may be given by “pdf” or similar electronic format, in the form of a Committed Loan Notice or a Conversion/Continuation Notice, as applicable (each, a “</w:t>
      </w:r>
      <w:r>
        <w:rPr>
          <w:rFonts w:ascii="Arial" w:cs="Arial" w:eastAsia="Arial" w:hAnsi="Arial"/>
          <w:sz w:val="16"/>
          <w:szCs w:val="16"/>
          <w:b w:val="1"/>
          <w:bCs w:val="1"/>
          <w:color w:val="auto"/>
        </w:rPr>
        <w:t>Notice</w:t>
      </w:r>
      <w:r>
        <w:rPr>
          <w:rFonts w:ascii="Arial" w:cs="Arial" w:eastAsia="Arial" w:hAnsi="Arial"/>
          <w:sz w:val="16"/>
          <w:szCs w:val="16"/>
          <w:color w:val="auto"/>
        </w:rPr>
        <w:t>”). Each such Notice must be received by the Administrative Agent not later than (i) 11:00 a.m. three Business Days prior to the requested date of any Borrowing or continuation of Eurodollar Rate Loans denominated in Dollars or of any conversion of or conversion to Eurodollar Rate Loans denominated in Dollars,</w:t>
      </w:r>
    </w:p>
    <w:p>
      <w:pPr>
        <w:spacing w:after="0" w:line="2" w:lineRule="exact"/>
        <w:rPr>
          <w:rFonts w:ascii="Arial" w:cs="Arial" w:eastAsia="Arial" w:hAnsi="Arial"/>
          <w:sz w:val="16"/>
          <w:szCs w:val="16"/>
          <w:color w:val="auto"/>
        </w:rPr>
      </w:pPr>
    </w:p>
    <w:p>
      <w:pPr>
        <w:ind w:right="20" w:firstLine="4"/>
        <w:spacing w:after="0" w:line="281" w:lineRule="auto"/>
        <w:tabs>
          <w:tab w:leader="none" w:pos="26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11:00 a.m. four Business Days prior to the requested day of any Borrowing or continuation of Eurodollar Rate Loans denominated in any Alternative Currency (iii) 11:00 a.m. on the requested date of any Borrowing of Base Rate Loans. Each Borrowing of, conversion to or continuation of Eurodollar Rate Loans shall be in a minimum principal amount of $5,000,000 and whole multiples of $1,000,000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each Borrowing of or conversion to Base Rate Loans shall be in a minimum principal amount of $1,000,000 or a whole multiple of $500,000 in excess thereof. Each Notice shall specify, as applicable, (1) whether the Borrower is requesting a Term Borrowing, a Revolving Credit Borrowing, a conversion of Term Loans or Revolving Credit Loans from one Type to the other, or a continuation of Eurodollar Rate Loans, and in each case, the Class of the relevant Loans and Borrowings, (2) the requested date of the Borrowing, conversion or continuation, as the case may be (which shall be a Business Day), (3) the principal amount of Loans to be borrowed, converted or continued, (4) the Type of Loans to be borrowed or to which existing Term Loans or Revolving Credit Loans are to be converted, (5) if applicable, the duration of the applicable Interest Period with respect thereto and (6) in the case of Revolving Credit Borrowings or Revolving Credit Loans, the currency of the Loans to be borrowed, continued or converted</w:t>
      </w:r>
    </w:p>
    <w:p>
      <w:pPr>
        <w:spacing w:after="0" w:line="6"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that if the Borrower shall fail to so specify, the applicable Revolving Credit Borrowing shall be denominated in U.S. Dollars). With respect to Loans denominated in U.S. Dollars,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or Conversion/Continuation Notice, as applicable, but fails to specify an Interest Period, it will be deemed to have specified an Interest Period of one month. If the Borrower fails to give a timely notice requesting a continuation of Eurodollar Rate Loans (other than Loans denominated in U.S. Dollars), then the Interest Period applicable to the Loans will be deemed to be an Interest Period of one month. No Loan may be converted into or continued as a Loan denominated in a different currency, but instead must be repaid or prepaid in the original currency of such Loan and reborrowed in such other currency. The Term B Loan funded on the Closing Date shall be denominated in U.S. Dollars.</w:t>
      </w:r>
    </w:p>
    <w:p>
      <w:pPr>
        <w:spacing w:after="0" w:line="170" w:lineRule="exact"/>
        <w:rPr>
          <w:rFonts w:ascii="Arial" w:cs="Arial" w:eastAsia="Arial" w:hAnsi="Arial"/>
          <w:sz w:val="16"/>
          <w:szCs w:val="16"/>
          <w:color w:val="auto"/>
        </w:rPr>
      </w:pPr>
    </w:p>
    <w:p>
      <w:pPr>
        <w:ind w:firstLine="996"/>
        <w:spacing w:after="0" w:line="264" w:lineRule="auto"/>
        <w:tabs>
          <w:tab w:leader="none" w:pos="124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Following receipt of a Committed Loan Notice, the Administrative Agent shall promptly notify each Appropriate Lender of the amount of its Applicable Percentage under the applicable Facility of the applicable Term Loans or Revolving Credit Loans, and if no timely notice of a conversion or continuation is provided by the Borrower, the Administrative Agent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288" w:name="page289"/>
    <w:bookmarkEnd w:id="28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notify each Lender of the details of any automatic conversion to Base Rate Loans described in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In the case of a Borrowing, each Appropriate Lender shall make the amount of its Loan available to the Administrative Agent in Same Day Funds at the Administrative Agent’s Office not later than 12:00 p.m., in the case of any Eurodollar Rate Loan or Base Rate Loan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if such Borrowing is to be made on the Closing Date,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by wire transfer of such funds in accordance with instructions provided to (and reasonably acceptable to) the Administrative Agent by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if, on the date a Committed Loan Notice with respect to a Revolving Credit Borrowing is given by the Borrower, there are L/C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then the proceeds of such Revolving Credit Borrowing, first, shall be applied to the payment in full of any such L/C Borrowings, and second, shall be made available to the Borrower as provided above.</w:t>
      </w:r>
    </w:p>
    <w:p>
      <w:pPr>
        <w:spacing w:after="0" w:line="182" w:lineRule="exact"/>
        <w:rPr>
          <w:sz w:val="20"/>
          <w:szCs w:val="20"/>
          <w:color w:val="auto"/>
        </w:rPr>
      </w:pPr>
    </w:p>
    <w:p>
      <w:pPr>
        <w:ind w:right="20" w:firstLine="996"/>
        <w:spacing w:after="0" w:line="286" w:lineRule="auto"/>
        <w:tabs>
          <w:tab w:leader="none" w:pos="123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Revolving Credit Lenders or the Required Term B Lenders, as applicable.</w:t>
      </w:r>
    </w:p>
    <w:p>
      <w:pPr>
        <w:spacing w:after="0" w:line="165" w:lineRule="exact"/>
        <w:rPr>
          <w:rFonts w:ascii="Arial" w:cs="Arial" w:eastAsia="Arial" w:hAnsi="Arial"/>
          <w:sz w:val="17"/>
          <w:szCs w:val="17"/>
          <w:color w:val="auto"/>
        </w:rPr>
      </w:pPr>
    </w:p>
    <w:p>
      <w:pPr>
        <w:ind w:right="40" w:firstLine="996"/>
        <w:spacing w:after="0" w:line="259" w:lineRule="auto"/>
        <w:tabs>
          <w:tab w:leader="none" w:pos="124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the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180" w:firstLine="996"/>
        <w:spacing w:after="0" w:line="277" w:lineRule="auto"/>
        <w:tabs>
          <w:tab w:leader="none" w:pos="123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at any one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70" w:lineRule="auto"/>
        <w:tabs>
          <w:tab w:leader="none" w:pos="1236"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The Letter of Credit Commitment</w:t>
      </w:r>
      <w:r>
        <w:rPr>
          <w:rFonts w:ascii="Arial" w:cs="Arial" w:eastAsia="Arial" w:hAnsi="Arial"/>
          <w:sz w:val="17"/>
          <w:szCs w:val="17"/>
          <w:color w:val="auto"/>
        </w:rPr>
        <w:t>. (i) Subject to the terms and conditions set forth herein, (A) each L/C Issuer agrees, in reliance upon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agreements of the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Letter of Credit Expiration Date, to issue Letters of Credit denominated in U.S. Dollars or, if the applicable L/C Issuer shall agree, in one or more Alternative Currencies for the account of the Borrower (or any of its Restricted Subsidiaries so long as the Borrower is a joint and several co-applicant, and references to the “Borrower”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elsewhere in this Agreement with respect to requests for Letters of Credit (including renewals or continuations thereof) shall be deemed to include any such Restricted Subsidiary), and to amend or extend Letters of Credit previously issued by it, in accordance with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and (2) to honor drawings under the Letters of Credit issued by it; and (B) the Revolving Credit Lenders severally agree to participate in Letters of Credit issued for the account of the Borrower and any drawings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L/C Credit Extension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289" w:name="page290"/>
    <w:bookmarkEnd w:id="28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(y) the Outstanding Amount of the L/C Obligations shall not exceed the Letter of Credit Sublimit and (z) the aggregate amount of L/C Obligations owing to an L/C Issuer shall not exceed the amount set forth opposite such L/C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“Letter of Credit Commitments”.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59" w:lineRule="exact"/>
        <w:rPr>
          <w:sz w:val="20"/>
          <w:szCs w:val="20"/>
          <w:color w:val="auto"/>
        </w:rPr>
      </w:pPr>
    </w:p>
    <w:p>
      <w:pPr>
        <w:ind w:left="1620" w:hanging="223"/>
        <w:spacing w:after="0"/>
        <w:tabs>
          <w:tab w:leader="none" w:pos="16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117" w:lineRule="exact"/>
        <w:rPr>
          <w:rFonts w:ascii="Arial" w:cs="Arial" w:eastAsia="Arial" w:hAnsi="Arial"/>
          <w:sz w:val="18"/>
          <w:szCs w:val="18"/>
          <w:color w:val="auto"/>
        </w:rPr>
      </w:pPr>
    </w:p>
    <w:p>
      <w:pPr>
        <w:ind w:left="1440" w:right="280" w:firstLine="380"/>
        <w:spacing w:after="0" w:line="342" w:lineRule="auto"/>
        <w:tabs>
          <w:tab w:leader="none" w:pos="211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such requested Letter of Credit would occur more than twelve months after the date of issuance or last extension, unless the Required Revolving Credit Lenders have approved such expiry date; or</w:t>
      </w:r>
    </w:p>
    <w:p>
      <w:pPr>
        <w:spacing w:after="0" w:line="15" w:lineRule="exact"/>
        <w:rPr>
          <w:rFonts w:ascii="Arial" w:cs="Arial" w:eastAsia="Arial" w:hAnsi="Arial"/>
          <w:sz w:val="16"/>
          <w:szCs w:val="16"/>
          <w:color w:val="auto"/>
        </w:rPr>
      </w:pPr>
    </w:p>
    <w:p>
      <w:pPr>
        <w:ind w:left="1440" w:firstLine="380"/>
        <w:spacing w:after="0" w:line="264" w:lineRule="auto"/>
        <w:tabs>
          <w:tab w:leader="none" w:pos="210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such Letter of Credit is Cash Collateralized no less than fifteen (15) days prior to the Letter of Credit Expiration Date at 105% of the face amount thereof.</w:t>
      </w:r>
    </w:p>
    <w:p>
      <w:pPr>
        <w:spacing w:after="0" w:line="73" w:lineRule="exact"/>
        <w:rPr>
          <w:rFonts w:ascii="Arial" w:cs="Arial" w:eastAsia="Arial" w:hAnsi="Arial"/>
          <w:sz w:val="18"/>
          <w:szCs w:val="18"/>
          <w:color w:val="auto"/>
        </w:rPr>
      </w:pPr>
    </w:p>
    <w:p>
      <w:pPr>
        <w:ind w:left="1660" w:hanging="263"/>
        <w:spacing w:after="0"/>
        <w:tabs>
          <w:tab w:leader="none" w:pos="1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1440" w:right="20" w:firstLine="380"/>
        <w:spacing w:after="0" w:line="291" w:lineRule="auto"/>
        <w:tabs>
          <w:tab w:leader="none" w:pos="211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59" w:lineRule="exact"/>
        <w:rPr>
          <w:rFonts w:ascii="Arial" w:cs="Arial" w:eastAsia="Arial" w:hAnsi="Arial"/>
          <w:sz w:val="16"/>
          <w:szCs w:val="16"/>
          <w:color w:val="auto"/>
        </w:rPr>
      </w:pPr>
    </w:p>
    <w:p>
      <w:pPr>
        <w:ind w:left="1440" w:right="220" w:firstLine="380"/>
        <w:spacing w:after="0" w:line="277" w:lineRule="auto"/>
        <w:tabs>
          <w:tab w:leader="none" w:pos="210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such L/C Issuer applicable to letters of credit generally;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40" w:top="274" w:right="499" w:bottom="1440" w:gutter="0" w:footer="0" w:header="0"/>
        </w:sectPr>
      </w:pPr>
    </w:p>
    <w:bookmarkStart w:id="290" w:name="page291"/>
    <w:bookmarkEnd w:id="290"/>
    <w:p>
      <w:pPr>
        <w:ind w:left="1420" w:right="320" w:firstLine="380"/>
        <w:spacing w:after="0" w:line="277" w:lineRule="auto"/>
        <w:tabs>
          <w:tab w:leader="none" w:pos="2088" w:val="left"/>
        </w:tabs>
        <w:numPr>
          <w:ilvl w:val="2"/>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agreed by the Administrative Agent and such L/C Issuer, such Letter of Credit is in an initial stated amount less than $100,000;</w:t>
      </w:r>
    </w:p>
    <w:p>
      <w:pPr>
        <w:spacing w:after="0" w:line="62" w:lineRule="exact"/>
        <w:rPr>
          <w:rFonts w:ascii="Arial" w:cs="Arial" w:eastAsia="Arial" w:hAnsi="Arial"/>
          <w:sz w:val="18"/>
          <w:szCs w:val="18"/>
          <w:color w:val="auto"/>
        </w:rPr>
      </w:pPr>
    </w:p>
    <w:p>
      <w:pPr>
        <w:ind w:left="1420" w:right="340" w:firstLine="380"/>
        <w:spacing w:after="0" w:line="277" w:lineRule="auto"/>
        <w:tabs>
          <w:tab w:leader="none" w:pos="2098" w:val="left"/>
        </w:tabs>
        <w:numPr>
          <w:ilvl w:val="2"/>
          <w:numId w:val="298"/>
        </w:numPr>
        <w:rPr>
          <w:rFonts w:ascii="Arial" w:cs="Arial" w:eastAsia="Arial" w:hAnsi="Arial"/>
          <w:sz w:val="18"/>
          <w:szCs w:val="18"/>
          <w:color w:val="auto"/>
        </w:rPr>
      </w:pPr>
      <w:r>
        <w:rPr>
          <w:rFonts w:ascii="Arial" w:cs="Arial" w:eastAsia="Arial" w:hAnsi="Arial"/>
          <w:sz w:val="18"/>
          <w:szCs w:val="18"/>
          <w:color w:val="auto"/>
        </w:rPr>
        <w:t>except as otherwise agreed by such L/C Issuer, such Letter of Credit is to be denominated in a currency other than U.S. Dollars or an Alternative Currency; or</w:t>
      </w:r>
    </w:p>
    <w:p>
      <w:pPr>
        <w:spacing w:after="0" w:line="62" w:lineRule="exact"/>
        <w:rPr>
          <w:rFonts w:ascii="Arial" w:cs="Arial" w:eastAsia="Arial" w:hAnsi="Arial"/>
          <w:sz w:val="18"/>
          <w:szCs w:val="18"/>
          <w:color w:val="auto"/>
        </w:rPr>
      </w:pPr>
    </w:p>
    <w:p>
      <w:pPr>
        <w:ind w:left="1420" w:right="40" w:firstLine="380"/>
        <w:spacing w:after="0" w:line="255" w:lineRule="auto"/>
        <w:tabs>
          <w:tab w:leader="none" w:pos="2078" w:val="left"/>
        </w:tabs>
        <w:numPr>
          <w:ilvl w:val="2"/>
          <w:numId w:val="298"/>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such L/C Issuer has entered into arrangements, including the delivery of Cash Collateral, satisfactory to such L/C Issuer (in its sole discretion) with the Borrower or such Revolving Credit Lender to eliminate such L/C Issuer’s actual or potential Fronting Exposure (after giving effect to any required adjustment pursuant to </w:t>
      </w:r>
      <w:r>
        <w:rPr>
          <w:rFonts w:ascii="Arial" w:cs="Arial" w:eastAsia="Arial" w:hAnsi="Arial"/>
          <w:sz w:val="18"/>
          <w:szCs w:val="18"/>
          <w:u w:val="single" w:color="auto"/>
          <w:color w:val="auto"/>
        </w:rPr>
        <w:t>Section 2.16(a)(iv)</w:t>
      </w:r>
      <w:r>
        <w:rPr>
          <w:rFonts w:ascii="Arial" w:cs="Arial" w:eastAsia="Arial" w:hAnsi="Arial"/>
          <w:sz w:val="18"/>
          <w:szCs w:val="18"/>
          <w:color w:val="auto"/>
        </w:rPr>
        <w:t>) with respect to the Defaulting Lender arising from the Letter of Credit then proposed to be issued and all other L/C Obligations as to which such L/C Issuer has actual or potential Fronting Exposure, as it may elect in its sole discretion.</w:t>
      </w:r>
    </w:p>
    <w:p>
      <w:pPr>
        <w:spacing w:after="0" w:line="85" w:lineRule="exact"/>
        <w:rPr>
          <w:rFonts w:ascii="Arial" w:cs="Arial" w:eastAsia="Arial" w:hAnsi="Arial"/>
          <w:sz w:val="18"/>
          <w:szCs w:val="18"/>
          <w:color w:val="auto"/>
        </w:rPr>
      </w:pPr>
    </w:p>
    <w:p>
      <w:pPr>
        <w:ind w:left="980" w:right="320" w:firstLine="397"/>
        <w:spacing w:after="0" w:line="277" w:lineRule="auto"/>
        <w:tabs>
          <w:tab w:leader="none" w:pos="169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980" w:right="20" w:firstLine="397"/>
        <w:spacing w:after="0" w:line="264" w:lineRule="auto"/>
        <w:tabs>
          <w:tab w:leader="none" w:pos="168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left="980" w:right="400" w:firstLine="397"/>
        <w:spacing w:after="0" w:line="273" w:lineRule="auto"/>
        <w:tabs>
          <w:tab w:leader="none" w:pos="1636" w:val="left"/>
        </w:tabs>
        <w:numPr>
          <w:ilvl w:val="1"/>
          <w:numId w:val="299"/>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with respect to any acts taken or omissions suffered by such L/C Issuer in connection with Letters of Credit issued by it or proposed to be issued by it and the Issuer Documents pertaining to such Letters of Credit as fully as if the term “</w:t>
      </w:r>
      <w:r>
        <w:rPr>
          <w:rFonts w:ascii="Arial" w:cs="Arial" w:eastAsia="Arial" w:hAnsi="Arial"/>
          <w:sz w:val="17"/>
          <w:szCs w:val="17"/>
          <w:b w:val="1"/>
          <w:bCs w:val="1"/>
          <w:color w:val="auto"/>
        </w:rPr>
        <w:t>Administrative Agent</w:t>
      </w:r>
      <w:r>
        <w:rPr>
          <w:rFonts w:ascii="Arial" w:cs="Arial" w:eastAsia="Arial" w:hAnsi="Arial"/>
          <w:sz w:val="17"/>
          <w:szCs w:val="17"/>
          <w:color w:val="auto"/>
        </w:rPr>
        <w:t xml:space="preserve">” as used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hereof included such L/C Issuer with respect to such acts or omissions, and (B) as additionally provided herein with respect to the L/C Issuers.</w:t>
      </w:r>
    </w:p>
    <w:p>
      <w:pPr>
        <w:spacing w:after="0" w:line="178" w:lineRule="exact"/>
        <w:rPr>
          <w:rFonts w:ascii="Arial" w:cs="Arial" w:eastAsia="Arial" w:hAnsi="Arial"/>
          <w:sz w:val="17"/>
          <w:szCs w:val="17"/>
          <w:color w:val="auto"/>
        </w:rPr>
      </w:pPr>
    </w:p>
    <w:p>
      <w:pPr>
        <w:ind w:left="-20" w:firstLine="996"/>
        <w:spacing w:after="0" w:line="273" w:lineRule="auto"/>
        <w:tabs>
          <w:tab w:leader="none" w:pos="1227" w:val="left"/>
        </w:tabs>
        <w:numPr>
          <w:ilvl w:val="0"/>
          <w:numId w:val="300"/>
        </w:numPr>
        <w:rPr>
          <w:rFonts w:ascii="Arial" w:cs="Arial" w:eastAsia="Arial" w:hAnsi="Arial"/>
          <w:sz w:val="17"/>
          <w:szCs w:val="17"/>
          <w:color w:val="auto"/>
        </w:rPr>
      </w:pPr>
      <w:r>
        <w:rPr>
          <w:rFonts w:ascii="Arial" w:cs="Arial" w:eastAsia="Arial" w:hAnsi="Arial"/>
          <w:sz w:val="17"/>
          <w:szCs w:val="17"/>
          <w:i w:val="1"/>
          <w:iCs w:val="1"/>
          <w:color w:val="auto"/>
        </w:rPr>
        <w:t>Procedures for Issuance and Amendment of Letters of Credit</w:t>
      </w:r>
      <w:r>
        <w:rPr>
          <w:rFonts w:ascii="Arial" w:cs="Arial" w:eastAsia="Arial" w:hAnsi="Arial"/>
          <w:sz w:val="17"/>
          <w:szCs w:val="17"/>
          <w:color w:val="auto"/>
        </w:rPr>
        <w:t>;</w:t>
      </w:r>
      <w:r>
        <w:rPr>
          <w:rFonts w:ascii="Arial" w:cs="Arial" w:eastAsia="Arial" w:hAnsi="Arial"/>
          <w:sz w:val="17"/>
          <w:szCs w:val="17"/>
          <w:i w:val="1"/>
          <w:iCs w:val="1"/>
          <w:color w:val="auto"/>
        </w:rPr>
        <w:t xml:space="preserve"> Auto-Extension Letters of Credit</w:t>
      </w:r>
      <w:r>
        <w:rPr>
          <w:rFonts w:ascii="Arial" w:cs="Arial" w:eastAsia="Arial" w:hAnsi="Arial"/>
          <w:sz w:val="17"/>
          <w:szCs w:val="17"/>
          <w:color w:val="auto"/>
        </w:rPr>
        <w:t>. (i) Each Letter of Credit shall be issued</w:t>
      </w:r>
      <w:r>
        <w:rPr>
          <w:rFonts w:ascii="Arial" w:cs="Arial" w:eastAsia="Arial" w:hAnsi="Arial"/>
          <w:sz w:val="17"/>
          <w:szCs w:val="17"/>
          <w:i w:val="1"/>
          <w:iCs w:val="1"/>
          <w:color w:val="auto"/>
        </w:rPr>
        <w:t xml:space="preserve"> </w:t>
      </w:r>
      <w:r>
        <w:rPr>
          <w:rFonts w:ascii="Arial" w:cs="Arial" w:eastAsia="Arial" w:hAnsi="Arial"/>
          <w:sz w:val="17"/>
          <w:szCs w:val="17"/>
          <w:color w:val="auto"/>
        </w:rPr>
        <w:t>or amended, as the case may be, upon the request of the Borrower delivered to the applicable L/C Issuer in the form of a Letter of Credit Application, appropriately completed and signed by a Responsible Officer of the Borrower. Such Letter of Credit Application must be received by the applicable L/C Issuer not later than 12:00 p.m. at least three Business Days (or such later date and time as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60" w:top="274" w:right="439" w:bottom="1440" w:gutter="0" w:footer="0" w:header="0"/>
        </w:sectPr>
      </w:pPr>
    </w:p>
    <w:bookmarkStart w:id="291" w:name="page292"/>
    <w:bookmarkEnd w:id="291"/>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satisfactory to the applicable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requested currency of the requested Letter of Credit (which shall be U.S. Dollars or an Alternative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currency is not specified, the requested currency of the requested Letter of Credit shall be deemed to be U.S. Dollars; and (I) such other matters as the applicable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w:t>
      </w:r>
    </w:p>
    <w:p>
      <w:pPr>
        <w:spacing w:after="0" w:line="1" w:lineRule="exact"/>
        <w:rPr>
          <w:sz w:val="20"/>
          <w:szCs w:val="20"/>
          <w:color w:val="auto"/>
        </w:rPr>
      </w:pPr>
    </w:p>
    <w:p>
      <w:pPr>
        <w:ind w:right="240" w:firstLine="4"/>
        <w:spacing w:after="0" w:line="255" w:lineRule="auto"/>
        <w:tabs>
          <w:tab w:leader="none" w:pos="2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such other matters as the applicable L/C Issuer may reasonably require. Additionally, the Borrower shall furnish to the applicable L/C Issuer such other documents and information pertaining to such requested Letter of Credit issuance or amendment, including any Issuer Documents, as the applicable L/C Issuer or the Administrative Agent may reasonably require.</w:t>
      </w:r>
    </w:p>
    <w:p>
      <w:pPr>
        <w:spacing w:after="0" w:line="82" w:lineRule="exact"/>
        <w:rPr>
          <w:rFonts w:ascii="Arial" w:cs="Arial" w:eastAsia="Arial" w:hAnsi="Arial"/>
          <w:sz w:val="18"/>
          <w:szCs w:val="18"/>
          <w:color w:val="auto"/>
        </w:rPr>
      </w:pPr>
    </w:p>
    <w:p>
      <w:pPr>
        <w:ind w:left="1000" w:firstLine="397"/>
        <w:spacing w:after="0" w:line="270" w:lineRule="auto"/>
        <w:tabs>
          <w:tab w:leader="none" w:pos="166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L/C Issuer will confirm with the Administrative Agent the pertinent details of the requested Letter of Credit.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hereof shall not then be satisfied, then, subject to the terms and conditions hereof, the applicable L/C Issuer shall, on the requested date, issue a Letter of Credit for the account of the Borrower or enter into the applicable amendment, as the case may be, in each case in accordance with the applicable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Arial" w:cs="Arial" w:eastAsia="Arial" w:hAnsi="Arial"/>
          <w:sz w:val="17"/>
          <w:szCs w:val="17"/>
          <w:i w:val="1"/>
          <w:iCs w:val="1"/>
          <w:color w:val="auto"/>
        </w:rPr>
        <w:t>times</w:t>
      </w:r>
      <w:r>
        <w:rPr>
          <w:rFonts w:ascii="Arial" w:cs="Arial" w:eastAsia="Arial" w:hAnsi="Arial"/>
          <w:sz w:val="17"/>
          <w:szCs w:val="17"/>
          <w:color w:val="auto"/>
        </w:rPr>
        <w:t xml:space="preserve"> the amount of such Letter of Credit.</w:t>
      </w:r>
    </w:p>
    <w:p>
      <w:pPr>
        <w:spacing w:after="0" w:line="69" w:lineRule="exact"/>
        <w:rPr>
          <w:rFonts w:ascii="Arial" w:cs="Arial" w:eastAsia="Arial" w:hAnsi="Arial"/>
          <w:sz w:val="17"/>
          <w:szCs w:val="17"/>
          <w:color w:val="auto"/>
        </w:rPr>
      </w:pPr>
    </w:p>
    <w:p>
      <w:pPr>
        <w:ind w:left="1000" w:right="40" w:firstLine="397"/>
        <w:spacing w:after="0" w:line="290" w:lineRule="auto"/>
        <w:tabs>
          <w:tab w:leader="none" w:pos="171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unless otherwise agreed to by the applicable L/C Issuer, any such Auto-Extension Letter of Credit must permit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applicable L/C Issuer, the Borrower shall not be required to make a specific request to the applicable L/C Issuer for any such extension. Once an Auto-Extension Letter of Credit has been issued, the Revolving Credit Lenders shall be deemed to have authorized (but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292" w:name="page293"/>
    <w:bookmarkEnd w:id="292"/>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not require) the applicable L/C Issuer to permit the extension of such Letter of Credit at any time to an expiry date not later than the Letter of Credit Expiration Date unless such Letter of Credit is Cash Collateralized at 105% of the face amount thereof in accordance with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(in writing) on or before the day that is seven days before the Non-Extension Notice Date (1) from the Administrative Agent that the Required Revolving Credit Lenders have elected not to permit such extension or (2) from the Administrative Agent, any Revolving Credit Lender or the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and in each such case directing the applicable L/C Issuer not to permit such extension.</w:t>
      </w:r>
    </w:p>
    <w:p>
      <w:pPr>
        <w:spacing w:after="0" w:line="74" w:lineRule="exact"/>
        <w:rPr>
          <w:sz w:val="20"/>
          <w:szCs w:val="20"/>
          <w:color w:val="auto"/>
        </w:rPr>
      </w:pPr>
    </w:p>
    <w:p>
      <w:pPr>
        <w:ind w:left="4" w:right="260" w:firstLine="397"/>
        <w:spacing w:after="0" w:line="264" w:lineRule="auto"/>
        <w:tabs>
          <w:tab w:leader="none" w:pos="71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81" w:lineRule="exact"/>
        <w:rPr>
          <w:rFonts w:ascii="Arial" w:cs="Arial" w:eastAsia="Arial" w:hAnsi="Arial"/>
          <w:sz w:val="18"/>
          <w:szCs w:val="18"/>
          <w:color w:val="auto"/>
        </w:rPr>
      </w:pPr>
    </w:p>
    <w:p>
      <w:pPr>
        <w:ind w:left="244" w:hanging="244"/>
        <w:spacing w:after="0"/>
        <w:tabs>
          <w:tab w:leader="none" w:pos="244"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Drawings and Reimbursements</w:t>
      </w:r>
      <w:r>
        <w:rPr>
          <w:rFonts w:ascii="Arial" w:cs="Arial" w:eastAsia="Arial" w:hAnsi="Arial"/>
          <w:sz w:val="18"/>
          <w:szCs w:val="18"/>
          <w:color w:val="auto"/>
        </w:rPr>
        <w:t>;</w:t>
      </w:r>
      <w:r>
        <w:rPr>
          <w:rFonts w:ascii="Arial" w:cs="Arial" w:eastAsia="Arial" w:hAnsi="Arial"/>
          <w:sz w:val="18"/>
          <w:szCs w:val="18"/>
          <w:i w:val="1"/>
          <w:iCs w:val="1"/>
          <w:color w:val="auto"/>
        </w:rPr>
        <w:t xml:space="preserve">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397"/>
        <w:spacing w:after="0" w:line="285" w:lineRule="auto"/>
        <w:tabs>
          <w:tab w:leader="none" w:pos="62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applicable L/C Issuer shall notify the Borrower and the Administrative Agent thereof. In the case of a Letter of Credit denominated in an Alternative Currency, the Borrower shall reimburse the applicable L/C Issuer in U.S. Dollars. In the case of any such reimbursement in U.S. Dollars of a drawing as of the applicable Valuation Date under a Letter of Credit denominated in an Alternative Currency, the applicable L/C Issuer shall notify the Borrower of the U.S. Dollar Equivalent of the amount of the drawing promptly following the determination thereof. Not later than 11:00 a.m. on the next Business Day following any payment by the applicable L/C Issuer under a Letter of Credit (or on the second Business Day following any payment by the applicable L/C Issuer if such notice is delivered to the Borrower after 11:00 a.m. on the date of any such payment) (each such applicable date, an “</w:t>
      </w:r>
      <w:r>
        <w:rPr>
          <w:rFonts w:ascii="Arial" w:cs="Arial" w:eastAsia="Arial" w:hAnsi="Arial"/>
          <w:sz w:val="16"/>
          <w:szCs w:val="16"/>
          <w:b w:val="1"/>
          <w:bCs w:val="1"/>
          <w:color w:val="auto"/>
        </w:rPr>
        <w:t>Honor Date</w:t>
      </w:r>
      <w:r>
        <w:rPr>
          <w:rFonts w:ascii="Arial" w:cs="Arial" w:eastAsia="Arial" w:hAnsi="Arial"/>
          <w:sz w:val="16"/>
          <w:szCs w:val="16"/>
          <w:color w:val="auto"/>
        </w:rPr>
        <w:t xml:space="preserve">”), the Borrower shall reimburse the applicable L/C Issuer through the Administrative Agent in an amount equal to the amount of such drawing as provided in this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Borrower fails to so reimburse the applicable L/C Issuer by such time, the Administrative Agent shall promptly notify each Revolving Credit Lender of the Honor Date, the amount of the unreimbursed drawing (in U.S. Dollars in the case of a Letter of Credit denominated in U.S. Dollars, and expressed, in the case of a Letter of Credit denominated in an Alternative Currency, in U.S. Dollars in the amount of the U.S. Dollar Equivalent thereof (the “</w:t>
      </w:r>
      <w:r>
        <w:rPr>
          <w:rFonts w:ascii="Arial" w:cs="Arial" w:eastAsia="Arial" w:hAnsi="Arial"/>
          <w:sz w:val="16"/>
          <w:szCs w:val="16"/>
          <w:b w:val="1"/>
          <w:bCs w:val="1"/>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w:t>
      </w:r>
    </w:p>
    <w:p>
      <w:pPr>
        <w:spacing w:after="0" w:line="108"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024"/>
          </w:cols>
          <w:pgMar w:left="1436" w:top="274" w:right="439" w:bottom="1440" w:gutter="0" w:footer="0" w:header="0"/>
        </w:sectPr>
      </w:pPr>
    </w:p>
    <w:bookmarkStart w:id="293" w:name="page294"/>
    <w:bookmarkEnd w:id="293"/>
    <w:p>
      <w:pPr>
        <w:ind w:right="20" w:firstLine="397"/>
        <w:spacing w:after="0" w:line="293" w:lineRule="auto"/>
        <w:tabs>
          <w:tab w:leader="none" w:pos="666"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Revolving Credit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12:00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applicable L/C Issuer in U.S. Dollars.</w:t>
      </w:r>
    </w:p>
    <w:p>
      <w:pPr>
        <w:spacing w:after="0" w:line="56" w:lineRule="exact"/>
        <w:rPr>
          <w:rFonts w:ascii="Arial" w:cs="Arial" w:eastAsia="Arial" w:hAnsi="Arial"/>
          <w:sz w:val="16"/>
          <w:szCs w:val="16"/>
          <w:color w:val="auto"/>
        </w:rPr>
      </w:pPr>
    </w:p>
    <w:p>
      <w:pPr>
        <w:ind w:firstLine="397"/>
        <w:spacing w:after="0" w:line="254" w:lineRule="auto"/>
        <w:tabs>
          <w:tab w:leader="none" w:pos="71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Credit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right="620" w:firstLine="397"/>
        <w:spacing w:after="0" w:line="312" w:lineRule="auto"/>
        <w:tabs>
          <w:tab w:leader="none" w:pos="70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Until each Revolving Credit Lender funds its Revolving Credit Loan or L/C Advance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to reimburse the applicable L/C Issuer for any amount drawn under any Letter of Credit, interest in respect of such Revolving Credit Lender’s Applicable Revolving Credit Percentage of such amount shall be solely for the account of the applicable L/C Issuer.</w:t>
      </w:r>
    </w:p>
    <w:p>
      <w:pPr>
        <w:spacing w:after="0" w:line="38" w:lineRule="exact"/>
        <w:rPr>
          <w:rFonts w:ascii="Arial" w:cs="Arial" w:eastAsia="Arial" w:hAnsi="Arial"/>
          <w:sz w:val="16"/>
          <w:szCs w:val="16"/>
          <w:color w:val="auto"/>
        </w:rPr>
      </w:pPr>
    </w:p>
    <w:p>
      <w:pPr>
        <w:ind w:right="20" w:firstLine="397"/>
        <w:spacing w:after="0" w:line="289" w:lineRule="auto"/>
        <w:tabs>
          <w:tab w:leader="none" w:pos="65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applicable L/C Issuer for amounts drawn under Letters of Credit issued by 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applicable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each Revolving Credit Lender’s obligation to make Revolving Credit Loans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2.03(c)</w:t>
      </w:r>
      <w:r>
        <w:rPr>
          <w:rFonts w:ascii="Arial" w:cs="Arial" w:eastAsia="Arial" w:hAnsi="Arial"/>
          <w:sz w:val="16"/>
          <w:szCs w:val="16"/>
          <w:i w:val="1"/>
          <w:iCs w:val="1"/>
          <w:color w:val="auto"/>
        </w:rPr>
        <w:t xml:space="preserve"> </w:t>
      </w:r>
      <w:r>
        <w:rPr>
          <w:rFonts w:ascii="Arial" w:cs="Arial" w:eastAsia="Arial" w:hAnsi="Arial"/>
          <w:sz w:val="16"/>
          <w:szCs w:val="16"/>
          <w:color w:val="auto"/>
        </w:rPr>
        <w:t>is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9960"/>
          </w:cols>
          <w:pgMar w:left="1440" w:top="274" w:right="499" w:bottom="1440" w:gutter="0" w:footer="0" w:header="0"/>
        </w:sectPr>
      </w:pPr>
    </w:p>
    <w:bookmarkStart w:id="294" w:name="page295"/>
    <w:bookmarkEnd w:id="294"/>
    <w:p>
      <w:pPr>
        <w:ind w:left="4" w:right="20" w:firstLine="397"/>
        <w:spacing w:after="0" w:line="287" w:lineRule="auto"/>
        <w:tabs>
          <w:tab w:leader="none" w:pos="710" w:val="left"/>
        </w:tabs>
        <w:numPr>
          <w:ilvl w:val="1"/>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Revolving Credit Lender fails to make available to the Administrative Agent for the account of the applicable L/C Issuer any amount required to be paid by such Revolving Credit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 applicable L/C Issuer shall be entitled to recover from such Revolving Credit Lender (acting through the Administrative Agent), on demand, such amount with interest thereon for the period from the date such payment is required to the date on which such payment is immediately available to the applicable L/C Issuer at a rate per annum equal to the greater of the Federal Funds Effective Rate and a rate determined by the applicable L/C Issuer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applicable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72" w:lineRule="exact"/>
        <w:rPr>
          <w:rFonts w:ascii="Arial" w:cs="Arial" w:eastAsia="Arial" w:hAnsi="Arial"/>
          <w:sz w:val="16"/>
          <w:szCs w:val="16"/>
          <w:color w:val="auto"/>
        </w:rPr>
      </w:pPr>
    </w:p>
    <w:p>
      <w:pPr>
        <w:ind w:left="264" w:hanging="264"/>
        <w:spacing w:after="0"/>
        <w:tabs>
          <w:tab w:leader="none" w:pos="264"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397"/>
        <w:spacing w:after="0" w:line="273" w:lineRule="auto"/>
        <w:tabs>
          <w:tab w:leader="none" w:pos="62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At any time after the applicable L/C Issuer has made a payment under any Letter of Credit and has received from any Revolving Credit Lender such Revolving Credit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the applicable L/C Issuer any payment in respect of the related Unreimbursed Amount or interest thereon (whether directly from the Borrower or otherwise, including proceeds of Cash Collateral applied thereto by the Administrative Agent), the Administrative Agent will promptly distribute to such Revolving Credit Lender its Applicable Revolving Credit Percentage thereof in the same funds as those received by the Administrative Agent.</w:t>
      </w:r>
    </w:p>
    <w:p>
      <w:pPr>
        <w:spacing w:after="0" w:line="70" w:lineRule="exact"/>
        <w:rPr>
          <w:rFonts w:ascii="Arial" w:cs="Arial" w:eastAsia="Arial" w:hAnsi="Arial"/>
          <w:sz w:val="17"/>
          <w:szCs w:val="17"/>
          <w:color w:val="auto"/>
        </w:rPr>
      </w:pPr>
    </w:p>
    <w:p>
      <w:pPr>
        <w:ind w:left="4" w:firstLine="397"/>
        <w:spacing w:after="0" w:line="291" w:lineRule="auto"/>
        <w:tabs>
          <w:tab w:leader="none" w:pos="67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applicable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applicable L/C Issuer in its discretion), each Revolving Credit Lender shall pay to the Administrative Agent for the account of the applicable L/C Issuer its Applicable Revolving Credit Percentage thereof on demand of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amount is returned by such Revolving Credit Lender, at a rate per annum equal to the Federal Funds Effective Rate from time to time in effect. The obligations of the Revolving Credit Lenders under this clause shall survive the payment in full of the Obligations, the termination of the Commitments and the termination of this Agreement.</w:t>
      </w:r>
    </w:p>
    <w:p>
      <w:pPr>
        <w:spacing w:after="0" w:line="100"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004"/>
          </w:cols>
          <w:pgMar w:left="1436" w:top="274" w:right="459" w:bottom="1440" w:gutter="0" w:footer="0" w:header="0"/>
        </w:sectPr>
      </w:pPr>
    </w:p>
    <w:bookmarkStart w:id="295" w:name="page296"/>
    <w:bookmarkEnd w:id="295"/>
    <w:p>
      <w:pPr>
        <w:ind w:right="160" w:firstLine="996"/>
        <w:spacing w:after="0" w:line="264" w:lineRule="auto"/>
        <w:tabs>
          <w:tab w:leader="none" w:pos="1236"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Absolute</w:t>
      </w:r>
      <w:r>
        <w:rPr>
          <w:rFonts w:ascii="Arial" w:cs="Arial" w:eastAsia="Arial" w:hAnsi="Arial"/>
          <w:sz w:val="18"/>
          <w:szCs w:val="18"/>
          <w:color w:val="auto"/>
        </w:rPr>
        <w:t>. The obligation of the Borrower to reimburse the applicable L/C Issuer for each drawing under each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620" w:hanging="223"/>
        <w:spacing w:after="0"/>
        <w:tabs>
          <w:tab w:leader="none" w:pos="162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1000" w:firstLine="397"/>
        <w:spacing w:after="0" w:line="279" w:lineRule="auto"/>
        <w:tabs>
          <w:tab w:leader="none" w:pos="166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63" w:lineRule="exact"/>
        <w:rPr>
          <w:rFonts w:ascii="Arial" w:cs="Arial" w:eastAsia="Arial" w:hAnsi="Arial"/>
          <w:sz w:val="17"/>
          <w:szCs w:val="17"/>
          <w:color w:val="auto"/>
        </w:rPr>
      </w:pPr>
    </w:p>
    <w:p>
      <w:pPr>
        <w:jc w:val="both"/>
        <w:ind w:left="1000" w:right="120" w:firstLine="397"/>
        <w:spacing w:after="0" w:line="286" w:lineRule="auto"/>
        <w:tabs>
          <w:tab w:leader="none" w:pos="171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7" w:lineRule="exact"/>
        <w:rPr>
          <w:rFonts w:ascii="Arial" w:cs="Arial" w:eastAsia="Arial" w:hAnsi="Arial"/>
          <w:sz w:val="17"/>
          <w:szCs w:val="17"/>
          <w:color w:val="auto"/>
        </w:rPr>
      </w:pPr>
    </w:p>
    <w:p>
      <w:pPr>
        <w:ind w:left="1000" w:right="80" w:firstLine="397"/>
        <w:spacing w:after="0" w:line="257" w:lineRule="auto"/>
        <w:tabs>
          <w:tab w:leader="none" w:pos="170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80" w:lineRule="exact"/>
        <w:rPr>
          <w:rFonts w:ascii="Arial" w:cs="Arial" w:eastAsia="Arial" w:hAnsi="Arial"/>
          <w:sz w:val="18"/>
          <w:szCs w:val="18"/>
          <w:color w:val="auto"/>
        </w:rPr>
      </w:pPr>
    </w:p>
    <w:p>
      <w:pPr>
        <w:ind w:left="1000" w:right="240" w:firstLine="397"/>
        <w:spacing w:after="0" w:line="277" w:lineRule="auto"/>
        <w:tabs>
          <w:tab w:leader="none" w:pos="16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62" w:lineRule="exact"/>
        <w:rPr>
          <w:rFonts w:ascii="Arial" w:cs="Arial" w:eastAsia="Arial" w:hAnsi="Arial"/>
          <w:sz w:val="18"/>
          <w:szCs w:val="18"/>
          <w:color w:val="auto"/>
        </w:rPr>
      </w:pPr>
    </w:p>
    <w:p>
      <w:pPr>
        <w:jc w:val="both"/>
        <w:ind w:left="1000" w:right="940" w:firstLine="397"/>
        <w:spacing w:after="0" w:line="342" w:lineRule="auto"/>
        <w:tabs>
          <w:tab w:leader="none" w:pos="1706"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24"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 or such claim arises from the applicable L/C Issuer’s gross negligence or willful misconduct (as determined by a final non-appealable order of a court of competent jurisdiction).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296" w:name="page297"/>
    <w:bookmarkEnd w:id="296"/>
    <w:p>
      <w:pPr>
        <w:ind w:left="-20" w:firstLine="996"/>
        <w:spacing w:after="0" w:line="267" w:lineRule="auto"/>
        <w:tabs>
          <w:tab w:leader="none" w:pos="1197"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Role of L/C Issuer</w:t>
      </w:r>
      <w:r>
        <w:rPr>
          <w:rFonts w:ascii="Arial" w:cs="Arial" w:eastAsia="Arial" w:hAnsi="Arial"/>
          <w:sz w:val="17"/>
          <w:szCs w:val="17"/>
          <w:color w:val="auto"/>
        </w:rPr>
        <w:t>. Each Lender and the Borrower agree that, in paying any drawing under a Letter of Credit, the applicable L/C Issuer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(as determined by a final non-appealable order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anything in such clauses to the contrary notwithstanding, the Borrower may have a claim against an L/C Issuer, and an L/C Issuer may be liable to the Borrower, to the extent, but only to the extent, of any direct, as opposed to consequential or exemplary, damages suffered by the Borrower which are determined by a final non-appealable order of a court of competent jurisdiction to have been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any L/C Issuer may accept documents that appear on their face to be in order, without responsibility for further investigation, regardless of any notice or information to the contrary, and the L/C Issuers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7" w:lineRule="exact"/>
        <w:rPr>
          <w:rFonts w:ascii="Arial" w:cs="Arial" w:eastAsia="Arial" w:hAnsi="Arial"/>
          <w:sz w:val="17"/>
          <w:szCs w:val="17"/>
          <w:color w:val="auto"/>
        </w:rPr>
      </w:pPr>
    </w:p>
    <w:p>
      <w:pPr>
        <w:ind w:left="-20" w:right="500" w:firstLine="996"/>
        <w:spacing w:after="0" w:line="277" w:lineRule="auto"/>
        <w:tabs>
          <w:tab w:leader="none" w:pos="1227"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Applicability of ISP</w:t>
      </w:r>
      <w:r>
        <w:rPr>
          <w:rFonts w:ascii="Arial" w:cs="Arial" w:eastAsia="Arial" w:hAnsi="Arial"/>
          <w:sz w:val="18"/>
          <w:szCs w:val="18"/>
          <w:color w:val="auto"/>
        </w:rPr>
        <w:t>. Unless otherwise expressly agreed by the applicable L/C Issuer and the Borrower when a Letter of Credit is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the rules of the ISP shall apply to each Letter of Credit.</w:t>
      </w:r>
    </w:p>
    <w:p>
      <w:pPr>
        <w:spacing w:after="0" w:line="170" w:lineRule="exact"/>
        <w:rPr>
          <w:rFonts w:ascii="Arial" w:cs="Arial" w:eastAsia="Arial" w:hAnsi="Arial"/>
          <w:sz w:val="18"/>
          <w:szCs w:val="18"/>
          <w:color w:val="auto"/>
        </w:rPr>
      </w:pPr>
    </w:p>
    <w:p>
      <w:pPr>
        <w:ind w:left="-20" w:right="80" w:firstLine="996"/>
        <w:spacing w:after="0" w:line="273" w:lineRule="auto"/>
        <w:tabs>
          <w:tab w:leader="none" w:pos="1227"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Letter of Credit Fees</w:t>
      </w:r>
      <w:r>
        <w:rPr>
          <w:rFonts w:ascii="Arial" w:cs="Arial" w:eastAsia="Arial" w:hAnsi="Arial"/>
          <w:sz w:val="17"/>
          <w:szCs w:val="17"/>
          <w:color w:val="auto"/>
        </w:rPr>
        <w:t>. The Borrower shall pay to the Administrative Agent for the account of each Revolving Credit Lender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its Applicable Revolving Credit Percentage of the applicable Revolving Credit Facility, in U.S. Dollars, a Letter of Credit fee (the “</w:t>
      </w:r>
      <w:r>
        <w:rPr>
          <w:rFonts w:ascii="Arial" w:cs="Arial" w:eastAsia="Arial" w:hAnsi="Arial"/>
          <w:sz w:val="17"/>
          <w:szCs w:val="17"/>
          <w:b w:val="1"/>
          <w:bCs w:val="1"/>
          <w:color w:val="auto"/>
        </w:rPr>
        <w:t>Letter of Credit Fee</w:t>
      </w:r>
      <w:r>
        <w:rPr>
          <w:rFonts w:ascii="Arial" w:cs="Arial" w:eastAsia="Arial" w:hAnsi="Arial"/>
          <w:sz w:val="17"/>
          <w:szCs w:val="17"/>
          <w:color w:val="auto"/>
        </w:rPr>
        <w:t xml:space="preserve">”) for each Letter of Credit equal to the Applicable Rate of the applicable Revolving Credit Facility times the U.S. Dollar Equivalent determined as of the last Business Day of each March, June, September and December of the daily amount available to be drawn under such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Letter of Credit Fees otherwise payable for the account of a Defaulting Lender with respect to any Letter of Credit as to which such Defaulting Lender has not provided Cash Collateral satisfactory to the applicable L/C Issuer shall be payable,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60" w:top="274" w:right="439" w:bottom="1440" w:gutter="0" w:footer="0" w:header="0"/>
        </w:sectPr>
      </w:pPr>
    </w:p>
    <w:bookmarkStart w:id="297" w:name="page298"/>
    <w:bookmarkEnd w:id="297"/>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maximum extent permitted by applicable Law, to the other Revolving Credit Lenders in accordance with the upward adjustments in their respective Applicable Percentages allocable to such Letter of Credit pursuant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with the balance of such fee, if any, payable to the applicable L/C Issuer for its own account.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spacing w:after="0" w:line="179" w:lineRule="exact"/>
        <w:rPr>
          <w:sz w:val="20"/>
          <w:szCs w:val="20"/>
          <w:color w:val="auto"/>
        </w:rPr>
      </w:pPr>
    </w:p>
    <w:p>
      <w:pPr>
        <w:ind w:firstLine="996"/>
        <w:spacing w:after="0" w:line="288" w:lineRule="auto"/>
        <w:tabs>
          <w:tab w:leader="none" w:pos="1207"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Fronting Fee and Documentary and Processing Charges Payable to L/C Issuer</w:t>
      </w:r>
      <w:r>
        <w:rPr>
          <w:rFonts w:ascii="Arial" w:cs="Arial" w:eastAsia="Arial" w:hAnsi="Arial"/>
          <w:sz w:val="16"/>
          <w:szCs w:val="16"/>
          <w:color w:val="auto"/>
        </w:rPr>
        <w:t>. The Borrower shall pay directly to the applicable 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Issuer for its own account, in U.S. Dollars, a fronting fee with respect to each Letter of Credit issued by such L/C Issuer, at a rate per annum of 0.125%, computed on the U.S. Dollar Equivalent determined as of the last Business Day of each March, June, September and December of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9" w:lineRule="exact"/>
        <w:rPr>
          <w:rFonts w:ascii="Arial" w:cs="Arial" w:eastAsia="Arial" w:hAnsi="Arial"/>
          <w:sz w:val="16"/>
          <w:szCs w:val="16"/>
          <w:color w:val="auto"/>
        </w:rPr>
      </w:pPr>
    </w:p>
    <w:p>
      <w:pPr>
        <w:ind w:right="180" w:firstLine="996"/>
        <w:spacing w:after="0" w:line="259" w:lineRule="auto"/>
        <w:tabs>
          <w:tab w:leader="none" w:pos="1207"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Conflict with Issuer Documents</w:t>
      </w:r>
      <w:r>
        <w:rPr>
          <w:rFonts w:ascii="Arial" w:cs="Arial" w:eastAsia="Arial" w:hAnsi="Arial"/>
          <w:sz w:val="18"/>
          <w:szCs w:val="18"/>
          <w:color w:val="auto"/>
        </w:rPr>
        <w:t>. In the event of any conflict or inconsistency between the terms hereof and the terms of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the terms hereof shall control. To the extent any defaults, representations, or covenants contained in any Issuer Documents are more restrictive than the Events of Default, representations, or covenants contained herein, the Events of Default, representations and covenants herein shall control.</w:t>
      </w:r>
    </w:p>
    <w:p>
      <w:pPr>
        <w:spacing w:after="0" w:line="186" w:lineRule="exact"/>
        <w:rPr>
          <w:rFonts w:ascii="Arial" w:cs="Arial" w:eastAsia="Arial" w:hAnsi="Arial"/>
          <w:sz w:val="18"/>
          <w:szCs w:val="18"/>
          <w:color w:val="auto"/>
        </w:rPr>
      </w:pPr>
    </w:p>
    <w:p>
      <w:pPr>
        <w:ind w:right="40" w:firstLine="996"/>
        <w:spacing w:after="0" w:line="255" w:lineRule="auto"/>
        <w:tabs>
          <w:tab w:leader="none" w:pos="1247"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Provisions Related to Letters of Credit in respect of Other Revolving Commitments</w:t>
      </w:r>
      <w:r>
        <w:rPr>
          <w:rFonts w:ascii="Arial" w:cs="Arial" w:eastAsia="Arial" w:hAnsi="Arial"/>
          <w:sz w:val="18"/>
          <w:szCs w:val="18"/>
          <w:color w:val="auto"/>
        </w:rPr>
        <w:t>. If the Letter of Credit Expiration Date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Class of Revolving Credit Commitments occurs prior to the expiry date of any Letter of Credit, then (i) if consented to by the L/C Issuer which issued such Letter of Credit, if one or more other Classes of Revolving Credit Commitments in respect of which the Letter of Credit Expiration Date shall not have so occurred are then in effect, such Letters of Credit for which the applicable L/C Issuer has consented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2.03(d)</w:t>
      </w:r>
      <w:r>
        <w:rPr>
          <w:rFonts w:ascii="Arial" w:cs="Arial" w:eastAsia="Arial" w:hAnsi="Arial"/>
          <w:sz w:val="18"/>
          <w:szCs w:val="18"/>
          <w:color w:val="auto"/>
        </w:rPr>
        <w:t>) under (and ratably participated in by Lenders pursuant to) the Revolving Credit Commitments in respect of such non-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298" w:name="page299"/>
    <w:bookmarkEnd w:id="29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terminating Classes up to an aggregate amount not to exceed the aggregate amount of the unutilized Revolving Credit Commitments thereunder at such time and (ii) to the extent not reallocated pursuant to the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the Borrower shall Cash Collateralize any such Letter of Credit in accordance with the terms hereof. Upon the maturity date of any Class of Revolving Credit Commitments, the Letter of Credit Sublimit may be reduced as agreed between the L/C Issuers and the Borrower, without the consent of any other Person.</w:t>
      </w:r>
    </w:p>
    <w:p>
      <w:pPr>
        <w:spacing w:after="0" w:line="171" w:lineRule="exact"/>
        <w:rPr>
          <w:sz w:val="20"/>
          <w:szCs w:val="20"/>
          <w:color w:val="auto"/>
        </w:rPr>
      </w:pPr>
    </w:p>
    <w:p>
      <w:pPr>
        <w:ind w:firstLine="996"/>
        <w:spacing w:after="0" w:line="255" w:lineRule="auto"/>
        <w:tabs>
          <w:tab w:leader="none" w:pos="1207"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Additional L/C Issuers</w:t>
      </w:r>
      <w:r>
        <w:rPr>
          <w:rFonts w:ascii="Arial" w:cs="Arial" w:eastAsia="Arial" w:hAnsi="Arial"/>
          <w:sz w:val="18"/>
          <w:szCs w:val="18"/>
          <w:color w:val="auto"/>
        </w:rPr>
        <w:t>. The Borrower may, at any time and from time to time, designate one or more additional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or Affiliates of Revolving Credit Lenders to act as an L/C Issuer under the terms of this Agreement, with the consent of each of the Administrative Agent (which consent shall not be unreasonably withheld) and such Revolving Credit Lender(s) or Affiliate thereof. Any Revolving Credit Lender or Affiliate thereof designated as an L/C Issuer pursuant to this </w:t>
      </w:r>
      <w:r>
        <w:rPr>
          <w:rFonts w:ascii="Arial" w:cs="Arial" w:eastAsia="Arial" w:hAnsi="Arial"/>
          <w:sz w:val="18"/>
          <w:szCs w:val="18"/>
          <w:u w:val="single" w:color="auto"/>
          <w:color w:val="auto"/>
        </w:rPr>
        <w:t>Section 2.03(l)</w:t>
      </w:r>
      <w:r>
        <w:rPr>
          <w:rFonts w:ascii="Arial" w:cs="Arial" w:eastAsia="Arial" w:hAnsi="Arial"/>
          <w:sz w:val="18"/>
          <w:szCs w:val="18"/>
          <w:color w:val="auto"/>
        </w:rPr>
        <w:t xml:space="preserve"> shall be deemed to be the L/C Issuer with respect to Letters of Credit issued or to be issued by such Revolving Credit Lender or Affiliate thereof, and all references herein and in the other Loan Documents to the term “L/C Issuer” shall, with respect to such Letters of Credit, be deemed to refer to such Revolving Credit Lender or Affiliate thereof in its capacity as L/C Issuer thereof, as the context shall require.</w:t>
      </w:r>
    </w:p>
    <w:p>
      <w:pPr>
        <w:spacing w:after="0" w:line="189" w:lineRule="exact"/>
        <w:rPr>
          <w:rFonts w:ascii="Arial" w:cs="Arial" w:eastAsia="Arial" w:hAnsi="Arial"/>
          <w:sz w:val="18"/>
          <w:szCs w:val="18"/>
          <w:color w:val="auto"/>
        </w:rPr>
      </w:pPr>
    </w:p>
    <w:p>
      <w:pPr>
        <w:ind w:right="60" w:firstLine="996"/>
        <w:spacing w:after="0" w:line="297" w:lineRule="auto"/>
        <w:tabs>
          <w:tab w:leader="none" w:pos="1297"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Reporting</w:t>
      </w:r>
      <w:r>
        <w:rPr>
          <w:rFonts w:ascii="Arial" w:cs="Arial" w:eastAsia="Arial" w:hAnsi="Arial"/>
          <w:sz w:val="16"/>
          <w:szCs w:val="16"/>
          <w:color w:val="auto"/>
        </w:rPr>
        <w:t>. Not later than the third Business Day following the last day of each calendar month (or at such other intervals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and the applicable L/C Issuer shall agree), each L/C Issuer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paid or payable by the Borrower to such L/C Issuer during such month.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w:t>
      </w:r>
      <w:r>
        <w:rPr>
          <w:rFonts w:ascii="Arial" w:cs="Arial" w:eastAsia="Arial" w:hAnsi="Arial"/>
          <w:sz w:val="18"/>
          <w:szCs w:val="18"/>
          <w:color w:val="auto"/>
        </w:rPr>
        <w:t>Reserved</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Prepayments</w:t>
      </w:r>
      <w:r>
        <w:rPr>
          <w:rFonts w:ascii="Arial" w:cs="Arial" w:eastAsia="Arial" w:hAnsi="Arial"/>
          <w:sz w:val="18"/>
          <w:szCs w:val="18"/>
          <w:color w:val="auto"/>
        </w:rPr>
        <w:t>.</w:t>
      </w:r>
    </w:p>
    <w:p>
      <w:pPr>
        <w:spacing w:after="0" w:line="225" w:lineRule="exact"/>
        <w:rPr>
          <w:sz w:val="20"/>
          <w:szCs w:val="20"/>
          <w:color w:val="auto"/>
        </w:rPr>
      </w:pPr>
    </w:p>
    <w:p>
      <w:pPr>
        <w:ind w:right="140" w:firstLine="996"/>
        <w:spacing w:after="0" w:line="288" w:lineRule="auto"/>
        <w:tabs>
          <w:tab w:leader="none" w:pos="1236"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Optional</w:t>
      </w:r>
      <w:r>
        <w:rPr>
          <w:rFonts w:ascii="Arial" w:cs="Arial" w:eastAsia="Arial" w:hAnsi="Arial"/>
          <w:sz w:val="16"/>
          <w:szCs w:val="16"/>
          <w:color w:val="auto"/>
        </w:rPr>
        <w:t>. The Borrower may, upon notice in the form of a Prepayment Notice delivered to the Administrative Agent, at any time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time to time voluntarily prepay Term Loans or Revolving Credit Loans in whole or in part without premium or penalty (other than, (x) in the case of any Eurodollar Rate Loan, any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(y) any amounts required pursuant to </w:t>
      </w:r>
      <w:r>
        <w:rPr>
          <w:rFonts w:ascii="Arial" w:cs="Arial" w:eastAsia="Arial" w:hAnsi="Arial"/>
          <w:sz w:val="16"/>
          <w:szCs w:val="16"/>
          <w:u w:val="single" w:color="auto"/>
          <w:color w:val="auto"/>
        </w:rPr>
        <w:t>Section 2.05(b)(ix)</w:t>
      </w:r>
      <w:r>
        <w:rPr>
          <w:rFonts w:ascii="Arial" w:cs="Arial" w:eastAsia="Arial" w:hAnsi="Arial"/>
          <w:sz w:val="16"/>
          <w:szCs w:val="16"/>
          <w:color w:val="auto"/>
        </w:rPr>
        <w:t xml:space="preserve"> and (z), in the case of any Incremental Term Loans, any premium contained in the applicable Joinder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notice must be received by the Administrative Agent not later than 12:00 p.m. (1) three Business Days prior to any date of prepayment of Eurodollar Rate Loans denominated in U.S. Dollars, (2) five Business Days prior to any date of prepayment of Eurodollar Rate Loans denominated in any Alternative Currency and (3) one Business Day prior to any date of prepayment of Base Rate Loans; (B) any prepayment of Eurodollar Rate Loans shall be in a principal amount of $5,000,000 or a whole multiple of $1,000,000 in excess thereof; and (C) any prepayment of Base Rate Loans shall be in a principal amount of $5,000,000 or a whole multiple of $1,000,000 in excess thereof or, in each case, if less, the entire principal amount thereof then outstanding. Each such notice shall specify (i) the date and amount of such prepayment and (ii) the Type(s) of Loans to be prepaid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299" w:name="page300"/>
    <w:bookmarkEnd w:id="29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voluntary prepayment of a Loan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accompanied by all accrued interest on the amount prepaid, together with any additional amounts if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such prepayment of any outstanding Term Loans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as between Facilities as directed by the Borrower and, within any given Facility, shall be applied as directed by the Borrower to the installments thereof (or, if no such direction is provided, in direct order of maturity).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all payments made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on a pro rata basis to each Lender holding Loans of the applicable Facility being prepaid in accordance with the principal amount of the applicable Term Loans held thereby.</w:t>
      </w:r>
    </w:p>
    <w:p>
      <w:pPr>
        <w:spacing w:after="0" w:line="167" w:lineRule="exact"/>
        <w:rPr>
          <w:sz w:val="20"/>
          <w:szCs w:val="20"/>
          <w:color w:val="auto"/>
        </w:rPr>
      </w:pPr>
    </w:p>
    <w:p>
      <w:pPr>
        <w:ind w:left="1260" w:hanging="264"/>
        <w:spacing w:after="0"/>
        <w:tabs>
          <w:tab w:leader="none" w:pos="1260"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20" w:firstLine="397"/>
        <w:spacing w:after="0" w:line="291" w:lineRule="auto"/>
        <w:tabs>
          <w:tab w:leader="none" w:pos="161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Upon the incurrence or issuance by the Borrower or any of its Restricted Subsidiaries of any Indebtedness (other than Indebtedness expressly permitted to be incurred or issued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(except Credit Agreement Refinancing Indebtedness)), the Borrower shall prepay (or Cash Collateralize, as applicable) an aggregate principal amount of Pro Rata Obligations equal to 100% of the gross cash proceeds received by the Borrower or any of its Restricted Subsidiaries from any such Indebtedness less all reasonable and customary out-of-pocket legal, underwriting and other fees, costs and expenses incurred or reasonably anticipated to be incurred within 90 days thereof in connection therewith, within one Business Day following receipt thereof by the Borrower or such Restricted Subsidiary, (such prepayments (or Cash Collateralization) to be applied as set forth in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below).</w:t>
      </w:r>
    </w:p>
    <w:p>
      <w:pPr>
        <w:spacing w:after="0" w:line="59" w:lineRule="exact"/>
        <w:rPr>
          <w:rFonts w:ascii="Arial" w:cs="Arial" w:eastAsia="Arial" w:hAnsi="Arial"/>
          <w:sz w:val="16"/>
          <w:szCs w:val="16"/>
          <w:color w:val="auto"/>
        </w:rPr>
      </w:pPr>
    </w:p>
    <w:p>
      <w:pPr>
        <w:ind w:left="1000" w:firstLine="397"/>
        <w:spacing w:after="0" w:line="269" w:lineRule="auto"/>
        <w:tabs>
          <w:tab w:leader="none" w:pos="166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In the event that (a) there shall be Consolidated Excess Cash Flow for any Fiscal Year (commencing with the Fiscal Year ending September 30, 2020) and (b) there are any Term Loans outstanding at the end of such Fiscal Year, the Borrower shall, no later than ninety-five (95) days after the end of such Fiscal Year, prepay an aggregate principal amount of the Term Loans equal to (A) the ECF Percentage of such Consolidated Excess Cash Flow for such Fiscal Year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(B) the sum of (1) all voluntary prepayments of Term Loans, loans under any Incremental Equivalent Debt, Revolving Credit Loans and/or loans under other Indebtedness, in each case, secured on a pari passu basis with the Liens securing the Obligations hereunder, in each case, made during such Fiscal Year or after the end of such Fiscal Year and prior to the date such Excess Cash Flow prepayment is due (in the case of any such Revolving Credit Loans or other revolving Indebtedness prepaid, to the extent accompanied by a permanent reduction in the relevant commitment, and in the case of all such prepayments, to the extent that such prepayments are financed with internally generated cash of the Borrower or the sale or issuance of Equity Interests in the Borrower (and not from the proceeds of Indebtedness) and, in the case of all such prepayments made after the end of such Fiscal Year and prior to the date such Excess Cash Flow prepayment is due, provided that such amount so deducted shall not be deducted from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300" w:name="page301"/>
    <w:bookmarkEnd w:id="300"/>
    <w:p>
      <w:pPr>
        <w:ind w:left="4"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Excess Cash Flow Amount in any subsequent period) and (2) repurchases of Term Loans purchased pursuant to </w:t>
      </w:r>
      <w:r>
        <w:rPr>
          <w:rFonts w:ascii="Arial" w:cs="Arial" w:eastAsia="Arial" w:hAnsi="Arial"/>
          <w:sz w:val="16"/>
          <w:szCs w:val="16"/>
          <w:u w:val="single" w:color="auto"/>
          <w:color w:val="auto"/>
        </w:rPr>
        <w:t>Section 10.06(b)(vii)</w:t>
      </w:r>
      <w:r>
        <w:rPr>
          <w:rFonts w:ascii="Arial" w:cs="Arial" w:eastAsia="Arial" w:hAnsi="Arial"/>
          <w:sz w:val="16"/>
          <w:szCs w:val="16"/>
          <w:color w:val="auto"/>
        </w:rPr>
        <w:t>, limited to the actual purchase price paid in cash and to the extent financed with internally generated cash of the Borrower or the sale or issuance of Equity Interests in the Borrower (and not from the proceeds of Indebtedness), in each case, made during such Fiscal Year or after the end of such Fiscal Year and prior to the date such Excess Cash Flow prepayment is due and, in the case of all such repurchases made after the end of such Fiscal Year and prior to the date such Excess Cash Flow prepayment is due, provided that such amount so deducted shall not be deducted from the Excess Cash Flow Amount in any subsequent period (such amount, the “</w:t>
      </w:r>
      <w:r>
        <w:rPr>
          <w:rFonts w:ascii="Arial" w:cs="Arial" w:eastAsia="Arial" w:hAnsi="Arial"/>
          <w:sz w:val="16"/>
          <w:szCs w:val="16"/>
          <w:b w:val="1"/>
          <w:bCs w:val="1"/>
          <w:color w:val="auto"/>
        </w:rPr>
        <w:t>Excess Cash Flow</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to be applied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clauses (v)</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b w:val="1"/>
          <w:bCs w:val="1"/>
          <w:color w:val="auto"/>
        </w:rPr>
        <w:t xml:space="preserve"> </w:t>
      </w:r>
      <w:r>
        <w:rPr>
          <w:rFonts w:ascii="Arial" w:cs="Arial" w:eastAsia="Arial" w:hAnsi="Arial"/>
          <w:sz w:val="16"/>
          <w:szCs w:val="16"/>
          <w:color w:val="auto"/>
        </w:rPr>
        <w:t>below); provided that prepayments pursuant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2.05(b)(ii)</w:t>
      </w:r>
      <w:r>
        <w:rPr>
          <w:rFonts w:ascii="Arial" w:cs="Arial" w:eastAsia="Arial" w:hAnsi="Arial"/>
          <w:sz w:val="16"/>
          <w:szCs w:val="16"/>
          <w:b w:val="1"/>
          <w:bCs w:val="1"/>
          <w:color w:val="auto"/>
        </w:rPr>
        <w:t xml:space="preserve"> </w:t>
      </w:r>
      <w:r>
        <w:rPr>
          <w:rFonts w:ascii="Arial" w:cs="Arial" w:eastAsia="Arial" w:hAnsi="Arial"/>
          <w:sz w:val="16"/>
          <w:szCs w:val="16"/>
          <w:color w:val="auto"/>
        </w:rPr>
        <w:t>shall</w:t>
      </w:r>
      <w:r>
        <w:rPr>
          <w:rFonts w:ascii="Arial" w:cs="Arial" w:eastAsia="Arial" w:hAnsi="Arial"/>
          <w:sz w:val="16"/>
          <w:szCs w:val="16"/>
          <w:b w:val="1"/>
          <w:bCs w:val="1"/>
          <w:color w:val="auto"/>
        </w:rPr>
        <w:t xml:space="preserve"> </w:t>
      </w:r>
      <w:r>
        <w:rPr>
          <w:rFonts w:ascii="Arial" w:cs="Arial" w:eastAsia="Arial" w:hAnsi="Arial"/>
          <w:sz w:val="16"/>
          <w:szCs w:val="16"/>
          <w:color w:val="auto"/>
        </w:rPr>
        <w:t>only be required to the extent the Excess Cash Flow Amount (if any) for such period is in excess of $7,500,000 and only with respect to the amount of such Excess Cash Flow Amount in excess thereof;</w:t>
      </w:r>
    </w:p>
    <w:p>
      <w:pPr>
        <w:spacing w:after="0" w:line="59" w:lineRule="exact"/>
        <w:rPr>
          <w:sz w:val="20"/>
          <w:szCs w:val="20"/>
          <w:color w:val="auto"/>
        </w:rPr>
      </w:pPr>
    </w:p>
    <w:p>
      <w:pPr>
        <w:ind w:left="4" w:firstLine="397"/>
        <w:spacing w:after="0" w:line="283" w:lineRule="auto"/>
        <w:tabs>
          <w:tab w:leader="none" w:pos="72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(x) If the Borrower or any of its Restricted Subsidiaries which are Domestic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(except pursuant to </w:t>
      </w:r>
      <w:r>
        <w:rPr>
          <w:rFonts w:ascii="Arial" w:cs="Arial" w:eastAsia="Arial" w:hAnsi="Arial"/>
          <w:sz w:val="16"/>
          <w:szCs w:val="16"/>
          <w:u w:val="single" w:color="auto"/>
          <w:color w:val="auto"/>
        </w:rPr>
        <w:t>Sections 7.05(j)</w:t>
      </w:r>
      <w:r>
        <w:rPr>
          <w:rFonts w:ascii="Arial" w:cs="Arial" w:eastAsia="Arial" w:hAnsi="Arial"/>
          <w:sz w:val="16"/>
          <w:szCs w:val="16"/>
          <w:color w:val="auto"/>
        </w:rPr>
        <w:t xml:space="preserve">, </w:t>
      </w:r>
      <w:r>
        <w:rPr>
          <w:rFonts w:ascii="Arial" w:cs="Arial" w:eastAsia="Arial" w:hAnsi="Arial"/>
          <w:sz w:val="16"/>
          <w:szCs w:val="16"/>
          <w:u w:val="single" w:color="auto"/>
          <w:color w:val="auto"/>
        </w:rPr>
        <w:t>7.05(k) and 7.05(l)</w:t>
      </w:r>
      <w:r>
        <w:rPr>
          <w:rFonts w:ascii="Arial" w:cs="Arial" w:eastAsia="Arial" w:hAnsi="Arial"/>
          <w:sz w:val="16"/>
          <w:szCs w:val="16"/>
          <w:color w:val="auto"/>
        </w:rPr>
        <w:t xml:space="preserve">) which results in the realization by such Person of Net Cash Proceeds in excess of an aggregate amount of (x) $10,000,000 in a single transaction or series of related transactions and (y) $20,000,000 in the aggregate per Fiscal Year, the Borrower shall prepay (or Cash Collateralize, as applicable) an aggregate principal amount of Pro Rata Obligations equal to 100% of such Net Cash Proceeds in excess of (x) $10,000,000 in a single transaction or series of related transactions and (y) $20,000,000 in the aggregate per Fiscal Year no later than (subject to the provisions of this clause (iii) below) five (5) Business Days following receipt thereof by such Person (such prepayments (or Cash Collateralization) to be applied as set forth in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shall have occurred and be continuing, such prepayment (or Cash Collateralization) shall not be required to the extent the Borrower reinvests such Net Cash Proceeds in assets of a kind then used or usable in the business of the Borrower and its Restricted Subsidiaries within 360 days after the date of receipt of such Net Cash Proceeds, or enters into a binding commitment thereof within said 360-day period and subsequently makes such reinvestment within 180 days after the end of such 360-day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notifies the Administrative Agent within five</w:t>
      </w:r>
    </w:p>
    <w:p>
      <w:pPr>
        <w:spacing w:after="0" w:line="3" w:lineRule="exact"/>
        <w:rPr>
          <w:rFonts w:ascii="Arial" w:cs="Arial" w:eastAsia="Arial" w:hAnsi="Arial"/>
          <w:sz w:val="16"/>
          <w:szCs w:val="16"/>
          <w:color w:val="auto"/>
        </w:rPr>
      </w:pPr>
    </w:p>
    <w:p>
      <w:pPr>
        <w:ind w:left="4" w:right="300" w:hanging="4"/>
        <w:spacing w:after="0" w:line="261" w:lineRule="auto"/>
        <w:tabs>
          <w:tab w:leader="none" w:pos="25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Business Days following receipt by the Borrower or any of its Restricted Subsidiaries of such Net Cash Proceeds of the Borrower’s intent to reinvest such Net Cash Proceeds.</w:t>
      </w:r>
    </w:p>
    <w:p>
      <w:pPr>
        <w:spacing w:after="0" w:line="75" w:lineRule="exact"/>
        <w:rPr>
          <w:rFonts w:ascii="Arial" w:cs="Arial" w:eastAsia="Arial" w:hAnsi="Arial"/>
          <w:sz w:val="18"/>
          <w:szCs w:val="18"/>
          <w:color w:val="auto"/>
        </w:rPr>
      </w:pPr>
    </w:p>
    <w:p>
      <w:pPr>
        <w:ind w:left="4" w:right="180" w:firstLine="397"/>
        <w:spacing w:after="0" w:line="272" w:lineRule="auto"/>
        <w:tabs>
          <w:tab w:leader="none" w:pos="71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 xml:space="preserve">Upon any Extraordinary Receipt received by or paid to or for the account of the Borrower or any of its Restricted Subsidiaries, the Borrower shall prepay (or Cash Collateralize, as applicable) an aggregate principal amount of Pro Rata Obligations equal to 100% of all Net Cash Proceeds received therefrom in excess of (x) $10,000,000 in a single transaction or series of related transactions and (y) $20,000,000 in the aggregate per Fiscal Year no later than (subject to the provisions of this clause (iv) below) five (5) Business Days following receipt thereof by such Person (such prepayments (or Cash Collateralization) to be applied as set forth in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no Event of Default shall have occurred and be continuing, such prepayment (or Cash Collateralization) shall not be required to the extent the Borrower</w:t>
      </w:r>
    </w:p>
    <w:p>
      <w:pPr>
        <w:spacing w:after="0" w:line="110"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024"/>
          </w:cols>
          <w:pgMar w:left="1436" w:top="274" w:right="439" w:bottom="1440" w:gutter="0" w:footer="0" w:header="0"/>
        </w:sectPr>
      </w:pPr>
    </w:p>
    <w:bookmarkStart w:id="301" w:name="page302"/>
    <w:bookmarkEnd w:id="301"/>
    <w:p>
      <w:pPr>
        <w:ind w:left="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reinvests such Net Cash Proceeds in assets of a kind then used or usable in the business of the Borrower and its Restricted Subsidiaries within 360 days after the date of receipt of such Net Cash Proceeds, or enters into a binding commitment thereof within said 360-day period and subsequently makes such reinvestment within 180 days after the end of such 360-day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notifies the Administrative Agent within ten (10) Business Days following receipt by the Borrower or any of its Restricted Subsidiaries of such Net Cash Proceeds of the Borrower’s intent to reinvest such Net Cash Proceeds.</w:t>
      </w:r>
    </w:p>
    <w:p>
      <w:pPr>
        <w:spacing w:after="0" w:line="64" w:lineRule="exact"/>
        <w:rPr>
          <w:sz w:val="20"/>
          <w:szCs w:val="20"/>
          <w:color w:val="auto"/>
        </w:rPr>
      </w:pPr>
    </w:p>
    <w:p>
      <w:pPr>
        <w:ind w:left="4" w:right="80" w:firstLine="397"/>
        <w:spacing w:after="0" w:line="285" w:lineRule="auto"/>
        <w:tabs>
          <w:tab w:leader="none" w:pos="66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Subject to the next sentence, each prepayment (or Cash Collateralization, as applicable) of Pro Rata Obligations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Term Loans held by all Term Lenders in accordance with their Applicable Percentages (allocated pro rata as among the Term Loans and to each Term Lender on a pro rata basis in accordance with the principal amount of the applicable Term Loans held thereby and to scheduled amortization payments in direct order of maturity),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any excess after the application of such proceeds in accordance with clause </w:t>
      </w:r>
      <w:r>
        <w:rPr>
          <w:rFonts w:ascii="Arial" w:cs="Arial" w:eastAsia="Arial" w:hAnsi="Arial"/>
          <w:sz w:val="16"/>
          <w:szCs w:val="16"/>
          <w:i w:val="1"/>
          <w:iCs w:val="1"/>
          <w:color w:val="auto"/>
        </w:rPr>
        <w:t>first</w:t>
      </w:r>
      <w:r>
        <w:rPr>
          <w:rFonts w:ascii="Arial" w:cs="Arial" w:eastAsia="Arial" w:hAnsi="Arial"/>
          <w:sz w:val="16"/>
          <w:szCs w:val="16"/>
          <w:color w:val="auto"/>
        </w:rPr>
        <w:t xml:space="preserve"> above, to the Revolving Credit Facility in the manner set forth in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hanging="4"/>
        <w:spacing w:after="0" w:line="287" w:lineRule="auto"/>
        <w:tabs>
          <w:tab w:leader="none" w:pos="359" w:val="left"/>
        </w:tabs>
        <w:numPr>
          <w:ilvl w:val="0"/>
          <w:numId w:val="316"/>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any excess after the application of such proceeds in accordance with clauses </w:t>
      </w:r>
      <w:r>
        <w:rPr>
          <w:rFonts w:ascii="Arial" w:cs="Arial" w:eastAsia="Arial" w:hAnsi="Arial"/>
          <w:sz w:val="16"/>
          <w:szCs w:val="16"/>
          <w:i w:val="1"/>
          <w:iCs w:val="1"/>
          <w:color w:val="auto"/>
        </w:rPr>
        <w:t>first</w:t>
      </w:r>
      <w:r>
        <w:rPr>
          <w:rFonts w:ascii="Arial" w:cs="Arial" w:eastAsia="Arial" w:hAnsi="Arial"/>
          <w:sz w:val="16"/>
          <w:szCs w:val="16"/>
          <w:color w:val="auto"/>
        </w:rPr>
        <w:t xml:space="preserve"> and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above may be retained by the Borrower. Except with respect to Term Loans incurred in connection with any Refinancing Amendment or any Joinder Agreement (which, in each case, may be prepaid on a less than pro rata basis if expressly provided for in such Refinancing Amendment or Joinder Agreement), each prepayment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ratably to each Class of Loans then outstanding entitled to payment pursuant to the prior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prepayment of Loans with the Net Proceeds of Credit Agreement Refinancing Indebtedness shall be applied solely to each applicable Class of Refinanced Debt). Any prepayment of a Loan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Any prepayment of Term B Loans made on or prior to the date that is twelve months after the Closing Date shall be accompanied by the fee set forth in </w:t>
      </w:r>
      <w:r>
        <w:rPr>
          <w:rFonts w:ascii="Arial" w:cs="Arial" w:eastAsia="Arial" w:hAnsi="Arial"/>
          <w:sz w:val="16"/>
          <w:szCs w:val="16"/>
          <w:u w:val="single" w:color="auto"/>
          <w:color w:val="auto"/>
        </w:rPr>
        <w:t>Section 2.05(b)(ix)</w:t>
      </w:r>
      <w:r>
        <w:rPr>
          <w:rFonts w:ascii="Arial" w:cs="Arial" w:eastAsia="Arial" w:hAnsi="Arial"/>
          <w:sz w:val="16"/>
          <w:szCs w:val="16"/>
          <w:color w:val="auto"/>
        </w:rPr>
        <w:t>, as applicable.</w:t>
      </w:r>
    </w:p>
    <w:p>
      <w:pPr>
        <w:spacing w:after="0" w:line="58" w:lineRule="exact"/>
        <w:rPr>
          <w:rFonts w:ascii="Arial" w:cs="Arial" w:eastAsia="Arial" w:hAnsi="Arial"/>
          <w:sz w:val="16"/>
          <w:szCs w:val="16"/>
          <w:u w:val="single" w:color="auto"/>
          <w:color w:val="auto"/>
        </w:rPr>
      </w:pPr>
    </w:p>
    <w:p>
      <w:pPr>
        <w:ind w:left="4" w:right="120" w:firstLine="397"/>
        <w:spacing w:after="0" w:line="271" w:lineRule="auto"/>
        <w:tabs>
          <w:tab w:leader="none" w:pos="71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If for any reason the Total Revolving Credit Outstandings at any time exceed the Revolving Credit Commitments at such time (including, for the avoidance of doubt, as a result of the termination of any Class of Commitments on the Maturity Date with respect thereto), the Borrower shall immediately prepay Revolving Credit Loans and L/C Borrowings and/or Cash Collateralize the L/C Obligations (other than the L/C Borrowings) (in an aggregate amount equal to 105% of the face amount thereof) in an aggregate amount sufficient to reduce the Total Revolving Credit Outstandings to the aggregate Revolving Credit Commitments. If for any reason the Outstanding Amount of L/C Obligations at any time exceed the Letter of Credit Sublimit at such time, the Borrower shall immediately prepay L/C Borrowings and/or Cash Collateralize the L/C Obligations in an aggregate amount sufficient to reduce the Outstanding Amount of L/C Obligations to the Letter of Credit Sublimit.</w:t>
      </w:r>
    </w:p>
    <w:p>
      <w:pPr>
        <w:spacing w:after="0" w:line="111"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9944"/>
          </w:cols>
          <w:pgMar w:left="1436" w:top="274" w:right="519" w:bottom="1440" w:gutter="0" w:footer="0" w:header="0"/>
        </w:sectPr>
      </w:pPr>
    </w:p>
    <w:bookmarkStart w:id="302" w:name="page303"/>
    <w:bookmarkEnd w:id="302"/>
    <w:p>
      <w:pPr>
        <w:ind w:left="4" w:right="20" w:firstLine="397"/>
        <w:spacing w:after="0" w:line="289" w:lineRule="auto"/>
        <w:tabs>
          <w:tab w:leader="none" w:pos="760" w:val="left"/>
        </w:tabs>
        <w:numPr>
          <w:ilvl w:val="1"/>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Prepayments of the Revolving Credit Facilities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i w:val="1"/>
          <w:iCs w:val="1"/>
          <w:color w:val="auto"/>
        </w:rPr>
        <w:t>first</w:t>
      </w:r>
      <w:r>
        <w:rPr>
          <w:rFonts w:ascii="Arial" w:cs="Arial" w:eastAsia="Arial" w:hAnsi="Arial"/>
          <w:sz w:val="16"/>
          <w:szCs w:val="16"/>
          <w:color w:val="auto"/>
        </w:rPr>
        <w:t xml:space="preserve">, shall be applied ratably to the L/C Borrowings, </w:t>
      </w:r>
      <w:r>
        <w:rPr>
          <w:rFonts w:ascii="Arial" w:cs="Arial" w:eastAsia="Arial" w:hAnsi="Arial"/>
          <w:sz w:val="16"/>
          <w:szCs w:val="16"/>
          <w:i w:val="1"/>
          <w:iCs w:val="1"/>
          <w:color w:val="auto"/>
        </w:rPr>
        <w:t>second</w:t>
      </w:r>
      <w:r>
        <w:rPr>
          <w:rFonts w:ascii="Arial" w:cs="Arial" w:eastAsia="Arial" w:hAnsi="Arial"/>
          <w:sz w:val="16"/>
          <w:szCs w:val="16"/>
          <w:color w:val="auto"/>
        </w:rPr>
        <w:t xml:space="preserve">, shall be applied ratably to the outstanding Revolving Credit Loans held by all Revolving Credit Lenders in accordance with their Applicable Revolving Credit Percentages,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Prepayments of the Revolving Credit Facilities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ratably to the outstanding Revolving Credit Loans. Amounts to be applied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to the mandatory prepayment of Term Loans and Revolving Credit Loans shall be applied, as applicable, first to reduce outstanding Base Rate Loans and any amounts remaining after such application shall be applied as directed by the Borrower to prepay Eurodollar Rate Loans.</w:t>
      </w:r>
    </w:p>
    <w:p>
      <w:pPr>
        <w:spacing w:after="0" w:line="58" w:lineRule="exact"/>
        <w:rPr>
          <w:rFonts w:ascii="Arial" w:cs="Arial" w:eastAsia="Arial" w:hAnsi="Arial"/>
          <w:sz w:val="16"/>
          <w:szCs w:val="16"/>
          <w:color w:val="auto"/>
        </w:rPr>
      </w:pPr>
    </w:p>
    <w:p>
      <w:pPr>
        <w:ind w:left="4" w:firstLine="397"/>
        <w:spacing w:after="0" w:line="271" w:lineRule="auto"/>
        <w:tabs>
          <w:tab w:leader="none" w:pos="81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Each Term Lender may elect, by notice to the Administrative Agent at or prior to the time and in the manner specified by the Administrative Agent, prior to any prepayment of Term Loans required to be made by the Borrower pursuant to </w:t>
      </w:r>
      <w:r>
        <w:rPr>
          <w:rFonts w:ascii="Arial" w:cs="Arial" w:eastAsia="Arial" w:hAnsi="Arial"/>
          <w:sz w:val="17"/>
          <w:szCs w:val="17"/>
          <w:u w:val="single" w:color="auto"/>
          <w:color w:val="auto"/>
        </w:rPr>
        <w:t>Section 2.05(b)(ii)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2.05(b)(iii)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2.05(b)(iv)</w:t>
      </w:r>
      <w:r>
        <w:rPr>
          <w:rFonts w:ascii="Arial" w:cs="Arial" w:eastAsia="Arial" w:hAnsi="Arial"/>
          <w:sz w:val="17"/>
          <w:szCs w:val="17"/>
          <w:color w:val="auto"/>
        </w:rPr>
        <w:t>, to decline all (but not a portion) of its Applicable Percentage of such prepayment (such declined amounts, the “</w:t>
      </w:r>
      <w:r>
        <w:rPr>
          <w:rFonts w:ascii="Arial" w:cs="Arial" w:eastAsia="Arial" w:hAnsi="Arial"/>
          <w:sz w:val="17"/>
          <w:szCs w:val="17"/>
          <w:b w:val="1"/>
          <w:bCs w:val="1"/>
          <w:color w:val="auto"/>
        </w:rPr>
        <w:t>Declined Proceeds</w:t>
      </w:r>
      <w:r>
        <w:rPr>
          <w:rFonts w:ascii="Arial" w:cs="Arial" w:eastAsia="Arial" w:hAnsi="Arial"/>
          <w:sz w:val="17"/>
          <w:szCs w:val="17"/>
          <w:color w:val="auto"/>
        </w:rPr>
        <w:t>”). Any Term Lender declining such prepayment shall give written notice thereof to the Administrative Agent by 11:00 a.m. no later than one (1) Business Day after the date of such notice from the Administrative Agent. If a Lender fails to deliver a notice of election declining receipt of its Applicable Percentage of such mandatory prepayment to the Administrative Agent within the time frame specified above, any such failure will be deemed to constitute an acceptance of such Lender’s Applicable Percentage of the total amount of such mandatory prepayment of Term Loans.</w:t>
      </w:r>
    </w:p>
    <w:p>
      <w:pPr>
        <w:spacing w:after="0" w:line="70" w:lineRule="exact"/>
        <w:rPr>
          <w:rFonts w:ascii="Arial" w:cs="Arial" w:eastAsia="Arial" w:hAnsi="Arial"/>
          <w:sz w:val="17"/>
          <w:szCs w:val="17"/>
          <w:color w:val="auto"/>
        </w:rPr>
      </w:pPr>
    </w:p>
    <w:p>
      <w:pPr>
        <w:ind w:left="704" w:hanging="303"/>
        <w:spacing w:after="0"/>
        <w:tabs>
          <w:tab w:leader="none" w:pos="704"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If on or before the date that is one year after the Closing Date, there occurs any (i) prepayment or repayment of Term B Loans,</w:t>
      </w:r>
    </w:p>
    <w:p>
      <w:pPr>
        <w:spacing w:after="0" w:line="46" w:lineRule="exact"/>
        <w:rPr>
          <w:rFonts w:ascii="Arial" w:cs="Arial" w:eastAsia="Arial" w:hAnsi="Arial"/>
          <w:sz w:val="16"/>
          <w:szCs w:val="16"/>
          <w:color w:val="auto"/>
        </w:rPr>
      </w:pPr>
    </w:p>
    <w:p>
      <w:pPr>
        <w:ind w:left="4" w:right="60" w:hanging="4"/>
        <w:spacing w:after="0" w:line="281" w:lineRule="auto"/>
        <w:tabs>
          <w:tab w:leader="none" w:pos="269"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amendment to the terms of the Term B Loans which reduces the “effective” interest rate applicable to the Term B Loans (as such comparative rates are determined by the Administrative Agent) (in each case, with original issue discount and upfront fees, which shall be deemed to constitute like amounts of original issue discount, being equated to interest margins in a manner consistent with generally accepted financial practice based on an assumed four-year life to maturity) or (iii) acceleration of all or any portion of the Term B Loans for any reason, then, simultaneously with such prepayment, repayment, repricing or refinancing amendment or acceleration, the Borrower shall pay to the Administrative Agent, for the ratable account of each of the applicable Lenders (including,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each Term B Lender that refuses to consent to such amendment (which shall include each Term B Lender that refuses to consent to an amendment if such Term B Lender is required to make a mandatory assignment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in connection therewith)), 1.00% of the aggregate principal amount of the Term B Loans so prepaid, repaid, repriced, refinanced or accelerated;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6" w:lineRule="exact"/>
        <w:rPr>
          <w:rFonts w:ascii="Arial" w:cs="Arial" w:eastAsia="Arial" w:hAnsi="Arial"/>
          <w:sz w:val="16"/>
          <w:szCs w:val="16"/>
          <w:color w:val="auto"/>
        </w:rPr>
      </w:pPr>
    </w:p>
    <w:p>
      <w:pPr>
        <w:ind w:left="4" w:right="360" w:hanging="4"/>
        <w:spacing w:after="0" w:line="255" w:lineRule="auto"/>
        <w:tabs>
          <w:tab w:leader="none" w:pos="25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mandatory prepayments of Term B Loans made from (x) Excess Cash Flow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(y) Net Cash Proceeds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2.05(b)(iv) or (z) repayments made pursuant to Section 2.07(a)</w:t>
      </w:r>
      <w:r>
        <w:rPr>
          <w:rFonts w:ascii="Arial" w:cs="Arial" w:eastAsia="Arial" w:hAnsi="Arial"/>
          <w:sz w:val="18"/>
          <w:szCs w:val="18"/>
          <w:color w:val="auto"/>
        </w:rPr>
        <w:t xml:space="preserve"> shall not be subject to the prepayment premium contained in this </w:t>
      </w:r>
      <w:r>
        <w:rPr>
          <w:rFonts w:ascii="Arial" w:cs="Arial" w:eastAsia="Arial" w:hAnsi="Arial"/>
          <w:sz w:val="18"/>
          <w:szCs w:val="18"/>
          <w:u w:val="single" w:color="auto"/>
          <w:color w:val="auto"/>
        </w:rPr>
        <w:t>Section 2.05(b)(ix).</w:t>
      </w:r>
    </w:p>
    <w:p>
      <w:pPr>
        <w:spacing w:after="0" w:line="123"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004"/>
          </w:cols>
          <w:pgMar w:left="1436" w:top="274" w:right="459" w:bottom="1440" w:gutter="0" w:footer="0" w:header="0"/>
        </w:sectPr>
      </w:pPr>
    </w:p>
    <w:bookmarkStart w:id="303" w:name="page304"/>
    <w:bookmarkEnd w:id="303"/>
    <w:p>
      <w:pPr>
        <w:ind w:right="8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7"/>
          <w:szCs w:val="17"/>
          <w:i w:val="1"/>
          <w:iCs w:val="1"/>
          <w:color w:val="auto"/>
        </w:rPr>
        <w:t>Termination or Reduction of Commitments</w:t>
      </w:r>
      <w:r>
        <w:rPr>
          <w:rFonts w:ascii="Arial" w:cs="Arial" w:eastAsia="Arial" w:hAnsi="Arial"/>
          <w:sz w:val="17"/>
          <w:szCs w:val="17"/>
          <w:color w:val="auto"/>
        </w:rPr>
        <w:t xml:space="preserve">. (a) </w:t>
      </w:r>
      <w:r>
        <w:rPr>
          <w:rFonts w:ascii="Arial" w:cs="Arial" w:eastAsia="Arial" w:hAnsi="Arial"/>
          <w:sz w:val="17"/>
          <w:szCs w:val="17"/>
          <w:i w:val="1"/>
          <w:iCs w:val="1"/>
          <w:color w:val="auto"/>
        </w:rPr>
        <w:t>Optional</w:t>
      </w:r>
      <w:r>
        <w:rPr>
          <w:rFonts w:ascii="Arial" w:cs="Arial" w:eastAsia="Arial" w:hAnsi="Arial"/>
          <w:sz w:val="17"/>
          <w:szCs w:val="17"/>
          <w:color w:val="auto"/>
        </w:rPr>
        <w:t xml:space="preserve">. The Borrower may, upon notice to the Administrative Agent, terminate the Revolving Credit Facilities (on a pro rata basis among the Revolving Credit Facilities, subject to the terms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the Letter of Credit Sublimit, or from time to time permanently reduce the Revolving Credit Commitments (on a pro rata basis among the Revolving Credit Facilities, subject to the terms of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the Letter of Credit Sublimit;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Revolving Credit Facilities if, after giving effect thereto and to any concurrent prepayments of the Revolving Credit Facilities hereunder, the Total Revolving Credit Outstandings would exceed the Revolving Credit Facilities, (B) any Revolving Credit Facility if, after giving effect thereto and to any concurrent prepayments of such Revolving Credit Facility hereunder, the Total Revolving Credit Outstandings in respect of such Revolving Credit Facility would exceed such Revolving Credit Facility or (C) the Letter of Credit Sublimit if, after giving effect thereto, the Outstanding Amount of L/C Obligations would exceed the Letter of Credit Sublimit.</w:t>
      </w:r>
    </w:p>
    <w:p>
      <w:pPr>
        <w:spacing w:after="0" w:line="183" w:lineRule="exact"/>
        <w:rPr>
          <w:sz w:val="20"/>
          <w:szCs w:val="20"/>
          <w:color w:val="auto"/>
        </w:rPr>
      </w:pPr>
    </w:p>
    <w:p>
      <w:pPr>
        <w:ind w:left="1260" w:hanging="264"/>
        <w:spacing w:after="0"/>
        <w:tabs>
          <w:tab w:leader="none" w:pos="1260"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820" w:firstLine="397"/>
        <w:spacing w:after="0" w:line="277" w:lineRule="auto"/>
        <w:tabs>
          <w:tab w:leader="none" w:pos="1616"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aggregate Term B Commitments shall be automatically and permanently reduced to zero on the date of the Term B Borrowing, which shall be on the Closing Date.</w:t>
      </w:r>
    </w:p>
    <w:p>
      <w:pPr>
        <w:spacing w:after="0" w:line="62" w:lineRule="exact"/>
        <w:rPr>
          <w:rFonts w:ascii="Arial" w:cs="Arial" w:eastAsia="Arial" w:hAnsi="Arial"/>
          <w:sz w:val="18"/>
          <w:szCs w:val="18"/>
          <w:color w:val="auto"/>
        </w:rPr>
      </w:pPr>
    </w:p>
    <w:p>
      <w:pPr>
        <w:ind w:left="1000" w:firstLine="397"/>
        <w:spacing w:after="0" w:line="264" w:lineRule="auto"/>
        <w:tabs>
          <w:tab w:leader="none" w:pos="1666"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the Letter of Credit Sublimit exceeds the aggregate Revolving Credit Facilities at such time, the Letter of Credit Sublimit shall be automatically reduced by the amount of such excess.</w:t>
      </w:r>
    </w:p>
    <w:p>
      <w:pPr>
        <w:spacing w:after="0" w:line="181" w:lineRule="exact"/>
        <w:rPr>
          <w:rFonts w:ascii="Arial" w:cs="Arial" w:eastAsia="Arial" w:hAnsi="Arial"/>
          <w:sz w:val="18"/>
          <w:szCs w:val="18"/>
          <w:color w:val="auto"/>
        </w:rPr>
      </w:pPr>
    </w:p>
    <w:p>
      <w:pPr>
        <w:ind w:right="20" w:firstLine="996"/>
        <w:spacing w:after="0" w:line="276" w:lineRule="auto"/>
        <w:tabs>
          <w:tab w:leader="none" w:pos="1236" w:val="left"/>
        </w:tabs>
        <w:numPr>
          <w:ilvl w:val="0"/>
          <w:numId w:val="320"/>
        </w:numPr>
        <w:rPr>
          <w:rFonts w:ascii="Arial" w:cs="Arial" w:eastAsia="Arial" w:hAnsi="Arial"/>
          <w:sz w:val="17"/>
          <w:szCs w:val="17"/>
          <w:color w:val="auto"/>
        </w:rPr>
      </w:pPr>
      <w:r>
        <w:rPr>
          <w:rFonts w:ascii="Arial" w:cs="Arial" w:eastAsia="Arial" w:hAnsi="Arial"/>
          <w:sz w:val="17"/>
          <w:szCs w:val="17"/>
          <w:i w:val="1"/>
          <w:iCs w:val="1"/>
          <w:color w:val="auto"/>
        </w:rPr>
        <w:t>Application of Commitment Reductions</w:t>
      </w:r>
      <w:r>
        <w:rPr>
          <w:rFonts w:ascii="Arial" w:cs="Arial" w:eastAsia="Arial" w:hAnsi="Arial"/>
          <w:sz w:val="17"/>
          <w:szCs w:val="17"/>
          <w:color w:val="auto"/>
        </w:rPr>
        <w:t>;</w:t>
      </w:r>
      <w:r>
        <w:rPr>
          <w:rFonts w:ascii="Arial" w:cs="Arial" w:eastAsia="Arial" w:hAnsi="Arial"/>
          <w:sz w:val="17"/>
          <w:szCs w:val="17"/>
          <w:i w:val="1"/>
          <w:iCs w:val="1"/>
          <w:color w:val="auto"/>
        </w:rPr>
        <w:t xml:space="preserve"> Payment of Fees</w:t>
      </w:r>
      <w:r>
        <w:rPr>
          <w:rFonts w:ascii="Arial" w:cs="Arial" w:eastAsia="Arial" w:hAnsi="Arial"/>
          <w:sz w:val="17"/>
          <w:szCs w:val="17"/>
          <w:color w:val="auto"/>
        </w:rPr>
        <w:t>. The Administrative Agent will promptly notify the Lenders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termination or reduction of the Letter of Credit Sublimit or the Revolving Credit Commitments under this </w:t>
      </w:r>
      <w:r>
        <w:rPr>
          <w:rFonts w:ascii="Arial" w:cs="Arial" w:eastAsia="Arial" w:hAnsi="Arial"/>
          <w:sz w:val="17"/>
          <w:szCs w:val="17"/>
          <w:u w:val="single" w:color="auto"/>
          <w:color w:val="auto"/>
        </w:rPr>
        <w:t>Section 2.06</w:t>
      </w:r>
      <w:r>
        <w:rPr>
          <w:rFonts w:ascii="Arial" w:cs="Arial" w:eastAsia="Arial" w:hAnsi="Arial"/>
          <w:sz w:val="17"/>
          <w:szCs w:val="17"/>
          <w:color w:val="auto"/>
        </w:rPr>
        <w:t>. Upon any reduction of any Revolving Credit Commitments, the Revolving Credit Commitments of each applicable Revolving Credit Lender shall be reduced by such Revolving Credit Lender’s Applicable Revolving Credit Percentage of such reduction amount. All fees in respect of any Revolving Credit Facility accrued until the effective date of any termination of such Revolving Credit Commitments shall be paid on the effective date of such termination.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304" w:name="page305"/>
    <w:bookmarkEnd w:id="3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i w:val="1"/>
          <w:iCs w:val="1"/>
          <w:color w:val="auto"/>
        </w:rPr>
        <w:t>Repayment of Loans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996"/>
        <w:spacing w:after="0" w:line="264" w:lineRule="auto"/>
        <w:tabs>
          <w:tab w:leader="none" w:pos="1236"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2.14(i)</w:t>
      </w:r>
      <w:r>
        <w:rPr>
          <w:rFonts w:ascii="Arial" w:cs="Arial" w:eastAsia="Arial" w:hAnsi="Arial"/>
          <w:sz w:val="18"/>
          <w:szCs w:val="18"/>
          <w:color w:val="auto"/>
        </w:rPr>
        <w:t>, the Borrower shall repay to the Administrative Agent for the ratable account of the Term B</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principal amounts of the Term B Loans in consecutive quarterly installments in the aggregate amounts set forth below on the dates set forth below:</w:t>
      </w:r>
    </w:p>
    <w:p>
      <w:pPr>
        <w:spacing w:after="0" w:line="18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3"/>
              </w:rPr>
              <w:t>Amortization Date</w:t>
            </w:r>
          </w:p>
        </w:tc>
        <w:tc>
          <w:tcPr>
            <w:tcW w:w="246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Term B Loan</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Installment</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2020</w:t>
            </w:r>
          </w:p>
        </w:tc>
        <w:tc>
          <w:tcPr>
            <w:tcW w:w="2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June 30, 2023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December 31, 2023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June 30, 2024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Maturity Date</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rPr>
              <w:t>Aggregate principal</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w w:val="95"/>
              </w:rPr>
              <w:t>amount of all Term B</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Loans outstanding</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final principal repayment installment of the Term B Loans shall be repaid on the Maturity Date for the Term B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shall be in an amount equal to the aggregate principal amount of all Term B Loans outstanding on such date. In the event any Incremental Term Loans or Refinancing Term Loans are made, such Incremental Term Loans or Refinancing Term Loans shall be repaid in the amounts and dates set forth in the applicable Joinder Agreement or Refinancing Amendment with respect thereto and on the applicable Maturity Date thereof. All payments made pursuant to this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shall be applied on a pro rata basis to each Term Lender holding Term Loans on the applicable Facility or Class being repaid.</w:t>
      </w:r>
    </w:p>
    <w:p>
      <w:pPr>
        <w:spacing w:after="0" w:line="193" w:lineRule="exact"/>
        <w:rPr>
          <w:sz w:val="20"/>
          <w:szCs w:val="20"/>
          <w:color w:val="auto"/>
        </w:rPr>
      </w:pPr>
    </w:p>
    <w:p>
      <w:pPr>
        <w:ind w:right="440" w:firstLine="1436"/>
        <w:spacing w:after="0" w:line="264" w:lineRule="auto"/>
        <w:tabs>
          <w:tab w:leader="none" w:pos="1687"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Revolving Credit Loans</w:t>
      </w:r>
      <w:r>
        <w:rPr>
          <w:rFonts w:ascii="Arial" w:cs="Arial" w:eastAsia="Arial" w:hAnsi="Arial"/>
          <w:sz w:val="18"/>
          <w:szCs w:val="18"/>
          <w:color w:val="auto"/>
        </w:rPr>
        <w:t>. The Borrower shall repay to the Administrative Agent for the ratable account of the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on the applicable Maturity Date for the Revolving Credit Facilities of a given Class the aggregate principal amount of all of its Revolving Credit Loans of such Class outstanding on such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3" w:right="479" w:bottom="1440" w:gutter="0" w:footer="0" w:header="0"/>
        </w:sectPr>
      </w:pPr>
    </w:p>
    <w:bookmarkStart w:id="305" w:name="page306"/>
    <w:bookmarkEnd w:id="305"/>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2.08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225" w:lineRule="exact"/>
        <w:rPr>
          <w:sz w:val="20"/>
          <w:szCs w:val="20"/>
          <w:color w:val="auto"/>
        </w:rPr>
      </w:pPr>
    </w:p>
    <w:p>
      <w:pPr>
        <w:ind w:left="-40" w:right="100" w:firstLine="996"/>
        <w:spacing w:after="0" w:line="302" w:lineRule="auto"/>
        <w:tabs>
          <w:tab w:leader="none" w:pos="1197"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Eurodollar Rate Loans under such Facility and (ii) each Base Rate Loan under a Facility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Base Rate Loans under such Facility.</w:t>
      </w:r>
    </w:p>
    <w:p>
      <w:pPr>
        <w:spacing w:after="0" w:line="154" w:lineRule="exact"/>
        <w:rPr>
          <w:rFonts w:ascii="Arial" w:cs="Arial" w:eastAsia="Arial" w:hAnsi="Arial"/>
          <w:sz w:val="16"/>
          <w:szCs w:val="16"/>
          <w:color w:val="auto"/>
        </w:rPr>
      </w:pPr>
    </w:p>
    <w:p>
      <w:pPr>
        <w:ind w:left="-40" w:right="160" w:firstLine="996"/>
        <w:spacing w:after="0" w:line="264" w:lineRule="auto"/>
        <w:tabs>
          <w:tab w:leader="none" w:pos="120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 Automatically, upon the occurrence and while any Event of Default as described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exists, the Borrower shall pay interest on all overdue amounts then outstanding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620" w:hanging="263"/>
        <w:spacing w:after="0"/>
        <w:tabs>
          <w:tab w:leader="none" w:pos="162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ind w:left="-40" w:firstLine="996"/>
        <w:spacing w:after="0" w:line="264" w:lineRule="auto"/>
        <w:tabs>
          <w:tab w:leader="none" w:pos="119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17" w:lineRule="exact"/>
        <w:rPr>
          <w:sz w:val="20"/>
          <w:szCs w:val="20"/>
          <w:color w:val="auto"/>
        </w:rPr>
      </w:pPr>
    </w:p>
    <w:p>
      <w:pPr>
        <w:ind w:left="-40" w:firstLine="996"/>
        <w:spacing w:after="0" w:line="270" w:lineRule="auto"/>
        <w:tabs>
          <w:tab w:leader="none" w:pos="1196" w:val="left"/>
        </w:tabs>
        <w:numPr>
          <w:ilvl w:val="0"/>
          <w:numId w:val="324"/>
        </w:numPr>
        <w:rPr>
          <w:rFonts w:ascii="Arial" w:cs="Arial" w:eastAsia="Arial" w:hAnsi="Arial"/>
          <w:sz w:val="17"/>
          <w:szCs w:val="17"/>
          <w:color w:val="auto"/>
        </w:rPr>
      </w:pPr>
      <w:r>
        <w:rPr>
          <w:rFonts w:ascii="Arial" w:cs="Arial" w:eastAsia="Arial" w:hAnsi="Arial"/>
          <w:sz w:val="17"/>
          <w:szCs w:val="17"/>
          <w:i w:val="1"/>
          <w:iCs w:val="1"/>
          <w:color w:val="auto"/>
        </w:rPr>
        <w:t>Facility Fee</w:t>
      </w:r>
      <w:r>
        <w:rPr>
          <w:rFonts w:ascii="Arial" w:cs="Arial" w:eastAsia="Arial" w:hAnsi="Arial"/>
          <w:sz w:val="17"/>
          <w:szCs w:val="17"/>
          <w:color w:val="auto"/>
        </w:rPr>
        <w:t>. The Borrower shall pay to the Administrative Agent for the account of each Revolving Credit Lender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Applicable Percentage of the applicable Revolving Credit Facility, a facility fee in U.S. Dollars equal to the Facility Fee Rate with respect to the applicable Revolving Credit Facility under which such Revolving Credit Lender has a Revolving Credit Commitment </w:t>
      </w:r>
      <w:r>
        <w:rPr>
          <w:rFonts w:ascii="Arial" w:cs="Arial" w:eastAsia="Arial" w:hAnsi="Arial"/>
          <w:sz w:val="17"/>
          <w:szCs w:val="17"/>
          <w:i w:val="1"/>
          <w:iCs w:val="1"/>
          <w:color w:val="auto"/>
        </w:rPr>
        <w:t>times</w:t>
      </w:r>
      <w:r>
        <w:rPr>
          <w:rFonts w:ascii="Arial" w:cs="Arial" w:eastAsia="Arial" w:hAnsi="Arial"/>
          <w:sz w:val="17"/>
          <w:szCs w:val="17"/>
          <w:color w:val="auto"/>
        </w:rPr>
        <w:t xml:space="preserve"> the actual daily amount by which the aggregate amount of the Revolving Credit Lenders’ Revolving Credit Commitments exceeds the sum of (i) the Outstanding Amount of Revolving Credit Loans and (ii) the Outstanding Amount of L/C Obligations, subject to adjustment as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facility fee shall accrue at all times from the Closing Date until the applicable Maturity Date for the applicable Revolving Credit Commitments, including at any time during which one or more of the conditions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following the Closing Date and on the applicable Maturity Date for the applicable Revolving Credit Commitments. The facility fee shall be calculated quarterly in arrears.</w:t>
      </w:r>
    </w:p>
    <w:p>
      <w:pPr>
        <w:spacing w:after="0" w:line="181" w:lineRule="exact"/>
        <w:rPr>
          <w:rFonts w:ascii="Arial" w:cs="Arial" w:eastAsia="Arial" w:hAnsi="Arial"/>
          <w:sz w:val="17"/>
          <w:szCs w:val="17"/>
          <w:color w:val="auto"/>
        </w:rPr>
      </w:pPr>
    </w:p>
    <w:p>
      <w:pPr>
        <w:ind w:left="-40" w:right="280" w:firstLine="996"/>
        <w:spacing w:after="0" w:line="264" w:lineRule="auto"/>
        <w:tabs>
          <w:tab w:leader="none" w:pos="1207"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Administrative Agent Fee</w:t>
      </w:r>
      <w:r>
        <w:rPr>
          <w:rFonts w:ascii="Arial" w:cs="Arial" w:eastAsia="Arial" w:hAnsi="Arial"/>
          <w:sz w:val="18"/>
          <w:szCs w:val="18"/>
          <w:color w:val="auto"/>
        </w:rPr>
        <w:t>. The Borrower agrees to pay to the Administrative Agent, for its own account, the fees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Agency Fee Letter and such other fees payable in the amounts and at the times separately agreed upon between the Borrower and the Administrative Agent.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480" w:top="273" w:right="479" w:bottom="1440" w:gutter="0" w:footer="0" w:header="0"/>
        </w:sectPr>
      </w:pPr>
    </w:p>
    <w:bookmarkStart w:id="306" w:name="page307"/>
    <w:bookmarkEnd w:id="306"/>
    <w:p>
      <w:pPr>
        <w:ind w:right="120" w:firstLine="996"/>
        <w:spacing w:after="0" w:line="276" w:lineRule="auto"/>
        <w:tabs>
          <w:tab w:leader="none" w:pos="1236" w:val="left"/>
        </w:tabs>
        <w:numPr>
          <w:ilvl w:val="0"/>
          <w:numId w:val="3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w:t>
      </w:r>
      <w:r>
        <w:rPr>
          <w:rFonts w:ascii="Arial" w:cs="Arial" w:eastAsia="Arial" w:hAnsi="Arial"/>
          <w:sz w:val="17"/>
          <w:szCs w:val="17"/>
          <w:color w:val="auto"/>
        </w:rPr>
        <w:t>. The Borrower agrees to pay on the Closing Date to each Lender party to this Agreement as a Lender on the Closing Date,</w:t>
      </w:r>
      <w:r>
        <w:rPr>
          <w:rFonts w:ascii="Arial" w:cs="Arial" w:eastAsia="Arial" w:hAnsi="Arial"/>
          <w:sz w:val="17"/>
          <w:szCs w:val="17"/>
          <w:i w:val="1"/>
          <w:iCs w:val="1"/>
          <w:color w:val="auto"/>
        </w:rPr>
        <w:t xml:space="preserve"> </w:t>
      </w:r>
      <w:r>
        <w:rPr>
          <w:rFonts w:ascii="Arial" w:cs="Arial" w:eastAsia="Arial" w:hAnsi="Arial"/>
          <w:sz w:val="17"/>
          <w:szCs w:val="17"/>
          <w:color w:val="auto"/>
        </w:rPr>
        <w:t>as fee compensation for the funding of such Lender’s Term B Loans and funded and unfunded Revolving Credit Commitments, a closing fee in an amount separately agreed to by the Borrower and the Arrangers for the benefit of such Lenders on the Closing Date, payable to such Lender from the proceeds of the Term B Loans and/or Revolving Credit Loans as and when funded on the Closing Date. Such closing fee shall be in all respects fully earned, due and payable on the Closing Date and non-refundable and non-creditable thereafter.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Computation of Interest and Fees; Retroactive Adjustments of Applicable Rate</w:t>
      </w:r>
      <w:r>
        <w:rPr>
          <w:rFonts w:ascii="Arial" w:cs="Arial" w:eastAsia="Arial" w:hAnsi="Arial"/>
          <w:sz w:val="18"/>
          <w:szCs w:val="18"/>
          <w:color w:val="auto"/>
        </w:rPr>
        <w:t>.</w:t>
      </w:r>
    </w:p>
    <w:p>
      <w:pPr>
        <w:spacing w:after="0" w:line="225" w:lineRule="exact"/>
        <w:rPr>
          <w:sz w:val="20"/>
          <w:szCs w:val="20"/>
          <w:color w:val="auto"/>
        </w:rPr>
      </w:pPr>
    </w:p>
    <w:p>
      <w:pPr>
        <w:ind w:right="100" w:firstLine="996"/>
        <w:spacing w:after="0" w:line="290" w:lineRule="auto"/>
        <w:tabs>
          <w:tab w:leader="none" w:pos="123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All computations of interest for Base Rate Loans based on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Revolving Credit Loans denominated in Alternative Currencies, the applicable market practice for such Alternative Currency, which shall be either on the basis of a year of a 365 or 366 days or a 360-day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 that is repaid on the same day on which it is made shall, notwithstanding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66" w:lineRule="exact"/>
        <w:rPr>
          <w:rFonts w:ascii="Arial" w:cs="Arial" w:eastAsia="Arial" w:hAnsi="Arial"/>
          <w:sz w:val="16"/>
          <w:szCs w:val="16"/>
          <w:color w:val="auto"/>
        </w:rPr>
      </w:pPr>
    </w:p>
    <w:p>
      <w:pPr>
        <w:ind w:firstLine="996"/>
        <w:spacing w:after="0" w:line="253" w:lineRule="auto"/>
        <w:tabs>
          <w:tab w:leader="none" w:pos="12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the Borrower or for any other reason, the Borrower, the Administrative Agent or the Required Lenders determine that (i) the Secured Net Leverage Ratio as calculated by the Borrower as of any applicable date was inaccurate and (ii) a proper calculation of the Secured Net Leverage Ratio would have resulted in higher pricing for such period, the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2.09(a)</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Borrower’s obligations under this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shall survive the termination of the Aggregate Commitments and the repayment of all other Obligations hereunder for 90 days after such termination and repayment.</w:t>
      </w:r>
    </w:p>
    <w:p>
      <w:pPr>
        <w:spacing w:after="0" w:line="193"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Evidence of Debt</w:t>
      </w:r>
      <w:r>
        <w:rPr>
          <w:rFonts w:ascii="Arial" w:cs="Arial" w:eastAsia="Arial" w:hAnsi="Arial"/>
          <w:sz w:val="18"/>
          <w:szCs w:val="18"/>
          <w:color w:val="auto"/>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307" w:name="page308"/>
    <w:bookmarkEnd w:id="307"/>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3" w:lineRule="exact"/>
        <w:rPr>
          <w:sz w:val="20"/>
          <w:szCs w:val="20"/>
          <w:color w:val="auto"/>
        </w:rPr>
      </w:pPr>
    </w:p>
    <w:p>
      <w:pPr>
        <w:jc w:val="both"/>
        <w:ind w:firstLine="996"/>
        <w:spacing w:after="0" w:line="257" w:lineRule="auto"/>
        <w:tabs>
          <w:tab w:leader="none" w:pos="12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Section 2.11(a)</w:t>
      </w:r>
      <w:r>
        <w:rPr>
          <w:rFonts w:ascii="Arial" w:cs="Arial" w:eastAsia="Arial" w:hAnsi="Arial"/>
          <w:sz w:val="18"/>
          <w:szCs w:val="18"/>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Payments Generally; Administrative Agent’s Clawback</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67" w:lineRule="auto"/>
        <w:tabs>
          <w:tab w:leader="none" w:pos="1236" w:val="left"/>
        </w:tabs>
        <w:numPr>
          <w:ilvl w:val="0"/>
          <w:numId w:val="328"/>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All payments to be made by the Borrower shall be made without condition or deduction for any counterclaim,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recoupment or setoff. Except as otherwise expressly provided herein and except with respect to principal and interest on Loans and L/C Obligations denominated in an Alternative Currency, all payments by the Borrower hereunder shall be made to the Administrative Agent, for the account of the respective Lenders to which such payment is owed, at the Administrative Agent’s Office in U.S. Dollars and in Same Day Funds not later than 12:00 p.m. on the date specified herein. Except as otherwise expressly provided herein, all payments by the Borrower hereunder with respect to principal and interest on Loans and L/C Obligations denominated in an Alternative Currency shall be made to the Administrative Agent, for the account of the respective Lenders to which such payment is owed, at the Administrative Agent’s Office in such Alternative Currency and in Same Day Funds not later than the Applicable Time specified by the Administrative Agent on the dates specified herein. If, for any reason, the Borrower is prohibited by any Law from making any required payment hereunder in an Alternative Currency, the Borrower shall make such payment in U.S. Dollars in an amount equal to the U.S. Dollar Equivalent of the amount due in such Alternative Currency as of the date of payment. The Administrative Agent will promptly distribute to each Lender its Applicable Percentage (or other applicable share as provided herein) of all payments and prepayments of principal and interest due hereunder, together with all other amounts due thereto, including all fees payable with respect thereto, in like funds as received by wire transfer to such Lender’s Lending Office. All payments received by the Administrative Agent after 2:00 p.m., in the case of payments in U.S. Dollars, or after the Applicable Time specified by the Administrative Agent, in the case of payments in an Alternative Currency,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308" w:name="page309"/>
    <w:bookmarkEnd w:id="308"/>
    <w:p>
      <w:pPr>
        <w:ind w:firstLine="996"/>
        <w:spacing w:after="0" w:line="285" w:lineRule="auto"/>
        <w:tabs>
          <w:tab w:leader="none" w:pos="1247" w:val="left"/>
        </w:tabs>
        <w:numPr>
          <w:ilvl w:val="0"/>
          <w:numId w:val="3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by Lenders</w:t>
      </w:r>
      <w:r>
        <w:rPr>
          <w:rFonts w:ascii="Arial" w:cs="Arial" w:eastAsia="Arial" w:hAnsi="Arial"/>
          <w:sz w:val="16"/>
          <w:szCs w:val="16"/>
          <w:color w:val="auto"/>
        </w:rPr>
        <w:t>;</w:t>
      </w:r>
      <w:r>
        <w:rPr>
          <w:rFonts w:ascii="Arial" w:cs="Arial" w:eastAsia="Arial" w:hAnsi="Arial"/>
          <w:sz w:val="16"/>
          <w:szCs w:val="16"/>
          <w:i w:val="1"/>
          <w:iCs w:val="1"/>
          <w:color w:val="auto"/>
        </w:rPr>
        <w:t xml:space="preserve"> Presumption by Administrative Agent</w:t>
      </w:r>
      <w:r>
        <w:rPr>
          <w:rFonts w:ascii="Arial" w:cs="Arial" w:eastAsia="Arial" w:hAnsi="Arial"/>
          <w:sz w:val="16"/>
          <w:szCs w:val="16"/>
          <w:color w:val="auto"/>
        </w:rPr>
        <w:t>. Unless the Administrative Agent shall have received notice from a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to the proposed date of any Borrowing of Eurodollar Rate Loans (or, in the case of any Borrowing of Base Rate Loans, prior to 12:00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7" w:lineRule="exact"/>
        <w:rPr>
          <w:rFonts w:ascii="Arial" w:cs="Arial" w:eastAsia="Arial" w:hAnsi="Arial"/>
          <w:sz w:val="16"/>
          <w:szCs w:val="16"/>
          <w:color w:val="auto"/>
        </w:rPr>
      </w:pPr>
    </w:p>
    <w:p>
      <w:pPr>
        <w:ind w:right="20" w:firstLine="996"/>
        <w:spacing w:after="0" w:line="290" w:lineRule="auto"/>
        <w:tabs>
          <w:tab w:leader="none" w:pos="1236" w:val="left"/>
        </w:tabs>
        <w:numPr>
          <w:ilvl w:val="0"/>
          <w:numId w:val="329"/>
        </w:numPr>
        <w:rPr>
          <w:rFonts w:ascii="Arial" w:cs="Arial" w:eastAsia="Arial" w:hAnsi="Arial"/>
          <w:sz w:val="16"/>
          <w:szCs w:val="16"/>
          <w:color w:val="auto"/>
        </w:rPr>
      </w:pPr>
      <w:r>
        <w:rPr>
          <w:rFonts w:ascii="Arial" w:cs="Arial" w:eastAsia="Arial" w:hAnsi="Arial"/>
          <w:sz w:val="16"/>
          <w:szCs w:val="16"/>
          <w:i w:val="1"/>
          <w:iCs w:val="1"/>
          <w:color w:val="auto"/>
        </w:rPr>
        <w:t>Payments by Borrower</w:t>
      </w:r>
      <w:r>
        <w:rPr>
          <w:rFonts w:ascii="Arial" w:cs="Arial" w:eastAsia="Arial" w:hAnsi="Arial"/>
          <w:sz w:val="16"/>
          <w:szCs w:val="16"/>
          <w:color w:val="auto"/>
        </w:rPr>
        <w:t>;</w:t>
      </w:r>
      <w:r>
        <w:rPr>
          <w:rFonts w:ascii="Arial" w:cs="Arial" w:eastAsia="Arial" w:hAnsi="Arial"/>
          <w:sz w:val="16"/>
          <w:szCs w:val="16"/>
          <w:i w:val="1"/>
          <w:iCs w:val="1"/>
          <w:color w:val="auto"/>
        </w:rPr>
        <w:t xml:space="preserve"> Presumptions by Administrative Agent</w:t>
      </w:r>
      <w:r>
        <w:rPr>
          <w:rFonts w:ascii="Arial" w:cs="Arial" w:eastAsia="Arial" w:hAnsi="Arial"/>
          <w:sz w:val="16"/>
          <w:szCs w:val="16"/>
          <w:color w:val="auto"/>
        </w:rPr>
        <w:t>. Unless the Administrative Agent shall have received notice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prior to the time at which any payment is due to the Administrative Agent for the account of the Lenders or the applicable L/C Issuer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severally agrees to repay to the Administrative Agent forthwith on demand the amount so distributed to such Appropriate Lender,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A notice of the Administrative Agent to any Lender, any L/C Issuer or the Borrower with respect to any amount owing under this </w:t>
      </w:r>
      <w:r>
        <w:rPr>
          <w:rFonts w:ascii="Arial" w:cs="Arial" w:eastAsia="Arial" w:hAnsi="Arial"/>
          <w:sz w:val="17"/>
          <w:szCs w:val="17"/>
          <w:u w:val="single" w:color="auto"/>
          <w:color w:val="auto"/>
        </w:rPr>
        <w:t>subsection</w:t>
      </w:r>
    </w:p>
    <w:p>
      <w:pPr>
        <w:spacing w:after="0" w:line="35" w:lineRule="exact"/>
        <w:rPr>
          <w:sz w:val="20"/>
          <w:szCs w:val="20"/>
          <w:color w:val="auto"/>
        </w:rPr>
      </w:pPr>
    </w:p>
    <w:p>
      <w:pPr>
        <w:ind w:left="240" w:hanging="236"/>
        <w:spacing w:after="0"/>
        <w:tabs>
          <w:tab w:leader="none" w:pos="240" w:val="left"/>
        </w:tabs>
        <w:numPr>
          <w:ilvl w:val="0"/>
          <w:numId w:val="330"/>
        </w:numPr>
        <w:rPr>
          <w:rFonts w:ascii="Arial" w:cs="Arial" w:eastAsia="Arial" w:hAnsi="Arial"/>
          <w:sz w:val="18"/>
          <w:szCs w:val="18"/>
          <w:u w:val="single" w:color="auto"/>
          <w:color w:val="auto"/>
        </w:rPr>
      </w:pPr>
      <w:r>
        <w:rPr>
          <w:rFonts w:ascii="Arial" w:cs="Arial" w:eastAsia="Arial" w:hAnsi="Arial"/>
          <w:sz w:val="18"/>
          <w:szCs w:val="18"/>
          <w:color w:val="auto"/>
        </w:rPr>
        <w:t>shall be conclusive, absent manifest error.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309" w:name="page310"/>
    <w:bookmarkEnd w:id="309"/>
    <w:p>
      <w:pPr>
        <w:ind w:right="80" w:firstLine="996"/>
        <w:spacing w:after="0" w:line="257" w:lineRule="auto"/>
        <w:tabs>
          <w:tab w:leader="none" w:pos="1247"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Satisfy Conditions Precedent</w:t>
      </w:r>
      <w:r>
        <w:rPr>
          <w:rFonts w:ascii="Arial" w:cs="Arial" w:eastAsia="Arial" w:hAnsi="Arial"/>
          <w:sz w:val="18"/>
          <w:szCs w:val="18"/>
          <w:color w:val="auto"/>
        </w:rPr>
        <w:t>. If any Lender makes available to the Administrative Agent funds for any Loan to be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Lender as provided in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in the applicable Joinder Agreement or Refinancing Amendment are not satisfied or waived in accordance with the terms hereof, the Administrative Agent shall promptly return such funds (in like funds as received from such Lender) to such Lender, without interest.</w:t>
      </w:r>
    </w:p>
    <w:p>
      <w:pPr>
        <w:spacing w:after="0" w:line="188" w:lineRule="exact"/>
        <w:rPr>
          <w:rFonts w:ascii="Arial" w:cs="Arial" w:eastAsia="Arial" w:hAnsi="Arial"/>
          <w:sz w:val="18"/>
          <w:szCs w:val="18"/>
          <w:color w:val="auto"/>
        </w:rPr>
      </w:pPr>
    </w:p>
    <w:p>
      <w:pPr>
        <w:ind w:right="160" w:firstLine="996"/>
        <w:spacing w:after="0" w:line="276" w:lineRule="auto"/>
        <w:tabs>
          <w:tab w:leader="none" w:pos="1236"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Obligations of Lenders Several</w:t>
      </w:r>
      <w:r>
        <w:rPr>
          <w:rFonts w:ascii="Arial" w:cs="Arial" w:eastAsia="Arial" w:hAnsi="Arial"/>
          <w:sz w:val="17"/>
          <w:szCs w:val="17"/>
          <w:color w:val="auto"/>
        </w:rPr>
        <w:t>. The obligations of the Lenders hereunder to make Term Loans and Revolving Credit Loans,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participations in Letters of Credit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380" w:firstLine="996"/>
        <w:spacing w:after="0" w:line="342" w:lineRule="auto"/>
        <w:tabs>
          <w:tab w:leader="none" w:pos="1217" w:val="left"/>
        </w:tabs>
        <w:numPr>
          <w:ilvl w:val="0"/>
          <w:numId w:val="331"/>
        </w:numPr>
        <w:rPr>
          <w:rFonts w:ascii="Arial" w:cs="Arial" w:eastAsia="Arial" w:hAnsi="Arial"/>
          <w:sz w:val="16"/>
          <w:szCs w:val="16"/>
          <w:color w:val="auto"/>
        </w:rPr>
      </w:pPr>
      <w:r>
        <w:rPr>
          <w:rFonts w:ascii="Arial" w:cs="Arial" w:eastAsia="Arial" w:hAnsi="Arial"/>
          <w:sz w:val="16"/>
          <w:szCs w:val="16"/>
          <w:i w:val="1"/>
          <w:iCs w:val="1"/>
          <w:color w:val="auto"/>
        </w:rPr>
        <w:t>Funding Source</w:t>
      </w:r>
      <w:r>
        <w:rPr>
          <w:rFonts w:ascii="Arial" w:cs="Arial" w:eastAsia="Arial" w:hAnsi="Arial"/>
          <w:sz w:val="16"/>
          <w:szCs w:val="16"/>
          <w:color w:val="auto"/>
        </w:rPr>
        <w:t>. Nothing herein shall be deemed to obligate any Lender to obtain the funds for any Loan in any particular place or</w:t>
      </w:r>
      <w:r>
        <w:rPr>
          <w:rFonts w:ascii="Arial" w:cs="Arial" w:eastAsia="Arial" w:hAnsi="Arial"/>
          <w:sz w:val="16"/>
          <w:szCs w:val="16"/>
          <w:i w:val="1"/>
          <w:iCs w:val="1"/>
          <w:color w:val="auto"/>
        </w:rPr>
        <w:t xml:space="preserve"> </w:t>
      </w:r>
      <w:r>
        <w:rPr>
          <w:rFonts w:ascii="Arial" w:cs="Arial" w:eastAsia="Arial" w:hAnsi="Arial"/>
          <w:sz w:val="16"/>
          <w:szCs w:val="16"/>
          <w:color w:val="auto"/>
        </w:rPr>
        <w:t>manner or to constitute a representation by any Lender that it has obtained or will obtain the funds for any Loan in any particular place or manner.</w:t>
      </w:r>
    </w:p>
    <w:p>
      <w:pPr>
        <w:spacing w:after="0" w:line="123" w:lineRule="exact"/>
        <w:rPr>
          <w:rFonts w:ascii="Arial" w:cs="Arial" w:eastAsia="Arial" w:hAnsi="Arial"/>
          <w:sz w:val="16"/>
          <w:szCs w:val="16"/>
          <w:color w:val="auto"/>
        </w:rPr>
      </w:pPr>
    </w:p>
    <w:p>
      <w:pPr>
        <w:ind w:firstLine="996"/>
        <w:spacing w:after="0" w:line="257" w:lineRule="auto"/>
        <w:tabs>
          <w:tab w:leader="none" w:pos="1247"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Insufficient Funds</w:t>
      </w:r>
      <w:r>
        <w:rPr>
          <w:rFonts w:ascii="Arial" w:cs="Arial" w:eastAsia="Arial" w:hAnsi="Arial"/>
          <w:sz w:val="18"/>
          <w:szCs w:val="18"/>
          <w:color w:val="auto"/>
        </w:rPr>
        <w:t>. If at any time insufficient funds are received by and available to the Administrative Agent to pay fully all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principal, L/C Borrowings,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Sharing of Payments by Lenders</w:t>
      </w:r>
      <w:r>
        <w:rPr>
          <w:rFonts w:ascii="Arial" w:cs="Arial" w:eastAsia="Arial" w:hAnsi="Arial"/>
          <w:sz w:val="16"/>
          <w:szCs w:val="16"/>
          <w:color w:val="auto"/>
        </w:rPr>
        <w:t>.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w:t>
      </w:r>
    </w:p>
    <w:p>
      <w:pPr>
        <w:ind w:right="20" w:firstLine="4"/>
        <w:spacing w:after="0" w:line="286" w:lineRule="auto"/>
        <w:tabs>
          <w:tab w:leader="none" w:pos="26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58" w:lineRule="exact"/>
        <w:rPr>
          <w:rFonts w:ascii="Arial" w:cs="Arial" w:eastAsia="Arial" w:hAnsi="Arial"/>
          <w:sz w:val="16"/>
          <w:szCs w:val="16"/>
          <w:color w:val="auto"/>
        </w:rPr>
      </w:pPr>
    </w:p>
    <w:p>
      <w:pPr>
        <w:ind w:left="1000" w:right="20" w:firstLine="397"/>
        <w:spacing w:after="0" w:line="264" w:lineRule="auto"/>
        <w:tabs>
          <w:tab w:leader="none" w:pos="161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3" w:right="459" w:bottom="1440" w:gutter="0" w:footer="0" w:header="0"/>
        </w:sectPr>
      </w:pPr>
    </w:p>
    <w:bookmarkStart w:id="310" w:name="page311"/>
    <w:bookmarkEnd w:id="310"/>
    <w:p>
      <w:pPr>
        <w:ind w:left="1000" w:right="40" w:firstLine="397"/>
        <w:spacing w:after="0" w:line="273" w:lineRule="auto"/>
        <w:tabs>
          <w:tab w:leader="none" w:pos="1666" w:val="left"/>
        </w:tabs>
        <w:numPr>
          <w:ilvl w:val="0"/>
          <w:numId w:val="3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(C) any payment obtained by a Lender as consideration for the assignment of or sale of a participation in any of its Loans or subparticipations in L/C Obligations to any assignee or participant, other than to the Borrower or any Restricted Subsidiary or Affiliate thereof (as to which the provisions of this Section shall apply unless such purchase is made by the Borrower pursuant to </w:t>
      </w:r>
      <w:r>
        <w:rPr>
          <w:rFonts w:ascii="Arial" w:cs="Arial" w:eastAsia="Arial" w:hAnsi="Arial"/>
          <w:sz w:val="17"/>
          <w:szCs w:val="17"/>
          <w:u w:val="single" w:color="auto"/>
          <w:color w:val="auto"/>
        </w:rPr>
        <w:t>Section 10.06(b)(vii)</w:t>
      </w:r>
      <w:r>
        <w:rPr>
          <w:rFonts w:ascii="Arial" w:cs="Arial" w:eastAsia="Arial" w:hAnsi="Arial"/>
          <w:sz w:val="17"/>
          <w:szCs w:val="17"/>
          <w:color w:val="auto"/>
        </w:rPr>
        <w:t>).</w:t>
      </w:r>
    </w:p>
    <w:p>
      <w:pPr>
        <w:spacing w:after="0" w:line="178"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Incremental Facilities</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57" w:lineRule="auto"/>
        <w:tabs>
          <w:tab w:leader="none" w:pos="123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Borrower may by written notice to the Administrative Agent elect to increase the existing Revolving Credit Commitments of any Class (any such increase, the “</w:t>
      </w:r>
      <w:r>
        <w:rPr>
          <w:rFonts w:ascii="Arial" w:cs="Arial" w:eastAsia="Arial" w:hAnsi="Arial"/>
          <w:sz w:val="18"/>
          <w:szCs w:val="18"/>
          <w:b w:val="1"/>
          <w:bCs w:val="1"/>
          <w:color w:val="auto"/>
        </w:rPr>
        <w:t>Incremental Revolving Credit Commitments</w:t>
      </w:r>
      <w:r>
        <w:rPr>
          <w:rFonts w:ascii="Arial" w:cs="Arial" w:eastAsia="Arial" w:hAnsi="Arial"/>
          <w:sz w:val="18"/>
          <w:szCs w:val="18"/>
          <w:color w:val="auto"/>
        </w:rPr>
        <w:t>”) and/or increase the existing Term B Commitments or any Incremental Term Loan Commitments and/or incur one or more new term loan commitments (the “</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xml:space="preserve">”), by an amount (1) not to exceed in the aggregate, at the time of incurrence, the Incremental Available Amount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the definition thereof and (2) not less than, individually, $25,000,000.</w:t>
      </w:r>
    </w:p>
    <w:p>
      <w:pPr>
        <w:spacing w:after="0" w:line="184" w:lineRule="exact"/>
        <w:rPr>
          <w:rFonts w:ascii="Arial" w:cs="Arial" w:eastAsia="Arial" w:hAnsi="Arial"/>
          <w:sz w:val="18"/>
          <w:szCs w:val="18"/>
          <w:color w:val="auto"/>
        </w:rPr>
      </w:pPr>
    </w:p>
    <w:p>
      <w:pPr>
        <w:ind w:right="60" w:firstLine="996"/>
        <w:spacing w:after="0" w:line="255" w:lineRule="auto"/>
        <w:tabs>
          <w:tab w:leader="none" w:pos="12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such notice shall specify (i) the date (each, an “</w:t>
      </w:r>
      <w:r>
        <w:rPr>
          <w:rFonts w:ascii="Arial" w:cs="Arial" w:eastAsia="Arial" w:hAnsi="Arial"/>
          <w:sz w:val="18"/>
          <w:szCs w:val="18"/>
          <w:b w:val="1"/>
          <w:bCs w:val="1"/>
          <w:color w:val="auto"/>
        </w:rPr>
        <w:t>Increased Amount Date</w:t>
      </w:r>
      <w:r>
        <w:rPr>
          <w:rFonts w:ascii="Arial" w:cs="Arial" w:eastAsia="Arial" w:hAnsi="Arial"/>
          <w:sz w:val="18"/>
          <w:szCs w:val="18"/>
          <w:color w:val="auto"/>
        </w:rPr>
        <w:t>”) on which the Borrower proposes that the Incremental Revolving Credit Commitments or Incremental Term Loan Commitments, as applicable, shall be effective, which shall be a date not less than 10 Business Days after the date on which such notice is delivered to the Administrative Agent (or such shorter period of time as may be agreed to by the Administrative Agent in its sole discretion); and (ii) the identity of each Lender or other Person, which must be an Eligible Assignee (each, an “</w:t>
      </w:r>
      <w:r>
        <w:rPr>
          <w:rFonts w:ascii="Arial" w:cs="Arial" w:eastAsia="Arial" w:hAnsi="Arial"/>
          <w:sz w:val="18"/>
          <w:szCs w:val="18"/>
          <w:b w:val="1"/>
          <w:bCs w:val="1"/>
          <w:color w:val="auto"/>
        </w:rPr>
        <w:t>Incremental Revolving Loan Lender</w:t>
      </w:r>
      <w:r>
        <w:rPr>
          <w:rFonts w:ascii="Arial" w:cs="Arial" w:eastAsia="Arial" w:hAnsi="Arial"/>
          <w:sz w:val="18"/>
          <w:szCs w:val="18"/>
          <w:color w:val="auto"/>
        </w:rPr>
        <w:t>” or “</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as applicable) to whom the Borrower proposes any portion of such Incremental Revolving Credit Commitments or Incremental Term Loan Commitments, as applicable, be allocated and the amounts of such allocations. Any Lender approached to provide all or a portion of the Incremental Revolving Credit Commitments or Incremental Term Loan Commitments, as applicable, may elect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440" w:top="273" w:right="499" w:bottom="1440" w:gutter="0" w:footer="0" w:header="0"/>
        </w:sectPr>
      </w:pPr>
    </w:p>
    <w:bookmarkStart w:id="311" w:name="page312"/>
    <w:bookmarkEnd w:id="31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decline, in its sole discretion, to provide an Incremental Revolving Credit Commitment or Incremental Term Loan Commitment. Any Incremental Term Loan Commitments effected through the establishment of one or more term loan commitments made on an Increased Amount Date that are not fungible for United States federal income tax purposes with an existing Class of Term Loans shall be designated a separate Class of Incremental Term Loan Commitments for all purposes of this Agreement. Notwithstanding the foregoing, any Incremental Term Loans may be treated as part of the same Class as any other Incremental Term Loans if such Incremental Term Loans have identical terms (other than effective yield) and are fungible for United States federal income tax purposes with such other Incremental Term Loans.</w:t>
      </w:r>
    </w:p>
    <w:p>
      <w:pPr>
        <w:spacing w:after="0" w:line="178" w:lineRule="exact"/>
        <w:rPr>
          <w:sz w:val="20"/>
          <w:szCs w:val="20"/>
          <w:color w:val="auto"/>
        </w:rPr>
      </w:pPr>
    </w:p>
    <w:p>
      <w:pPr>
        <w:ind w:right="60" w:firstLine="996"/>
        <w:spacing w:after="0" w:line="257" w:lineRule="auto"/>
        <w:tabs>
          <w:tab w:leader="none" w:pos="123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Administrative Agent shall notify the Lenders promptly upon receipt of the Borrower’s notice of each Increased Amount Date and in respect thereof (i) the Incremental Revolving Credit Commitments and the Incremental Revolving Loan Lenders or Incremental Term Loan Commitments and the Incremental Term Loan Lenders, as applicable and (ii) in the case of each notice to any applicable Revolving Credit Lender of any such given Class, the respective interests in such Revolving Credit Lender’s Revolving Credit Loans of such Class, in each case subject to the assignments contemplated by this Section.</w:t>
      </w:r>
    </w:p>
    <w:p>
      <w:pPr>
        <w:spacing w:after="0" w:line="188" w:lineRule="exact"/>
        <w:rPr>
          <w:rFonts w:ascii="Arial" w:cs="Arial" w:eastAsia="Arial" w:hAnsi="Arial"/>
          <w:sz w:val="18"/>
          <w:szCs w:val="18"/>
          <w:color w:val="auto"/>
        </w:rPr>
      </w:pPr>
    </w:p>
    <w:p>
      <w:pPr>
        <w:ind w:right="720" w:firstLine="996"/>
        <w:spacing w:after="0" w:line="277" w:lineRule="auto"/>
        <w:tabs>
          <w:tab w:leader="none" w:pos="124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Such Incremental Revolving Credit Commitments or Incremental Term Loan Commitments shall become effective as of such Increased Amount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000" w:firstLine="397"/>
        <w:spacing w:after="0" w:line="288" w:lineRule="auto"/>
        <w:tabs>
          <w:tab w:leader="none" w:pos="161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(x) subject, solely in the case of Incremental Term Loans, to </w:t>
      </w:r>
      <w:r>
        <w:rPr>
          <w:rFonts w:ascii="Arial" w:cs="Arial" w:eastAsia="Arial" w:hAnsi="Arial"/>
          <w:sz w:val="16"/>
          <w:szCs w:val="16"/>
          <w:u w:val="single" w:color="auto"/>
          <w:color w:val="auto"/>
        </w:rPr>
        <w:t>Section 1.09(c)</w:t>
      </w:r>
      <w:r>
        <w:rPr>
          <w:rFonts w:ascii="Arial" w:cs="Arial" w:eastAsia="Arial" w:hAnsi="Arial"/>
          <w:sz w:val="16"/>
          <w:szCs w:val="16"/>
          <w:color w:val="auto"/>
        </w:rPr>
        <w:t xml:space="preserve">, no Event of Default shall exist on such Increased Amount Date before or after giving effect to such Incremental Revolving Credit Commitments or Incremental Term Loan Commitments, as applicable and the extensions of credit to be made thereunder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may be waived or limited as agreed in the Joinder Agreement between the Borrower and the applicable Incremental Term Loan Lenders; and (y) the representations and warranties of the Borrower and each other Loan Party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hereof shall be true and correct in all material respects (except that any representation and warranty that is qualified as to “materiality,” “Material Adverse Effect” or similar language shall be true and correct (after giving effect to any qualification therein) on and as of such date, except in each case to the extent that such representations and warranties specifically refer to an earlier date, in which case they shall be true and correct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Incremental Term Loans incurred to finance a Permitted Acquisition or other Investment in the nature of an acquisition,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(i)(y)</w:t>
      </w:r>
      <w:r>
        <w:rPr>
          <w:rFonts w:ascii="Arial" w:cs="Arial" w:eastAsia="Arial" w:hAnsi="Arial"/>
          <w:sz w:val="16"/>
          <w:szCs w:val="16"/>
          <w:color w:val="auto"/>
        </w:rPr>
        <w:t xml:space="preserve"> shall be limited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w:t>
      </w:r>
      <w:r>
        <w:rPr>
          <w:rFonts w:ascii="Arial" w:cs="Arial" w:eastAsia="Arial" w:hAnsi="Arial"/>
          <w:sz w:val="16"/>
          <w:szCs w:val="16"/>
          <w:u w:val="single" w:color="auto"/>
          <w:color w:val="auto"/>
        </w:rPr>
        <w:t>5.17</w:t>
      </w:r>
      <w:r>
        <w:rPr>
          <w:rFonts w:ascii="Arial" w:cs="Arial" w:eastAsia="Arial" w:hAnsi="Arial"/>
          <w:sz w:val="16"/>
          <w:szCs w:val="16"/>
          <w:color w:val="auto"/>
        </w:rPr>
        <w:t xml:space="preserve">, </w:t>
      </w:r>
      <w:r>
        <w:rPr>
          <w:rFonts w:ascii="Arial" w:cs="Arial" w:eastAsia="Arial" w:hAnsi="Arial"/>
          <w:sz w:val="16"/>
          <w:szCs w:val="16"/>
          <w:u w:val="single" w:color="auto"/>
          <w:color w:val="auto"/>
        </w:rPr>
        <w:t>5.18</w:t>
      </w:r>
      <w:r>
        <w:rPr>
          <w:rFonts w:ascii="Arial" w:cs="Arial" w:eastAsia="Arial" w:hAnsi="Arial"/>
          <w:sz w:val="16"/>
          <w:szCs w:val="16"/>
          <w:color w:val="auto"/>
        </w:rPr>
        <w:t xml:space="preserve">, </w:t>
      </w:r>
      <w:r>
        <w:rPr>
          <w:rFonts w:ascii="Arial" w:cs="Arial" w:eastAsia="Arial" w:hAnsi="Arial"/>
          <w:sz w:val="16"/>
          <w:szCs w:val="16"/>
          <w:u w:val="single" w:color="auto"/>
          <w:color w:val="auto"/>
        </w:rPr>
        <w:t>5.19</w:t>
      </w:r>
      <w:r>
        <w:rPr>
          <w:rFonts w:ascii="Arial" w:cs="Arial" w:eastAsia="Arial" w:hAnsi="Arial"/>
          <w:sz w:val="16"/>
          <w:szCs w:val="16"/>
          <w:color w:val="auto"/>
        </w:rPr>
        <w:t xml:space="preserve"> (other than the first or second sentence thereof) and </w:t>
      </w:r>
      <w:r>
        <w:rPr>
          <w:rFonts w:ascii="Arial" w:cs="Arial" w:eastAsia="Arial" w:hAnsi="Arial"/>
          <w:sz w:val="16"/>
          <w:szCs w:val="16"/>
          <w:u w:val="single" w:color="auto"/>
          <w:color w:val="auto"/>
        </w:rPr>
        <w:t>5.20</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1000" w:right="40" w:firstLine="397"/>
        <w:spacing w:after="0" w:line="255" w:lineRule="auto"/>
        <w:tabs>
          <w:tab w:leader="none" w:pos="166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with regard to the incurrence of any additional Class of Incremental Term Loans incurred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yield applicable to each such additional Class of Incremental Term Loans shall be determined by the Borrower and the applicable lenders under such additional Class of Incremental Term Loans as set forth in the applicable Joinder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Effective Yield applicable to such additional Class of Incremental Term Loans will not be more than fifty (50) basis points greater than the Effective Yield for the initial Term B Loans incurred on the Closing Date unless the interest rate margin with respect to the initial Term B Loans incurred on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312" w:name="page313"/>
    <w:bookmarkEnd w:id="312"/>
    <w:p>
      <w:pPr>
        <w:ind w:left="996"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Date (and any Incremental Term Loans added to such Term B Loans) is increased by an amount equal to the difference between the Effective Yield with respect to such additional Class of Incremental Term Loans less fifty (50) basis points and the Effective Yield for the initial Term B Loans incurred on the Closing Date (and any Incremental Term Loans added to such Term B Loans) (the “</w:t>
      </w:r>
      <w:r>
        <w:rPr>
          <w:rFonts w:ascii="Arial" w:cs="Arial" w:eastAsia="Arial" w:hAnsi="Arial"/>
          <w:sz w:val="18"/>
          <w:szCs w:val="18"/>
          <w:b w:val="1"/>
          <w:bCs w:val="1"/>
          <w:color w:val="auto"/>
        </w:rPr>
        <w:t>MFN</w:t>
      </w:r>
      <w:r>
        <w:rPr>
          <w:rFonts w:ascii="Arial" w:cs="Arial" w:eastAsia="Arial" w:hAnsi="Arial"/>
          <w:sz w:val="18"/>
          <w:szCs w:val="18"/>
          <w:color w:val="auto"/>
        </w:rPr>
        <w:t xml:space="preserve"> </w:t>
      </w:r>
      <w:r>
        <w:rPr>
          <w:rFonts w:ascii="Arial" w:cs="Arial" w:eastAsia="Arial" w:hAnsi="Arial"/>
          <w:sz w:val="18"/>
          <w:szCs w:val="18"/>
          <w:b w:val="1"/>
          <w:bCs w:val="1"/>
          <w:color w:val="auto"/>
        </w:rPr>
        <w:t>Protection</w:t>
      </w:r>
      <w:r>
        <w:rPr>
          <w:rFonts w:ascii="Arial" w:cs="Arial" w:eastAsia="Arial" w:hAnsi="Arial"/>
          <w:sz w:val="18"/>
          <w:szCs w:val="18"/>
          <w:color w:val="auto"/>
        </w:rPr>
        <w:t>”);</w:t>
      </w:r>
    </w:p>
    <w:p>
      <w:pPr>
        <w:spacing w:after="0" w:line="79" w:lineRule="exact"/>
        <w:rPr>
          <w:sz w:val="20"/>
          <w:szCs w:val="20"/>
          <w:color w:val="auto"/>
        </w:rPr>
      </w:pPr>
    </w:p>
    <w:p>
      <w:pPr>
        <w:jc w:val="both"/>
        <w:ind w:left="996" w:right="100" w:firstLine="397"/>
        <w:spacing w:after="0" w:line="302" w:lineRule="auto"/>
        <w:tabs>
          <w:tab w:leader="none" w:pos="1712" w:val="left"/>
        </w:tabs>
        <w:numPr>
          <w:ilvl w:val="2"/>
          <w:numId w:val="336"/>
        </w:numPr>
        <w:rPr>
          <w:rFonts w:ascii="Arial" w:cs="Arial" w:eastAsia="Arial" w:hAnsi="Arial"/>
          <w:sz w:val="16"/>
          <w:szCs w:val="16"/>
          <w:color w:val="auto"/>
        </w:rPr>
      </w:pPr>
      <w:r>
        <w:rPr>
          <w:rFonts w:ascii="Arial" w:cs="Arial" w:eastAsia="Arial" w:hAnsi="Arial"/>
          <w:sz w:val="16"/>
          <w:szCs w:val="16"/>
          <w:color w:val="auto"/>
        </w:rPr>
        <w:t xml:space="preserve">the Incremental Revolving Credit Commitments or Incremental Term Loan Commitments, as applicable, shall be effected pursuant to one or more Joinder Agreements executed and delivered by the Borrower, the Incremental Revolving Loan Lender(s) or Incremental Term Loan Lender(s), as applicable, and the Administrative Agent, each of which shall be recorded in the Register (and each Incremental Revolving Loan Lender and Incremental Term Loan Lender shall be subject to the requirements set forth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696" w:hanging="303"/>
        <w:spacing w:after="0"/>
        <w:tabs>
          <w:tab w:leader="none" w:pos="1696" w:val="left"/>
        </w:tabs>
        <w:numPr>
          <w:ilvl w:val="2"/>
          <w:numId w:val="336"/>
        </w:numPr>
        <w:rPr>
          <w:rFonts w:ascii="Arial" w:cs="Arial" w:eastAsia="Arial" w:hAnsi="Arial"/>
          <w:sz w:val="16"/>
          <w:szCs w:val="16"/>
          <w:color w:val="auto"/>
        </w:rPr>
      </w:pPr>
      <w:r>
        <w:rPr>
          <w:rFonts w:ascii="Arial" w:cs="Arial" w:eastAsia="Arial" w:hAnsi="Arial"/>
          <w:sz w:val="16"/>
          <w:szCs w:val="16"/>
          <w:color w:val="auto"/>
        </w:rPr>
        <w:t xml:space="preserve">the Incremental Facilities shall be Guaranteed by the Guarantors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security with the other Facilities;</w:t>
      </w:r>
    </w:p>
    <w:p>
      <w:pPr>
        <w:spacing w:after="0" w:line="140" w:lineRule="exact"/>
        <w:rPr>
          <w:rFonts w:ascii="Arial" w:cs="Arial" w:eastAsia="Arial" w:hAnsi="Arial"/>
          <w:sz w:val="16"/>
          <w:szCs w:val="16"/>
          <w:color w:val="auto"/>
        </w:rPr>
      </w:pPr>
    </w:p>
    <w:p>
      <w:pPr>
        <w:ind w:left="996" w:firstLine="397"/>
        <w:spacing w:after="0" w:line="342" w:lineRule="auto"/>
        <w:tabs>
          <w:tab w:leader="none" w:pos="1652" w:val="left"/>
        </w:tabs>
        <w:numPr>
          <w:ilvl w:val="2"/>
          <w:numId w:val="336"/>
        </w:numPr>
        <w:rPr>
          <w:rFonts w:ascii="Arial" w:cs="Arial" w:eastAsia="Arial" w:hAnsi="Arial"/>
          <w:sz w:val="16"/>
          <w:szCs w:val="16"/>
          <w:color w:val="auto"/>
        </w:rPr>
      </w:pPr>
      <w:r>
        <w:rPr>
          <w:rFonts w:ascii="Arial" w:cs="Arial" w:eastAsia="Arial" w:hAnsi="Arial"/>
          <w:sz w:val="16"/>
          <w:szCs w:val="16"/>
          <w:color w:val="auto"/>
        </w:rPr>
        <w:t>all fees and reasonable out-of-pocket expenses owing to the Administrative Agent and the Lenders (other than a Defaulting Lender) in respect of the Incremental Revolving Credit Commitments and Incremental Term Loan Commitments shall have been paid; and</w:t>
      </w:r>
    </w:p>
    <w:p>
      <w:pPr>
        <w:spacing w:after="0" w:line="15" w:lineRule="exact"/>
        <w:rPr>
          <w:rFonts w:ascii="Arial" w:cs="Arial" w:eastAsia="Arial" w:hAnsi="Arial"/>
          <w:sz w:val="16"/>
          <w:szCs w:val="16"/>
          <w:color w:val="auto"/>
        </w:rPr>
      </w:pPr>
    </w:p>
    <w:p>
      <w:pPr>
        <w:ind w:left="996" w:right="320" w:firstLine="397"/>
        <w:spacing w:after="0" w:line="277" w:lineRule="auto"/>
        <w:tabs>
          <w:tab w:leader="none" w:pos="1702" w:val="left"/>
        </w:tabs>
        <w:numPr>
          <w:ilvl w:val="2"/>
          <w:numId w:val="336"/>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legal opinions, officer’s certificates and such other documents reasonably requested by the Administrative Agent in connection with any such transaction.</w:t>
      </w:r>
    </w:p>
    <w:p>
      <w:pPr>
        <w:spacing w:after="0" w:line="170" w:lineRule="exact"/>
        <w:rPr>
          <w:rFonts w:ascii="Arial" w:cs="Arial" w:eastAsia="Arial" w:hAnsi="Arial"/>
          <w:sz w:val="18"/>
          <w:szCs w:val="18"/>
          <w:color w:val="auto"/>
        </w:rPr>
      </w:pPr>
    </w:p>
    <w:p>
      <w:pPr>
        <w:ind w:left="-4" w:firstLine="996"/>
        <w:spacing w:after="0" w:line="284" w:lineRule="auto"/>
        <w:tabs>
          <w:tab w:leader="none" w:pos="123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On any Increased Amount Date on which Incremental Revolving Credit Commitments are effected, subject to the satisfaction of the foregoing terms and conditions, (i) each of the existing Revolving Credit Lenders of the Class being so increased shall assign to each of the Incremental Revolving Loan Lenders, and each of the Incremental Revolving Loan Lenders shall purchase from each of the existing Revolving Credit Lenders of the Class being so increased, at the principal amount thereof (together with accrued interest), such interests in the Revolving Credit Loans of the Class being so increased and participations in Letters of Credit outstanding on such Increased Amount Date as shall be necessary in order that, after giving effect to all such assignments and purchases, such Revolving Credit Loans and participations in Letters of Credit will be held by existing Revolving Credit Lenders of such Class and Incremental Revolving Loan Lenders ratably in accordance with their Revolving Credit Commitments of the Class being so increased after giving effect to the addition of such Incremental Revolving Credit Commitments to the Revolving Credit Commitments of such Class,</w:t>
      </w:r>
    </w:p>
    <w:p>
      <w:pPr>
        <w:spacing w:after="0" w:line="1" w:lineRule="exact"/>
        <w:rPr>
          <w:rFonts w:ascii="Arial" w:cs="Arial" w:eastAsia="Arial" w:hAnsi="Arial"/>
          <w:sz w:val="16"/>
          <w:szCs w:val="16"/>
          <w:color w:val="auto"/>
        </w:rPr>
      </w:pPr>
    </w:p>
    <w:p>
      <w:pPr>
        <w:jc w:val="both"/>
        <w:ind w:left="-4" w:right="120" w:firstLine="4"/>
        <w:spacing w:after="0" w:line="254" w:lineRule="auto"/>
        <w:tabs>
          <w:tab w:leader="none" w:pos="26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Incremental Revolving Credit Commitment shall be deemed for all purposes a Revolving Credit Commitment of the Class being so increased and each Loan made thereunder (an “</w:t>
      </w:r>
      <w:r>
        <w:rPr>
          <w:rFonts w:ascii="Arial" w:cs="Arial" w:eastAsia="Arial" w:hAnsi="Arial"/>
          <w:sz w:val="18"/>
          <w:szCs w:val="18"/>
          <w:b w:val="1"/>
          <w:bCs w:val="1"/>
          <w:color w:val="auto"/>
        </w:rPr>
        <w:t>Incremental Revolving Loan</w:t>
      </w:r>
      <w:r>
        <w:rPr>
          <w:rFonts w:ascii="Arial" w:cs="Arial" w:eastAsia="Arial" w:hAnsi="Arial"/>
          <w:sz w:val="18"/>
          <w:szCs w:val="18"/>
          <w:color w:val="auto"/>
        </w:rPr>
        <w:t>”) shall be deemed, for all purposes, a Revolving Credit Loan of the Class being so increased and (iii) each Incremental Revolving Loan Lender shall become a Lender with respect to the Incremental Revolving Credit Commitment and all matters relating thereto.</w:t>
      </w:r>
    </w:p>
    <w:p>
      <w:pPr>
        <w:spacing w:after="0" w:line="12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96"/>
          </w:cols>
          <w:pgMar w:left="444" w:top="273" w:right="459" w:bottom="1440" w:gutter="0" w:footer="0" w:header="0"/>
        </w:sectPr>
      </w:pPr>
    </w:p>
    <w:bookmarkStart w:id="313" w:name="page314"/>
    <w:bookmarkEnd w:id="313"/>
    <w:p>
      <w:pPr>
        <w:ind w:right="140" w:firstLine="996"/>
        <w:spacing w:after="0" w:line="255" w:lineRule="auto"/>
        <w:tabs>
          <w:tab w:leader="none" w:pos="1217"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any Increased Amount Date on which any Incremental Term Loan Commitments of any Class (or any Incremental Term Loan Commitments increasing any existing Term Loans) are effective, subject to the satisfaction of the foregoing terms and conditions, (i) each Incremental Term Loan Lender of such Class or increase shall make a Loan to the Borrower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Loan Commitment of such Class or increase and (ii) each Incremental Term Loan Lender of such Class or increase shall become a Lender hereunder with respect to the Incremental Term Loan Commitment of such Class or increase and the Incremental Term Loans of such Class or increase made pursuant thereto.</w:t>
      </w:r>
    </w:p>
    <w:p>
      <w:pPr>
        <w:spacing w:after="0" w:line="193" w:lineRule="exact"/>
        <w:rPr>
          <w:rFonts w:ascii="Arial" w:cs="Arial" w:eastAsia="Arial" w:hAnsi="Arial"/>
          <w:sz w:val="18"/>
          <w:szCs w:val="18"/>
          <w:color w:val="auto"/>
        </w:rPr>
      </w:pPr>
    </w:p>
    <w:p>
      <w:pPr>
        <w:ind w:firstLine="996"/>
        <w:spacing w:after="0" w:line="286" w:lineRule="auto"/>
        <w:tabs>
          <w:tab w:leader="none" w:pos="124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The terms (including pricing, premiums, fees, rate floors, optional prepayment provisions, and/or mandatory prepayment provisions) and conditions of the Incremental Term Loans and Incremental Term Loan Commitments shall be, except as otherwise explicitly set forth herein, as agreed in the Joinder Agreement between the Borrower, the applicable Incremental Term Loan Lenders providing such Incremental Term Loan Commitments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terms of such Indebtedness shall not be more restrictive, taken as a whole, to the Borrower and the other Loan Parties than those set forth in this Agreement prior to the execution of such Joinder Agreement unless (x) such terms apply only after the Latest Maturity Date at the time such Indebtedness is established or (y) this Agreement is amended so that such terms are also applicable for the benefit of any Lenders under any then-existing Facilities, (ii) the Weighted Average Life to Maturity of all Incremental Term Loans of any such Class shall be no shorter than the Weighted Average Life to Maturity of any other Term Loans at the time of the incurrence of such Incremental Term Loans, (iii) the applicable Incremental Term Loan Maturity Date of each Class shall be no earlier than the Latest Maturity Date at the time of the incurrence of such Incremental Term Loans, (iv) the pricing of each Class of Incremental Term Loans may be subject to “most favored nations” provisions if and to the extent set forth in the Joinder Agreement for such Class and (v) in the case of Incremental Term Loans, such Indebtedness may participate on a pro rata basis or less than pro rata basis (but not on a greater than pro rata basis) in any mandatory prepayments of Term Loans hereunder, as specified in the applicable Joinder Agreement, and in the case of Incremental Revolving Credit Commitments, such Incremental Revolving Credit Commitments may participate on a pro rata basis or less than pro rata basis (but not on a greater than pro rata basis) in any mandatory reductions of Revolving Credit Commitments hereunder, as specified in the applicable Joinder Agreement.</w:t>
      </w:r>
    </w:p>
    <w:p>
      <w:pPr>
        <w:spacing w:after="0" w:line="168" w:lineRule="exact"/>
        <w:rPr>
          <w:rFonts w:ascii="Arial" w:cs="Arial" w:eastAsia="Arial" w:hAnsi="Arial"/>
          <w:sz w:val="16"/>
          <w:szCs w:val="16"/>
          <w:color w:val="auto"/>
        </w:rPr>
      </w:pPr>
    </w:p>
    <w:p>
      <w:pPr>
        <w:ind w:right="20" w:firstLine="996"/>
        <w:spacing w:after="0" w:line="257" w:lineRule="auto"/>
        <w:tabs>
          <w:tab w:leader="none" w:pos="124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The terms and provisions of the Incremental Revolving Loans and Incremental Revolving Credit Commitments shall be identical to the other Revolving Credit Loans of the Class being so increased and the Revolving Credit Commitments of the Class being so increased;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Incremental Revolving Loan Lenders require an interest rate in excess of the interest rate then applicable to the Revolving Credit Facility of the Class being so increased, the interest rate on the Revolving Credit Facility of such Class shall be increased to equal such required rate without further consent of the affected Lenders.</w:t>
      </w:r>
    </w:p>
    <w:p>
      <w:pPr>
        <w:spacing w:after="0" w:line="188" w:lineRule="exact"/>
        <w:rPr>
          <w:rFonts w:ascii="Arial" w:cs="Arial" w:eastAsia="Arial" w:hAnsi="Arial"/>
          <w:sz w:val="18"/>
          <w:szCs w:val="18"/>
          <w:color w:val="auto"/>
        </w:rPr>
      </w:pPr>
    </w:p>
    <w:p>
      <w:pPr>
        <w:ind w:right="80" w:firstLine="996"/>
        <w:spacing w:after="0" w:line="259" w:lineRule="auto"/>
        <w:tabs>
          <w:tab w:leader="none" w:pos="120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Each Joinder Agreement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any amendments that are not adverse to the interests of any Lender that are made to effectuate changes necessary or appropriate to enable any Incremental Term Loans that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314" w:name="page315"/>
    <w:bookmarkEnd w:id="314"/>
    <w:p>
      <w:pPr>
        <w:jc w:val="both"/>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intended to be fungible with any other Term Loans to be fungible with such other Term Loans, which shall include any amendments that modify the aggregate principal amount of scheduled installment payments to the extent such amendment does not decrease the installment payment an existing Term Lender would have received prior to giving effect to any such amendment).</w:t>
      </w:r>
    </w:p>
    <w:p>
      <w:pPr>
        <w:spacing w:after="0" w:line="181" w:lineRule="exact"/>
        <w:rPr>
          <w:sz w:val="20"/>
          <w:szCs w:val="20"/>
          <w:color w:val="auto"/>
        </w:rPr>
      </w:pPr>
    </w:p>
    <w:p>
      <w:pPr>
        <w:ind w:left="440" w:right="2800" w:firstLine="556"/>
        <w:spacing w:after="0" w:line="501" w:lineRule="auto"/>
        <w:tabs>
          <w:tab w:leader="none" w:pos="120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to the contrary. Section 2.15 </w:t>
      </w:r>
      <w:r>
        <w:rPr>
          <w:rFonts w:ascii="Arial" w:cs="Arial" w:eastAsia="Arial" w:hAnsi="Arial"/>
          <w:sz w:val="18"/>
          <w:szCs w:val="18"/>
          <w:i w:val="1"/>
          <w:iCs w:val="1"/>
          <w:color w:val="auto"/>
        </w:rPr>
        <w:t>Cash Collateral</w:t>
      </w:r>
      <w:r>
        <w:rPr>
          <w:rFonts w:ascii="Arial" w:cs="Arial" w:eastAsia="Arial" w:hAnsi="Arial"/>
          <w:sz w:val="18"/>
          <w:szCs w:val="18"/>
          <w:color w:val="auto"/>
        </w:rPr>
        <w:t>.</w:t>
      </w:r>
    </w:p>
    <w:p>
      <w:pPr>
        <w:ind w:firstLine="996"/>
        <w:spacing w:after="0" w:line="297" w:lineRule="auto"/>
        <w:tabs>
          <w:tab w:leader="none" w:pos="1236" w:val="left"/>
        </w:tabs>
        <w:numPr>
          <w:ilvl w:val="0"/>
          <w:numId w:val="341"/>
        </w:numPr>
        <w:rPr>
          <w:rFonts w:ascii="Arial" w:cs="Arial" w:eastAsia="Arial" w:hAnsi="Arial"/>
          <w:sz w:val="16"/>
          <w:szCs w:val="16"/>
          <w:color w:val="auto"/>
        </w:rPr>
      </w:pPr>
      <w:r>
        <w:rPr>
          <w:rFonts w:ascii="Arial" w:cs="Arial" w:eastAsia="Arial" w:hAnsi="Arial"/>
          <w:sz w:val="16"/>
          <w:szCs w:val="16"/>
          <w:i w:val="1"/>
          <w:iCs w:val="1"/>
          <w:color w:val="auto"/>
        </w:rPr>
        <w:t>Certain Credit Support Events</w:t>
      </w:r>
      <w:r>
        <w:rPr>
          <w:rFonts w:ascii="Arial" w:cs="Arial" w:eastAsia="Arial" w:hAnsi="Arial"/>
          <w:sz w:val="16"/>
          <w:szCs w:val="16"/>
          <w:color w:val="auto"/>
        </w:rPr>
        <w:t>. Upon the request of the Administrative Agent or any L/C Issuer if, as of the Letter of Credit Expiration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any L/C Obligation for any reason remains outstanding, the Borrower shall, in each case, immediately Cash Collateralize all L/C Obligations in an amount equal to 105% of the then Outstanding Amount of all L/C Obligations. At any time that there shall exist a Defaulting Lender, immediately upon the request of the Administrative Agent or any L/C Issuer, the Borrower shall deliver to the Administrative Agent Cash Collateral in an amount sufficient to cover all Fronting Exposure (after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and any Cash Collateral provided by the Defaulting Lender).</w:t>
      </w:r>
    </w:p>
    <w:p>
      <w:pPr>
        <w:spacing w:after="0" w:line="158" w:lineRule="exact"/>
        <w:rPr>
          <w:rFonts w:ascii="Arial" w:cs="Arial" w:eastAsia="Arial" w:hAnsi="Arial"/>
          <w:sz w:val="16"/>
          <w:szCs w:val="16"/>
          <w:color w:val="auto"/>
        </w:rPr>
      </w:pPr>
    </w:p>
    <w:p>
      <w:pPr>
        <w:ind w:right="140" w:firstLine="996"/>
        <w:spacing w:after="0" w:line="270" w:lineRule="auto"/>
        <w:tabs>
          <w:tab w:leader="none" w:pos="1247" w:val="left"/>
        </w:tabs>
        <w:numPr>
          <w:ilvl w:val="0"/>
          <w:numId w:val="341"/>
        </w:numPr>
        <w:rPr>
          <w:rFonts w:ascii="Arial" w:cs="Arial" w:eastAsia="Arial" w:hAnsi="Arial"/>
          <w:sz w:val="17"/>
          <w:szCs w:val="17"/>
          <w:color w:val="auto"/>
        </w:rPr>
      </w:pPr>
      <w:r>
        <w:rPr>
          <w:rFonts w:ascii="Arial" w:cs="Arial" w:eastAsia="Arial" w:hAnsi="Arial"/>
          <w:sz w:val="17"/>
          <w:szCs w:val="17"/>
          <w:i w:val="1"/>
          <w:iCs w:val="1"/>
          <w:color w:val="auto"/>
        </w:rPr>
        <w:t>Grant of Security Interest</w:t>
      </w:r>
      <w:r>
        <w:rPr>
          <w:rFonts w:ascii="Arial" w:cs="Arial" w:eastAsia="Arial" w:hAnsi="Arial"/>
          <w:sz w:val="17"/>
          <w:szCs w:val="17"/>
          <w:color w:val="auto"/>
        </w:rPr>
        <w:t>. All Cash Collateral (other than credit support not constituting funds subject to deposit) shall be maintained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blocked, non-interest bearing deposit accounts at a bank selected by the Borrower and reasonably acceptable to the Administrative Agent. The Borrower, and to the extent provided by any Lender, such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w:t>
      </w:r>
    </w:p>
    <w:p>
      <w:pPr>
        <w:spacing w:after="0" w:line="177" w:lineRule="exact"/>
        <w:rPr>
          <w:rFonts w:ascii="Arial" w:cs="Arial" w:eastAsia="Arial" w:hAnsi="Arial"/>
          <w:sz w:val="17"/>
          <w:szCs w:val="17"/>
          <w:color w:val="auto"/>
        </w:rPr>
      </w:pPr>
    </w:p>
    <w:p>
      <w:pPr>
        <w:ind w:left="1240" w:hanging="244"/>
        <w:spacing w:after="0"/>
        <w:tabs>
          <w:tab w:leader="none" w:pos="1240" w:val="left"/>
        </w:tabs>
        <w:numPr>
          <w:ilvl w:val="0"/>
          <w:numId w:val="341"/>
        </w:numPr>
        <w:rPr>
          <w:rFonts w:ascii="Arial" w:cs="Arial" w:eastAsia="Arial" w:hAnsi="Arial"/>
          <w:sz w:val="17"/>
          <w:szCs w:val="17"/>
          <w:color w:val="auto"/>
        </w:rPr>
      </w:pPr>
      <w:r>
        <w:rPr>
          <w:rFonts w:ascii="Arial" w:cs="Arial" w:eastAsia="Arial" w:hAnsi="Arial"/>
          <w:sz w:val="17"/>
          <w:szCs w:val="17"/>
          <w:i w:val="1"/>
          <w:iCs w:val="1"/>
          <w:color w:val="auto"/>
        </w:rPr>
        <w:t>Application</w:t>
      </w:r>
      <w:r>
        <w:rPr>
          <w:rFonts w:ascii="Arial" w:cs="Arial" w:eastAsia="Arial" w:hAnsi="Arial"/>
          <w:sz w:val="17"/>
          <w:szCs w:val="17"/>
          <w:color w:val="auto"/>
        </w:rPr>
        <w:t>. Notwithstanding anything to the contrary contained in this Agreement, Cash Collateral provided under any of this</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3" w:right="459" w:bottom="1440" w:gutter="0" w:footer="0" w:header="0"/>
        </w:sectPr>
      </w:pPr>
    </w:p>
    <w:bookmarkStart w:id="315" w:name="page316"/>
    <w:bookmarkEnd w:id="315"/>
    <w:p>
      <w:pPr>
        <w:ind w:left="-20" w:firstLine="996"/>
        <w:spacing w:after="0" w:line="272" w:lineRule="auto"/>
        <w:tabs>
          <w:tab w:leader="none" w:pos="1227" w:val="left"/>
        </w:tabs>
        <w:numPr>
          <w:ilvl w:val="0"/>
          <w:numId w:val="34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7"/>
          <w:szCs w:val="17"/>
          <w:color w:val="auto"/>
        </w:rPr>
        <w:t>. Cash Collateral (or the appropriate portion thereof) provided to reduce Fronting Exposure or other obligations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or (ii) the Administrative Agent’s good faith determination that there exists excess Cash Collateral;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Cash Collateral furnished by or on behalf of a Loan Party shall not be released during the continuance of an Event of Default (and following application as provided in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may be otherwise applied in accordance with </w:t>
      </w:r>
      <w:r>
        <w:rPr>
          <w:rFonts w:ascii="Arial" w:cs="Arial" w:eastAsia="Arial" w:hAnsi="Arial"/>
          <w:sz w:val="17"/>
          <w:szCs w:val="17"/>
          <w:u w:val="single" w:color="auto"/>
          <w:color w:val="auto"/>
        </w:rPr>
        <w:t>Section 8.03</w:t>
      </w:r>
      <w:r>
        <w:rPr>
          <w:rFonts w:ascii="Arial" w:cs="Arial" w:eastAsia="Arial" w:hAnsi="Arial"/>
          <w:sz w:val="17"/>
          <w:szCs w:val="17"/>
          <w:color w:val="auto"/>
        </w:rPr>
        <w:t>), and (y) the Person providing Cash Collateral and the applicable L/C Issuer may agree that Cash Collateral shall not be released but instead held to support future anticipated Fronting Exposure or other obligations.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left="-20" w:right="80" w:firstLine="996"/>
        <w:spacing w:after="0" w:line="277" w:lineRule="auto"/>
        <w:tabs>
          <w:tab w:leader="none" w:pos="1216"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Notwithstanding anything to the contrary contained in this Agreement, if any Lender becomes a Defaulting Lender, then,</w:t>
      </w:r>
      <w:r>
        <w:rPr>
          <w:rFonts w:ascii="Arial" w:cs="Arial" w:eastAsia="Arial" w:hAnsi="Arial"/>
          <w:sz w:val="18"/>
          <w:szCs w:val="18"/>
          <w:i w:val="1"/>
          <w:i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980" w:right="80" w:firstLine="397"/>
        <w:spacing w:after="0" w:line="255" w:lineRule="auto"/>
        <w:tabs>
          <w:tab w:leader="none" w:pos="1596" w:val="left"/>
        </w:tabs>
        <w:numPr>
          <w:ilvl w:val="1"/>
          <w:numId w:val="343"/>
        </w:numPr>
        <w:rPr>
          <w:rFonts w:ascii="Arial" w:cs="Arial" w:eastAsia="Arial" w:hAnsi="Arial"/>
          <w:sz w:val="18"/>
          <w:szCs w:val="18"/>
          <w:color w:val="auto"/>
        </w:rPr>
      </w:pPr>
      <w:r>
        <w:rPr>
          <w:rFonts w:ascii="Arial" w:cs="Arial" w:eastAsia="Arial" w:hAnsi="Arial"/>
          <w:sz w:val="18"/>
          <w:szCs w:val="18"/>
          <w:i w:val="1"/>
          <w:iCs w:val="1"/>
          <w:color w:val="auto"/>
        </w:rPr>
        <w:t>Waivers and Amendments</w:t>
      </w:r>
      <w:r>
        <w:rPr>
          <w:rFonts w:ascii="Arial" w:cs="Arial" w:eastAsia="Arial" w:hAnsi="Arial"/>
          <w:sz w:val="18"/>
          <w:szCs w:val="18"/>
          <w:color w:val="auto"/>
        </w:rPr>
        <w:t>. That Defaulting Lender’s right to approve or disapprove any amendment, modification, waiver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consent with respect to this Agreement shall be restricted as set forth in the definitions of Required Lenders, Required Revolving Credit Lenders, and Required Facility Lenders and, in addition, Defaulting Lenders shall not be permitted to vote with respect to any other amendment, modification, waiver or consent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otherwise direct the Administrative Agent pursuant to the terms hereof or of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modification, waiver or consent requiring the consent of all Lenders or each affected Lender which affects such Defaulting Lender differently than other affected Lenders shall require the consent of such Defaulting Lender.</w:t>
      </w:r>
    </w:p>
    <w:p>
      <w:pPr>
        <w:spacing w:after="0" w:line="81" w:lineRule="exact"/>
        <w:rPr>
          <w:rFonts w:ascii="Arial" w:cs="Arial" w:eastAsia="Arial" w:hAnsi="Arial"/>
          <w:sz w:val="18"/>
          <w:szCs w:val="18"/>
          <w:color w:val="auto"/>
        </w:rPr>
      </w:pPr>
    </w:p>
    <w:p>
      <w:pPr>
        <w:ind w:left="980" w:firstLine="397"/>
        <w:spacing w:after="0" w:line="286" w:lineRule="auto"/>
        <w:tabs>
          <w:tab w:leader="none" w:pos="1646" w:val="left"/>
        </w:tabs>
        <w:numPr>
          <w:ilvl w:val="1"/>
          <w:numId w:val="343"/>
        </w:numPr>
        <w:rPr>
          <w:rFonts w:ascii="Arial" w:cs="Arial" w:eastAsia="Arial" w:hAnsi="Arial"/>
          <w:sz w:val="16"/>
          <w:szCs w:val="16"/>
          <w:color w:val="auto"/>
        </w:rPr>
      </w:pPr>
      <w:r>
        <w:rPr>
          <w:rFonts w:ascii="Arial" w:cs="Arial" w:eastAsia="Arial" w:hAnsi="Arial"/>
          <w:sz w:val="16"/>
          <w:szCs w:val="16"/>
          <w:i w:val="1"/>
          <w:iCs w:val="1"/>
          <w:color w:val="auto"/>
        </w:rPr>
        <w:t>Reallocation of Payments</w:t>
      </w:r>
      <w:r>
        <w:rPr>
          <w:rFonts w:ascii="Arial" w:cs="Arial" w:eastAsia="Arial" w:hAnsi="Arial"/>
          <w:sz w:val="16"/>
          <w:szCs w:val="16"/>
          <w:color w:val="auto"/>
        </w:rPr>
        <w:t>. Any payment of principal, interest, fees or other amounts received by the Administrative Agent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 of that Defaulting Lender (whether voluntary or mandatory, at maturity,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Lender to the L/C Issuers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any L/C Issuer, to be held as Cash Collateral for future funding obligations of that Defaulting Lender of any participation in any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any L/C Issuer as a result of any judgment of a court of competent jurisdiction obtained by any Lender or any L/C Issuer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so long as no Default exists, to the payment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80"/>
          </w:cols>
          <w:pgMar w:left="460" w:top="273" w:right="459" w:bottom="1440" w:gutter="0" w:footer="0" w:header="0"/>
        </w:sectPr>
      </w:pPr>
    </w:p>
    <w:bookmarkStart w:id="316" w:name="page317"/>
    <w:bookmarkEnd w:id="316"/>
    <w:p>
      <w:pPr>
        <w:ind w:left="10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2.16(a)(ii)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59" w:lineRule="exact"/>
        <w:rPr>
          <w:sz w:val="20"/>
          <w:szCs w:val="20"/>
          <w:color w:val="auto"/>
        </w:rPr>
      </w:pPr>
    </w:p>
    <w:p>
      <w:pPr>
        <w:ind w:left="1000" w:right="120" w:firstLine="397"/>
        <w:spacing w:after="0" w:line="259" w:lineRule="auto"/>
        <w:tabs>
          <w:tab w:leader="none" w:pos="1716" w:val="left"/>
        </w:tabs>
        <w:numPr>
          <w:ilvl w:val="1"/>
          <w:numId w:val="344"/>
        </w:numPr>
        <w:rPr>
          <w:rFonts w:ascii="Arial" w:cs="Arial" w:eastAsia="Arial" w:hAnsi="Arial"/>
          <w:sz w:val="18"/>
          <w:szCs w:val="18"/>
          <w:color w:val="auto"/>
        </w:rPr>
      </w:pPr>
      <w:r>
        <w:rPr>
          <w:rFonts w:ascii="Arial" w:cs="Arial" w:eastAsia="Arial" w:hAnsi="Arial"/>
          <w:sz w:val="18"/>
          <w:szCs w:val="18"/>
          <w:i w:val="1"/>
          <w:iCs w:val="1"/>
          <w:color w:val="auto"/>
        </w:rPr>
        <w:t>Certain Fees</w:t>
      </w:r>
      <w:r>
        <w:rPr>
          <w:rFonts w:ascii="Arial" w:cs="Arial" w:eastAsia="Arial" w:hAnsi="Arial"/>
          <w:sz w:val="18"/>
          <w:szCs w:val="18"/>
          <w:color w:val="auto"/>
        </w:rPr>
        <w:t>. That Defaulting Lender (x) shall not be entitled to receive a facility fee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2.09(a)</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00" w:right="20" w:firstLine="397"/>
        <w:spacing w:after="0" w:line="269" w:lineRule="auto"/>
        <w:tabs>
          <w:tab w:leader="none" w:pos="1706" w:val="left"/>
        </w:tabs>
        <w:numPr>
          <w:ilvl w:val="1"/>
          <w:numId w:val="344"/>
        </w:numPr>
        <w:rPr>
          <w:rFonts w:ascii="Arial" w:cs="Arial" w:eastAsia="Arial" w:hAnsi="Arial"/>
          <w:sz w:val="17"/>
          <w:szCs w:val="17"/>
          <w:color w:val="auto"/>
        </w:rPr>
      </w:pPr>
      <w:r>
        <w:rPr>
          <w:rFonts w:ascii="Arial" w:cs="Arial" w:eastAsia="Arial" w:hAnsi="Arial"/>
          <w:sz w:val="17"/>
          <w:szCs w:val="17"/>
          <w:i w:val="1"/>
          <w:iCs w:val="1"/>
          <w:color w:val="auto"/>
        </w:rPr>
        <w:t>Reallocation of Applicable Percentages to Reduce Fronting Exposure</w:t>
      </w:r>
      <w:r>
        <w:rPr>
          <w:rFonts w:ascii="Arial" w:cs="Arial" w:eastAsia="Arial" w:hAnsi="Arial"/>
          <w:sz w:val="17"/>
          <w:szCs w:val="17"/>
          <w:color w:val="auto"/>
        </w:rPr>
        <w:t>. During any period in which there is a Defaulting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respect of the Revolving Credit Facility, for purposes of computing the amount of the obligation of each Revolving Credit Lender that is not a Defaulting Lender to acquire, refinance or fund participations in Letters of Credit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the “Applicable Percentage” and “Applicable Revolving Credit Percentage” of each Revolving Credit Lender that is not a Defaulting Lender in respect of the Revolving Credit Facility shall be computed without giving effect to the Revolving Credit Commitment of that Defaulting Lender;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each such reallocation shall be given effect only if, at the date the applicable Revolving Credit Lender becomes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Defaulting Lender, no Default exists; and (ii) the aggregate obligation of each Revolving Credit Lender that is not a Defaulting Lender to acquire, refinance or fund participations in Letters of Credit shall not exceed the positive difference, if any, of (x) the Revolving Credit Commitment of that Revolving Credit Lender that is not a 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aggregate Outstanding Amount of the Revolving Credit Loans of such Revolving Credit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Credit Lender’s Applicable Revolving Credit Percentage of the Outstanding Amount of all L/C Obligations.</w:t>
      </w:r>
    </w:p>
    <w:p>
      <w:pPr>
        <w:spacing w:after="0" w:line="182" w:lineRule="exact"/>
        <w:rPr>
          <w:rFonts w:ascii="Arial" w:cs="Arial" w:eastAsia="Arial" w:hAnsi="Arial"/>
          <w:sz w:val="17"/>
          <w:szCs w:val="17"/>
          <w:color w:val="auto"/>
        </w:rPr>
      </w:pPr>
    </w:p>
    <w:p>
      <w:pPr>
        <w:ind w:right="80" w:firstLine="996"/>
        <w:spacing w:after="0" w:line="255" w:lineRule="auto"/>
        <w:tabs>
          <w:tab w:leader="none" w:pos="1247" w:val="left"/>
        </w:tabs>
        <w:numPr>
          <w:ilvl w:val="0"/>
          <w:numId w:val="345"/>
        </w:numPr>
        <w:rPr>
          <w:rFonts w:ascii="Arial" w:cs="Arial" w:eastAsia="Arial" w:hAnsi="Arial"/>
          <w:sz w:val="18"/>
          <w:szCs w:val="18"/>
          <w:color w:val="auto"/>
        </w:rPr>
      </w:pPr>
      <w:r>
        <w:rPr>
          <w:rFonts w:ascii="Arial" w:cs="Arial" w:eastAsia="Arial" w:hAnsi="Arial"/>
          <w:sz w:val="18"/>
          <w:szCs w:val="18"/>
          <w:i w:val="1"/>
          <w:iCs w:val="1"/>
          <w:color w:val="auto"/>
        </w:rPr>
        <w:t>Defaulting Lender Cure</w:t>
      </w:r>
      <w:r>
        <w:rPr>
          <w:rFonts w:ascii="Arial" w:cs="Arial" w:eastAsia="Arial" w:hAnsi="Arial"/>
          <w:sz w:val="18"/>
          <w:szCs w:val="18"/>
          <w:color w:val="auto"/>
        </w:rPr>
        <w:t>. If the Borrower, the Administrative Agent, and the L/C Issuers agree in writing in their sole discretion that a</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(and shall pay to such other Lenders any break funding costs that such other Lenders may incur as a result of such purchase) or take such other actions as the Administrative Agent may determine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317" w:name="page318"/>
    <w:bookmarkEnd w:id="317"/>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be necessary to cause the Loans and funded and unfunded participations in Letters of Credit to be held on a pro rata basis by the Revolving Credit Lenders in accordance with their Applicable Revolving Credit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that Lender will cease to be a Defaulting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Revolving Credit Lender will constitute a waiver or release of any claim of any party hereunder arising from that Revolving Credit Lender’s having been a Defaulting Lender.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Refinancing Facilities</w:t>
      </w:r>
      <w:r>
        <w:rPr>
          <w:rFonts w:ascii="Arial" w:cs="Arial" w:eastAsia="Arial" w:hAnsi="Arial"/>
          <w:sz w:val="18"/>
          <w:szCs w:val="18"/>
          <w:color w:val="auto"/>
        </w:rPr>
        <w:t>.</w:t>
      </w:r>
    </w:p>
    <w:p>
      <w:pPr>
        <w:spacing w:after="0" w:line="225" w:lineRule="exact"/>
        <w:rPr>
          <w:sz w:val="20"/>
          <w:szCs w:val="20"/>
          <w:color w:val="auto"/>
        </w:rPr>
      </w:pPr>
    </w:p>
    <w:p>
      <w:pPr>
        <w:ind w:right="100" w:firstLine="996"/>
        <w:spacing w:after="0" w:line="285" w:lineRule="auto"/>
        <w:tabs>
          <w:tab w:leader="none" w:pos="1237"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On one or more occasions, the Borrower may obtain, from any Lender or any other bank or financial institution or other institutional lender or investor that would constitute an Eligible Assignee if it were purchasing Loans hereunder and that agrees to provide any portion of Refinancing Term Commitments, Refinancing Term Loans, Other Revolving Commitments, or Other Revolving Loans, Credit Agreement Refinancing Indebtedness in the form of Refinancing Term Commitments, Refinancing Term Loans, Other Revolving Commitments or Other Revolving Loans, in each case pursuant to a Refinancing Amendment in accordance with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(each, an “</w:t>
      </w:r>
      <w:r>
        <w:rPr>
          <w:rFonts w:ascii="Arial" w:cs="Arial" w:eastAsia="Arial" w:hAnsi="Arial"/>
          <w:sz w:val="16"/>
          <w:szCs w:val="16"/>
          <w:b w:val="1"/>
          <w:bCs w:val="1"/>
          <w:color w:val="auto"/>
        </w:rPr>
        <w:t>Additional Refinancing Lender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right="140" w:firstLine="4"/>
        <w:spacing w:after="0" w:line="253" w:lineRule="auto"/>
        <w:tabs>
          <w:tab w:leader="none" w:pos="21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the Administrative Agent and each L/C Issuer shall have consented (such consent not to be unreasonably withheld, conditioned, or delayed) to such Lender’s or Additional Refinancing Lender’s providing such Refinancing Term Commitments, Refinancing Term Loans, Other Revolving Commitments or Other Revolving Loans to the extent such consent, if any, would be required under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for an assignment of Refinancing Term Commitments, Refinancing Term Loans, Other Revolving Commitments, or Other Revolving Loans, as applicable, to such Lender or Additional Refinancing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following terms are satisfied:</w:t>
      </w:r>
    </w:p>
    <w:p>
      <w:pPr>
        <w:spacing w:after="0" w:line="83" w:lineRule="exact"/>
        <w:rPr>
          <w:rFonts w:ascii="Arial" w:cs="Arial" w:eastAsia="Arial" w:hAnsi="Arial"/>
          <w:sz w:val="18"/>
          <w:szCs w:val="18"/>
          <w:color w:val="auto"/>
        </w:rPr>
      </w:pPr>
    </w:p>
    <w:p>
      <w:pPr>
        <w:ind w:left="1000" w:right="100" w:firstLine="397"/>
        <w:spacing w:after="0" w:line="312" w:lineRule="auto"/>
        <w:tabs>
          <w:tab w:leader="none" w:pos="1616" w:val="left"/>
        </w:tabs>
        <w:numPr>
          <w:ilvl w:val="2"/>
          <w:numId w:val="347"/>
        </w:numPr>
        <w:rPr>
          <w:rFonts w:ascii="Arial" w:cs="Arial" w:eastAsia="Arial" w:hAnsi="Arial"/>
          <w:sz w:val="16"/>
          <w:szCs w:val="16"/>
          <w:color w:val="auto"/>
        </w:rPr>
      </w:pPr>
      <w:r>
        <w:rPr>
          <w:rFonts w:ascii="Arial" w:cs="Arial" w:eastAsia="Arial" w:hAnsi="Arial"/>
          <w:sz w:val="16"/>
          <w:szCs w:val="16"/>
          <w:color w:val="auto"/>
        </w:rPr>
        <w:t>any Refinancing Term Loans may participate on a pro rata basis or on a less than pro rata basis (but not on a greater than pro rata basis) as among the various Classes of Term Loans (in accordance with the respective outstanding principal amounts thereof) in any voluntary or mandatory repayments or prepayments of Term Loans hereunder, as specified in the applicable Refinancing Amendment;</w:t>
      </w:r>
    </w:p>
    <w:p>
      <w:pPr>
        <w:spacing w:after="0" w:line="38" w:lineRule="exact"/>
        <w:rPr>
          <w:rFonts w:ascii="Arial" w:cs="Arial" w:eastAsia="Arial" w:hAnsi="Arial"/>
          <w:sz w:val="16"/>
          <w:szCs w:val="16"/>
          <w:color w:val="auto"/>
        </w:rPr>
      </w:pPr>
    </w:p>
    <w:p>
      <w:pPr>
        <w:ind w:left="1000" w:firstLine="397"/>
        <w:spacing w:after="0" w:line="293" w:lineRule="auto"/>
        <w:tabs>
          <w:tab w:leader="none" w:pos="1666" w:val="left"/>
        </w:tabs>
        <w:numPr>
          <w:ilvl w:val="2"/>
          <w:numId w:val="347"/>
        </w:numPr>
        <w:rPr>
          <w:rFonts w:ascii="Arial" w:cs="Arial" w:eastAsia="Arial" w:hAnsi="Arial"/>
          <w:sz w:val="16"/>
          <w:szCs w:val="16"/>
          <w:color w:val="auto"/>
        </w:rPr>
      </w:pPr>
      <w:r>
        <w:rPr>
          <w:rFonts w:ascii="Arial" w:cs="Arial" w:eastAsia="Arial" w:hAnsi="Arial"/>
          <w:sz w:val="16"/>
          <w:szCs w:val="16"/>
          <w:color w:val="auto"/>
        </w:rPr>
        <w:t xml:space="preserve">(x) subject to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all Other Revolving Commitments shall be deemed to be Revolving Credit Commitments for purposes of borrowings and prepayments of Revolving Credit Loans and participations in Letters of Credit and (y)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of Other Revolving Loans after the date of obtaining any Other Revolving Commitments shall be made on a pro rata basis with all other Revolving Commitments;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3" w:right="459" w:bottom="1440" w:gutter="0" w:footer="0" w:header="0"/>
        </w:sectPr>
      </w:pPr>
    </w:p>
    <w:bookmarkStart w:id="318" w:name="page319"/>
    <w:bookmarkEnd w:id="318"/>
    <w:p>
      <w:pPr>
        <w:jc w:val="both"/>
        <w:ind w:left="1000" w:right="220" w:firstLine="397"/>
        <w:spacing w:after="0" w:line="259" w:lineRule="auto"/>
        <w:tabs>
          <w:tab w:leader="none" w:pos="1716" w:val="left"/>
        </w:tabs>
        <w:numPr>
          <w:ilvl w:val="2"/>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provisions of </w:t>
      </w:r>
      <w:r>
        <w:rPr>
          <w:rFonts w:ascii="Arial" w:cs="Arial" w:eastAsia="Arial" w:hAnsi="Arial"/>
          <w:sz w:val="18"/>
          <w:szCs w:val="18"/>
          <w:u w:val="single" w:color="auto"/>
          <w:color w:val="auto"/>
        </w:rPr>
        <w:t>Section 2.03(k)</w:t>
      </w:r>
      <w:r>
        <w:rPr>
          <w:rFonts w:ascii="Arial" w:cs="Arial" w:eastAsia="Arial" w:hAnsi="Arial"/>
          <w:sz w:val="18"/>
          <w:szCs w:val="18"/>
          <w:color w:val="auto"/>
        </w:rPr>
        <w:t xml:space="preserve"> to the extent dealing with Letters of Credit which mature or expire after a maturity date when there exist Other Revolving Commitments with a longer maturity date, all Letters of Credit shall be participated on a pro rata basis by all Lenders with Revolving Credit Commitments (including Other Revolving Credit Commitments) in accordance with their Applicable Revolving Credit Percentage;</w:t>
      </w:r>
    </w:p>
    <w:p>
      <w:pPr>
        <w:spacing w:after="0" w:line="78" w:lineRule="exact"/>
        <w:rPr>
          <w:rFonts w:ascii="Arial" w:cs="Arial" w:eastAsia="Arial" w:hAnsi="Arial"/>
          <w:sz w:val="18"/>
          <w:szCs w:val="18"/>
          <w:color w:val="auto"/>
        </w:rPr>
      </w:pPr>
    </w:p>
    <w:p>
      <w:pPr>
        <w:ind w:left="1000" w:right="80" w:firstLine="397"/>
        <w:spacing w:after="0" w:line="257" w:lineRule="auto"/>
        <w:tabs>
          <w:tab w:leader="none" w:pos="1706" w:val="left"/>
        </w:tabs>
        <w:numPr>
          <w:ilvl w:val="2"/>
          <w:numId w:val="348"/>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permanent repayment of Other Revolving Loans with respect to, and termination of, Other Revolving Commitments, after the date of the applicable Refinancing Amendment, shall be made on a pro rata basis with all other Revolving Credit Loans and Revolving Credit Commitments, except that the Borrower shall be permitted to permanently repay and terminate commitments of any such Class on a better than pro rata basis as compared to any other Class with a later Maturity Date than such Class; and</w:t>
      </w:r>
    </w:p>
    <w:p>
      <w:pPr>
        <w:spacing w:after="0" w:line="80" w:lineRule="exact"/>
        <w:rPr>
          <w:rFonts w:ascii="Arial" w:cs="Arial" w:eastAsia="Arial" w:hAnsi="Arial"/>
          <w:sz w:val="18"/>
          <w:szCs w:val="18"/>
          <w:color w:val="auto"/>
        </w:rPr>
      </w:pPr>
    </w:p>
    <w:p>
      <w:pPr>
        <w:jc w:val="both"/>
        <w:ind w:left="1000" w:right="400" w:firstLine="397"/>
        <w:spacing w:after="0" w:line="342" w:lineRule="auto"/>
        <w:tabs>
          <w:tab w:leader="none" w:pos="1656" w:val="left"/>
        </w:tabs>
        <w:numPr>
          <w:ilvl w:val="2"/>
          <w:numId w:val="348"/>
        </w:numPr>
        <w:rPr>
          <w:rFonts w:ascii="Arial" w:cs="Arial" w:eastAsia="Arial" w:hAnsi="Arial"/>
          <w:sz w:val="16"/>
          <w:szCs w:val="16"/>
          <w:color w:val="auto"/>
        </w:rPr>
      </w:pPr>
      <w:r>
        <w:rPr>
          <w:rFonts w:ascii="Arial" w:cs="Arial" w:eastAsia="Arial" w:hAnsi="Arial"/>
          <w:sz w:val="16"/>
          <w:szCs w:val="16"/>
          <w:color w:val="auto"/>
        </w:rPr>
        <w:t>assignments and participations of Other Revolving Commitments and Other Revolving Loans shall be governed by the same assignment and participation provisions applicable to Original Revolving Credit Commitments and Original Revolving Credit Loans.</w:t>
      </w:r>
    </w:p>
    <w:p>
      <w:pPr>
        <w:spacing w:after="0" w:line="123" w:lineRule="exact"/>
        <w:rPr>
          <w:rFonts w:ascii="Arial" w:cs="Arial" w:eastAsia="Arial" w:hAnsi="Arial"/>
          <w:sz w:val="16"/>
          <w:szCs w:val="16"/>
          <w:color w:val="auto"/>
        </w:rPr>
      </w:pPr>
    </w:p>
    <w:p>
      <w:pPr>
        <w:ind w:right="220" w:firstLine="996"/>
        <w:spacing w:after="0" w:line="286" w:lineRule="auto"/>
        <w:tabs>
          <w:tab w:leader="none" w:pos="1247"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The effectiveness of any Refinancing Amendment shall be subject to the satisfaction on the date thereof of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to the extent reasonably requested by the Administrative Agent, receipt by the Administrative Agent of (i) customary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w:t>
      </w:r>
    </w:p>
    <w:p>
      <w:pPr>
        <w:spacing w:after="0" w:line="1" w:lineRule="exact"/>
        <w:rPr>
          <w:rFonts w:ascii="Arial" w:cs="Arial" w:eastAsia="Arial" w:hAnsi="Arial"/>
          <w:sz w:val="16"/>
          <w:szCs w:val="16"/>
          <w:color w:val="auto"/>
        </w:rPr>
      </w:pPr>
    </w:p>
    <w:p>
      <w:pPr>
        <w:ind w:right="20" w:firstLine="4"/>
        <w:spacing w:after="0" w:line="323" w:lineRule="auto"/>
        <w:tabs>
          <w:tab w:leader="none" w:pos="26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reaffirmation agreements and/or such amendments to the Collateral Documents as may be reasonably requested by the Administrative Agent in order to ensure that the enforceability of the Collateral Documents and the perfection and priority of the Liens thereunder are preserved and maintained.</w:t>
      </w:r>
    </w:p>
    <w:p>
      <w:pPr>
        <w:spacing w:after="0" w:line="138" w:lineRule="exact"/>
        <w:rPr>
          <w:rFonts w:ascii="Arial" w:cs="Arial" w:eastAsia="Arial" w:hAnsi="Arial"/>
          <w:sz w:val="16"/>
          <w:szCs w:val="16"/>
          <w:color w:val="auto"/>
        </w:rPr>
      </w:pPr>
    </w:p>
    <w:p>
      <w:pPr>
        <w:ind w:right="220" w:firstLine="996"/>
        <w:spacing w:after="0" w:line="277" w:lineRule="auto"/>
        <w:tabs>
          <w:tab w:leader="none" w:pos="1237"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Each issuance of Credit Agreement Refinancing Indebtedness under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shall be in an aggregate principal amount that is not less than $25,000,000.</w:t>
      </w:r>
    </w:p>
    <w:p>
      <w:pPr>
        <w:spacing w:after="0" w:line="170" w:lineRule="exact"/>
        <w:rPr>
          <w:rFonts w:ascii="Arial" w:cs="Arial" w:eastAsia="Arial" w:hAnsi="Arial"/>
          <w:sz w:val="18"/>
          <w:szCs w:val="18"/>
          <w:color w:val="auto"/>
        </w:rPr>
      </w:pPr>
    </w:p>
    <w:p>
      <w:pPr>
        <w:ind w:firstLine="996"/>
        <w:spacing w:after="0" w:line="286" w:lineRule="auto"/>
        <w:tabs>
          <w:tab w:leader="none" w:pos="1247" w:val="left"/>
        </w:tabs>
        <w:numPr>
          <w:ilvl w:val="1"/>
          <w:numId w:val="350"/>
        </w:numPr>
        <w:rPr>
          <w:rFonts w:ascii="Arial" w:cs="Arial" w:eastAsia="Arial" w:hAnsi="Arial"/>
          <w:sz w:val="16"/>
          <w:szCs w:val="16"/>
          <w:color w:val="auto"/>
        </w:rPr>
      </w:pPr>
      <w:r>
        <w:rPr>
          <w:rFonts w:ascii="Arial" w:cs="Arial" w:eastAsia="Arial" w:hAnsi="Arial"/>
          <w:sz w:val="16"/>
          <w:szCs w:val="16"/>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and the Lenders hereby expressly authorize the Administrative Agent to enter into any such Refinancing Amendment.</w:t>
      </w:r>
    </w:p>
    <w:p>
      <w:pPr>
        <w:spacing w:after="0" w:line="210" w:lineRule="exact"/>
        <w:rPr>
          <w:rFonts w:ascii="Arial" w:cs="Arial" w:eastAsia="Arial" w:hAnsi="Arial"/>
          <w:sz w:val="16"/>
          <w:szCs w:val="16"/>
          <w:color w:val="auto"/>
        </w:rPr>
      </w:pPr>
    </w:p>
    <w:p>
      <w:pPr>
        <w:ind w:right="140" w:firstLine="996"/>
        <w:spacing w:after="0" w:line="277" w:lineRule="auto"/>
        <w:tabs>
          <w:tab w:leader="none" w:pos="1237"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 and nothing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the contrary shall prohibit the application of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140" w:firstLine="996"/>
        <w:spacing w:after="0" w:line="253" w:lineRule="auto"/>
        <w:tabs>
          <w:tab w:leader="none" w:pos="1236"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Payments Free of Taxes; Obligation to Withhold; Payments on Account of Taxes</w:t>
      </w:r>
      <w:r>
        <w:rPr>
          <w:rFonts w:ascii="Arial" w:cs="Arial" w:eastAsia="Arial" w:hAnsi="Arial"/>
          <w:sz w:val="18"/>
          <w:szCs w:val="18"/>
          <w:color w:val="auto"/>
        </w:rPr>
        <w:t>. Any and all payments by or on account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of any Loan Party hereunder or under any other Loan Document shall to the extent permitted by applicable Laws be made free and clear of and without reduction or withholding for any Taxes. If, however,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7" w:lineRule="exact"/>
        <w:rPr>
          <w:rFonts w:ascii="Arial" w:cs="Arial" w:eastAsia="Arial" w:hAnsi="Arial"/>
          <w:sz w:val="18"/>
          <w:szCs w:val="18"/>
          <w:color w:val="auto"/>
        </w:rPr>
      </w:pPr>
    </w:p>
    <w:p>
      <w:pPr>
        <w:ind w:firstLine="996"/>
        <w:spacing w:after="0" w:line="264" w:lineRule="auto"/>
        <w:tabs>
          <w:tab w:leader="none" w:pos="1247"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Payment of Other Taxes by the Borrower</w:t>
      </w:r>
      <w:r>
        <w:rPr>
          <w:rFonts w:ascii="Arial" w:cs="Arial" w:eastAsia="Arial" w:hAnsi="Arial"/>
          <w:sz w:val="18"/>
          <w:szCs w:val="18"/>
          <w:color w:val="auto"/>
        </w:rPr>
        <w:t>. Without limiting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(a)</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 Loan Parties shall timely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Taxes to the relevant Governmental Authority in accordance with applicable Laws, or at the option of the Administrative Agent timely reimburse it for the payment of Other Taxes.</w:t>
      </w:r>
    </w:p>
    <w:p>
      <w:pPr>
        <w:spacing w:after="0" w:line="181" w:lineRule="exact"/>
        <w:rPr>
          <w:rFonts w:ascii="Arial" w:cs="Arial" w:eastAsia="Arial" w:hAnsi="Arial"/>
          <w:sz w:val="18"/>
          <w:szCs w:val="18"/>
          <w:color w:val="auto"/>
        </w:rPr>
      </w:pPr>
    </w:p>
    <w:p>
      <w:pPr>
        <w:ind w:left="1240" w:hanging="244"/>
        <w:spacing w:after="0"/>
        <w:tabs>
          <w:tab w:leader="none" w:pos="1240"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20" w:firstLine="397"/>
        <w:spacing w:after="0" w:line="268" w:lineRule="auto"/>
        <w:tabs>
          <w:tab w:leader="none" w:pos="1616" w:val="left"/>
        </w:tabs>
        <w:numPr>
          <w:ilvl w:val="1"/>
          <w:numId w:val="351"/>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Loan Parties shall, and do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withheld or deducted by a Withholding Agent or paid by the Recipient, and any reasonable out of pocket expenses arising therefrom or with respect thereto, whether or not such Indemnified Taxes were correctly or legally imposed or asserted by the relevant Governmental Authority. The Borrower shall also, and does hereby, indemnify the Administrative Agent, and shall make payment in respect thereof within ten days after demand therefor, for any amount which a Lender or any L/C Issuer for any reason fails to pay indefeasibly to the Administrative Agent as required by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subsection. A certificate as to the amount of any such payment or liability delivered to the Borrower by a Lender or an L/C Issuer (with a copy to the Administrative Agent), or by the Administrative Agent on its own behalf or on behalf of a Lender or an L/C Issuer, shall be conclusive absent manifest error (so long as such certificate is prepared in a commercially reasonable manner in accordance with applicable Laws). No Loan Party shall be required to compensate any recipient pursuant to this Section 3.01 for any amounts to the extent that such recipient does not furnish notice of such possible indemnification claim within 180 days after such recipient receives notice from the applicable Governmental Authority of the specific Tax assessment giving rise to such indemnification 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0" w:right="439" w:bottom="1440" w:gutter="0" w:footer="0" w:header="0"/>
        </w:sectPr>
      </w:pPr>
    </w:p>
    <w:bookmarkStart w:id="320" w:name="page321"/>
    <w:bookmarkEnd w:id="320"/>
    <w:p>
      <w:pPr>
        <w:ind w:left="980" w:right="100" w:firstLine="397"/>
        <w:spacing w:after="0" w:line="277" w:lineRule="auto"/>
        <w:tabs>
          <w:tab w:leader="none" w:pos="16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each Lender and each L/C Issuer shall, and does hereby, severally indemnify:</w:t>
      </w:r>
    </w:p>
    <w:p>
      <w:pPr>
        <w:spacing w:after="0" w:line="62" w:lineRule="exact"/>
        <w:rPr>
          <w:rFonts w:ascii="Arial" w:cs="Arial" w:eastAsia="Arial" w:hAnsi="Arial"/>
          <w:sz w:val="18"/>
          <w:szCs w:val="18"/>
          <w:color w:val="auto"/>
        </w:rPr>
      </w:pPr>
    </w:p>
    <w:p>
      <w:pPr>
        <w:ind w:left="1420" w:right="140" w:firstLine="380"/>
        <w:spacing w:after="0" w:line="293" w:lineRule="auto"/>
        <w:tabs>
          <w:tab w:leader="none" w:pos="2098" w:val="left"/>
        </w:tabs>
        <w:numPr>
          <w:ilvl w:val="2"/>
          <w:numId w:val="352"/>
        </w:numPr>
        <w:rPr>
          <w:rFonts w:ascii="Arial" w:cs="Arial" w:eastAsia="Arial" w:hAnsi="Arial"/>
          <w:sz w:val="16"/>
          <w:szCs w:val="16"/>
          <w:color w:val="auto"/>
        </w:rPr>
      </w:pPr>
      <w:r>
        <w:rPr>
          <w:rFonts w:ascii="Arial" w:cs="Arial" w:eastAsia="Arial" w:hAnsi="Arial"/>
          <w:sz w:val="16"/>
          <w:szCs w:val="16"/>
          <w:color w:val="auto"/>
        </w:rPr>
        <w:t xml:space="preserve">the Borrower and the Administrative Agent, and shall make payment in respect thereof within ten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an Governmental Authority as a result of the failure by such Lender or any L/C Issuer, as the case may be, to deliver, or as a result of the inaccuracy or similar deficiency of, any documentation required to be delivered by such Lender or any L/C Issuer, as the case may be, to the Borrower or the Administrative Agent pursuant to </w:t>
      </w:r>
      <w:r>
        <w:rPr>
          <w:rFonts w:ascii="Arial" w:cs="Arial" w:eastAsia="Arial" w:hAnsi="Arial"/>
          <w:sz w:val="16"/>
          <w:szCs w:val="16"/>
          <w:u w:val="single" w:color="auto"/>
          <w:color w:val="auto"/>
        </w:rPr>
        <w:t>subsection (e)(ii)</w:t>
      </w:r>
      <w:r>
        <w:rPr>
          <w:rFonts w:ascii="Arial" w:cs="Arial" w:eastAsia="Arial" w:hAnsi="Arial"/>
          <w:sz w:val="16"/>
          <w:szCs w:val="16"/>
          <w:color w:val="auto"/>
        </w:rPr>
        <w:t>; and</w:t>
      </w:r>
    </w:p>
    <w:p>
      <w:pPr>
        <w:spacing w:after="0" w:line="56" w:lineRule="exact"/>
        <w:rPr>
          <w:rFonts w:ascii="Arial" w:cs="Arial" w:eastAsia="Arial" w:hAnsi="Arial"/>
          <w:sz w:val="16"/>
          <w:szCs w:val="16"/>
          <w:color w:val="auto"/>
        </w:rPr>
      </w:pPr>
    </w:p>
    <w:p>
      <w:pPr>
        <w:ind w:left="1420" w:right="20" w:firstLine="380"/>
        <w:spacing w:after="0" w:line="288" w:lineRule="auto"/>
        <w:tabs>
          <w:tab w:leader="none" w:pos="2088" w:val="left"/>
        </w:tabs>
        <w:numPr>
          <w:ilvl w:val="2"/>
          <w:numId w:val="352"/>
        </w:numPr>
        <w:rPr>
          <w:rFonts w:ascii="Arial" w:cs="Arial" w:eastAsia="Arial" w:hAnsi="Arial"/>
          <w:sz w:val="16"/>
          <w:szCs w:val="16"/>
          <w:color w:val="auto"/>
        </w:rPr>
      </w:pPr>
      <w:r>
        <w:rPr>
          <w:rFonts w:ascii="Arial" w:cs="Arial" w:eastAsia="Arial" w:hAnsi="Arial"/>
          <w:sz w:val="16"/>
          <w:szCs w:val="16"/>
          <w:color w:val="auto"/>
        </w:rPr>
        <w:t>the Administrative Agent, and shall make payment in respect thereof within ten (10) days after demand therefor, for (x) any Indemnified Taxes attributable to such Lender or such L/C Issuer (but only to the extent that any Loan Party has not already indemnified the Administrative Agent for such Indemnified Taxes and without limiting the obligation of the Loan Parties to do so),</w:t>
      </w:r>
    </w:p>
    <w:p>
      <w:pPr>
        <w:ind w:left="1420" w:right="120" w:hanging="4"/>
        <w:spacing w:after="0" w:line="253" w:lineRule="auto"/>
        <w:tabs>
          <w:tab w:leader="none" w:pos="1675"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any Excluded Taxes attributable to such Lender or such L/C Issuer,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and (z) any Taxes attributable to such Lender’s or L/C Issuer’s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w:t>
      </w:r>
    </w:p>
    <w:p>
      <w:pPr>
        <w:spacing w:after="0" w:line="83" w:lineRule="exact"/>
        <w:rPr>
          <w:sz w:val="20"/>
          <w:szCs w:val="20"/>
          <w:color w:val="auto"/>
        </w:rPr>
      </w:pPr>
    </w:p>
    <w:p>
      <w:pPr>
        <w:ind w:left="980" w:firstLine="397"/>
        <w:spacing w:after="0" w:line="279" w:lineRule="auto"/>
        <w:tabs>
          <w:tab w:leader="none" w:pos="1696" w:val="left"/>
        </w:tabs>
        <w:numPr>
          <w:ilvl w:val="1"/>
          <w:numId w:val="353"/>
        </w:numPr>
        <w:rPr>
          <w:rFonts w:ascii="Arial" w:cs="Arial" w:eastAsia="Arial" w:hAnsi="Arial"/>
          <w:sz w:val="17"/>
          <w:szCs w:val="17"/>
          <w:color w:val="auto"/>
        </w:rPr>
      </w:pPr>
      <w:r>
        <w:rPr>
          <w:rFonts w:ascii="Arial" w:cs="Arial" w:eastAsia="Arial" w:hAnsi="Arial"/>
          <w:sz w:val="17"/>
          <w:szCs w:val="17"/>
          <w:color w:val="auto"/>
        </w:rPr>
        <w:t xml:space="preserve">A certificate as to the amount of such payment or liability delivered to any Lender or any L/C Issuer by the Borrower or the Administrative Agent shall be conclusive absent manifest error. Each Lender and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260" w:firstLine="996"/>
        <w:spacing w:after="0" w:line="297" w:lineRule="auto"/>
        <w:tabs>
          <w:tab w:leader="none" w:pos="1227" w:val="left"/>
        </w:tabs>
        <w:numPr>
          <w:ilvl w:val="0"/>
          <w:numId w:val="354"/>
        </w:numPr>
        <w:rPr>
          <w:rFonts w:ascii="Arial" w:cs="Arial" w:eastAsia="Arial" w:hAnsi="Arial"/>
          <w:sz w:val="16"/>
          <w:szCs w:val="16"/>
          <w:color w:val="auto"/>
        </w:rPr>
      </w:pPr>
      <w:r>
        <w:rPr>
          <w:rFonts w:ascii="Arial" w:cs="Arial" w:eastAsia="Arial" w:hAnsi="Arial"/>
          <w:sz w:val="16"/>
          <w:szCs w:val="16"/>
          <w:i w:val="1"/>
          <w:iCs w:val="1"/>
          <w:color w:val="auto"/>
        </w:rPr>
        <w:t>Evidence of Payments</w:t>
      </w:r>
      <w:r>
        <w:rPr>
          <w:rFonts w:ascii="Arial" w:cs="Arial" w:eastAsia="Arial" w:hAnsi="Arial"/>
          <w:sz w:val="16"/>
          <w:szCs w:val="16"/>
          <w:color w:val="auto"/>
        </w:rPr>
        <w:t>. Upon request by the Borrower or the Administrative Agent, as the case may be, as soon as possible after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of Taxes by any Loan Party or by the Administrative Agent to a Governmental Authority as provided in this </w:t>
      </w:r>
      <w:r>
        <w:rPr>
          <w:rFonts w:ascii="Arial" w:cs="Arial" w:eastAsia="Arial" w:hAnsi="Arial"/>
          <w:sz w:val="16"/>
          <w:szCs w:val="16"/>
          <w:u w:val="single" w:color="auto"/>
          <w:color w:val="auto"/>
        </w:rPr>
        <w:t>Section 3.01</w:t>
      </w:r>
      <w:r>
        <w:rPr>
          <w:rFonts w:ascii="Arial" w:cs="Arial" w:eastAsia="Arial" w:hAnsi="Arial"/>
          <w:sz w:val="16"/>
          <w:szCs w:val="16"/>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60" w:top="274" w:right="439" w:bottom="1440" w:gutter="0" w:footer="0" w:header="0"/>
        </w:sectPr>
      </w:pPr>
    </w:p>
    <w:bookmarkStart w:id="321" w:name="page322"/>
    <w:bookmarkEnd w:id="321"/>
    <w:p>
      <w:pPr>
        <w:ind w:left="244" w:hanging="244"/>
        <w:spacing w:after="0"/>
        <w:tabs>
          <w:tab w:leader="none" w:pos="244"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397"/>
        <w:spacing w:after="0" w:line="287" w:lineRule="auto"/>
        <w:tabs>
          <w:tab w:leader="none" w:pos="62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the term “Lender” includes any L/C Issuer. Each Lender that is entitled to an exemption from or reduction of withholding Tax with respect to payments under any Loan Document shall deliver to the Borrower and to the Administrative Agent, at the time or times prescribed by applicable Laws or when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delivery, completion and execution of documentation and other requested information described in this </w:t>
      </w:r>
      <w:r>
        <w:rPr>
          <w:rFonts w:ascii="Arial" w:cs="Arial" w:eastAsia="Arial" w:hAnsi="Arial"/>
          <w:sz w:val="16"/>
          <w:szCs w:val="16"/>
          <w:u w:val="single" w:color="auto"/>
          <w:color w:val="auto"/>
        </w:rPr>
        <w:t>subsection (e)(i)</w:t>
      </w:r>
      <w:r>
        <w:rPr>
          <w:rFonts w:ascii="Arial" w:cs="Arial" w:eastAsia="Arial" w:hAnsi="Arial"/>
          <w:sz w:val="16"/>
          <w:szCs w:val="16"/>
          <w:color w:val="auto"/>
        </w:rPr>
        <w:t xml:space="preserve"> (and not, for the avoidance of doubt, otherwise described in </w:t>
      </w:r>
      <w:r>
        <w:rPr>
          <w:rFonts w:ascii="Arial" w:cs="Arial" w:eastAsia="Arial" w:hAnsi="Arial"/>
          <w:sz w:val="16"/>
          <w:szCs w:val="16"/>
          <w:u w:val="single" w:color="auto"/>
          <w:color w:val="auto"/>
        </w:rPr>
        <w:t>subsection (e)(ii)</w:t>
      </w:r>
      <w:r>
        <w:rPr>
          <w:rFonts w:ascii="Arial" w:cs="Arial" w:eastAsia="Arial" w:hAnsi="Arial"/>
          <w:sz w:val="16"/>
          <w:szCs w:val="16"/>
          <w:color w:val="auto"/>
        </w:rPr>
        <w:t>) shall not be required if in the Lender’s reasonable judgment such delivery, completion or execution would subject the Lender to any material unreimbursed cost or expense or would materially prejudice the legal or commercial position of such Lender.</w:t>
      </w:r>
    </w:p>
    <w:p>
      <w:pPr>
        <w:spacing w:after="0" w:line="60" w:lineRule="exact"/>
        <w:rPr>
          <w:rFonts w:ascii="Arial" w:cs="Arial" w:eastAsia="Arial" w:hAnsi="Arial"/>
          <w:sz w:val="16"/>
          <w:szCs w:val="16"/>
          <w:color w:val="auto"/>
        </w:rPr>
      </w:pPr>
    </w:p>
    <w:p>
      <w:pPr>
        <w:ind w:left="4" w:right="280" w:firstLine="397"/>
        <w:spacing w:after="0" w:line="264" w:lineRule="auto"/>
        <w:tabs>
          <w:tab w:leader="none" w:pos="67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on or prior to the date on which a Lender becomes a Lender under this Agreement (and from time to time thereafter upon the reasonable request of the Borrower or the Administrative Agent), but only to the extent it is legally entitled to do so,</w:t>
      </w:r>
    </w:p>
    <w:p>
      <w:pPr>
        <w:spacing w:after="0" w:line="73" w:lineRule="exact"/>
        <w:rPr>
          <w:rFonts w:ascii="Arial" w:cs="Arial" w:eastAsia="Arial" w:hAnsi="Arial"/>
          <w:sz w:val="18"/>
          <w:szCs w:val="18"/>
          <w:color w:val="auto"/>
        </w:rPr>
      </w:pPr>
    </w:p>
    <w:p>
      <w:pPr>
        <w:ind w:left="444" w:firstLine="380"/>
        <w:spacing w:after="0" w:line="259" w:lineRule="auto"/>
        <w:tabs>
          <w:tab w:leader="none" w:pos="1123" w:val="left"/>
        </w:tabs>
        <w:numPr>
          <w:ilvl w:val="3"/>
          <w:numId w:val="355"/>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executed copies of IRS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78" w:lineRule="exact"/>
        <w:rPr>
          <w:rFonts w:ascii="Arial" w:cs="Arial" w:eastAsia="Arial" w:hAnsi="Arial"/>
          <w:sz w:val="18"/>
          <w:szCs w:val="18"/>
          <w:color w:val="auto"/>
        </w:rPr>
      </w:pPr>
    </w:p>
    <w:p>
      <w:pPr>
        <w:ind w:left="444" w:right="120" w:firstLine="380"/>
        <w:spacing w:after="0" w:line="308" w:lineRule="auto"/>
        <w:tabs>
          <w:tab w:leader="none" w:pos="1113" w:val="left"/>
        </w:tabs>
        <w:numPr>
          <w:ilvl w:val="3"/>
          <w:numId w:val="355"/>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reasonably requested by the recipient), whichever of the following is applicable:</w:t>
      </w:r>
    </w:p>
    <w:p>
      <w:pPr>
        <w:spacing w:after="0" w:line="51" w:lineRule="exact"/>
        <w:rPr>
          <w:rFonts w:ascii="Arial" w:cs="Arial" w:eastAsia="Arial" w:hAnsi="Arial"/>
          <w:sz w:val="17"/>
          <w:szCs w:val="17"/>
          <w:color w:val="auto"/>
        </w:rPr>
      </w:pPr>
    </w:p>
    <w:p>
      <w:pPr>
        <w:ind w:left="984" w:right="140" w:hanging="545"/>
        <w:spacing w:after="0" w:line="255" w:lineRule="auto"/>
        <w:tabs>
          <w:tab w:leader="none" w:pos="984" w:val="left"/>
        </w:tabs>
        <w:numPr>
          <w:ilvl w:val="2"/>
          <w:numId w:val="35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26" w:lineRule="exact"/>
        <w:rPr>
          <w:sz w:val="20"/>
          <w:szCs w:val="20"/>
          <w:color w:val="auto"/>
        </w:rPr>
      </w:pPr>
    </w:p>
    <w:p>
      <w:pPr>
        <w:ind w:left="4384"/>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004"/>
          </w:cols>
          <w:pgMar w:left="1436" w:top="274" w:right="459" w:bottom="1440" w:gutter="0" w:footer="0" w:header="0"/>
        </w:sectPr>
      </w:pPr>
    </w:p>
    <w:bookmarkStart w:id="322" w:name="page323"/>
    <w:bookmarkEnd w:id="322"/>
    <w:p>
      <w:pPr>
        <w:ind w:left="980" w:hanging="545"/>
        <w:spacing w:after="0"/>
        <w:tabs>
          <w:tab w:leader="none" w:pos="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copies of IRS Form W-8ECI,</w:t>
      </w:r>
    </w:p>
    <w:p>
      <w:pPr>
        <w:spacing w:after="0" w:line="130" w:lineRule="exact"/>
        <w:rPr>
          <w:rFonts w:ascii="Arial" w:cs="Arial" w:eastAsia="Arial" w:hAnsi="Arial"/>
          <w:sz w:val="18"/>
          <w:szCs w:val="18"/>
          <w:color w:val="auto"/>
        </w:rPr>
      </w:pPr>
    </w:p>
    <w:p>
      <w:pPr>
        <w:ind w:left="980" w:hanging="545"/>
        <w:spacing w:after="0"/>
        <w:tabs>
          <w:tab w:leader="none" w:pos="98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jc w:val="both"/>
        <w:ind w:left="980" w:right="100" w:hanging="4"/>
        <w:spacing w:after="0" w:line="281" w:lineRule="auto"/>
        <w:tabs>
          <w:tab w:leader="none" w:pos="1235" w:val="left"/>
        </w:tabs>
        <w:numPr>
          <w:ilvl w:val="2"/>
          <w:numId w:val="356"/>
        </w:numPr>
        <w:rPr>
          <w:rFonts w:ascii="Arial" w:cs="Arial" w:eastAsia="Arial" w:hAnsi="Arial"/>
          <w:sz w:val="16"/>
          <w:szCs w:val="16"/>
          <w:color w:val="auto"/>
        </w:rPr>
      </w:pPr>
      <w:r>
        <w:rPr>
          <w:rFonts w:ascii="Arial" w:cs="Arial" w:eastAsia="Arial" w:hAnsi="Arial"/>
          <w:sz w:val="16"/>
          <w:szCs w:val="16"/>
          <w:color w:val="auto"/>
        </w:rPr>
        <w:t xml:space="preserve">a certificate substantially in the form of </w:t>
      </w:r>
      <w:r>
        <w:rPr>
          <w:rFonts w:ascii="Arial" w:cs="Arial" w:eastAsia="Arial" w:hAnsi="Arial"/>
          <w:sz w:val="16"/>
          <w:szCs w:val="16"/>
          <w:u w:val="single" w:color="auto"/>
          <w:color w:val="auto"/>
        </w:rPr>
        <w:t>Exhibit H-1</w:t>
      </w:r>
      <w:r>
        <w:rPr>
          <w:rFonts w:ascii="Arial" w:cs="Arial" w:eastAsia="Arial" w:hAnsi="Arial"/>
          <w:sz w:val="16"/>
          <w:szCs w:val="16"/>
          <w:color w:val="auto"/>
        </w:rPr>
        <w:t xml:space="preserve"> to the effect that such Foreign Lender is not (A) a “bank” within the meaning of section 881(c)(3)(A) of the Code, (B) a “10 percent shareholder” of the Borrower within the meaning of section 881(c)(3)(B) of the Code, or (C) a “controlled foreign corporation” described in section 881(c)(3)(C) of the Code and</w:t>
      </w:r>
    </w:p>
    <w:p>
      <w:pPr>
        <w:spacing w:after="0" w:line="2" w:lineRule="exact"/>
        <w:rPr>
          <w:rFonts w:ascii="Arial" w:cs="Arial" w:eastAsia="Arial" w:hAnsi="Arial"/>
          <w:sz w:val="16"/>
          <w:szCs w:val="16"/>
          <w:color w:val="auto"/>
        </w:rPr>
      </w:pPr>
    </w:p>
    <w:p>
      <w:pPr>
        <w:ind w:left="1240" w:hanging="264"/>
        <w:spacing w:after="0"/>
        <w:tabs>
          <w:tab w:leader="none" w:pos="124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executed copies of Internal Revenue Service Form W-8BEN or W-8BEN-E, or</w:t>
      </w:r>
    </w:p>
    <w:p>
      <w:pPr>
        <w:spacing w:after="0" w:line="116" w:lineRule="exact"/>
        <w:rPr>
          <w:rFonts w:ascii="Arial" w:cs="Arial" w:eastAsia="Arial" w:hAnsi="Arial"/>
          <w:sz w:val="18"/>
          <w:szCs w:val="18"/>
          <w:color w:val="auto"/>
        </w:rPr>
      </w:pPr>
    </w:p>
    <w:p>
      <w:pPr>
        <w:ind w:left="980" w:hanging="545"/>
        <w:spacing w:after="0" w:line="293" w:lineRule="auto"/>
        <w:tabs>
          <w:tab w:leader="none" w:pos="98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copies of IRS Form W-8IMY, accompanied by IRS Form W-8ECI, IRS Form W-8BEN or W-8BEN-E, a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H-4</w:t>
      </w:r>
      <w:r>
        <w:rPr>
          <w:rFonts w:ascii="Arial" w:cs="Arial" w:eastAsia="Arial" w:hAnsi="Arial"/>
          <w:sz w:val="16"/>
          <w:szCs w:val="16"/>
          <w:color w:val="auto"/>
        </w:rPr>
        <w:t xml:space="preserve"> on behalf of each such direct and indirect partner together with the executed copies of the applicable IRS Forms;</w:t>
      </w:r>
    </w:p>
    <w:p>
      <w:pPr>
        <w:spacing w:after="0" w:line="56" w:lineRule="exact"/>
        <w:rPr>
          <w:rFonts w:ascii="Arial" w:cs="Arial" w:eastAsia="Arial" w:hAnsi="Arial"/>
          <w:sz w:val="16"/>
          <w:szCs w:val="16"/>
          <w:color w:val="auto"/>
        </w:rPr>
      </w:pPr>
    </w:p>
    <w:p>
      <w:pPr>
        <w:ind w:left="440" w:right="100" w:firstLine="380"/>
        <w:spacing w:after="0" w:line="255" w:lineRule="auto"/>
        <w:tabs>
          <w:tab w:leader="none" w:pos="110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reasonably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81" w:lineRule="exact"/>
        <w:rPr>
          <w:sz w:val="20"/>
          <w:szCs w:val="20"/>
          <w:color w:val="auto"/>
        </w:rPr>
      </w:pPr>
    </w:p>
    <w:p>
      <w:pPr>
        <w:ind w:right="40" w:firstLine="397"/>
        <w:spacing w:after="0" w:line="273" w:lineRule="auto"/>
        <w:tabs>
          <w:tab w:leader="none" w:pos="71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w:t>
      </w:r>
    </w:p>
    <w:p>
      <w:pPr>
        <w:spacing w:after="0" w:line="1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000"/>
          </w:cols>
          <w:pgMar w:left="1440" w:top="273" w:right="459" w:bottom="1440" w:gutter="0" w:footer="0" w:header="0"/>
        </w:sectPr>
      </w:pPr>
    </w:p>
    <w:bookmarkStart w:id="323" w:name="page324"/>
    <w:bookmarkEnd w:id="323"/>
    <w:p>
      <w:pPr>
        <w:ind w:left="98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(iii)</w:t>
      </w:r>
      <w:r>
        <w:rPr>
          <w:rFonts w:ascii="Arial" w:cs="Arial" w:eastAsia="Arial" w:hAnsi="Arial"/>
          <w:sz w:val="17"/>
          <w:szCs w:val="17"/>
          <w:color w:val="auto"/>
        </w:rPr>
        <w:t>, “FATCA” shall include any amendments made to FATCA after the date of this Agreement.</w:t>
      </w:r>
    </w:p>
    <w:p>
      <w:pPr>
        <w:spacing w:after="0" w:line="57" w:lineRule="exact"/>
        <w:rPr>
          <w:sz w:val="20"/>
          <w:szCs w:val="20"/>
          <w:color w:val="auto"/>
        </w:rPr>
      </w:pPr>
    </w:p>
    <w:p>
      <w:pPr>
        <w:ind w:left="980" w:right="80" w:firstLine="397"/>
        <w:spacing w:after="0" w:line="259" w:lineRule="auto"/>
        <w:tabs>
          <w:tab w:leader="none" w:pos="168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Each Lender shall promptly (A) notify the Borrower and the Administrative Agent of any change in circumstances which would modify or render invalid any claimed exemption or reduction or if any form or certification it previously delivered becomes obsolete or inaccurate or expires and (B) update any such form or certification or notify the Borrower and Administrative Agent in writing of its legal inability to do so.</w:t>
      </w:r>
    </w:p>
    <w:p>
      <w:pPr>
        <w:spacing w:after="0" w:line="187" w:lineRule="exact"/>
        <w:rPr>
          <w:sz w:val="20"/>
          <w:szCs w:val="20"/>
          <w:color w:val="auto"/>
        </w:rPr>
      </w:pPr>
    </w:p>
    <w:p>
      <w:pPr>
        <w:ind w:left="-20" w:firstLine="1436"/>
        <w:spacing w:after="0" w:line="267" w:lineRule="auto"/>
        <w:tabs>
          <w:tab w:leader="none" w:pos="1637"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Treatment of Certain Refunds</w:t>
      </w:r>
      <w:r>
        <w:rPr>
          <w:rFonts w:ascii="Arial" w:cs="Arial" w:eastAsia="Arial" w:hAnsi="Arial"/>
          <w:sz w:val="17"/>
          <w:szCs w:val="17"/>
          <w:color w:val="auto"/>
        </w:rPr>
        <w:t>. At no time shall the Administrative Agent have any obligation to file for or otherwise pursue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behalf of a Lender or an L/C Issuer, or have any obligation to pay to any Lender or L/C Issuer, any refund of Taxes withheld or deducted from funds paid for the account of such Lender or L/C Issuer, as the case may be. If the Administrative Agent, any Lender or any L/C Issuer determines, in its sole discretion exercised reasonably, that it has received a refund of any Indemnified Taxes as to which it has been indemnified by the Borrower or with respect to which the Borrower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Indemnified Taxes giving rise to such refund), net of all out-of-pocket expenses (including Taxes) incurred by the Administrative Agent, such Lender or such L/C Issuer, as the case may be, related to the receipt of such refund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upon the request of the Administrative Agent, such Lender or such L/C Issuer, agrees to repay the amount paid over to the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subsection, in no event will the Administrative Agent, such Lender or such L/C Issuer be required to pay any amount to the Borrower pursuant to this subsection the payment of which would place the Administrative Agent, such Lender or such L/C Issuer in a less favorable after-Tax position than the Administrative Agent, such Lender or such L/C Issuer would have been in if the Tax subject to indemnification and giving rise to such refund had not been deducted, withheld or otherwise imposed and the indemnification payments or additional amounts giving rise to such refund had never been paid.</w:t>
      </w:r>
    </w:p>
    <w:p>
      <w:pPr>
        <w:spacing w:after="0" w:line="191" w:lineRule="exact"/>
        <w:rPr>
          <w:rFonts w:ascii="Arial" w:cs="Arial" w:eastAsia="Arial" w:hAnsi="Arial"/>
          <w:sz w:val="17"/>
          <w:szCs w:val="17"/>
          <w:color w:val="auto"/>
        </w:rPr>
      </w:pPr>
    </w:p>
    <w:p>
      <w:pPr>
        <w:ind w:left="-20" w:right="120" w:firstLine="1436"/>
        <w:spacing w:after="0" w:line="264" w:lineRule="auto"/>
        <w:tabs>
          <w:tab w:leader="none" w:pos="1667"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Each party’s obligations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resignation and/or replacement of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any assignment of rights by, or the replacement of, a Lender or any L/C Issuer, the termination of the Aggregate Commitments and the repayment, satisfaction or discharge of all other Obligations.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60" w:top="273" w:right="439" w:bottom="1440" w:gutter="0" w:footer="0" w:header="0"/>
        </w:sectPr>
      </w:pPr>
    </w:p>
    <w:bookmarkStart w:id="324" w:name="page325"/>
    <w:bookmarkEnd w:id="324"/>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6"/>
          <w:szCs w:val="16"/>
          <w:i w:val="1"/>
          <w:iCs w:val="1"/>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U.S. Dollars or any Alternative Currency in the applicable interbank market, then, on notice thereof by such Lender to the Borrower through the Administrative Agent, (i) any obligation of such Lender to make or continue Eurodollar Rate Loans in the affected currency or currencies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if such Loans are not denominated in U.S. Dollars, prepay such Loans, or if such Loans are denominated in U.S. Dollars, convert all such Loans of such Lender to Base Rate Loans or (y)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either on the last day of the Interest Period therefor, if such Lender may lawfully continue to maintain such Eurodollar Rate Loans to such day, or immediately, if such Lender may not lawfully continue to maintain such Eurodollar Rate Loans. Upon any such prepayment or conversion, the Borrower shall also pay accrued interest on the amount so prepaid or converted.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Inability to Determine Rates</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69" w:lineRule="auto"/>
        <w:tabs>
          <w:tab w:leader="none" w:pos="1237"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3.08</w:t>
      </w:r>
      <w:r>
        <w:rPr>
          <w:rFonts w:ascii="Arial" w:cs="Arial" w:eastAsia="Arial" w:hAnsi="Arial"/>
          <w:sz w:val="17"/>
          <w:szCs w:val="17"/>
          <w:color w:val="auto"/>
        </w:rPr>
        <w:t>, if the Required Lenders determine that for any reason in connection with any request for a Eurodollar Rate Loan or a conversion to or continuation thereof that (x)(i) deposits are not being offered to banks in the interbank market for the applicable amount and Interest Period of such Loan or (ii) adequate and reasonable means do not exist for determining the Eurodollar Rate for any requested Interest Period with respect to a proposed Eurodollar Rate Loan or (y) the Eurodollar Rate for any requested Interest Period with respect to a proposed Eurodollar Rate Loan does not adequately and fairly reflect the cost to such Lenders of funding such Loan, then in each case, the Required Lenders will so notify the Administrative Agent and the Administrative Agent will promptly so notify the Borrower and each Lender. Thereafter, (x) the obligation of the Lenders to make or maintain Eurodollar Rate Loans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in the case of Loans in U.S. Dollars, be deemed to have converted such request into a request for a Borrowing of Base Rate Loans in U.S. Dollars, in the amount specified therein.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440" w:top="274" w:right="439" w:bottom="1440" w:gutter="0" w:footer="0" w:header="0"/>
        </w:sectPr>
      </w:pPr>
    </w:p>
    <w:bookmarkStart w:id="325" w:name="page326"/>
    <w:bookmarkEnd w:id="3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8"/>
          <w:szCs w:val="18"/>
          <w:i w:val="1"/>
          <w:iCs w:val="1"/>
          <w:color w:val="auto"/>
        </w:rPr>
        <w:t>Increased Costs; Reserves on Eurodollar Rate Loans</w:t>
      </w:r>
      <w:r>
        <w:rPr>
          <w:rFonts w:ascii="Arial" w:cs="Arial" w:eastAsia="Arial" w:hAnsi="Arial"/>
          <w:sz w:val="18"/>
          <w:szCs w:val="18"/>
          <w:color w:val="auto"/>
        </w:rPr>
        <w:t>.</w:t>
      </w:r>
    </w:p>
    <w:p>
      <w:pPr>
        <w:spacing w:after="0" w:line="225" w:lineRule="exact"/>
        <w:rPr>
          <w:sz w:val="20"/>
          <w:szCs w:val="20"/>
          <w:color w:val="auto"/>
        </w:rPr>
      </w:pPr>
    </w:p>
    <w:p>
      <w:pPr>
        <w:ind w:left="1240" w:hanging="244"/>
        <w:spacing w:after="0"/>
        <w:tabs>
          <w:tab w:leader="none" w:pos="1240" w:val="left"/>
        </w:tabs>
        <w:numPr>
          <w:ilvl w:val="0"/>
          <w:numId w:val="361"/>
        </w:numPr>
        <w:rPr>
          <w:rFonts w:ascii="Arial" w:cs="Arial" w:eastAsia="Arial" w:hAnsi="Arial"/>
          <w:sz w:val="18"/>
          <w:szCs w:val="18"/>
          <w:color w:val="auto"/>
        </w:rPr>
      </w:pPr>
      <w:r>
        <w:rPr>
          <w:rFonts w:ascii="Arial" w:cs="Arial" w:eastAsia="Arial" w:hAnsi="Arial"/>
          <w:sz w:val="18"/>
          <w:szCs w:val="18"/>
          <w:i w:val="1"/>
          <w:iCs w:val="1"/>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1000" w:firstLine="397"/>
        <w:spacing w:after="0" w:line="264" w:lineRule="auto"/>
        <w:tabs>
          <w:tab w:leader="none" w:pos="16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73" w:lineRule="exact"/>
        <w:rPr>
          <w:rFonts w:ascii="Arial" w:cs="Arial" w:eastAsia="Arial" w:hAnsi="Arial"/>
          <w:sz w:val="18"/>
          <w:szCs w:val="18"/>
          <w:color w:val="auto"/>
        </w:rPr>
      </w:pPr>
    </w:p>
    <w:p>
      <w:pPr>
        <w:ind w:left="1000" w:right="100" w:firstLine="397"/>
        <w:spacing w:after="0" w:line="312" w:lineRule="auto"/>
        <w:tabs>
          <w:tab w:leader="none" w:pos="166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subject any Recipient to any Tax (except for Indemnified Taxes covered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the imposition of, or any change in the rate of, any Tax described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definition of Excluded Tax) on its loans, loan principal, letters of credit, commitment, or other obligations, or its deposits, reserves, other liabilities or capital attributable thereto; or</w:t>
      </w:r>
    </w:p>
    <w:p>
      <w:pPr>
        <w:spacing w:after="0" w:line="38" w:lineRule="exact"/>
        <w:rPr>
          <w:rFonts w:ascii="Arial" w:cs="Arial" w:eastAsia="Arial" w:hAnsi="Arial"/>
          <w:sz w:val="16"/>
          <w:szCs w:val="16"/>
          <w:color w:val="auto"/>
        </w:rPr>
      </w:pPr>
    </w:p>
    <w:p>
      <w:pPr>
        <w:ind w:left="1000" w:right="600" w:firstLine="397"/>
        <w:spacing w:after="0" w:line="342" w:lineRule="auto"/>
        <w:tabs>
          <w:tab w:leader="none" w:pos="171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impose on any Lender or any L/C Issuer or the interbank market, any other condition, cost or expense (other than Taxes) affecting this Agreement or Eurodollar Rate Loans made by such Lender or any Letter of Credit or participation therein;</w:t>
      </w:r>
    </w:p>
    <w:p>
      <w:pPr>
        <w:spacing w:after="0" w:line="1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and the result of any of the foregoing shall be to increase the cost to the Administrative Agent, any L/C Issuer or any Lender of making, continuing or maintaining any Loan (or of maintaining its obligation to make any such Loan), or to increase the cost to such Lender or L/C Issuer of participating in, issuing or maintaining any Letter of Credit (or of maintaining its obligation to participate in or to issue any Letter of Credit), or to reduce the amount of any sum received or receivable by the Administrative Agent, any Lender or any L/C Issuer hereunder (whether of principal, interest or any other amount) then, upon the request of the Administrative Agent, such Lender or such L/C Issuer, the Borrower will pay to the Administrative Agent, such Lender or such L/C Issuer, as the case may be, such additional amount or amounts as will compensate the Administrative Agent, such Lender or such L/C Issuer, as the case may be, for such additional costs incurred or reduction suffered;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obligated to pay any such compensation unless the Lender or L/C Issuer requesting such compensation also is requesting compensation as a result of such Change in Law from other similarly situated customers under agreements relating to similar credit transactions that include provisions similar to this </w:t>
      </w:r>
      <w:r>
        <w:rPr>
          <w:rFonts w:ascii="Arial" w:cs="Arial" w:eastAsia="Arial" w:hAnsi="Arial"/>
          <w:sz w:val="17"/>
          <w:szCs w:val="17"/>
          <w:u w:val="single" w:color="auto"/>
          <w:color w:val="auto"/>
        </w:rPr>
        <w:t>Section 3.04(a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shall not be required to compensate a Lender or a L/C Issuer pursuant to this Section for any increased costs or reductions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incurred more than 180 days prior to the date that such Lender or L/C Issuer notifies the Borrower of the Change in Law giving rise to such increased costs or reductions and of such Lender’s or L/C Issuer’s intention to claim compensation therefor;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4" w:right="479" w:bottom="1440" w:gutter="0" w:footer="0" w:header="0"/>
        </w:sectPr>
      </w:pPr>
    </w:p>
    <w:bookmarkStart w:id="326" w:name="page327"/>
    <w:bookmarkEnd w:id="326"/>
    <w:p>
      <w:pPr>
        <w:ind w:left="-20" w:firstLine="996"/>
        <w:spacing w:after="0" w:line="269" w:lineRule="auto"/>
        <w:tabs>
          <w:tab w:leader="none" w:pos="1227" w:val="left"/>
        </w:tabs>
        <w:numPr>
          <w:ilvl w:val="0"/>
          <w:numId w:val="36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Requirements</w:t>
      </w:r>
      <w:r>
        <w:rPr>
          <w:rFonts w:ascii="Arial" w:cs="Arial" w:eastAsia="Arial" w:hAnsi="Arial"/>
          <w:sz w:val="17"/>
          <w:szCs w:val="17"/>
          <w:color w:val="auto"/>
        </w:rPr>
        <w:t>. If any Lender or any L/C Issuer determines that any Change in Law affecting such Lender or such L/C Issuer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obligated to pay any such compensation unless the Lender or such L/C Issuer requesting such compensation also is requesting compensation as a result of such Change in Law from other similarly situated customers under agreements relating to similar credit transactions that include provisions similar to this </w:t>
      </w:r>
      <w:r>
        <w:rPr>
          <w:rFonts w:ascii="Arial" w:cs="Arial" w:eastAsia="Arial" w:hAnsi="Arial"/>
          <w:sz w:val="17"/>
          <w:szCs w:val="17"/>
          <w:u w:val="single" w:color="auto"/>
          <w:color w:val="auto"/>
        </w:rPr>
        <w:t>Section 3.04(b)</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20" w:right="40" w:firstLine="996"/>
        <w:spacing w:after="0" w:line="259" w:lineRule="auto"/>
        <w:tabs>
          <w:tab w:leader="none" w:pos="1216"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or an L/C Issuer setting forth in reasonable detail the amount or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ten days after receipt thereof.</w:t>
      </w:r>
    </w:p>
    <w:p>
      <w:pPr>
        <w:spacing w:after="0" w:line="186" w:lineRule="exact"/>
        <w:rPr>
          <w:rFonts w:ascii="Arial" w:cs="Arial" w:eastAsia="Arial" w:hAnsi="Arial"/>
          <w:sz w:val="18"/>
          <w:szCs w:val="18"/>
          <w:color w:val="auto"/>
        </w:rPr>
      </w:pPr>
    </w:p>
    <w:p>
      <w:pPr>
        <w:ind w:left="-20" w:right="120" w:firstLine="996"/>
        <w:spacing w:after="0" w:line="272" w:lineRule="auto"/>
        <w:tabs>
          <w:tab w:leader="none" w:pos="1227" w:val="left"/>
        </w:tabs>
        <w:numPr>
          <w:ilvl w:val="0"/>
          <w:numId w:val="362"/>
        </w:numPr>
        <w:rPr>
          <w:rFonts w:ascii="Arial" w:cs="Arial" w:eastAsia="Arial" w:hAnsi="Arial"/>
          <w:sz w:val="17"/>
          <w:szCs w:val="17"/>
          <w:color w:val="auto"/>
        </w:rPr>
      </w:pPr>
      <w:r>
        <w:rPr>
          <w:rFonts w:ascii="Arial" w:cs="Arial" w:eastAsia="Arial" w:hAnsi="Arial"/>
          <w:sz w:val="17"/>
          <w:szCs w:val="17"/>
          <w:i w:val="1"/>
          <w:iCs w:val="1"/>
          <w:color w:val="auto"/>
        </w:rPr>
        <w:t>Delay in Requests</w:t>
      </w:r>
      <w:r>
        <w:rPr>
          <w:rFonts w:ascii="Arial" w:cs="Arial" w:eastAsia="Arial" w:hAnsi="Arial"/>
          <w:sz w:val="17"/>
          <w:szCs w:val="17"/>
          <w:color w:val="auto"/>
        </w:rPr>
        <w:t>. Failure or delay on the part of any Lender or any L/C Issuer to demand compensation pursuant to the foregoing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of this Section shall not constitute a waiver of such Lender’s or such L/C Issuer’s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or an L/C Issuer pursuant to the foregoing provisions of this Section for any increased costs incurred or reductions suffered more than six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7" w:lineRule="exact"/>
        <w:rPr>
          <w:rFonts w:ascii="Arial" w:cs="Arial" w:eastAsia="Arial" w:hAnsi="Arial"/>
          <w:sz w:val="17"/>
          <w:szCs w:val="17"/>
          <w:color w:val="auto"/>
        </w:rPr>
      </w:pPr>
    </w:p>
    <w:p>
      <w:pPr>
        <w:ind w:left="-20" w:firstLine="996"/>
        <w:spacing w:after="0" w:line="270" w:lineRule="auto"/>
        <w:tabs>
          <w:tab w:leader="none" w:pos="1216" w:val="left"/>
        </w:tabs>
        <w:numPr>
          <w:ilvl w:val="0"/>
          <w:numId w:val="362"/>
        </w:numPr>
        <w:rPr>
          <w:rFonts w:ascii="Arial" w:cs="Arial" w:eastAsia="Arial" w:hAnsi="Arial"/>
          <w:sz w:val="17"/>
          <w:szCs w:val="17"/>
          <w:color w:val="auto"/>
        </w:rPr>
      </w:pPr>
      <w:r>
        <w:rPr>
          <w:rFonts w:ascii="Arial" w:cs="Arial" w:eastAsia="Arial" w:hAnsi="Arial"/>
          <w:sz w:val="17"/>
          <w:szCs w:val="17"/>
          <w:i w:val="1"/>
          <w:iCs w:val="1"/>
          <w:color w:val="auto"/>
        </w:rPr>
        <w:t>Reserves on Eurodollar Rate Loans</w:t>
      </w:r>
      <w:r>
        <w:rPr>
          <w:rFonts w:ascii="Arial" w:cs="Arial" w:eastAsia="Arial" w:hAnsi="Arial"/>
          <w:sz w:val="17"/>
          <w:szCs w:val="17"/>
          <w:color w:val="auto"/>
        </w:rPr>
        <w:t>. The Borrower shall pay to each Lender, as long as such Lender shall be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reserves with respect to liabilities or assets consisting of or including Eurodollar funds or deposits (currently known as “</w:t>
      </w:r>
      <w:r>
        <w:rPr>
          <w:rFonts w:ascii="Arial" w:cs="Arial" w:eastAsia="Arial" w:hAnsi="Arial"/>
          <w:sz w:val="17"/>
          <w:szCs w:val="17"/>
          <w:b w:val="1"/>
          <w:bCs w:val="1"/>
          <w:color w:val="auto"/>
        </w:rPr>
        <w:t>Eurodollar liabilities</w:t>
      </w:r>
      <w:r>
        <w:rPr>
          <w:rFonts w:ascii="Arial" w:cs="Arial" w:eastAsia="Arial" w:hAnsi="Arial"/>
          <w:sz w:val="17"/>
          <w:szCs w:val="17"/>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and binding), which shall be due and payable on each date on which interest is payable on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Borrower shall have received at least ten days’ prior notice (with a copy to the Administrative Agent) of such additional interest from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Borrower shall not be obligated to pay any such additional interest unless the Lender requesting such additional interest also is requesting additional interest from other similarly situated customers under agreements relating to similar credit transactions that include provisions similar to this </w:t>
      </w:r>
      <w:r>
        <w:rPr>
          <w:rFonts w:ascii="Arial" w:cs="Arial" w:eastAsia="Arial" w:hAnsi="Arial"/>
          <w:sz w:val="17"/>
          <w:szCs w:val="17"/>
          <w:u w:val="single" w:color="auto"/>
          <w:color w:val="auto"/>
        </w:rPr>
        <w:t>Section 3.04(e)</w:t>
      </w:r>
      <w:r>
        <w:rPr>
          <w:rFonts w:ascii="Arial" w:cs="Arial" w:eastAsia="Arial" w:hAnsi="Arial"/>
          <w:sz w:val="17"/>
          <w:szCs w:val="17"/>
          <w:color w:val="auto"/>
        </w:rPr>
        <w:t>. If a Lender fails to give notice ten days prior to the relevant Interest Payment Date, such additional interest shall be due and payable ten days from receipt of such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60" w:top="274" w:right="459" w:bottom="1440" w:gutter="0" w:footer="0" w:header="0"/>
        </w:sectPr>
      </w:pPr>
    </w:p>
    <w:bookmarkStart w:id="327" w:name="page328"/>
    <w:bookmarkEnd w:id="327"/>
    <w:p>
      <w:pPr>
        <w:ind w:right="22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6"/>
          <w:szCs w:val="16"/>
          <w:i w:val="1"/>
          <w:iCs w:val="1"/>
          <w:color w:val="auto"/>
        </w:rPr>
        <w:t>Compensation for Losses</w:t>
      </w:r>
      <w:r>
        <w:rPr>
          <w:rFonts w:ascii="Arial" w:cs="Arial" w:eastAsia="Arial" w:hAnsi="Arial"/>
          <w:sz w:val="16"/>
          <w:szCs w:val="16"/>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16" w:lineRule="exact"/>
        <w:rPr>
          <w:sz w:val="20"/>
          <w:szCs w:val="20"/>
          <w:color w:val="auto"/>
        </w:rPr>
      </w:pPr>
    </w:p>
    <w:p>
      <w:pPr>
        <w:ind w:right="140" w:firstLine="996"/>
        <w:spacing w:after="0" w:line="277" w:lineRule="auto"/>
        <w:tabs>
          <w:tab w:leader="none" w:pos="123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100" w:firstLine="996"/>
        <w:spacing w:after="0" w:line="277" w:lineRule="auto"/>
        <w:tabs>
          <w:tab w:leader="none" w:pos="124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failure by the Borrower to prepay, borrow, continue or convert any Loan other than a Base Rate Loan on the date or in the amount notified by the Borrower (in the case of a borrowing, for a reason other than the failure of such Lender to make a Loan); or</w:t>
      </w:r>
    </w:p>
    <w:p>
      <w:pPr>
        <w:spacing w:after="0" w:line="170" w:lineRule="exact"/>
        <w:rPr>
          <w:rFonts w:ascii="Arial" w:cs="Arial" w:eastAsia="Arial" w:hAnsi="Arial"/>
          <w:sz w:val="18"/>
          <w:szCs w:val="18"/>
          <w:color w:val="auto"/>
        </w:rPr>
      </w:pPr>
    </w:p>
    <w:p>
      <w:pPr>
        <w:ind w:right="120" w:firstLine="996"/>
        <w:spacing w:after="0" w:line="277" w:lineRule="auto"/>
        <w:tabs>
          <w:tab w:leader="none" w:pos="123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10.13</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firstLine="996"/>
        <w:spacing w:after="0" w:line="272" w:lineRule="auto"/>
        <w:tabs>
          <w:tab w:leader="none" w:pos="1247"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any payment by the Borrower of the principal of or interest on any Revolving Credit Loan or of any drawing under any Letter of Credit (or interest due thereon) denominated in an Alternative Currency in a different currency from the currency in which the applicable Revolving Credit Loan or Letter of Credit is denominated (except to the extent an L/C Issuer has required payment of any drawing under a Letter of Credit in U.S. Dollars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including any foreign exchange losses or loss of anticipated profits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and reasonable administrative fees charged by such Lender in connection with the foregoing.</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as applicable, for such Loan by a matching deposit or other borrowing in the London or other offshore interbank market for the applicable currency for a comparable amount and for a comparable period, whether or not such Eurodollar Rate Loan was in fact so funded. A certificate of a Lender setting forth the amount or amounts necessary to compensate such Lender, as specified in this Section, delivered to the Borrower shall be conclusive absent manifest error.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right="60" w:firstLine="996"/>
        <w:spacing w:after="0" w:line="264" w:lineRule="auto"/>
        <w:tabs>
          <w:tab w:leader="none" w:pos="1236"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Designation of a Different Lending Office</w:t>
      </w:r>
      <w:r>
        <w:rPr>
          <w:rFonts w:ascii="Arial" w:cs="Arial" w:eastAsia="Arial" w:hAnsi="Arial"/>
          <w:sz w:val="18"/>
          <w:szCs w:val="18"/>
          <w:color w:val="auto"/>
        </w:rPr>
        <w:t>. If any Lender requests compensation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or the Borrower is required to pay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additional amount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then such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3" w:right="459" w:bottom="1440" w:gutter="0" w:footer="0" w:header="0"/>
        </w:sectPr>
      </w:pPr>
    </w:p>
    <w:bookmarkStart w:id="328" w:name="page329"/>
    <w:bookmarkEnd w:id="328"/>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or such L/C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such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as applicable, and (ii) in each case, would not subject such Lender or such L/C Issuer, as the case may be, to any unreimbursed cost or expense and would not otherwise be disadvantageous to such Lender or such L/C Issuer, as the case may be.</w:t>
      </w:r>
    </w:p>
    <w:p>
      <w:pPr>
        <w:spacing w:after="0" w:line="2"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Borrower hereby agrees to pay all reasonable costs and expenses incurred by any Lender or such L/C Issuer in connection with any such designation or assignment.</w:t>
      </w:r>
    </w:p>
    <w:p>
      <w:pPr>
        <w:spacing w:after="0" w:line="184" w:lineRule="exact"/>
        <w:rPr>
          <w:sz w:val="20"/>
          <w:szCs w:val="20"/>
          <w:color w:val="auto"/>
        </w:rPr>
      </w:pPr>
    </w:p>
    <w:p>
      <w:pPr>
        <w:ind w:right="20" w:firstLine="996"/>
        <w:spacing w:after="0" w:line="297" w:lineRule="auto"/>
        <w:tabs>
          <w:tab w:leader="none" w:pos="1247" w:val="left"/>
        </w:tabs>
        <w:numPr>
          <w:ilvl w:val="0"/>
          <w:numId w:val="365"/>
        </w:numPr>
        <w:rPr>
          <w:rFonts w:ascii="Arial" w:cs="Arial" w:eastAsia="Arial" w:hAnsi="Arial"/>
          <w:sz w:val="16"/>
          <w:szCs w:val="16"/>
          <w:color w:val="auto"/>
        </w:rPr>
      </w:pPr>
      <w:r>
        <w:rPr>
          <w:rFonts w:ascii="Arial" w:cs="Arial" w:eastAsia="Arial" w:hAnsi="Arial"/>
          <w:sz w:val="16"/>
          <w:szCs w:val="16"/>
          <w:i w:val="1"/>
          <w:iCs w:val="1"/>
          <w:color w:val="auto"/>
        </w:rPr>
        <w:t>Replacement of Lenders</w:t>
      </w:r>
      <w:r>
        <w:rPr>
          <w:rFonts w:ascii="Arial" w:cs="Arial" w:eastAsia="Arial" w:hAnsi="Arial"/>
          <w:sz w:val="16"/>
          <w:szCs w:val="16"/>
          <w:color w:val="auto"/>
        </w:rPr>
        <w:t>. If any Lender requests compensation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or if the Borrower is required to pay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Indemnified Taxes or additional amounts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in each case, such Lender has declined or is unable to designate a different Lending Office in accordance with </w:t>
      </w:r>
      <w:r>
        <w:rPr>
          <w:rFonts w:ascii="Arial" w:cs="Arial" w:eastAsia="Arial" w:hAnsi="Arial"/>
          <w:sz w:val="16"/>
          <w:szCs w:val="16"/>
          <w:u w:val="single" w:color="auto"/>
          <w:color w:val="auto"/>
        </w:rPr>
        <w:t>Section 3.06(a)</w:t>
      </w:r>
      <w:r>
        <w:rPr>
          <w:rFonts w:ascii="Arial" w:cs="Arial" w:eastAsia="Arial" w:hAnsi="Arial"/>
          <w:sz w:val="16"/>
          <w:szCs w:val="16"/>
          <w:color w:val="auto"/>
        </w:rPr>
        <w:t xml:space="preserve"> which would eliminate such request for compensation or requirement to pay such additional amount, or if any Lender is a Defaulting Lender hereunder, the Borrower may, at its sole expense and effort, upon notice to such Lender and the Administrative Agent, replace such Lender in accordance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w:t>
      </w:r>
    </w:p>
    <w:p>
      <w:pPr>
        <w:spacing w:after="0" w:line="158"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survive the termination of the Aggregate Commitments, any assignment of rights by, or the replacement of, a Lender, repayment, satisfaction or discharge of all other Obligations hereunder, and resignation or replacement of the Administrative Agent.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Effect of Benchmark Transition Event</w:t>
      </w:r>
      <w:r>
        <w:rPr>
          <w:rFonts w:ascii="Arial" w:cs="Arial" w:eastAsia="Arial" w:hAnsi="Arial"/>
          <w:sz w:val="18"/>
          <w:szCs w:val="18"/>
          <w:color w:val="auto"/>
        </w:rPr>
        <w:t>.</w:t>
      </w:r>
    </w:p>
    <w:p>
      <w:pPr>
        <w:spacing w:after="0" w:line="225" w:lineRule="exact"/>
        <w:rPr>
          <w:sz w:val="20"/>
          <w:szCs w:val="20"/>
          <w:color w:val="auto"/>
        </w:rPr>
      </w:pPr>
    </w:p>
    <w:p>
      <w:pPr>
        <w:ind w:right="60" w:firstLine="996"/>
        <w:spacing w:after="0" w:line="290" w:lineRule="auto"/>
        <w:tabs>
          <w:tab w:leader="none" w:pos="1236"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Benchmark Replacement</w:t>
      </w:r>
      <w:r>
        <w:rPr>
          <w:rFonts w:ascii="Arial" w:cs="Arial" w:eastAsia="Arial" w:hAnsi="Arial"/>
          <w:sz w:val="16"/>
          <w:szCs w:val="16"/>
          <w:color w:val="auto"/>
        </w:rPr>
        <w:t>. Notwithstanding anything to the contrary herein or in any other Loan Document, upon the occurrence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the LIBO Rate with a Benchmark Replacement pursuant to this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will occur prior to the applicable Benchmark Transition Start Date.</w:t>
      </w:r>
    </w:p>
    <w:p>
      <w:pPr>
        <w:spacing w:after="0" w:line="166" w:lineRule="exact"/>
        <w:rPr>
          <w:rFonts w:ascii="Arial" w:cs="Arial" w:eastAsia="Arial" w:hAnsi="Arial"/>
          <w:sz w:val="16"/>
          <w:szCs w:val="16"/>
          <w:color w:val="auto"/>
        </w:rPr>
      </w:pPr>
    </w:p>
    <w:p>
      <w:pPr>
        <w:ind w:right="20" w:firstLine="996"/>
        <w:spacing w:after="0" w:line="259" w:lineRule="auto"/>
        <w:tabs>
          <w:tab w:leader="none" w:pos="1247"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t>Benchmark Replacement Conforming Changes</w:t>
      </w:r>
      <w:r>
        <w:rPr>
          <w:rFonts w:ascii="Arial" w:cs="Arial" w:eastAsia="Arial" w:hAnsi="Arial"/>
          <w:sz w:val="18"/>
          <w:szCs w:val="18"/>
          <w:color w:val="auto"/>
        </w:rPr>
        <w:t>. In connection with the implementation of a Benchmark Replacement,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3" w:right="459" w:bottom="1440" w:gutter="0" w:footer="0" w:header="0"/>
        </w:sectPr>
      </w:pPr>
    </w:p>
    <w:bookmarkStart w:id="329" w:name="page330"/>
    <w:bookmarkEnd w:id="329"/>
    <w:p>
      <w:pPr>
        <w:ind w:left="1240" w:hanging="244"/>
        <w:spacing w:after="0"/>
        <w:tabs>
          <w:tab w:leader="none" w:pos="1240" w:val="left"/>
        </w:tabs>
        <w:numPr>
          <w:ilvl w:val="1"/>
          <w:numId w:val="36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Standards for Decisions and Determinations</w:t>
      </w:r>
      <w:r>
        <w:rPr>
          <w:rFonts w:ascii="Arial" w:cs="Arial" w:eastAsia="Arial" w:hAnsi="Arial"/>
          <w:sz w:val="16"/>
          <w:szCs w:val="16"/>
          <w:color w:val="auto"/>
        </w:rPr>
        <w:t>. The Administrative Agent will promptly notify the Borrower and the Lenders of</w:t>
      </w:r>
    </w:p>
    <w:p>
      <w:pPr>
        <w:spacing w:after="0" w:line="46" w:lineRule="exact"/>
        <w:rPr>
          <w:rFonts w:ascii="Arial" w:cs="Arial" w:eastAsia="Arial" w:hAnsi="Arial"/>
          <w:sz w:val="16"/>
          <w:szCs w:val="16"/>
          <w:color w:val="auto"/>
        </w:rPr>
      </w:pPr>
    </w:p>
    <w:p>
      <w:pPr>
        <w:ind w:right="100" w:firstLine="4"/>
        <w:spacing w:after="0" w:line="269" w:lineRule="auto"/>
        <w:tabs>
          <w:tab w:leader="none" w:pos="21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7"/>
          <w:szCs w:val="17"/>
          <w:u w:val="single" w:color="auto"/>
          <w:color w:val="auto"/>
        </w:rPr>
        <w:t>Section 3.08</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firstLine="996"/>
        <w:spacing w:after="0" w:line="271" w:lineRule="auto"/>
        <w:tabs>
          <w:tab w:leader="none" w:pos="1247" w:val="left"/>
        </w:tabs>
        <w:numPr>
          <w:ilvl w:val="1"/>
          <w:numId w:val="368"/>
        </w:numPr>
        <w:rPr>
          <w:rFonts w:ascii="Arial" w:cs="Arial" w:eastAsia="Arial" w:hAnsi="Arial"/>
          <w:sz w:val="17"/>
          <w:szCs w:val="17"/>
          <w:color w:val="auto"/>
        </w:rPr>
      </w:pPr>
      <w:r>
        <w:rPr>
          <w:rFonts w:ascii="Arial" w:cs="Arial" w:eastAsia="Arial" w:hAnsi="Arial"/>
          <w:sz w:val="17"/>
          <w:szCs w:val="17"/>
          <w:i w:val="1"/>
          <w:iCs w:val="1"/>
          <w:color w:val="auto"/>
        </w:rPr>
        <w:t>Benchmark Unavailability Period</w:t>
      </w:r>
      <w:r>
        <w:rPr>
          <w:rFonts w:ascii="Arial" w:cs="Arial" w:eastAsia="Arial" w:hAnsi="Arial"/>
          <w:sz w:val="17"/>
          <w:szCs w:val="17"/>
          <w:color w:val="auto"/>
        </w:rPr>
        <w:t>. Upon the Borrower’s receipt of notice of the commencement of a Benchmark Unavailability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the Borrower may revoke any request for a Eurodollar Rate Borrowing of, conversion to or continuation of Eurodollar Rate Loans to be made, converted or continued during any Benchmark Unavailability Period and, failing that, (x) in the case of Eurodollar Rate Loans denominated in U.S. Dollars, the Borrower will be deemed to have converted any such request into a request for a Borrowing of or conversion to Base Rate Loans and (y) in the case of a request for a Borrowing or continuation in an Alternative Currency, the Borrower will be deemed to have converted any such request into a request for a Borrowing of or conversion to Base Rate Loans in Dollars (in an amount equal to the U.S. Dollar Equivalent of the amount requested to be borrowed or continued in the Alternative Currency). During any Benchmark Unavailability Period, the component of the Base Rate based upon the LIBO Rate will not be used in any determination of Base Rate.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Conditions Precedent to the Closing Date</w:t>
      </w:r>
      <w:r>
        <w:rPr>
          <w:rFonts w:ascii="Arial" w:cs="Arial" w:eastAsia="Arial" w:hAnsi="Arial"/>
          <w:sz w:val="18"/>
          <w:szCs w:val="18"/>
          <w:color w:val="auto"/>
        </w:rPr>
        <w:t>. The effectiveness of this Agreement and obligations of each L/C Issuer and each Lender to make the initial Credit Extensions on the Closing Date shall, in each case, be subject to the following conditions:</w:t>
      </w:r>
    </w:p>
    <w:p>
      <w:pPr>
        <w:spacing w:after="0" w:line="62" w:lineRule="exact"/>
        <w:rPr>
          <w:sz w:val="20"/>
          <w:szCs w:val="20"/>
          <w:color w:val="auto"/>
        </w:rPr>
      </w:pPr>
    </w:p>
    <w:p>
      <w:pPr>
        <w:ind w:right="180" w:firstLine="996"/>
        <w:spacing w:after="0" w:line="264" w:lineRule="auto"/>
        <w:tabs>
          <w:tab w:leader="none" w:pos="123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facsimiles or “pdf” or similar electronic format (followed promptly by originals) unless otherwise specified, each properly executed by a Responsible Officer of the signing Loan Party each in form and substance reasonably satisfactory to the Administrative Agent:</w:t>
      </w:r>
    </w:p>
    <w:p>
      <w:pPr>
        <w:spacing w:after="0" w:line="73" w:lineRule="exact"/>
        <w:rPr>
          <w:rFonts w:ascii="Arial" w:cs="Arial" w:eastAsia="Arial" w:hAnsi="Arial"/>
          <w:sz w:val="18"/>
          <w:szCs w:val="18"/>
          <w:color w:val="auto"/>
        </w:rPr>
      </w:pPr>
    </w:p>
    <w:p>
      <w:pPr>
        <w:ind w:left="1000" w:right="380" w:firstLine="397"/>
        <w:spacing w:after="0" w:line="277" w:lineRule="auto"/>
        <w:tabs>
          <w:tab w:leader="none" w:pos="1616"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that has requested a Note at least two (2) Business Days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440" w:top="274" w:right="439" w:bottom="1440" w:gutter="0" w:footer="0" w:header="0"/>
        </w:sectPr>
      </w:pPr>
    </w:p>
    <w:bookmarkStart w:id="330" w:name="page331"/>
    <w:bookmarkEnd w:id="330"/>
    <w:p>
      <w:pPr>
        <w:ind w:left="1000" w:right="400" w:firstLine="397"/>
        <w:spacing w:after="0" w:line="277" w:lineRule="auto"/>
        <w:tabs>
          <w:tab w:leader="none" w:pos="1666" w:val="left"/>
        </w:tabs>
        <w:numPr>
          <w:ilvl w:val="1"/>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executed copies of (x) this Agreement, and (y) each Collateral Document set forth on </w:t>
      </w:r>
      <w:r>
        <w:rPr>
          <w:rFonts w:ascii="Arial" w:cs="Arial" w:eastAsia="Arial" w:hAnsi="Arial"/>
          <w:sz w:val="18"/>
          <w:szCs w:val="18"/>
          <w:u w:val="single" w:color="auto"/>
          <w:color w:val="auto"/>
        </w:rPr>
        <w:t>Schedule 4.01(a)(ii)</w:t>
      </w:r>
      <w:r>
        <w:rPr>
          <w:rFonts w:ascii="Arial" w:cs="Arial" w:eastAsia="Arial" w:hAnsi="Arial"/>
          <w:sz w:val="18"/>
          <w:szCs w:val="18"/>
          <w:color w:val="auto"/>
        </w:rPr>
        <w:t>, executed by each Loan Party thereto, together with:</w:t>
      </w:r>
    </w:p>
    <w:p>
      <w:pPr>
        <w:spacing w:after="0" w:line="62" w:lineRule="exact"/>
        <w:rPr>
          <w:rFonts w:ascii="Arial" w:cs="Arial" w:eastAsia="Arial" w:hAnsi="Arial"/>
          <w:sz w:val="18"/>
          <w:szCs w:val="18"/>
          <w:color w:val="auto"/>
        </w:rPr>
      </w:pPr>
    </w:p>
    <w:p>
      <w:pPr>
        <w:ind w:left="1440" w:right="60" w:firstLine="380"/>
        <w:spacing w:after="0" w:line="277" w:lineRule="auto"/>
        <w:tabs>
          <w:tab w:leader="none" w:pos="2118" w:val="left"/>
        </w:tabs>
        <w:numPr>
          <w:ilvl w:val="2"/>
          <w:numId w:val="370"/>
        </w:numPr>
        <w:rPr>
          <w:rFonts w:ascii="Arial" w:cs="Arial" w:eastAsia="Arial" w:hAnsi="Arial"/>
          <w:sz w:val="18"/>
          <w:szCs w:val="18"/>
          <w:color w:val="auto"/>
        </w:rPr>
      </w:pPr>
      <w:r>
        <w:rPr>
          <w:rFonts w:ascii="Arial" w:cs="Arial" w:eastAsia="Arial" w:hAnsi="Arial"/>
          <w:sz w:val="18"/>
          <w:szCs w:val="18"/>
          <w:color w:val="auto"/>
        </w:rPr>
        <w:t>evidence that all filings under the UCC shall have been taken, completed or otherwise provided for in a manner reasonably satisfactory to the Administrative Agent; and</w:t>
      </w:r>
    </w:p>
    <w:p>
      <w:pPr>
        <w:spacing w:after="0" w:line="62" w:lineRule="exact"/>
        <w:rPr>
          <w:rFonts w:ascii="Arial" w:cs="Arial" w:eastAsia="Arial" w:hAnsi="Arial"/>
          <w:sz w:val="18"/>
          <w:szCs w:val="18"/>
          <w:color w:val="auto"/>
        </w:rPr>
      </w:pPr>
    </w:p>
    <w:p>
      <w:pPr>
        <w:ind w:left="1440" w:right="60" w:firstLine="380"/>
        <w:spacing w:after="0" w:line="312" w:lineRule="auto"/>
        <w:tabs>
          <w:tab w:leader="none" w:pos="2108" w:val="left"/>
        </w:tabs>
        <w:numPr>
          <w:ilvl w:val="2"/>
          <w:numId w:val="370"/>
        </w:numPr>
        <w:rPr>
          <w:rFonts w:ascii="Arial" w:cs="Arial" w:eastAsia="Arial" w:hAnsi="Arial"/>
          <w:sz w:val="16"/>
          <w:szCs w:val="16"/>
          <w:color w:val="auto"/>
        </w:rPr>
      </w:pPr>
      <w:r>
        <w:rPr>
          <w:rFonts w:ascii="Arial" w:cs="Arial" w:eastAsia="Arial" w:hAnsi="Arial"/>
          <w:sz w:val="16"/>
          <w:szCs w:val="16"/>
          <w:color w:val="auto"/>
        </w:rPr>
        <w:t xml:space="preserve">any other documents and instruments as may be necessary or advisable in the reasonable opinion of the Administrative Agent to vest in the Administrative Agent valid and subsisting first priority perfected Liens on the properties purported to be subject to the Collateral Documents set forth on </w:t>
      </w:r>
      <w:r>
        <w:rPr>
          <w:rFonts w:ascii="Arial" w:cs="Arial" w:eastAsia="Arial" w:hAnsi="Arial"/>
          <w:sz w:val="16"/>
          <w:szCs w:val="16"/>
          <w:u w:val="single" w:color="auto"/>
          <w:color w:val="auto"/>
        </w:rPr>
        <w:t>Schedule 4.01(a)(ii)</w:t>
      </w:r>
      <w:r>
        <w:rPr>
          <w:rFonts w:ascii="Arial" w:cs="Arial" w:eastAsia="Arial" w:hAnsi="Arial"/>
          <w:sz w:val="16"/>
          <w:szCs w:val="16"/>
          <w:color w:val="auto"/>
        </w:rPr>
        <w:t>, enforceable against all third parties in accordance with their terms;</w:t>
      </w:r>
    </w:p>
    <w:p>
      <w:pPr>
        <w:spacing w:after="0" w:line="38" w:lineRule="exact"/>
        <w:rPr>
          <w:rFonts w:ascii="Arial" w:cs="Arial" w:eastAsia="Arial" w:hAnsi="Arial"/>
          <w:sz w:val="16"/>
          <w:szCs w:val="16"/>
          <w:color w:val="auto"/>
        </w:rPr>
      </w:pPr>
    </w:p>
    <w:p>
      <w:pPr>
        <w:ind w:left="1000" w:firstLine="397"/>
        <w:spacing w:after="0" w:line="259" w:lineRule="auto"/>
        <w:tabs>
          <w:tab w:leader="none" w:pos="171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78" w:lineRule="exact"/>
        <w:rPr>
          <w:rFonts w:ascii="Arial" w:cs="Arial" w:eastAsia="Arial" w:hAnsi="Arial"/>
          <w:sz w:val="18"/>
          <w:szCs w:val="18"/>
          <w:color w:val="auto"/>
        </w:rPr>
      </w:pPr>
    </w:p>
    <w:p>
      <w:pPr>
        <w:ind w:left="1000" w:right="300" w:firstLine="397"/>
        <w:spacing w:after="0" w:line="291" w:lineRule="auto"/>
        <w:tabs>
          <w:tab w:leader="none" w:pos="170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 xml:space="preserve">an opinion from (A) Lewis Rice LLC, counsel to the Loan Parties, and (B) local or other counsel in each of the jurisdictions listed on </w:t>
      </w:r>
      <w:r>
        <w:rPr>
          <w:rFonts w:ascii="Arial" w:cs="Arial" w:eastAsia="Arial" w:hAnsi="Arial"/>
          <w:sz w:val="16"/>
          <w:szCs w:val="16"/>
          <w:u w:val="single" w:color="auto"/>
          <w:color w:val="auto"/>
        </w:rPr>
        <w:t>Schedule 4.01(a)(iv)</w:t>
      </w:r>
      <w:r>
        <w:rPr>
          <w:rFonts w:ascii="Arial" w:cs="Arial" w:eastAsia="Arial" w:hAnsi="Arial"/>
          <w:sz w:val="16"/>
          <w:szCs w:val="16"/>
          <w:color w:val="auto"/>
        </w:rPr>
        <w:t xml:space="preserve">, in each case as reasonably requested by the Administrative Agent, 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ind w:left="1000"/>
        <w:spacing w:after="0"/>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in form and substance reasonably satisfactory to the Administrative Agent;</w:t>
      </w:r>
    </w:p>
    <w:p>
      <w:pPr>
        <w:spacing w:after="0" w:line="102" w:lineRule="exact"/>
        <w:rPr>
          <w:rFonts w:ascii="Arial" w:cs="Arial" w:eastAsia="Arial" w:hAnsi="Arial"/>
          <w:sz w:val="16"/>
          <w:szCs w:val="16"/>
          <w:color w:val="auto"/>
        </w:rPr>
      </w:pPr>
    </w:p>
    <w:p>
      <w:pPr>
        <w:ind w:left="1000" w:right="340" w:firstLine="397"/>
        <w:spacing w:after="0" w:line="342" w:lineRule="auto"/>
        <w:tabs>
          <w:tab w:leader="none" w:pos="165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 xml:space="preserve">a certificate attesting to the Solvency of the Borrower and its Subsidiaries (taken as a whole) on the Closing Date after giving effect to the Transactions, from the Chief Financial Officer of the Borrower,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000" w:right="500" w:firstLine="397"/>
        <w:spacing w:after="0" w:line="277" w:lineRule="auto"/>
        <w:tabs>
          <w:tab w:leader="none" w:pos="170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a certificate attesting to the compliance with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(f)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on the Closing Date from a Responsible Officer of the Borrower;</w:t>
      </w:r>
    </w:p>
    <w:p>
      <w:pPr>
        <w:spacing w:after="0" w:line="62" w:lineRule="exact"/>
        <w:rPr>
          <w:rFonts w:ascii="Arial" w:cs="Arial" w:eastAsia="Arial" w:hAnsi="Arial"/>
          <w:sz w:val="18"/>
          <w:szCs w:val="18"/>
          <w:color w:val="auto"/>
        </w:rPr>
      </w:pPr>
    </w:p>
    <w:p>
      <w:pPr>
        <w:ind w:left="1760" w:hanging="363"/>
        <w:spacing w:after="0"/>
        <w:tabs>
          <w:tab w:leader="none" w:pos="17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a Committed Loan Notice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800" w:hanging="403"/>
        <w:spacing w:after="0"/>
        <w:tabs>
          <w:tab w:leader="none" w:pos="180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copies of a recent Lien search in each jurisdiction reasonably requested by the Administrative Agent with respect to the Loan</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0" w:lineRule="exact"/>
        <w:rPr>
          <w:rFonts w:ascii="Arial" w:cs="Arial" w:eastAsia="Arial" w:hAnsi="Arial"/>
          <w:sz w:val="16"/>
          <w:szCs w:val="16"/>
          <w:color w:val="auto"/>
        </w:rPr>
      </w:pPr>
    </w:p>
    <w:p>
      <w:pPr>
        <w:ind w:right="140" w:firstLine="996"/>
        <w:spacing w:after="0" w:line="259" w:lineRule="auto"/>
        <w:tabs>
          <w:tab w:leader="none" w:pos="124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fees and expenses due and payable to the Lenders, the Arrangers and the Administrative Agent and required to be paid on or prior to the Closing Date pursuant to the Engagement Letter and Fee Letters shall have been paid or shall have been authorized to be deducted from the proceeds of the initial funding under the Facilities, so long as any such fees or expenses not expressly set forth in the Fee Letters have been have been invoiced not less than three (3) business days prior to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274" w:right="439" w:bottom="1440" w:gutter="0" w:footer="0" w:header="0"/>
        </w:sectPr>
      </w:pPr>
    </w:p>
    <w:bookmarkStart w:id="331" w:name="page332"/>
    <w:bookmarkEnd w:id="331"/>
    <w:p>
      <w:pPr>
        <w:ind w:right="220" w:firstLine="996"/>
        <w:spacing w:after="0" w:line="257" w:lineRule="auto"/>
        <w:tabs>
          <w:tab w:leader="none" w:pos="1237"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Substantially concurrently with the initial funding of the Term B Facility, all existing third party debt for borrowed money of the Borrower and its Restricted Subsidiaries under the Bridge Facility Agreement shall be repaid, all commitments thereunder and all liens and security interests granted in connection therewith shall be terminated and after giving effect to the consummation of the Transactions on the Closing Date, the Borrower and its Subsidiaries shall have outstanding (i) no Indebtedness other than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(ii) no Disqualified Equity Interests (the “</w:t>
      </w:r>
      <w:r>
        <w:rPr>
          <w:rFonts w:ascii="Arial" w:cs="Arial" w:eastAsia="Arial" w:hAnsi="Arial"/>
          <w:sz w:val="18"/>
          <w:szCs w:val="18"/>
          <w:b w:val="1"/>
          <w:bCs w:val="1"/>
          <w:color w:val="auto"/>
        </w:rPr>
        <w:t>Refinancing</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996"/>
        <w:spacing w:after="0" w:line="277" w:lineRule="auto"/>
        <w:tabs>
          <w:tab w:leader="none" w:pos="124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Active Nutrition Transaction shall have been, or shall be, substantially concurrently with the initial funding of the Term B Facility, consummated substantially in accordance with the Registration Statement.</w:t>
      </w:r>
    </w:p>
    <w:p>
      <w:pPr>
        <w:spacing w:after="0" w:line="170" w:lineRule="exact"/>
        <w:rPr>
          <w:rFonts w:ascii="Arial" w:cs="Arial" w:eastAsia="Arial" w:hAnsi="Arial"/>
          <w:sz w:val="18"/>
          <w:szCs w:val="18"/>
          <w:color w:val="auto"/>
        </w:rPr>
      </w:pPr>
    </w:p>
    <w:p>
      <w:pPr>
        <w:jc w:val="both"/>
        <w:ind w:firstLine="996"/>
        <w:spacing w:after="0" w:line="279" w:lineRule="auto"/>
        <w:tabs>
          <w:tab w:leader="none" w:pos="1237"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Administrative Agent shall have received at least three Business Days prior to the Closing Date, to the extent requested in writing at least seven Business Days prior to the Closing Date, all documentation and other information that the Administrative Agent, on behalf of itself or any other Lender, reasonably determines is necessary in order to allow the Administrative Agent and the Lenders to comply with applicable “know your customer” and anti-money laundering rules and regulations, including the Act and the Beneficial Ownership Regulation.</w:t>
      </w:r>
    </w:p>
    <w:p>
      <w:pPr>
        <w:spacing w:after="0" w:line="171" w:lineRule="exact"/>
        <w:rPr>
          <w:rFonts w:ascii="Arial" w:cs="Arial" w:eastAsia="Arial" w:hAnsi="Arial"/>
          <w:sz w:val="17"/>
          <w:szCs w:val="17"/>
          <w:color w:val="auto"/>
        </w:rPr>
      </w:pPr>
    </w:p>
    <w:p>
      <w:pPr>
        <w:ind w:right="20" w:firstLine="996"/>
        <w:spacing w:after="0" w:line="264" w:lineRule="auto"/>
        <w:tabs>
          <w:tab w:leader="none" w:pos="121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hereof shall be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81" w:lineRule="exact"/>
        <w:rPr>
          <w:rFonts w:ascii="Arial" w:cs="Arial" w:eastAsia="Arial" w:hAnsi="Arial"/>
          <w:sz w:val="18"/>
          <w:szCs w:val="18"/>
          <w:color w:val="auto"/>
        </w:rPr>
      </w:pPr>
    </w:p>
    <w:p>
      <w:pPr>
        <w:ind w:left="1260" w:hanging="264"/>
        <w:spacing w:after="0"/>
        <w:tabs>
          <w:tab w:leader="none" w:pos="126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There has been no change, occurrence or development since September 30, 2018 that could reasonably be expected to have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6"/>
          <w:szCs w:val="16"/>
          <w:color w:val="auto"/>
        </w:rPr>
      </w:pPr>
    </w:p>
    <w:p>
      <w:pPr>
        <w:ind w:left="1260" w:hanging="264"/>
        <w:spacing w:after="0"/>
        <w:tabs>
          <w:tab w:leader="none" w:pos="12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Transactions, no Default shall have occurred and be continuing.</w:t>
      </w:r>
    </w:p>
    <w:p>
      <w:pPr>
        <w:spacing w:after="0" w:line="225" w:lineRule="exact"/>
        <w:rPr>
          <w:rFonts w:ascii="Arial" w:cs="Arial" w:eastAsia="Arial" w:hAnsi="Arial"/>
          <w:sz w:val="18"/>
          <w:szCs w:val="18"/>
          <w:color w:val="auto"/>
        </w:rPr>
      </w:pPr>
    </w:p>
    <w:p>
      <w:pPr>
        <w:ind w:right="100" w:firstLine="996"/>
        <w:spacing w:after="0" w:line="312" w:lineRule="auto"/>
        <w:tabs>
          <w:tab w:leader="none" w:pos="120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from the Borrower’s insurance broker or other evidence reasonably satisfactory to it that all insurance required to be maintained pursuant to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is in full force and effect, together with endorsements naming the Administrative Agent, for the benefit of the Secured Parties, as additional insured and loss payee thereunder to the extent required under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right="60" w:firstLine="996"/>
        <w:spacing w:after="0" w:line="259" w:lineRule="auto"/>
        <w:tabs>
          <w:tab w:leader="none" w:pos="120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Administrative Agent shall have received (i) the pro forma unaudited consolidated balance sheet of BRBR and its Subsidiaries as of June 30, 2019, (ii) the pro forma unaudited consolidated statement of operations of BRBR and its Subsidiaries as of and for the twelve-month period ending on September 30, 2018, and (iii) the pro forma unaudited consolidated statement of operations of BRBR and its Subsidiaries as of and for the nine-month period ending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60"/>
          </w:cols>
          <w:pgMar w:left="440" w:top="274" w:right="499" w:bottom="1440" w:gutter="0" w:footer="0" w:header="0"/>
        </w:sectPr>
      </w:pPr>
    </w:p>
    <w:bookmarkStart w:id="332" w:name="page333"/>
    <w:bookmarkEnd w:id="33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June 30, 2019, prepared after giving effect to the Transactions as if the Transactions had occurred as of such date (in the case of such balance sheet) or at the beginning of such period (in the case of such statements of operations) (collectively, the “</w:t>
      </w:r>
      <w:r>
        <w:rPr>
          <w:rFonts w:ascii="Arial" w:cs="Arial" w:eastAsia="Arial" w:hAnsi="Arial"/>
          <w:sz w:val="18"/>
          <w:szCs w:val="18"/>
          <w:b w:val="1"/>
          <w:bCs w:val="1"/>
          <w:color w:val="auto"/>
        </w:rPr>
        <w:t>Pro Forma Financial Statements</w:t>
      </w:r>
      <w:r>
        <w:rPr>
          <w:rFonts w:ascii="Arial" w:cs="Arial" w:eastAsia="Arial" w:hAnsi="Arial"/>
          <w:sz w:val="18"/>
          <w:szCs w:val="18"/>
          <w:color w:val="auto"/>
        </w:rPr>
        <w:t>”), it being understood that the Pro Forma Financial Statements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w:t>
      </w:r>
    </w:p>
    <w:p>
      <w:pPr>
        <w:spacing w:after="0" w:line="188" w:lineRule="exact"/>
        <w:rPr>
          <w:sz w:val="20"/>
          <w:szCs w:val="20"/>
          <w:color w:val="auto"/>
        </w:rPr>
      </w:pPr>
    </w:p>
    <w:p>
      <w:pPr>
        <w:ind w:right="300" w:firstLine="996"/>
        <w:spacing w:after="0" w:line="257" w:lineRule="auto"/>
        <w:tabs>
          <w:tab w:leader="none" w:pos="124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(x) the Closing Annual Financial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foregoing financial statements are accompanied by consolidating information that explains in reasonable detail the differences between the information relating to the Active Nutrition Business, on the one hand, and the information relating to the Borrower and its Restricted Subsidiaries on a standalone basis, on the other hand and (y) the Quarterly Financial Statements for each subsequent fiscal quarter (other than the fourth fiscal quarter) ended at least 45 days before the Closing Date.</w:t>
      </w:r>
    </w:p>
    <w:p>
      <w:pPr>
        <w:spacing w:after="0" w:line="18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Conditions to All Credit Extensions after the Closing Date</w:t>
      </w:r>
      <w:r>
        <w:rPr>
          <w:rFonts w:ascii="Arial" w:cs="Arial" w:eastAsia="Arial" w:hAnsi="Arial"/>
          <w:sz w:val="17"/>
          <w:szCs w:val="17"/>
          <w:color w:val="auto"/>
        </w:rPr>
        <w:t>. The obligation of each Lender to honor any Request for Credit Extension other than a Letter of Credit, and if such Request for Credit Extension is for a Letter of Credit, the obligation of the applicable L/C Issuer to honor such Request for Credit Extension, after the Closing Date (other than (x) pursuant to a Conversion/Continuation Notice and (y) in connection with the funding of an Incremental Term Loan) is subject to the following conditions precedent:</w:t>
      </w:r>
    </w:p>
    <w:p>
      <w:pPr>
        <w:spacing w:after="0" w:line="63" w:lineRule="exact"/>
        <w:rPr>
          <w:sz w:val="20"/>
          <w:szCs w:val="20"/>
          <w:color w:val="auto"/>
        </w:rPr>
      </w:pPr>
    </w:p>
    <w:p>
      <w:pPr>
        <w:ind w:firstLine="996"/>
        <w:spacing w:after="0" w:line="290" w:lineRule="auto"/>
        <w:tabs>
          <w:tab w:leader="none" w:pos="1237"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any other Loan Document, or which are contained in any document furnished at any time under or in connection herewith or therewith, that are qualified by materiality shall be true and correct (after giving effect to any qualification therein) on and as of the date of such Credit Extension, and each of the representations and warranties of the Borrower and each other Loan Party contained in any other Loan Document or in any document furnished at any time under or in connection herewith or therewith that are not qualified by materiality shall be true and correct in all material respects on and as of the date of such Credit Extension, except in each case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260" w:hanging="264"/>
        <w:spacing w:after="0"/>
        <w:tabs>
          <w:tab w:leader="none" w:pos="1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140" w:firstLine="996"/>
        <w:spacing w:after="0" w:line="277" w:lineRule="auto"/>
        <w:tabs>
          <w:tab w:leader="none" w:pos="123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shall have received a Request for Credit Extension in accordance with the requirements hereof.</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Each Request for Credit Extension (other than pursuant to a Conversion/Continuation Notice)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440" w:top="273" w:right="4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The Borrower represents and warrants to the Administrative Agent and the Lenders on the Closing Date and on the date of each Credit Extension as contemplated by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each of the matters set forth below that: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Existence, Qualification and Power</w:t>
      </w:r>
      <w:r>
        <w:rPr>
          <w:rFonts w:ascii="Arial" w:cs="Arial" w:eastAsia="Arial" w:hAnsi="Arial"/>
          <w:sz w:val="16"/>
          <w:szCs w:val="16"/>
          <w:color w:val="auto"/>
        </w:rPr>
        <w:t>. Each Loan Party and each Restricted Subsidiary (other than any Immaterial Subsidiary) thereof</w:t>
      </w:r>
    </w:p>
    <w:p>
      <w:pPr>
        <w:spacing w:after="0" w:line="46" w:lineRule="exact"/>
        <w:rPr>
          <w:sz w:val="20"/>
          <w:szCs w:val="20"/>
          <w:color w:val="auto"/>
        </w:rPr>
      </w:pPr>
    </w:p>
    <w:p>
      <w:pPr>
        <w:ind w:right="40" w:firstLine="4"/>
        <w:spacing w:after="0" w:line="252" w:lineRule="auto"/>
        <w:tabs>
          <w:tab w:leader="none" w:pos="24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9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Authorization; No Contravention</w:t>
      </w:r>
      <w:r>
        <w:rPr>
          <w:rFonts w:ascii="Arial" w:cs="Arial" w:eastAsia="Arial" w:hAnsi="Arial"/>
          <w:sz w:val="18"/>
          <w:szCs w:val="18"/>
          <w:color w:val="auto"/>
        </w:rPr>
        <w:t>.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Law.</w:t>
      </w:r>
    </w:p>
    <w:p>
      <w:pPr>
        <w:spacing w:after="0" w:line="19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i w:val="1"/>
          <w:iCs w:val="1"/>
          <w:color w:val="auto"/>
        </w:rPr>
        <w:t>Governmental Authorization; Other Consents</w:t>
      </w:r>
      <w:r>
        <w:rPr>
          <w:rFonts w:ascii="Arial" w:cs="Arial" w:eastAsia="Arial" w:hAnsi="Arial"/>
          <w:sz w:val="17"/>
          <w:szCs w:val="17"/>
          <w:color w:val="auto"/>
        </w:rPr>
        <w:t>. No material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(including the priority thereof), except for (x) filings and actions completed on or prior to the Closing Date and as contemplated hereby and by the Collateral Documents necessary to perfect or maintain the Liens on the Collateral granted by the Loan Parties in favor of the Administrative Agent for the benefit of the Secured Parties (including, without limitation, UCC financing statements and filings in the United States Patent and Trademark Office and the United States Copyright Office) and (y) approvals, consents, exemptions, authorizations, actions, notices and filings which have been duly obtained, taken, given or made and are in full force and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69" w:right="439" w:bottom="1440" w:gutter="0" w:footer="0" w:header="0"/>
        </w:sectPr>
      </w:pPr>
    </w:p>
    <w:bookmarkStart w:id="334" w:name="page335"/>
    <w:bookmarkEnd w:id="334"/>
    <w:p>
      <w:pPr>
        <w:ind w:right="14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5.04 </w:t>
      </w: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Financial Statements; No Material Adverse Effect</w:t>
      </w:r>
    </w:p>
    <w:p>
      <w:pPr>
        <w:spacing w:after="0" w:line="225" w:lineRule="exact"/>
        <w:rPr>
          <w:sz w:val="20"/>
          <w:szCs w:val="20"/>
          <w:color w:val="auto"/>
        </w:rPr>
      </w:pPr>
    </w:p>
    <w:p>
      <w:pPr>
        <w:ind w:right="100" w:firstLine="996"/>
        <w:spacing w:after="0" w:line="279" w:lineRule="auto"/>
        <w:tabs>
          <w:tab w:leader="none" w:pos="1237"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As of the Closing Date, the Closing Annual Financial Statements (A) were prepared in accordance with GAAP consistently applied throughout the period covered thereby, except as otherwise expressly noted therein; (B) fairly present, in all material respects, the financial condition of the Active Nutrition Business; and (C) show all material indebtedness and other liabilities, direct or contingent, of the Active Nutrition Business as of the date thereof, including liabilities for taxes, material commitments and Indebtedness to the extent required by GAAP.</w:t>
      </w:r>
    </w:p>
    <w:p>
      <w:pPr>
        <w:spacing w:after="0" w:line="171" w:lineRule="exact"/>
        <w:rPr>
          <w:rFonts w:ascii="Arial" w:cs="Arial" w:eastAsia="Arial" w:hAnsi="Arial"/>
          <w:sz w:val="17"/>
          <w:szCs w:val="17"/>
          <w:color w:val="auto"/>
        </w:rPr>
      </w:pPr>
    </w:p>
    <w:p>
      <w:pPr>
        <w:ind w:right="60" w:firstLine="996"/>
        <w:spacing w:after="0" w:line="287" w:lineRule="auto"/>
        <w:tabs>
          <w:tab w:leader="none" w:pos="124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most recent Annual Financial Statements of (x) BRBR and its Subsidiaries (as long as the Borrower and its Subsidiaries appear on such financial statements as consolidated subsidiaries of BRBR) and (y) otherwise the Borrower and its Subsidiaries: (A) were prepared in accordance with GAAP consistently applied throughout the periods covered thereby, except as otherwise expressly noted therein; (B) fairly present, in all material respects, the financial condition of BRBR and its Subsidiaries (or the Borrower and its Subsidiaries, as applicable) as of the dates thereof and their results of operations for the periods covered thereby in accordance with GAAP consistently applied throughout the periods covered thereby, except as otherwise expressly noted therein; (C) show all material indebtedness and other liabilities, direct or contingent, of BRBR and its Subsidiaries (or the Borrower and its Subsidiaries, as applicable) as of the date thereof, including liabilities for taxes, material commitments and Indebtedness to the extent required by GAAP and (D) were accompanied by a reconciliation that explains or otherwise shows in reasonable detail the differences, as applicable, between the information relating to (x) BRBR and its Subsidiaries, on the one hand, and the information relating to the Borrower and its Restricted Subsidiaries on a standalone basis, on the other hand or (y) the Borrower and its Subsidiaries, on the one hand, and the information relating to the Borrower and its Restricted Subsidiaries on a standalone basis, on the other hand.</w:t>
      </w:r>
    </w:p>
    <w:p>
      <w:pPr>
        <w:spacing w:after="0" w:line="172" w:lineRule="exact"/>
        <w:rPr>
          <w:rFonts w:ascii="Arial" w:cs="Arial" w:eastAsia="Arial" w:hAnsi="Arial"/>
          <w:sz w:val="16"/>
          <w:szCs w:val="16"/>
          <w:color w:val="auto"/>
        </w:rPr>
      </w:pPr>
    </w:p>
    <w:p>
      <w:pPr>
        <w:ind w:right="20" w:firstLine="996"/>
        <w:spacing w:after="0" w:line="284" w:lineRule="auto"/>
        <w:tabs>
          <w:tab w:leader="none" w:pos="123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The most recent Quarterly Financial Statements of (x) BRBR and its Subsidiaries (as long as the Borrower and its Subsidiaries appear on such financial statements as consolidated subsidiaries of BRBR) and (y) otherwise the Borrower and its Subsidiaries: (A) were each prepared in accordance with GAAP consistently applied throughout the period covered thereby, subject only to normal year-end audit adjustments and the absence of footnotes, except as otherwise expressly noted therein, (B) fairly present, in all material respects, the financial condition of BRBR and its Subsidiaries (or the Borrower and its Subsidiaries, as applicable) as of the date thereof and their results of operations for the period covered thereby and (C) were accompanied by a reconciliation that explains or otherwise shows in reasonable detail the differences, as applicable, between the information relating to</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BRBR and its Subsidiaries, on the one hand, and the information relating to the Borrower and its Restricted Subsidiaries on a standalone basis, on</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the other hand or (y) the Borrower and its Subsidiaries, on the one hand, and the information relating to the Borrower and its Restricted Subsidiaries on a standalone basis, on the other hand.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4" w:right="439" w:bottom="1440" w:gutter="0" w:footer="0" w:header="0"/>
        </w:sectPr>
      </w:pPr>
    </w:p>
    <w:bookmarkStart w:id="335" w:name="page336"/>
    <w:bookmarkEnd w:id="335"/>
    <w:p>
      <w:pPr>
        <w:ind w:firstLine="996"/>
        <w:spacing w:after="0" w:line="270" w:lineRule="auto"/>
        <w:tabs>
          <w:tab w:leader="none" w:pos="1247" w:val="left"/>
        </w:tabs>
        <w:numPr>
          <w:ilvl w:val="0"/>
          <w:numId w:val="3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Closing Date, the Pro Forma Financial Statements (i) were prepared in good faith based upon (A) the assumptions stated therein (which assumptions are believed by the Borrower on the date of delivery thereof and on the Closing Date to be reasonable), (B) accounting principles consistent with the Closing Annual Financial Statements except for any differences arising because the Closing Annual Financial Statements do not take into account BRBR and the transactions occurring on the Closing Date, and (C) the information available to the Borrower and its Subsidiaries as of the date of delivery thereof, (ii) accurately reflect all material adjustments required to be made to give effect to the Transactions and any other material transactions expected to be entered into or in connection therewith as of the Closing Date, (iii) have been prepared in accordance with GAAP (subject to normal year-end audit adjustments and the absence of footnotes) consistently applied throughout the applicable period covered thereby, and (iv) present fairly, in all material respects, the pro forma consolidated financial position and results of operations of the Borrower as of such date and for such periods, assuming that the Transactions and any other transactions expected to be entered into in connection therewith had occurred at such dates.</w:t>
      </w:r>
    </w:p>
    <w:p>
      <w:pPr>
        <w:spacing w:after="0" w:line="177" w:lineRule="exact"/>
        <w:rPr>
          <w:rFonts w:ascii="Arial" w:cs="Arial" w:eastAsia="Arial" w:hAnsi="Arial"/>
          <w:sz w:val="17"/>
          <w:szCs w:val="17"/>
          <w:color w:val="auto"/>
        </w:rPr>
      </w:pPr>
    </w:p>
    <w:p>
      <w:pPr>
        <w:ind w:right="500" w:firstLine="996"/>
        <w:spacing w:after="0" w:line="277" w:lineRule="auto"/>
        <w:tabs>
          <w:tab w:leader="none" w:pos="123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Since September 30, 2018,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jc w:val="both"/>
        <w:ind w:right="140" w:firstLine="441"/>
        <w:spacing w:after="0" w:line="302"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actions, suits, proceedings, claims or disputes pending or, to the knowledge of the Borrower, threatened or contemplated, at law, in equity, in arbitration or before any Governmental Authority, by or against the Borrower or any of its Restricted Subsidiaries or against any of their properties or revenues that (a) purport to affect or pertain to this Agreement or any other Loan Document, or the consummation of the Transaction or (b) either individually or in the aggregate could reasonably be expected to have a Material Adverse Effect.</w:t>
      </w:r>
    </w:p>
    <w:p>
      <w:pPr>
        <w:spacing w:after="0" w:line="154"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Ownership of Property</w:t>
      </w:r>
      <w:r>
        <w:rPr>
          <w:rFonts w:ascii="Arial" w:cs="Arial" w:eastAsia="Arial" w:hAnsi="Arial"/>
          <w:sz w:val="18"/>
          <w:szCs w:val="18"/>
          <w:color w:val="auto"/>
        </w:rPr>
        <w:t>. Each of the Borrower and each Restricted Subsidiary has good record and marketable title to all owned property, or valid leasehold interests or valid licenses in all leased or licensed property, reasonably necessary or used in the ordinary conduct of its business, except for such defects in title, or failure to obtain a valid leasehold interest or valid license as would not, individually or in the aggregate, reasonably be expected to have a Material Adverse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Environmental</w:t>
      </w:r>
      <w:r>
        <w:rPr>
          <w:rFonts w:ascii="Arial" w:cs="Arial" w:eastAsia="Arial" w:hAnsi="Arial"/>
          <w:sz w:val="18"/>
          <w:szCs w:val="18"/>
          <w:color w:val="auto"/>
        </w:rPr>
        <w:t>.</w:t>
      </w:r>
    </w:p>
    <w:p>
      <w:pPr>
        <w:spacing w:after="0" w:line="225" w:lineRule="exact"/>
        <w:rPr>
          <w:sz w:val="20"/>
          <w:szCs w:val="20"/>
          <w:color w:val="auto"/>
        </w:rPr>
      </w:pPr>
    </w:p>
    <w:p>
      <w:pPr>
        <w:ind w:right="180" w:firstLine="996"/>
        <w:spacing w:after="0" w:line="264" w:lineRule="auto"/>
        <w:tabs>
          <w:tab w:leader="none" w:pos="123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of the Loan Parties and its Restricted Subsidiaries is and has been in compliance with all Environmental Laws and has received and maintained in full force and effect all Environmental Permits required for its current operations, except where non-compliance could not, either individually or in the aggregate, reasonably be expected to have a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336" w:name="page337"/>
    <w:bookmarkEnd w:id="336"/>
    <w:p>
      <w:pPr>
        <w:ind w:left="-440" w:firstLine="996"/>
        <w:spacing w:after="0" w:line="273" w:lineRule="auto"/>
        <w:tabs>
          <w:tab w:leader="none" w:pos="807" w:val="left"/>
        </w:tabs>
        <w:numPr>
          <w:ilvl w:val="0"/>
          <w:numId w:val="3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Loan Parties’ knowledge, no Hazardous Materials are present, or have been released by any Person, whether related or unrelated to any Loan Party in, on, within, above, under, affecting or emanating from any real property currently or previously owned, leased or operated by any Loan Party or its Restricted Subsidiaries (i) in a quantity, location, manner or state requiring any cleanup, investigation or remedial action pursuant to any Environmental Laws; (ii) in violation or alleged violation of any Environmental Laws; or (iii) which has or could give rise to any Environmental Liability, including any claim pursuant to any Environmental Laws against any Loan Party or its Restricted Subsidiaries, except, in each case, as could not, either individually or in the aggregate, reasonably be expected to have a Material Adverse Effect.</w:t>
      </w:r>
    </w:p>
    <w:p>
      <w:pPr>
        <w:spacing w:after="0" w:line="178" w:lineRule="exact"/>
        <w:rPr>
          <w:rFonts w:ascii="Arial" w:cs="Arial" w:eastAsia="Arial" w:hAnsi="Arial"/>
          <w:sz w:val="17"/>
          <w:szCs w:val="17"/>
          <w:color w:val="auto"/>
        </w:rPr>
      </w:pPr>
    </w:p>
    <w:p>
      <w:pPr>
        <w:ind w:left="-440" w:right="160" w:firstLine="996"/>
        <w:spacing w:after="0" w:line="312" w:lineRule="auto"/>
        <w:tabs>
          <w:tab w:leader="none" w:pos="79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No Environmental Claim is pending or, to the Loan Parties’ knowledge, proposed, threatened or anticipated, with respect to or in connection with any Loan Party or its Restricted Subsidiaries or any real properties now or previously owned, leased or operated by any Loan Party or its Restricted Subsidiaries except as could not, either individually or in the aggregate, reasonably be expected to have a Material Adverse Effect.</w:t>
      </w:r>
    </w:p>
    <w:p>
      <w:pPr>
        <w:spacing w:after="0" w:line="146" w:lineRule="exact"/>
        <w:rPr>
          <w:rFonts w:ascii="Arial" w:cs="Arial" w:eastAsia="Arial" w:hAnsi="Arial"/>
          <w:sz w:val="16"/>
          <w:szCs w:val="16"/>
          <w:color w:val="auto"/>
        </w:rPr>
      </w:pPr>
    </w:p>
    <w:p>
      <w:pPr>
        <w:ind w:left="-440" w:right="40" w:firstLine="996"/>
        <w:spacing w:after="0" w:line="293" w:lineRule="auto"/>
        <w:tabs>
          <w:tab w:leader="none" w:pos="80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No properties now or, to the Loan Parties’ knowledge, previously owned, leased or operated by any Loan Party or its Restricted Subsidiaries nor, to the Loan Parties’ knowledge, any property to which any Loan Party or its Restricted Subsidiaries has transported or arranged for the transportation of any Hazardous Material is listed or, to the Loan Parties’ knowledge, proposed for listing on the National Priorities List promulgated pursuant to CERCLA, on CERCLIS (as defined in CERCLA) or on any similar federal, state or foreign list of sites requiring investigation or cleanup, nor to the knowledge of the Loan Parties, is any such property anticipated or to the Loan Parties’ knowledge, threatened to be placed on any such list, except as could not, either individually or in the aggregate, reasonably be expected to have a Material Adverse Effect.</w:t>
      </w:r>
    </w:p>
    <w:p>
      <w:pPr>
        <w:spacing w:after="0" w:line="164" w:lineRule="exact"/>
        <w:rPr>
          <w:rFonts w:ascii="Arial" w:cs="Arial" w:eastAsia="Arial" w:hAnsi="Arial"/>
          <w:sz w:val="16"/>
          <w:szCs w:val="16"/>
          <w:color w:val="auto"/>
        </w:rPr>
      </w:pPr>
    </w:p>
    <w:p>
      <w:pPr>
        <w:ind w:left="-440" w:right="200" w:firstLine="996"/>
        <w:spacing w:after="0" w:line="279" w:lineRule="auto"/>
        <w:tabs>
          <w:tab w:leader="none" w:pos="79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To the Loan Parties’ knowledge, there are no Environmental Liabilities of any Loan Party or its Restricted Subsidiaries of any kind whatsoever, whether accrued, contingent, absolute, determined, determinable or otherwise, and there are no facts, conditions, situations or set of circumstances which could reasonably be expected to result in or be the basis for any such Environmental Liability, except, in each case, as could not, either individually or in the aggregate, reasonably be expected to have a Material Adverse Effect.</w:t>
      </w:r>
    </w:p>
    <w:p>
      <w:pPr>
        <w:spacing w:after="0" w:line="171" w:lineRule="exact"/>
        <w:rPr>
          <w:rFonts w:ascii="Arial" w:cs="Arial" w:eastAsia="Arial" w:hAnsi="Arial"/>
          <w:sz w:val="17"/>
          <w:szCs w:val="17"/>
          <w:color w:val="auto"/>
        </w:rPr>
      </w:pPr>
    </w:p>
    <w:p>
      <w:pPr>
        <w:ind w:left="-440" w:right="60" w:firstLine="996"/>
        <w:spacing w:after="0" w:line="277" w:lineRule="auto"/>
        <w:tabs>
          <w:tab w:leader="none" w:pos="77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 Loan Party or any of its Restricted Subsidiaries has assumed or retained any Environmental Liability of any other Person, except as could not, either individually or in the aggregate, reasonably be expected to have a Material Adverse Effect.</w:t>
      </w:r>
    </w:p>
    <w:p>
      <w:pPr>
        <w:spacing w:after="0" w:line="170" w:lineRule="exact"/>
        <w:rPr>
          <w:sz w:val="20"/>
          <w:szCs w:val="20"/>
          <w:color w:val="auto"/>
        </w:rPr>
      </w:pPr>
    </w:p>
    <w:p>
      <w:pPr>
        <w:jc w:val="center"/>
        <w:ind w:right="560"/>
        <w:spacing w:after="0" w:line="44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5.08</w:t>
      </w:r>
      <w:r>
        <w:rPr>
          <w:rFonts w:ascii="Arial" w:cs="Arial" w:eastAsia="Arial" w:hAnsi="Arial"/>
          <w:sz w:val="18"/>
          <w:szCs w:val="18"/>
          <w:color w:val="auto"/>
        </w:rPr>
        <w:t xml:space="preserve"> contains the sole and exclusive representations and warranties of the Loan Parties with respect to environmental matters. 115</w:t>
      </w:r>
    </w:p>
    <w:p>
      <w:pPr>
        <w:sectPr>
          <w:pgSz w:w="11900" w:h="16838" w:orient="portrait"/>
          <w:cols w:equalWidth="0" w:num="1">
            <w:col w:w="10560"/>
          </w:cols>
          <w:pgMar w:left="880" w:top="274" w:right="459" w:bottom="1440" w:gutter="0" w:footer="0" w:header="0"/>
        </w:sectPr>
      </w:pPr>
    </w:p>
    <w:bookmarkStart w:id="337" w:name="page338"/>
    <w:bookmarkEnd w:id="337"/>
    <w:p>
      <w:pPr>
        <w:ind w:right="1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5.09 </w:t>
      </w:r>
      <w:r>
        <w:rPr>
          <w:rFonts w:ascii="Arial" w:cs="Arial" w:eastAsia="Arial" w:hAnsi="Arial"/>
          <w:sz w:val="18"/>
          <w:szCs w:val="18"/>
          <w:i w:val="1"/>
          <w:iCs w:val="1"/>
          <w:color w:val="auto"/>
        </w:rPr>
        <w:t>Insurance</w:t>
      </w:r>
      <w:r>
        <w:rPr>
          <w:rFonts w:ascii="Arial" w:cs="Arial" w:eastAsia="Arial" w:hAnsi="Arial"/>
          <w:sz w:val="18"/>
          <w:szCs w:val="18"/>
          <w:color w:val="auto"/>
        </w:rPr>
        <w:t>. The properties of the Borrower and its Restricted Subsidiaries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Taxes</w:t>
      </w:r>
      <w:r>
        <w:rPr>
          <w:rFonts w:ascii="Arial" w:cs="Arial" w:eastAsia="Arial" w:hAnsi="Arial"/>
          <w:sz w:val="18"/>
          <w:szCs w:val="18"/>
          <w:color w:val="auto"/>
        </w:rPr>
        <w:t>. The Borrower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business, franchise or assets otherwise due and payable, except (a) those which are being contested in good faith by appropriate proceedings diligently conducted and for which adequate reserves have been provided in accordance with GAAP or (b) to the extent that failure to do so could not reasonably be expected to result in Material Adverse Effect.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ERISA Compliance; Labor Matters</w:t>
      </w:r>
      <w:r>
        <w:rPr>
          <w:rFonts w:ascii="Arial" w:cs="Arial" w:eastAsia="Arial" w:hAnsi="Arial"/>
          <w:sz w:val="18"/>
          <w:szCs w:val="18"/>
          <w:color w:val="auto"/>
        </w:rPr>
        <w:t>.</w:t>
      </w:r>
    </w:p>
    <w:p>
      <w:pPr>
        <w:spacing w:after="0" w:line="225" w:lineRule="exact"/>
        <w:rPr>
          <w:sz w:val="20"/>
          <w:szCs w:val="20"/>
          <w:color w:val="auto"/>
        </w:rPr>
      </w:pPr>
    </w:p>
    <w:p>
      <w:pPr>
        <w:ind w:right="40" w:firstLine="996"/>
        <w:spacing w:after="0" w:line="291" w:lineRule="auto"/>
        <w:tabs>
          <w:tab w:leader="none" w:pos="123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No ERISA Event has occurred or is reasonably expected to occur that, when taken together with all other such ERISA Events for which liability is reasonably expected to occur, could reasonably be expected to result in a Material Adverse Effect. Each Plan is in compliance in all material respects with the applicable provisions of ERISA, the Code and other Federal or state laws. Each Pension Plan that is intended to be a qualified plan under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of the Code has received a favorable determination or opinion/advisory letter from the Internal Revenue Service to the effect that the form of such Plan is qualified under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of the Code and the trust related thereto has been determined by the Internal Revenue Service to be exempt from federal income tax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of the Code, or an application for such a letter is currently being processed by the Internal Revenue Service. To the best knowledge of the Borrower, nothing has occurred that would prevent or cause the loss of such tax-qualified status.</w:t>
      </w:r>
    </w:p>
    <w:p>
      <w:pPr>
        <w:spacing w:after="0" w:line="167" w:lineRule="exact"/>
        <w:rPr>
          <w:rFonts w:ascii="Arial" w:cs="Arial" w:eastAsia="Arial" w:hAnsi="Arial"/>
          <w:sz w:val="16"/>
          <w:szCs w:val="16"/>
          <w:color w:val="auto"/>
        </w:rPr>
      </w:pPr>
    </w:p>
    <w:p>
      <w:pPr>
        <w:ind w:firstLine="996"/>
        <w:spacing w:after="0" w:line="289" w:lineRule="auto"/>
        <w:tabs>
          <w:tab w:leader="none" w:pos="124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There are no strikes, or other labor disputes pending or, to the Borrower’s knowledge, threatened against the Borrower or any of its Restricted Subsidiaries, the hours worked and payments made to employees of the Borrower and its Restricted Subsidiaries have not been in violation of the Fair Labor Standards Act or any other applicable law dealing with such matters and all payments due from the Borrower or any of its Restricted Subsidiaries or for which any claim may be made against the Borrower or any of its Restricted Subsidiaries on account of wages and employee health and welfare insurance and other benefits have been paid or accrued as a liability on the books of the Borrower or such Restricted Subsidiary to the extent required by GAAP except, in each case, as would not reasonably be expected to result in a Material Adverse Effect. Except as could not reasonably be expected to result in a Material Adverse Effect, the consummation of the Transactions will not give rise to a right of termination or right of renegotiation on the part of any union under any material collective bargaining agreement to which the Borrower or any of its Restricted Subsidiaries (or any predecessor) is a party or by which the Borrower or any of its Restricted Subsidiaries (or any predecessor) is bound.</w:t>
      </w:r>
    </w:p>
    <w:p>
      <w:pPr>
        <w:spacing w:after="0" w:line="162" w:lineRule="exact"/>
        <w:rPr>
          <w:rFonts w:ascii="Arial" w:cs="Arial" w:eastAsia="Arial" w:hAnsi="Arial"/>
          <w:sz w:val="16"/>
          <w:szCs w:val="16"/>
          <w:color w:val="auto"/>
        </w:rPr>
      </w:pPr>
    </w:p>
    <w:p>
      <w:pPr>
        <w:ind w:right="220" w:firstLine="996"/>
        <w:spacing w:after="0" w:line="314" w:lineRule="auto"/>
        <w:tabs>
          <w:tab w:leader="none" w:pos="123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With respect to each scheme or arrangement mandated by a government other than the United States (a “</w:t>
      </w:r>
      <w:r>
        <w:rPr>
          <w:rFonts w:ascii="Arial" w:cs="Arial" w:eastAsia="Arial" w:hAnsi="Arial"/>
          <w:sz w:val="16"/>
          <w:szCs w:val="16"/>
          <w:b w:val="1"/>
          <w:bCs w:val="1"/>
          <w:color w:val="auto"/>
        </w:rPr>
        <w:t>Foreign Government</w:t>
      </w:r>
      <w:r>
        <w:rPr>
          <w:rFonts w:ascii="Arial" w:cs="Arial" w:eastAsia="Arial" w:hAnsi="Arial"/>
          <w:sz w:val="16"/>
          <w:szCs w:val="16"/>
          <w:color w:val="auto"/>
        </w:rPr>
        <w:t xml:space="preserve"> </w:t>
      </w:r>
      <w:r>
        <w:rPr>
          <w:rFonts w:ascii="Arial" w:cs="Arial" w:eastAsia="Arial" w:hAnsi="Arial"/>
          <w:sz w:val="16"/>
          <w:szCs w:val="16"/>
          <w:b w:val="1"/>
          <w:bCs w:val="1"/>
          <w:color w:val="auto"/>
        </w:rPr>
        <w:t>Scheme or Arrangement</w:t>
      </w:r>
      <w:r>
        <w:rPr>
          <w:rFonts w:ascii="Arial" w:cs="Arial" w:eastAsia="Arial" w:hAnsi="Arial"/>
          <w:sz w:val="16"/>
          <w:szCs w:val="16"/>
          <w:color w:val="auto"/>
        </w:rPr>
        <w:t>”) and with respect to each employee benefit plan maintained, contributed to or required to be contributed to by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any Restricted Subsidiary of any Loan Party primarily for the benefit of any employees located outside the United States (a “</w:t>
      </w:r>
      <w:r>
        <w:rPr>
          <w:rFonts w:ascii="Arial" w:cs="Arial" w:eastAsia="Arial" w:hAnsi="Arial"/>
          <w:sz w:val="16"/>
          <w:szCs w:val="16"/>
          <w:b w:val="1"/>
          <w:bCs w:val="1"/>
          <w:color w:val="auto"/>
        </w:rPr>
        <w:t>Foreign Plan</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00" w:right="20" w:firstLine="397"/>
        <w:spacing w:after="0" w:line="308" w:lineRule="auto"/>
        <w:tabs>
          <w:tab w:leader="none" w:pos="1616" w:val="left"/>
        </w:tabs>
        <w:numPr>
          <w:ilvl w:val="1"/>
          <w:numId w:val="381"/>
        </w:numPr>
        <w:rPr>
          <w:rFonts w:ascii="Arial" w:cs="Arial" w:eastAsia="Arial" w:hAnsi="Arial"/>
          <w:sz w:val="17"/>
          <w:szCs w:val="17"/>
          <w:color w:val="auto"/>
        </w:rPr>
      </w:pPr>
      <w:r>
        <w:rPr>
          <w:rFonts w:ascii="Arial" w:cs="Arial" w:eastAsia="Arial" w:hAnsi="Arial"/>
          <w:sz w:val="17"/>
          <w:szCs w:val="17"/>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273" w:right="439" w:bottom="1440" w:gutter="0" w:footer="0" w:header="0"/>
        </w:sectPr>
      </w:pPr>
    </w:p>
    <w:bookmarkStart w:id="338" w:name="page339"/>
    <w:bookmarkEnd w:id="338"/>
    <w:p>
      <w:pPr>
        <w:ind w:left="1000" w:right="20" w:firstLine="397"/>
        <w:spacing w:after="0" w:line="257" w:lineRule="auto"/>
        <w:tabs>
          <w:tab w:leader="none" w:pos="1666"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80" w:lineRule="exact"/>
        <w:rPr>
          <w:rFonts w:ascii="Arial" w:cs="Arial" w:eastAsia="Arial" w:hAnsi="Arial"/>
          <w:sz w:val="18"/>
          <w:szCs w:val="18"/>
          <w:color w:val="auto"/>
        </w:rPr>
      </w:pPr>
    </w:p>
    <w:p>
      <w:pPr>
        <w:ind w:left="1000" w:right="520" w:firstLine="397"/>
        <w:spacing w:after="0" w:line="277" w:lineRule="auto"/>
        <w:tabs>
          <w:tab w:leader="none" w:pos="171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Subsidiaries; Equity Interests</w:t>
      </w:r>
      <w:r>
        <w:rPr>
          <w:rFonts w:ascii="Arial" w:cs="Arial" w:eastAsia="Arial" w:hAnsi="Arial"/>
          <w:sz w:val="16"/>
          <w:szCs w:val="16"/>
          <w:color w:val="auto"/>
        </w:rPr>
        <w:t xml:space="preserve">. As of the Closing Date, the Borrower has no Subsidiaries other than those specifically disclosed in Part (a)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and all of the outstanding Equity Interests in such Subsidiaries have been validly issued, are fully paid and nonassessable and are owned by the Borrower or one or more of its Subsidiaries in the amounts specified on Part (a) of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free and clear of all Liens except those created under the Collateral Documents. As of the Closing Date, (x) the Borrower has no equity investments in any other Person other than</w:t>
      </w:r>
    </w:p>
    <w:p>
      <w:pPr>
        <w:spacing w:after="0" w:line="2" w:lineRule="exact"/>
        <w:rPr>
          <w:sz w:val="20"/>
          <w:szCs w:val="20"/>
          <w:color w:val="auto"/>
        </w:rPr>
      </w:pPr>
    </w:p>
    <w:p>
      <w:pPr>
        <w:ind w:right="60" w:firstLine="4"/>
        <w:spacing w:after="0" w:line="261" w:lineRule="auto"/>
        <w:tabs>
          <w:tab w:leader="none" w:pos="21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those specifically disclosed in Part (b) of </w:t>
      </w:r>
      <w:r>
        <w:rPr>
          <w:rFonts w:ascii="Arial" w:cs="Arial" w:eastAsia="Arial" w:hAnsi="Arial"/>
          <w:sz w:val="18"/>
          <w:szCs w:val="18"/>
          <w:u w:val="single" w:color="auto"/>
          <w:color w:val="auto"/>
        </w:rPr>
        <w:t>Schedule 5.12</w:t>
      </w:r>
      <w:r>
        <w:rPr>
          <w:rFonts w:ascii="Arial" w:cs="Arial" w:eastAsia="Arial" w:hAnsi="Arial"/>
          <w:sz w:val="18"/>
          <w:szCs w:val="18"/>
          <w:color w:val="auto"/>
        </w:rPr>
        <w:t xml:space="preserve"> and (ii) investments in Subsidiaries and (y) there are no Unrestricted Subsidiaries. All of the outstanding Equity Interests in the Borrower have been validly issued and are fully paid and nonassessable.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Margin Regulations; Investment Company Act</w:t>
      </w:r>
      <w:r>
        <w:rPr>
          <w:rFonts w:ascii="Arial" w:cs="Arial" w:eastAsia="Arial" w:hAnsi="Arial"/>
          <w:sz w:val="18"/>
          <w:szCs w:val="18"/>
          <w:color w:val="auto"/>
        </w:rPr>
        <w:t>.</w:t>
      </w:r>
    </w:p>
    <w:p>
      <w:pPr>
        <w:spacing w:after="0" w:line="225" w:lineRule="exact"/>
        <w:rPr>
          <w:sz w:val="20"/>
          <w:szCs w:val="20"/>
          <w:color w:val="auto"/>
        </w:rPr>
      </w:pPr>
    </w:p>
    <w:p>
      <w:pPr>
        <w:ind w:right="240" w:firstLine="996"/>
        <w:spacing w:after="0" w:line="264" w:lineRule="auto"/>
        <w:tabs>
          <w:tab w:leader="none" w:pos="123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81" w:lineRule="exact"/>
        <w:rPr>
          <w:rFonts w:ascii="Arial" w:cs="Arial" w:eastAsia="Arial" w:hAnsi="Arial"/>
          <w:sz w:val="18"/>
          <w:szCs w:val="18"/>
          <w:color w:val="auto"/>
        </w:rPr>
      </w:pPr>
    </w:p>
    <w:p>
      <w:pPr>
        <w:ind w:right="540" w:firstLine="996"/>
        <w:spacing w:after="0" w:line="277" w:lineRule="auto"/>
        <w:tabs>
          <w:tab w:leader="none" w:pos="124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Restricted Subsidiary is or is required to be registered as an “investment company” under the Investment Company Act of 1940.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Disclosure</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55" w:lineRule="auto"/>
        <w:tabs>
          <w:tab w:leader="none" w:pos="123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No report, financial statement, certificate or other information furnished in writing by or on behalf of any Loan Party to the Administrative Agent or any Lender in connection with the Transactions or delivered hereunder or under any other Loan Document (in each case, taken as a whole and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Borrower represents only that such information was prepared in good faith based upon assumptions believed by it to be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0"/>
          </w:cols>
          <w:pgMar w:left="440" w:top="273" w:right="499" w:bottom="1440" w:gutter="0" w:footer="0" w:header="0"/>
        </w:sectPr>
      </w:pPr>
    </w:p>
    <w:bookmarkStart w:id="339" w:name="page340"/>
    <w:bookmarkEnd w:id="33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As of the Closing Date, the information included in the Beneficial Ownership Certification is true and correct in all respects.</w:t>
      </w:r>
    </w:p>
    <w:p>
      <w:pPr>
        <w:spacing w:after="0" w:line="22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Compliance with Laws</w:t>
      </w:r>
      <w:r>
        <w:rPr>
          <w:rFonts w:ascii="Arial" w:cs="Arial" w:eastAsia="Arial" w:hAnsi="Arial"/>
          <w:sz w:val="16"/>
          <w:szCs w:val="16"/>
          <w:color w:val="auto"/>
        </w:rPr>
        <w:t>. Each Loan Party and each Restricted Subsidiary thereof is in compliance in all material respects with the requirements of all Laws and all orders, writs, injunctions and decrees applicable to it or to its properties (including the Act),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54"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Intellectual Property; Licenses, Etc.</w:t>
      </w:r>
      <w:r>
        <w:rPr>
          <w:rFonts w:ascii="Arial" w:cs="Arial" w:eastAsia="Arial" w:hAnsi="Arial"/>
          <w:sz w:val="16"/>
          <w:szCs w:val="16"/>
          <w:color w:val="auto"/>
        </w:rPr>
        <w:t xml:space="preserve"> The Borrower and its Restricted Subsidiaries own or possess the right to use all of the trademarks, service marks, trade names, trade dress, logos, domain names and all good will associated therewith, copyrights, patents, patent rights, trade secrets, know-how, franchises, licenses, and other intellectual property rights (collectively, “</w:t>
      </w:r>
      <w:r>
        <w:rPr>
          <w:rFonts w:ascii="Arial" w:cs="Arial" w:eastAsia="Arial" w:hAnsi="Arial"/>
          <w:sz w:val="16"/>
          <w:szCs w:val="16"/>
          <w:b w:val="1"/>
          <w:bCs w:val="1"/>
          <w:color w:val="auto"/>
        </w:rPr>
        <w:t>IP Rights</w:t>
      </w:r>
      <w:r>
        <w:rPr>
          <w:rFonts w:ascii="Arial" w:cs="Arial" w:eastAsia="Arial" w:hAnsi="Arial"/>
          <w:sz w:val="16"/>
          <w:szCs w:val="16"/>
          <w:color w:val="auto"/>
        </w:rPr>
        <w:t xml:space="preserve">”) that are reasonably necessary for the operation of their respective businesses as currently conducted, without conflict with the rights of any other Person, except where the failure to own or possess the right to use any such IP Rights would not reasonably be expected to have a Material Adverse Effect. The Borrower and its Restricted Subsidiaries hold all right, title and interest in and to such owned IP Rights free and clear of any Lien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No slogan or other advertising device, product, process, method, substance, part or other material or activity now employed, or now contemplated to be employed, by the Borrower or any Restricted Subsidiary infringes upon, misappropriates or otherwise violates any rights held by any other Person, except where such infringement, misappropriation or other violation would not reasonably be expected to have a Material Adverse Effect.</w:t>
      </w:r>
    </w:p>
    <w:p>
      <w:pPr>
        <w:spacing w:after="0" w:line="16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i w:val="1"/>
          <w:iCs w:val="1"/>
          <w:color w:val="auto"/>
        </w:rPr>
        <w:t>Solvency</w:t>
      </w:r>
      <w:r>
        <w:rPr>
          <w:rFonts w:ascii="Arial" w:cs="Arial" w:eastAsia="Arial" w:hAnsi="Arial"/>
          <w:sz w:val="18"/>
          <w:szCs w:val="18"/>
          <w:color w:val="auto"/>
        </w:rPr>
        <w:t>. As of the Closing Date, immediately after giving effect to the consummation of the Transactions, the Borrower and its Subsidiaries on a consolidated basis are Solvent.</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i w:val="1"/>
          <w:iCs w:val="1"/>
          <w:color w:val="auto"/>
        </w:rPr>
        <w:t>Collateral Documents</w:t>
      </w:r>
      <w:r>
        <w:rPr>
          <w:rFonts w:ascii="Arial" w:cs="Arial" w:eastAsia="Arial" w:hAnsi="Arial"/>
          <w:sz w:val="18"/>
          <w:szCs w:val="18"/>
          <w:color w:val="auto"/>
        </w:rPr>
        <w:t xml:space="preserve">. The provisions of the applicable Collateral Documents are effective to create in favor of the Administrative Agent for the benefit of the Secured Parties a legal, valid and enforceable first priority Lien (subject, in the case of any Collateral other than Collateral consisting of Equity Interests, to Permitted Liens and, in the case of Collateral consisting of Equity Interests, to non-consensual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(collectively, such Liens, “</w:t>
      </w:r>
      <w:r>
        <w:rPr>
          <w:rFonts w:ascii="Arial" w:cs="Arial" w:eastAsia="Arial" w:hAnsi="Arial"/>
          <w:sz w:val="18"/>
          <w:szCs w:val="18"/>
          <w:b w:val="1"/>
          <w:bCs w:val="1"/>
          <w:color w:val="auto"/>
        </w:rPr>
        <w:t>Permitted Prior Liens</w:t>
      </w:r>
      <w:r>
        <w:rPr>
          <w:rFonts w:ascii="Arial" w:cs="Arial" w:eastAsia="Arial" w:hAnsi="Arial"/>
          <w:sz w:val="18"/>
          <w:szCs w:val="18"/>
          <w:color w:val="auto"/>
        </w:rPr>
        <w:t>”)) on all right, title and interest of the respective Loan Parties in the Collateral described therein.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340" w:name="page341"/>
    <w:bookmarkEnd w:id="340"/>
    <w:p>
      <w:pPr>
        <w:ind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5.19 </w:t>
      </w:r>
      <w:r>
        <w:rPr>
          <w:rFonts w:ascii="Arial" w:cs="Arial" w:eastAsia="Arial" w:hAnsi="Arial"/>
          <w:sz w:val="17"/>
          <w:szCs w:val="17"/>
          <w:i w:val="1"/>
          <w:iCs w:val="1"/>
          <w:color w:val="auto"/>
        </w:rPr>
        <w:t>Anti-Terrorism; Anti-Money Laundering; Etc.</w:t>
      </w:r>
      <w:r>
        <w:rPr>
          <w:rFonts w:ascii="Arial" w:cs="Arial" w:eastAsia="Arial" w:hAnsi="Arial"/>
          <w:sz w:val="17"/>
          <w:szCs w:val="17"/>
          <w:color w:val="auto"/>
        </w:rPr>
        <w:t xml:space="preserve"> The Borrower has implemented and maintains in effect policies and procedures designed to ensure compliance in all material respects by the Borrower, its Restricted Subsidiaries and their respective directors, officers, and employees with Anti-Corruption Laws and applicable Sanctions, and the Borrower, its Restricted Subsidiaries and, to Borrower’s knowledge, its and its Restricted Subsidiaries’ respective officers and directors, are in compliance with Anti-Corruption Laws in all material respects and applicable Sanctions in all material respects and are not knowingly engaged in any activity that would reasonably be expected to result in the Borrower being designated as a Sanctioned Person. No Loan Party nor any of its Restricted Subsidiaries or, to their knowledge, any of their Related Parties (i) is an “enemy” or an “ally of the enemy” within the meaning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Trading with the Enemy Act of the United States (50 U.S.C. App. §§ 1 et seq.), (ii) is in violation of (A) the Trading with the Enemy Act, (B) any of the foreign assets control regulations of the United States Treasury Department (31 CFR, Subtitle B, Chapter V) or any enabling legislation or executive order relating thereto, (C) the Act or (D) any other laws relating to terrorism or money laundering (collectively, the “</w:t>
      </w:r>
      <w:r>
        <w:rPr>
          <w:rFonts w:ascii="Arial" w:cs="Arial" w:eastAsia="Arial" w:hAnsi="Arial"/>
          <w:sz w:val="17"/>
          <w:szCs w:val="17"/>
          <w:b w:val="1"/>
          <w:bCs w:val="1"/>
          <w:color w:val="auto"/>
        </w:rPr>
        <w:t>Anti-Terrorism Laws</w:t>
      </w:r>
      <w:r>
        <w:rPr>
          <w:rFonts w:ascii="Arial" w:cs="Arial" w:eastAsia="Arial" w:hAnsi="Arial"/>
          <w:sz w:val="17"/>
          <w:szCs w:val="17"/>
          <w:color w:val="auto"/>
        </w:rPr>
        <w:t>”) or (iii) is a Sanctioned Person. No part of the proceeds of any Loan or Letter of Credit hereunder will be unlawfully used directly or indirectly to fund any operations in, finance any investments or activities in or make any payments to, a Sanctioned Person or a Sanctioned Country, or in any other manner that will result in any violation by any Person (including any Lender or Arranger, the Administrative Agent or any L/C Issuer) of any Anti-Terrorism Laws or Sanctions.</w:t>
      </w:r>
    </w:p>
    <w:p>
      <w:pPr>
        <w:spacing w:after="0" w:line="188"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i w:val="1"/>
          <w:iCs w:val="1"/>
          <w:color w:val="auto"/>
        </w:rPr>
        <w:t>Foreign Corrupt Practices Act</w:t>
      </w:r>
      <w:r>
        <w:rPr>
          <w:rFonts w:ascii="Arial" w:cs="Arial" w:eastAsia="Arial" w:hAnsi="Arial"/>
          <w:sz w:val="17"/>
          <w:szCs w:val="17"/>
          <w:color w:val="auto"/>
        </w:rPr>
        <w: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No Loan Party is an EEA Financial Institution.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L/C Issuer have been made) shall remain outstanding, the Borrower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6.16</w:t>
      </w:r>
      <w:r>
        <w:rPr>
          <w:rFonts w:ascii="Arial" w:cs="Arial" w:eastAsia="Arial" w:hAnsi="Arial"/>
          <w:sz w:val="16"/>
          <w:szCs w:val="16"/>
          <w:color w:val="auto"/>
        </w:rPr>
        <w:t>) cause each Restricted Subsidiary to:</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Financial Statements</w:t>
      </w:r>
      <w:r>
        <w:rPr>
          <w:rFonts w:ascii="Arial" w:cs="Arial" w:eastAsia="Arial" w:hAnsi="Arial"/>
          <w:sz w:val="18"/>
          <w:szCs w:val="18"/>
          <w:color w:val="auto"/>
        </w:rPr>
        <w:t>. Deliver to the Administrative Agent:</w:t>
      </w:r>
    </w:p>
    <w:p>
      <w:pPr>
        <w:spacing w:after="0" w:line="117" w:lineRule="exact"/>
        <w:rPr>
          <w:sz w:val="20"/>
          <w:szCs w:val="20"/>
          <w:color w:val="auto"/>
        </w:rPr>
      </w:pPr>
    </w:p>
    <w:p>
      <w:pPr>
        <w:ind w:right="180" w:firstLine="996"/>
        <w:spacing w:after="0" w:line="302" w:lineRule="auto"/>
        <w:tabs>
          <w:tab w:leader="none" w:pos="123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 within 90 days after the Closing Date, for the Fiscal Year ending September 30, 2019, a consolidated balance sheet of the Active Nutrition Business as at the end of such Fiscal Year, and the related consolidated statements of income or operations, changes in Stockholders’ Equity, and cash flows for such Fiscal Year (with such financial statements showing comparative figures for the Active Nutrition Business for the Fiscal Year ending September 30, 2018), all in reasonable detail and prepared in accordance with GAAP, audited and accompanied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341" w:name="page342"/>
    <w:bookmarkEnd w:id="34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 report and opinion of PricewaterhouseCoopers LLP or any other independent certified public accountant of nationally recognized standing, which report and opinion shall be prepared in accordance with generally accepted auditing standards and shall not be subject to any “going concern” qualification, “going concern” exception or “going concern” explanatory paragraph (other than a “going concern” qualification, exception or explanatory paragraph resulting solely from an upcoming maturity date under any Indebtedness occurring within one year from the time such opinion is delivered) or any qualification or exception paragraph as to the scope of such audit;</w:t>
      </w:r>
    </w:p>
    <w:p>
      <w:pPr>
        <w:spacing w:after="0" w:line="188" w:lineRule="exact"/>
        <w:rPr>
          <w:sz w:val="20"/>
          <w:szCs w:val="20"/>
          <w:color w:val="auto"/>
        </w:rPr>
      </w:pPr>
    </w:p>
    <w:p>
      <w:pPr>
        <w:ind w:firstLine="996"/>
        <w:spacing w:after="0" w:line="268" w:lineRule="auto"/>
        <w:tabs>
          <w:tab w:leader="none" w:pos="1277"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within 90 days after the end of each Fiscal Year of the Borrower (commencing with the Fiscal Year ending September 30, 2020), a consolidated balance sheet of (x) BRBR and its Subsidiaries (as long as the Borrower and its Subsidiaries appear on such financial statements as consolidated subsidiaries of BRBR) and (y) otherwise,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(with the financial statements for the Fiscal Year ending September 30, 2020 showing comparative figures for the Active Nutrition Business for the Fiscal Year ending September 30, 2019), all in reasonable detail and prepared in accordance with GAAP, audited and accompanied by a report and opinion of PricewaterhouseCoopers LLP or any other independent certified public accountant of nationally recognized standing, which report and opinion shall be prepared in accordance with generally accepted auditing standards and shall not be subject to any “going concern” qualification, “going concern” exception or “going concern” explanatory paragraph (other than a “going concern” qualification, exception or explanatory paragraph resulting solely from an upcoming maturity date under any Indebtedness occurring within one year from the time such opinion is delivered) or any qualification or exception paragraph as to the scope of such audit;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foregoing financial statements are accompanied by a reconciliation that explains or otherwise shows in reasonable detail the differences between the information relating to (x) BRBR and its Subsidiaries, on the one hand, and the information relating to the Borrower and its Restricted Subsidiaries on a standalone basis, on the other hand or (y) the Borrower and its Subsidiaries, on the one hand, and the information relating to the Borrower and its Restricted Subsidiaries on a standalone basis, on the other hand;</w:t>
      </w:r>
    </w:p>
    <w:p>
      <w:pPr>
        <w:spacing w:after="0" w:line="183" w:lineRule="exact"/>
        <w:rPr>
          <w:sz w:val="20"/>
          <w:szCs w:val="20"/>
          <w:color w:val="auto"/>
        </w:rPr>
      </w:pPr>
    </w:p>
    <w:p>
      <w:pPr>
        <w:ind w:right="160" w:firstLine="996"/>
        <w:spacing w:after="0" w:line="289" w:lineRule="auto"/>
        <w:tabs>
          <w:tab w:leader="none" w:pos="124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 connection with each of the first three fiscal quarters of each Fiscal Year of the Borrower (commencing with the fiscal quarter ending December 31, 2019), within 45 days after the end of each such fiscal quarter, a consolidated balance sheet of (x) BRBR and its Subsidiaries (as long as the Borrower and its Subsidiaries appear on such financial statements as consolidated subsidiaries of BRBR) and (y) otherwise,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(with the comparative figures for all fiscal periods ending prior to December 31, 2020 showing comparative figures for the Active Nutrition Business), all in reasonable detail, certified by the chief executive officer, chief financial officer, treasurer or controller of BRBR (or the Borrower, as applicable) as fairly presenting, in all material respects,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274" w:right="439" w:bottom="1440" w:gutter="0" w:footer="0" w:header="0"/>
        </w:sectPr>
      </w:pPr>
    </w:p>
    <w:bookmarkStart w:id="342" w:name="page343"/>
    <w:bookmarkEnd w:id="34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financial condition, results of operations, Stockholders’ Equity and cash flows of BRBR and its Subsidiaries (or the Borrower and its Subsidiaries, as applicable) in accordance with GAAP, subject only to normal year-end audit adjustments and the absence of footnotes;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foregoing financial statements are accompanied by a reconciliation that explains or otherwise shows in reasonable detail the differences, as applicable, between the information relating to (x) BRBR and its Subsidiaries, on the one hand, and the information relating to the Borrower and its Restricted Subsidiaries on a standalone basis, on the other hand or (y) the Borrower and its Subsidiaries, on the one hand, and the information relating to the Borrower and its Restricted Subsidiaries on a standalone basis, on the other hand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and</w:t>
      </w:r>
    </w:p>
    <w:p>
      <w:pPr>
        <w:spacing w:after="0" w:line="178" w:lineRule="exact"/>
        <w:rPr>
          <w:sz w:val="20"/>
          <w:szCs w:val="20"/>
          <w:color w:val="auto"/>
        </w:rPr>
      </w:pPr>
    </w:p>
    <w:p>
      <w:pPr>
        <w:ind w:firstLine="996"/>
        <w:spacing w:after="0" w:line="279" w:lineRule="auto"/>
        <w:tabs>
          <w:tab w:leader="none" w:pos="1237" w:val="left"/>
        </w:tabs>
        <w:numPr>
          <w:ilvl w:val="0"/>
          <w:numId w:val="389"/>
        </w:numPr>
        <w:rPr>
          <w:rFonts w:ascii="Arial" w:cs="Arial" w:eastAsia="Arial" w:hAnsi="Arial"/>
          <w:sz w:val="17"/>
          <w:szCs w:val="17"/>
          <w:color w:val="auto"/>
        </w:rPr>
      </w:pPr>
      <w:r>
        <w:rPr>
          <w:rFonts w:ascii="Arial" w:cs="Arial" w:eastAsia="Arial" w:hAnsi="Arial"/>
          <w:sz w:val="17"/>
          <w:szCs w:val="17"/>
          <w:color w:val="auto"/>
        </w:rPr>
        <w:t>not later than 60 days after the end of each Fiscal Year of the Borrower (commencing with the Fiscal Year ending September 30, 2019), an annual budget of the Borrower and its Restricted Subsidiaries on a consolidated basis consisting of consolidated balance sheets and statements of income or operations and cash flows of the Borrower and its Restricted Subsidiaries on a quarterly basis for the then-current Fiscal Year (including the Fiscal Year in which the Latest Maturity Date occurs, if such Fiscal Year is the then-current Fiscal Year).</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the Borrower shall not be required separately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at the times specified therein.</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Deliver to the Administrative Agent, in form and detail reasonably satisfactory to the Administrative Agent:</w:t>
      </w:r>
    </w:p>
    <w:p>
      <w:pPr>
        <w:spacing w:after="0" w:line="62" w:lineRule="exact"/>
        <w:rPr>
          <w:sz w:val="20"/>
          <w:szCs w:val="20"/>
          <w:color w:val="auto"/>
        </w:rPr>
      </w:pPr>
    </w:p>
    <w:p>
      <w:pPr>
        <w:ind w:right="260" w:firstLine="996"/>
        <w:spacing w:after="0" w:line="264" w:lineRule="auto"/>
        <w:tabs>
          <w:tab w:leader="none" w:pos="123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duly completed Compliance Certificate (including showing the calculation of the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signed by the chief executive officer, chief financial officer, treasurer or controller of the Borrower;</w:t>
      </w:r>
    </w:p>
    <w:p>
      <w:pPr>
        <w:spacing w:after="0" w:line="181" w:lineRule="exact"/>
        <w:rPr>
          <w:rFonts w:ascii="Arial" w:cs="Arial" w:eastAsia="Arial" w:hAnsi="Arial"/>
          <w:sz w:val="18"/>
          <w:szCs w:val="18"/>
          <w:color w:val="auto"/>
        </w:rPr>
      </w:pPr>
    </w:p>
    <w:p>
      <w:pPr>
        <w:ind w:right="400" w:firstLine="996"/>
        <w:spacing w:after="0" w:line="312" w:lineRule="auto"/>
        <w:tabs>
          <w:tab w:leader="none" w:pos="1247" w:val="left"/>
        </w:tabs>
        <w:numPr>
          <w:ilvl w:val="0"/>
          <w:numId w:val="390"/>
        </w:numPr>
        <w:rPr>
          <w:rFonts w:ascii="Arial" w:cs="Arial" w:eastAsia="Arial" w:hAnsi="Arial"/>
          <w:sz w:val="16"/>
          <w:szCs w:val="16"/>
          <w:color w:val="auto"/>
        </w:rPr>
      </w:pPr>
      <w:r>
        <w:rPr>
          <w:rFonts w:ascii="Arial" w:cs="Arial" w:eastAsia="Arial" w:hAnsi="Arial"/>
          <w:sz w:val="16"/>
          <w:szCs w:val="16"/>
          <w:color w:val="auto"/>
        </w:rPr>
        <w:t>promptly after any request by the Administrative Agent or any Lender, copies of any detailed audit reports, management letters or recommendations submitted to the board of directors (or the audit committee of the board of directors) of BRBR or the Borrower by independent accountants in connection with the accounts or books of BRBR or the Borrower or any Restricted Subsidiary, or any audit of any of them;</w:t>
      </w:r>
    </w:p>
    <w:p>
      <w:pPr>
        <w:spacing w:after="0" w:line="146" w:lineRule="exact"/>
        <w:rPr>
          <w:rFonts w:ascii="Arial" w:cs="Arial" w:eastAsia="Arial" w:hAnsi="Arial"/>
          <w:sz w:val="16"/>
          <w:szCs w:val="16"/>
          <w:color w:val="auto"/>
        </w:rPr>
      </w:pPr>
    </w:p>
    <w:p>
      <w:pPr>
        <w:ind w:right="80" w:firstLine="996"/>
        <w:spacing w:after="0" w:line="273" w:lineRule="auto"/>
        <w:tabs>
          <w:tab w:leader="none" w:pos="1237"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promptly after the same are available, copies of each annual report, proxy or financial statement or other report or communication sent to the stockholders of BRBR or the Borrower, and copies of all annual, regular, periodic and special reports and registration statements which BRBR or the Borrower may file or be required to file with the SEC under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15(d)</w:t>
      </w:r>
      <w:r>
        <w:rPr>
          <w:rFonts w:ascii="Arial" w:cs="Arial" w:eastAsia="Arial" w:hAnsi="Arial"/>
          <w:sz w:val="17"/>
          <w:szCs w:val="17"/>
          <w:color w:val="auto"/>
        </w:rPr>
        <w:t xml:space="preserve"> of the Securities Exchange Act of 1934, whether or not otherwise required to be delivered to the Administrative Agent pursuant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documents are filed with the SEC, such documents shall be deemed delivered pursuant to this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at the time of and so long as the Borrower notifies the Administrative Agent (by facsimile or electronic mail) of the filing with the SEC of any such documents;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3" w:right="459" w:bottom="1440" w:gutter="0" w:footer="0" w:header="0"/>
        </w:sectPr>
      </w:pPr>
    </w:p>
    <w:bookmarkStart w:id="343" w:name="page344"/>
    <w:bookmarkEnd w:id="343"/>
    <w:p>
      <w:pPr>
        <w:ind w:right="360" w:firstLine="996"/>
        <w:spacing w:after="0" w:line="264" w:lineRule="auto"/>
        <w:tabs>
          <w:tab w:leader="none" w:pos="1247" w:val="left"/>
        </w:tabs>
        <w:numPr>
          <w:ilvl w:val="0"/>
          <w:numId w:val="3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such additional information regarding the business, financial or corporate affairs of the Borrower or any Restricted Subsidiary, or compliance with the terms of the Loan Documents, as the Administrative Agent or the Required Lenders, through the Administrative Agent, may from time to time reasonably request.</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(1)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(2)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documents, the Borrower shall notify the Administrative Agent (by facsimile or electronic mail) of the posting of any such documents.</w:t>
      </w:r>
    </w:p>
    <w:p>
      <w:pPr>
        <w:spacing w:after="0" w:line="18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and the L/C Issuers materials and/or information provided by or on behalf of the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within the meaning of United States federal securities laws (“</w:t>
      </w:r>
      <w:r>
        <w:rPr>
          <w:rFonts w:ascii="Arial" w:cs="Arial" w:eastAsia="Arial" w:hAnsi="Arial"/>
          <w:sz w:val="16"/>
          <w:szCs w:val="16"/>
          <w:b w:val="1"/>
          <w:bCs w:val="1"/>
          <w:color w:val="auto"/>
        </w:rPr>
        <w:t>MNPI</w:t>
      </w:r>
      <w:r>
        <w:rPr>
          <w:rFonts w:ascii="Arial" w:cs="Arial" w:eastAsia="Arial" w:hAnsi="Arial"/>
          <w:sz w:val="16"/>
          <w:szCs w:val="16"/>
          <w:color w:val="auto"/>
        </w:rPr>
        <w:t>”) with respect to the Borrower or its Subsidiaries,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MNPI with respect to the Borrower or its Subsidiaries, or their respective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the Administrative Agent agrees that only Borrower Materials marked “PUBLIC” will be made available on such portion of the Platform); and (z) the Administrative Agent and the Arrangers shall be entitled to treat any Borrower Materials that are not marked “PUBLIC” as being suitable only for posting on a portion of the Platform that is not designated “Public Side Information.” Notwithstanding the foregoing, the Borrower shall be under no obligation to mark any Borrower materials “PUBLIC.”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3" w:right="459" w:bottom="1440" w:gutter="0" w:footer="0" w:header="0"/>
        </w:sectPr>
      </w:pPr>
    </w:p>
    <w:bookmarkStart w:id="344" w:name="page345"/>
    <w:bookmarkEnd w:id="3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8"/>
          <w:szCs w:val="18"/>
          <w:i w:val="1"/>
          <w:iCs w:val="1"/>
          <w:color w:val="auto"/>
        </w:rPr>
        <w:t>Notices</w:t>
      </w:r>
      <w:r>
        <w:rPr>
          <w:rFonts w:ascii="Arial" w:cs="Arial" w:eastAsia="Arial" w:hAnsi="Arial"/>
          <w:sz w:val="18"/>
          <w:szCs w:val="18"/>
          <w:color w:val="auto"/>
        </w:rPr>
        <w:t>. Promptly notify the Administrative Agent when a Responsible Officer of the Borrower has knowledge:</w:t>
      </w:r>
    </w:p>
    <w:p>
      <w:pPr>
        <w:spacing w:after="0" w:line="117" w:lineRule="exact"/>
        <w:rPr>
          <w:sz w:val="20"/>
          <w:szCs w:val="20"/>
          <w:color w:val="auto"/>
        </w:rPr>
      </w:pPr>
    </w:p>
    <w:p>
      <w:pPr>
        <w:ind w:left="1240" w:hanging="244"/>
        <w:spacing w:after="0"/>
        <w:tabs>
          <w:tab w:leader="none" w:pos="12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17" w:lineRule="exact"/>
        <w:rPr>
          <w:rFonts w:ascii="Arial" w:cs="Arial" w:eastAsia="Arial" w:hAnsi="Arial"/>
          <w:sz w:val="18"/>
          <w:szCs w:val="18"/>
          <w:color w:val="auto"/>
        </w:rPr>
      </w:pPr>
    </w:p>
    <w:p>
      <w:pPr>
        <w:ind w:right="200" w:firstLine="996"/>
        <w:spacing w:after="0" w:line="255" w:lineRule="auto"/>
        <w:tabs>
          <w:tab w:leader="none" w:pos="124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of any matter that has resulted or would reasonably be expected to result in a Material Adverse Effect, including (i) breach or non-performance of, or any default under, a Contractual Obligation of the Borrower or any Restricted Subsidiary; (ii) any dispute, litigation, investigation, proceeding or suspension between the Borrower or any Restricted Subsidiary and any Governmental Authority, including in connection with any tax liabilities, assessments, governmental charges or levies upon it or its properties or assets; and (iii) the commencement of, or any material development in, any litigation or proceeding affecting the Borrower or any Restricted Subsidiary, including pursuant to any applicable Environmental Laws;</w:t>
      </w:r>
    </w:p>
    <w:p>
      <w:pPr>
        <w:spacing w:after="0" w:line="193" w:lineRule="exact"/>
        <w:rPr>
          <w:rFonts w:ascii="Arial" w:cs="Arial" w:eastAsia="Arial" w:hAnsi="Arial"/>
          <w:sz w:val="18"/>
          <w:szCs w:val="18"/>
          <w:color w:val="auto"/>
        </w:rPr>
      </w:pPr>
    </w:p>
    <w:p>
      <w:pPr>
        <w:ind w:right="520" w:firstLine="996"/>
        <w:spacing w:after="0" w:line="277" w:lineRule="auto"/>
        <w:tabs>
          <w:tab w:leader="none" w:pos="123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of the occurrence of any ERISA Event that, alone or together with any other ERISA Events that have occurred or are reasonably expected to occur, would reasonably be expected to result in a Material Adverse Effect; or</w:t>
      </w:r>
    </w:p>
    <w:p>
      <w:pPr>
        <w:spacing w:after="0" w:line="170" w:lineRule="exact"/>
        <w:rPr>
          <w:rFonts w:ascii="Arial" w:cs="Arial" w:eastAsia="Arial" w:hAnsi="Arial"/>
          <w:sz w:val="18"/>
          <w:szCs w:val="18"/>
          <w:color w:val="auto"/>
        </w:rPr>
      </w:pPr>
    </w:p>
    <w:p>
      <w:pPr>
        <w:ind w:right="340" w:firstLine="996"/>
        <w:spacing w:after="0" w:line="277" w:lineRule="auto"/>
        <w:tabs>
          <w:tab w:leader="none" w:pos="124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of the incurrence or issuance of any Indebtedness for which the Borrower is required to make a mandatory prepayment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Borrower setting forth details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occurrence referred to therein and stating what action the Borrower has taken and proposes to take with respect thereto. Each notice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if any, that have been breached.</w:t>
      </w:r>
    </w:p>
    <w:p>
      <w:pPr>
        <w:spacing w:after="0" w:line="234"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Preservation of Existence, Etc.</w:t>
      </w:r>
      <w:r>
        <w:rPr>
          <w:rFonts w:ascii="Arial" w:cs="Arial" w:eastAsia="Arial" w:hAnsi="Arial"/>
          <w:sz w:val="17"/>
          <w:szCs w:val="17"/>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(b) maintain all rights, privileges, permits, and licenses reasonably necessary in the normal conduct of its business, except to the extent that failure to do so could not reasonably be expected to have a Material Adverse Effect; (c) preserve, maintain, renew and keep in full force and effect all of its registered patents, trademarks, trade names, trade dress and service marks, the failure of which to so preserve, maintain, renew or keep in full force and effect could reasonably be expected to have a Material Adverse Effect; and (d) pay, discharge or otherwise satisfy as the same shall become due and payable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Restricted Subsidiary.</w:t>
      </w:r>
    </w:p>
    <w:p>
      <w:pPr>
        <w:spacing w:after="0" w:line="182"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(a) Maintain, preserve and protect all of its properties and equipment necessary in the operation of its business in good working order and condition, ordinary wear and tear excepted, and (b) make all necessary repairs thereto and renewals and replacements thereof, in each case with respect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except where the failure to do so could not reasonably be expected to have a Material Adverse Effect.</w:t>
      </w:r>
    </w:p>
    <w:p>
      <w:pPr>
        <w:spacing w:after="0" w:line="187"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Maintenance of Insurance</w:t>
      </w:r>
      <w:r>
        <w:rPr>
          <w:rFonts w:ascii="Arial" w:cs="Arial" w:eastAsia="Arial" w:hAnsi="Arial"/>
          <w:sz w:val="18"/>
          <w:szCs w:val="18"/>
          <w:color w:val="auto"/>
        </w:rPr>
        <w:t>. Maintain with financially sound and reputable insurance companies (that are not Affiliates of the Borrower) insurance with respect to its properties and business against loss or damage of the kinds customarily insured against by Persons engaged in the same or similar business, of such types and in such amounts as are customarily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345" w:name="page346"/>
    <w:bookmarkEnd w:id="34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carried under similar circumstances by such other Persons, and providing for not less than 30 days’ prior notice to the Administrative Agent of termination, lapse or cancellation of such insurance, which insurance (except as to Excluded Subsidiaries and Immaterial Subsidiaries) shall name the Administrative Agent as loss payee (in the case of casualty insurance) or additional insured (in the case of liability insurance);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any insurance proceeds are paid on account of a casualty to assets or properties of any Loan Party whether or not constituting Collateral and at such time no Event of Default shall have occurred and is continuing, then the Administrative Agent shall take such actions, including endorsement, to cause any such insurance proceeds to be promptly remitted to the Borrower to be used by the Borrower or such Loan Party in any manner not prohibited by this Agreement.</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Compliance with Laws</w:t>
      </w:r>
      <w:r>
        <w:rPr>
          <w:rFonts w:ascii="Arial" w:cs="Arial" w:eastAsia="Arial" w:hAnsi="Arial"/>
          <w:sz w:val="16"/>
          <w:szCs w:val="16"/>
          <w:color w:val="auto"/>
        </w:rPr>
        <w:t>.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Maintain in effect and enforce policies and procedures designed to ensure compliance in all material respects by the Borrower and its Restricted Subsidiaries and their respective directors, officers, and employees with Anti-Corruption Laws and applicable Sanctions.</w:t>
      </w:r>
    </w:p>
    <w:p>
      <w:pPr>
        <w:spacing w:after="0" w:line="158"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Books and Records</w:t>
      </w:r>
      <w:r>
        <w:rPr>
          <w:rFonts w:ascii="Arial" w:cs="Arial" w:eastAsia="Arial" w:hAnsi="Arial"/>
          <w:sz w:val="18"/>
          <w:szCs w:val="18"/>
          <w:color w:val="auto"/>
        </w:rPr>
        <w:t>. Maintain proper books of record and account, in which full, true and correct entries in conformity with GAAP consistently applied shall be made of all financial transactions, and if and to the extent required by GAAP, matters involving the assets and business of the Borrower or such Restricted Subsidiary, as the case may be.</w:t>
      </w:r>
    </w:p>
    <w:p>
      <w:pPr>
        <w:spacing w:after="0" w:line="18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Inspection Rights</w:t>
      </w:r>
      <w:r>
        <w:rPr>
          <w:rFonts w:ascii="Arial" w:cs="Arial" w:eastAsia="Arial" w:hAnsi="Arial"/>
          <w:sz w:val="18"/>
          <w:szCs w:val="18"/>
          <w:color w:val="auto"/>
        </w:rPr>
        <w:t xml:space="preserve">. Permit representatives and independent contractors of the Administrative Agent to visit and inspect any of its properties, to examine its corporate, financial and operating records, and to make copies thereof or abstracts therefrom, and to discuss its affairs, finances and accounts with its directors, officers, and independent public accountants, at such reasonable times during normal business hours and as often as may be reasonably desired (but in no event more than one time per Fiscal Year of the Borrower and with the Borrower being required to pay all reasonable out-of-pocket expenses for one visit each Fiscal Year) by the Administrative Agent, upon reasonable advance notice 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that when an Event of Default exists the Administrative Agent (or any of its respective representatives or independent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do any of the foregoing at the expense of the Borrower at any time during normal business hours and without advance notice, and without limitation as to frequency.</w:t>
      </w:r>
    </w:p>
    <w:p>
      <w:pPr>
        <w:spacing w:after="0" w:line="192"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Use the proceeds of (a) the initial Term B Loans to finance the Refinancing and to pay the fees, costs and expenses incurred in connection with the Transactions, (b) the Revolving Credit Loans to pay for the fees, costs and expenses related to the Transactions, to pay accrued but unpaid interest under the Bridge Facility Agreement, to repay amounts outstanding under the Bridge Facility Agreement, and for working capital and general corporate purposes of the Borrower, including without limitation for financing of acquisitions and Investments (in each case, to the extent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borrowed on the Closing Date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$100,000,000 and</w:t>
      </w:r>
    </w:p>
    <w:p>
      <w:pPr>
        <w:spacing w:after="0" w:line="2" w:lineRule="exact"/>
        <w:rPr>
          <w:sz w:val="20"/>
          <w:szCs w:val="20"/>
          <w:color w:val="auto"/>
        </w:rPr>
      </w:pPr>
    </w:p>
    <w:p>
      <w:pPr>
        <w:ind w:right="120" w:firstLine="4"/>
        <w:spacing w:after="0" w:line="261" w:lineRule="auto"/>
        <w:tabs>
          <w:tab w:leader="none" w:pos="24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other Credit Extensions for working capital, acquisitions, Investments and for other general corporate purposes not in contravention of any Law or of any Loan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20"/>
          </w:cols>
          <w:pgMar w:left="440" w:top="274" w:right="439" w:bottom="1440" w:gutter="0" w:footer="0" w:header="0"/>
        </w:sectPr>
      </w:pPr>
    </w:p>
    <w:bookmarkStart w:id="346" w:name="page347"/>
    <w:bookmarkEnd w:id="346"/>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8"/>
          <w:szCs w:val="18"/>
          <w:i w:val="1"/>
          <w:iCs w:val="1"/>
          <w:color w:val="auto"/>
        </w:rPr>
        <w:t>Covenant to Guarantee Obligations and Give Security</w:t>
      </w:r>
      <w:r>
        <w:rPr>
          <w:rFonts w:ascii="Arial" w:cs="Arial" w:eastAsia="Arial" w:hAnsi="Arial"/>
          <w:sz w:val="18"/>
          <w:szCs w:val="18"/>
          <w:color w:val="auto"/>
        </w:rPr>
        <w:t>.</w:t>
      </w:r>
    </w:p>
    <w:p>
      <w:pPr>
        <w:spacing w:after="0" w:line="225" w:lineRule="exact"/>
        <w:rPr>
          <w:sz w:val="20"/>
          <w:szCs w:val="20"/>
          <w:color w:val="auto"/>
        </w:rPr>
      </w:pPr>
    </w:p>
    <w:p>
      <w:pPr>
        <w:ind w:left="-40" w:right="80" w:firstLine="996"/>
        <w:spacing w:after="0" w:line="264" w:lineRule="auto"/>
        <w:tabs>
          <w:tab w:leader="none" w:pos="119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Upon the formation or acquisition by any Loan Party of any new direct or indirect Subsidiary (other than any Excluded Subsidiary or any Immaterial Subsidiary), or upon a Subsidiary of any Loan Party ceasing to be an Excluded Subsidiary or ceasing to be an Immaterial Subsidiary, as applicable, the Borrower shall, at the Borrower’s expense:</w:t>
      </w:r>
    </w:p>
    <w:p>
      <w:pPr>
        <w:spacing w:after="0" w:line="73" w:lineRule="exact"/>
        <w:rPr>
          <w:rFonts w:ascii="Arial" w:cs="Arial" w:eastAsia="Arial" w:hAnsi="Arial"/>
          <w:sz w:val="18"/>
          <w:szCs w:val="18"/>
          <w:color w:val="auto"/>
        </w:rPr>
      </w:pPr>
    </w:p>
    <w:p>
      <w:pPr>
        <w:ind w:left="960" w:right="60" w:firstLine="397"/>
        <w:spacing w:after="0" w:line="270" w:lineRule="auto"/>
        <w:tabs>
          <w:tab w:leader="none" w:pos="1576" w:val="left"/>
        </w:tabs>
        <w:numPr>
          <w:ilvl w:val="1"/>
          <w:numId w:val="394"/>
        </w:numPr>
        <w:rPr>
          <w:rFonts w:ascii="Arial" w:cs="Arial" w:eastAsia="Arial" w:hAnsi="Arial"/>
          <w:sz w:val="17"/>
          <w:szCs w:val="17"/>
          <w:color w:val="auto"/>
        </w:rPr>
      </w:pPr>
      <w:r>
        <w:rPr>
          <w:rFonts w:ascii="Arial" w:cs="Arial" w:eastAsia="Arial" w:hAnsi="Arial"/>
          <w:sz w:val="17"/>
          <w:szCs w:val="17"/>
          <w:color w:val="auto"/>
        </w:rPr>
        <w:t xml:space="preserve">Within 30 days (as such time may be extended by the Administrative Agent in its reasonable discretion) following the creation or acquisition of such Subsidiary or following such Subsidiary ceasing to be an Excluded Subsidiary or ceasing to be an Immaterial Subsidiary, as applicable, cause such Subsidiary to (a) become a Guarantor and provide the Administrative Agent, for the benefit of the Secured Parties, a Lien on its assets (other than Excluded Assets) to secure the Obligations by executing and delivering to the Administrative Agent a joinder to the Collateral Agreement or such other document as the Administrative Agent shall deem appropriate for such purpose and (b) deliver to the Administrative Agent such other customary documentation reasonably requested by the Administrative Agent including, without limitation, favorable opinions of counsel to such Person (which shall cover, among other things, the legality, validity, binding effect and enforceability of the documentation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all in form, content and scope reasonably satisfactory to the Administrative Agent;</w:t>
      </w:r>
    </w:p>
    <w:p>
      <w:pPr>
        <w:spacing w:after="0" w:line="73" w:lineRule="exact"/>
        <w:rPr>
          <w:rFonts w:ascii="Arial" w:cs="Arial" w:eastAsia="Arial" w:hAnsi="Arial"/>
          <w:sz w:val="17"/>
          <w:szCs w:val="17"/>
          <w:color w:val="auto"/>
        </w:rPr>
      </w:pPr>
    </w:p>
    <w:p>
      <w:pPr>
        <w:ind w:left="960" w:firstLine="397"/>
        <w:spacing w:after="0" w:line="276" w:lineRule="auto"/>
        <w:tabs>
          <w:tab w:leader="none" w:pos="1626" w:val="left"/>
        </w:tabs>
        <w:numPr>
          <w:ilvl w:val="1"/>
          <w:numId w:val="394"/>
        </w:numPr>
        <w:rPr>
          <w:rFonts w:ascii="Arial" w:cs="Arial" w:eastAsia="Arial" w:hAnsi="Arial"/>
          <w:sz w:val="17"/>
          <w:szCs w:val="17"/>
          <w:color w:val="auto"/>
        </w:rPr>
      </w:pPr>
      <w:r>
        <w:rPr>
          <w:rFonts w:ascii="Arial" w:cs="Arial" w:eastAsia="Arial" w:hAnsi="Arial"/>
          <w:sz w:val="17"/>
          <w:szCs w:val="17"/>
          <w:color w:val="auto"/>
        </w:rPr>
        <w:t>within 30 days after such formation or acquisition or after such Subsidiary ceases to be an Excluded Subsidiary or ceases to be an Immaterial Subsidiary, as applicable, cause each direct and indirect parent (to the extent such parent is a Loan Party) of such Subsidiary to pledge its interests in such Subsidiary to the Administrative Agent, for the benefit of the Secured Parties, to secure such parent’s Obligations (if it has not already done so) and deliver to the Administrative Agent all certificated Equity Interests of such Subsidiary (if any) together with transfer powers in respect thereof endorsed in blank, and cause such Subsidiary:</w:t>
      </w:r>
    </w:p>
    <w:p>
      <w:pPr>
        <w:spacing w:after="0" w:line="64" w:lineRule="exact"/>
        <w:rPr>
          <w:rFonts w:ascii="Arial" w:cs="Arial" w:eastAsia="Arial" w:hAnsi="Arial"/>
          <w:sz w:val="17"/>
          <w:szCs w:val="17"/>
          <w:color w:val="auto"/>
        </w:rPr>
      </w:pPr>
    </w:p>
    <w:p>
      <w:pPr>
        <w:ind w:left="1400" w:firstLine="380"/>
        <w:spacing w:after="0" w:line="259" w:lineRule="auto"/>
        <w:tabs>
          <w:tab w:leader="none" w:pos="2078" w:val="left"/>
        </w:tabs>
        <w:numPr>
          <w:ilvl w:val="2"/>
          <w:numId w:val="394"/>
        </w:numPr>
        <w:rPr>
          <w:rFonts w:ascii="Arial" w:cs="Arial" w:eastAsia="Arial" w:hAnsi="Arial"/>
          <w:sz w:val="18"/>
          <w:szCs w:val="18"/>
          <w:color w:val="auto"/>
        </w:rPr>
      </w:pPr>
      <w:r>
        <w:rPr>
          <w:rFonts w:ascii="Arial" w:cs="Arial" w:eastAsia="Arial" w:hAnsi="Arial"/>
          <w:sz w:val="18"/>
          <w:szCs w:val="18"/>
          <w:color w:val="auto"/>
        </w:rPr>
        <w:t>to duly execute and deliver to the Administrative Agent, for the benefit of the Secured Parties, any additional collateral and security agreements or supplements thereto, as reasonably specified by and in form and substance reasonably satisfactory to the Administrative Agent to secure payment of all the Obligations of such Subsidiary and constituting Liens on the personal property (other than Excluded Assets) of such Subsidiary; and</w:t>
      </w:r>
    </w:p>
    <w:p>
      <w:pPr>
        <w:spacing w:after="0" w:line="78" w:lineRule="exact"/>
        <w:rPr>
          <w:rFonts w:ascii="Arial" w:cs="Arial" w:eastAsia="Arial" w:hAnsi="Arial"/>
          <w:sz w:val="18"/>
          <w:szCs w:val="18"/>
          <w:color w:val="auto"/>
        </w:rPr>
      </w:pPr>
    </w:p>
    <w:p>
      <w:pPr>
        <w:ind w:left="1400" w:right="40" w:firstLine="380"/>
        <w:spacing w:after="0" w:line="302" w:lineRule="auto"/>
        <w:tabs>
          <w:tab w:leader="none" w:pos="2068" w:val="left"/>
        </w:tabs>
        <w:numPr>
          <w:ilvl w:val="2"/>
          <w:numId w:val="394"/>
        </w:numPr>
        <w:rPr>
          <w:rFonts w:ascii="Arial" w:cs="Arial" w:eastAsia="Arial" w:hAnsi="Arial"/>
          <w:sz w:val="16"/>
          <w:szCs w:val="16"/>
          <w:color w:val="auto"/>
        </w:rPr>
      </w:pPr>
      <w:r>
        <w:rPr>
          <w:rFonts w:ascii="Arial" w:cs="Arial" w:eastAsia="Arial" w:hAnsi="Arial"/>
          <w:sz w:val="16"/>
          <w:szCs w:val="16"/>
          <w:color w:val="auto"/>
        </w:rPr>
        <w:t xml:space="preserve">to take whatever action (including the filing of Uniform Commercial Code financing statements) may be necessary or advisable in the reasonable opinion of the Administrative Agent to vest in the Administrative Agent (or in any representative of the Administrative Agent designated by it) valid and subsisting first priority perfected Liens on properties purported to be subject to the Collateral Agreement and other agreements delivered pursuant to this </w:t>
      </w:r>
      <w:r>
        <w:rPr>
          <w:rFonts w:ascii="Arial" w:cs="Arial" w:eastAsia="Arial" w:hAnsi="Arial"/>
          <w:sz w:val="16"/>
          <w:szCs w:val="16"/>
          <w:u w:val="single" w:color="auto"/>
          <w:color w:val="auto"/>
        </w:rPr>
        <w:t>Section 6.11</w:t>
      </w:r>
      <w:r>
        <w:rPr>
          <w:rFonts w:ascii="Arial" w:cs="Arial" w:eastAsia="Arial" w:hAnsi="Arial"/>
          <w:sz w:val="16"/>
          <w:szCs w:val="16"/>
          <w:color w:val="auto"/>
        </w:rPr>
        <w:t>, subject to Permitted Prior Liens; and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40"/>
          </w:cols>
          <w:pgMar w:left="480" w:top="274" w:right="479" w:bottom="1440" w:gutter="0" w:footer="0" w:header="0"/>
        </w:sectPr>
      </w:pPr>
    </w:p>
    <w:bookmarkStart w:id="347" w:name="page348"/>
    <w:bookmarkEnd w:id="347"/>
    <w:p>
      <w:pPr>
        <w:ind w:left="1000" w:right="120" w:firstLine="397"/>
        <w:spacing w:after="0" w:line="257" w:lineRule="auto"/>
        <w:tabs>
          <w:tab w:leader="none" w:pos="1716" w:val="left"/>
        </w:tabs>
        <w:numPr>
          <w:ilvl w:val="1"/>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30 days after such formation or acquisition or after such Subsidiary ceases to be an Excluded Subsidiary or ceases to be an Immaterial Subsidiary, as applicable, deliver to the Administrative Agent, upon the request of the Administrative Agent, a signed copy of a favorable opinion, addressed to the Administrative Agent and the other Secured Parties, of counsel for the Loan Parties reasonably acceptable to the Administrative Agent as to the matters contained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and as to such other matters as the Administrative Agent may reasonably request.</w:t>
      </w:r>
    </w:p>
    <w:p>
      <w:pPr>
        <w:spacing w:after="0" w:line="188" w:lineRule="exact"/>
        <w:rPr>
          <w:rFonts w:ascii="Arial" w:cs="Arial" w:eastAsia="Arial" w:hAnsi="Arial"/>
          <w:sz w:val="18"/>
          <w:szCs w:val="18"/>
          <w:color w:val="auto"/>
        </w:rPr>
      </w:pPr>
    </w:p>
    <w:p>
      <w:pPr>
        <w:ind w:right="440" w:firstLine="996"/>
        <w:spacing w:after="0" w:line="277" w:lineRule="auto"/>
        <w:tabs>
          <w:tab w:leader="none" w:pos="124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Notwithstanding any of the foregoing to the contrary or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below, the Collateral shall exclude Excluded Assets and real property and shall be subject to the limitations and exclusions set forth in the applicable Collateral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Compliance with Environmental Laws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Comply, and cause all lessees and other Persons operating or occupying its owned properties to comply with all applicable Environmental Laws and Environmental Permits, except where the failure to so comply would not reasonably be likely to have a Material Adverse Effect; and, if ordered by a final decree to do so by a Governmental Authority or otherwise required in the reasonable opinion of the Borrower pursuant to any Environmental Law, conduct any investigation, study, sampling and testing, and undertake any cleanup, removal, remedial or other action reasonably necessary to address to be in material compliance with such final decree or the material requirements of Environmental Laws;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Borrower nor any of its Restricted Subsidiaries shall be required to undertake any such ordered or required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Environmental Disclosure</w:t>
      </w:r>
      <w:r>
        <w:rPr>
          <w:rFonts w:ascii="Arial" w:cs="Arial" w:eastAsia="Arial" w:hAnsi="Arial"/>
          <w:sz w:val="18"/>
          <w:szCs w:val="18"/>
          <w:color w:val="auto"/>
        </w:rPr>
        <w:t>. The Borrower will deliver to the Administrative Agent:</w:t>
      </w:r>
    </w:p>
    <w:p>
      <w:pPr>
        <w:spacing w:after="0" w:line="117" w:lineRule="exact"/>
        <w:rPr>
          <w:sz w:val="20"/>
          <w:szCs w:val="20"/>
          <w:color w:val="auto"/>
        </w:rPr>
      </w:pPr>
    </w:p>
    <w:p>
      <w:pPr>
        <w:ind w:left="440" w:right="280" w:firstLine="428"/>
        <w:spacing w:after="0" w:line="302" w:lineRule="auto"/>
        <w:tabs>
          <w:tab w:leader="none" w:pos="1108"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as soon as practicable following receipt thereof, copies of all environmental audits, investigations, analyses and reports of any kind or character, whether prepared by personnel of the Borrower or any of its Restricted Subsidiaries or by independent consultants, Governmental Authorities or any other Persons, with respect to significant environmental matters at the Borrower’s or any other Loan Party’s real property or with respect to any Environmental Claims, in each case, that would reasonably be expected to have a Material Adverse Effect;</w:t>
      </w:r>
    </w:p>
    <w:p>
      <w:pPr>
        <w:spacing w:after="0" w:line="46" w:lineRule="exact"/>
        <w:rPr>
          <w:rFonts w:ascii="Arial" w:cs="Arial" w:eastAsia="Arial" w:hAnsi="Arial"/>
          <w:sz w:val="16"/>
          <w:szCs w:val="16"/>
          <w:color w:val="auto"/>
        </w:rPr>
      </w:pPr>
    </w:p>
    <w:p>
      <w:pPr>
        <w:ind w:left="440" w:right="40" w:firstLine="428"/>
        <w:spacing w:after="0" w:line="259" w:lineRule="auto"/>
        <w:tabs>
          <w:tab w:leader="none" w:pos="111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promptly upon the occurrence thereof, written notice describing in reasonable detail (A) any Release required to be reported by the Borrower or any of its Restricted Subsidiaries to any federal, state or local governmental or regulatory agency under any Environmental Laws that would reasonably be expected to have a Material Adverse Effect, (B) any remedial action taken by the Borrower or any of its Restricted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440" w:top="273" w:right="439" w:bottom="1440" w:gutter="0" w:footer="0" w:header="0"/>
        </w:sectPr>
      </w:pPr>
    </w:p>
    <w:bookmarkStart w:id="348" w:name="page349"/>
    <w:bookmarkEnd w:id="348"/>
    <w:p>
      <w:pPr>
        <w:ind w:left="44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other Persons of which the Borrower or any of its Restricted Subsidiaries has knowledge in response to (1) any Hazardous Materials Activities, the existence of which has a reasonable possibility of resulting in one or more Environmental Claims that would reasonably be expected to have, individually or in the aggregate, a Material Adverse Effect or (2) any Environmental Claims that, individually or in the aggregate, would reasonably be expected to result in a Material Adverse Effect and (C) the Borrower’s discovery of any occurrence or condition arising under Environmental Law or relating to Hazardous Materials on any real property adjoining or in the vicinity of any facility that reasonably would be expected to have a Material Adverse Effect;</w:t>
      </w:r>
    </w:p>
    <w:p>
      <w:pPr>
        <w:spacing w:after="0" w:line="85" w:lineRule="exact"/>
        <w:rPr>
          <w:sz w:val="20"/>
          <w:szCs w:val="20"/>
          <w:color w:val="auto"/>
        </w:rPr>
      </w:pPr>
    </w:p>
    <w:p>
      <w:pPr>
        <w:ind w:left="440" w:right="20" w:firstLine="428"/>
        <w:spacing w:after="0" w:line="272" w:lineRule="auto"/>
        <w:tabs>
          <w:tab w:leader="none" w:pos="110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as soon as practicable following the sending or receipt thereof by the Borrower or any of its Restricted Subsidiaries, a copy of any and all non-privileged written communications with respect to (A) any Environmental Claims that, individually or in the aggregate, would reasonably be expected to give rise to a Material Adverse Effect, (B) any Release required to be reported by the Borrower or any of its Restricted Subsidiaries to any federal, state or local governmental or regulatory agency that would reasonably be expected to have a Material Adverse Effect, and (C)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which would reasonably be expected to have a Material Adverse Effect;</w:t>
      </w:r>
    </w:p>
    <w:p>
      <w:pPr>
        <w:spacing w:after="0" w:line="69" w:lineRule="exact"/>
        <w:rPr>
          <w:rFonts w:ascii="Arial" w:cs="Arial" w:eastAsia="Arial" w:hAnsi="Arial"/>
          <w:sz w:val="17"/>
          <w:szCs w:val="17"/>
          <w:color w:val="auto"/>
        </w:rPr>
      </w:pPr>
    </w:p>
    <w:p>
      <w:pPr>
        <w:ind w:left="440" w:right="20" w:firstLine="428"/>
        <w:spacing w:after="0" w:line="255" w:lineRule="auto"/>
        <w:tabs>
          <w:tab w:leader="none" w:pos="111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prompt written notice describing in reasonable detail (A) any proposed acquisition of stock, assets, or property by the Borrower or any of its Restricted Subsidiaries that would reasonably be expected to expose the Borrower or any of its Restricted Subsidiaries to, or result in, Environmental Claims that would reasonably be expected to have, individually or in the aggregate, a Material Adverse Effect and (B) any proposed action to be taken by the Borrower or any of its Restricted Subsidiaries to modify current operations in a manner that could subject the Borrower or any of its Restricted Subsidiaries to any additional obligations or requirements under any Environmental Law that would reasonably be expected to have a Material Adverse Effect; and</w:t>
      </w:r>
    </w:p>
    <w:p>
      <w:pPr>
        <w:spacing w:after="0" w:line="85" w:lineRule="exact"/>
        <w:rPr>
          <w:rFonts w:ascii="Arial" w:cs="Arial" w:eastAsia="Arial" w:hAnsi="Arial"/>
          <w:sz w:val="18"/>
          <w:szCs w:val="18"/>
          <w:color w:val="auto"/>
        </w:rPr>
      </w:pPr>
    </w:p>
    <w:p>
      <w:pPr>
        <w:ind w:left="440" w:right="920" w:firstLine="428"/>
        <w:spacing w:after="0" w:line="277" w:lineRule="auto"/>
        <w:tabs>
          <w:tab w:leader="none" w:pos="110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with reasonable promptness, such other documents and information as from time to time may be reasonably requested by the Administrative Agent in relation to any matters disclosed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70"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i w:val="1"/>
          <w:iCs w:val="1"/>
          <w:color w:val="auto"/>
        </w:rPr>
        <w:t>Lender Calls</w:t>
      </w:r>
      <w:r>
        <w:rPr>
          <w:rFonts w:ascii="Arial" w:cs="Arial" w:eastAsia="Arial" w:hAnsi="Arial"/>
          <w:sz w:val="17"/>
          <w:szCs w:val="17"/>
          <w:color w:val="auto"/>
        </w:rPr>
        <w:t>. If requested in writing by the Administrative Agent, participate in an annual meeting of the Administrative Agent and the Lenders to be held at the Borrower’s corporate offices (or at such other location as may be agreed to by the Borrower and the Administrative Agent, including by telephonic conference calls) at such time as may be agreed to by the Borrower and the Administrative Agent.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Further Assurances</w:t>
      </w:r>
      <w:r>
        <w:rPr>
          <w:rFonts w:ascii="Arial" w:cs="Arial" w:eastAsia="Arial" w:hAnsi="Arial"/>
          <w:sz w:val="16"/>
          <w:szCs w:val="16"/>
          <w:color w:val="auto"/>
        </w:rPr>
        <w:t>. Promptly upon request by the Administrative Agent or the Required Lenders through the Administrative Agent,</w:t>
      </w:r>
    </w:p>
    <w:p>
      <w:pPr>
        <w:spacing w:after="0" w:line="46" w:lineRule="exact"/>
        <w:rPr>
          <w:sz w:val="20"/>
          <w:szCs w:val="20"/>
          <w:color w:val="auto"/>
        </w:rPr>
      </w:pPr>
    </w:p>
    <w:p>
      <w:pPr>
        <w:ind w:firstLine="4"/>
        <w:spacing w:after="0" w:line="261" w:lineRule="auto"/>
        <w:tabs>
          <w:tab w:leader="none" w:pos="24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correct any material defect or error that may be discovered in any Loan Document or in the execution, acknowledgment, filing or recordation thereof, and (b) do, execute, acknowledge, deliver, record, re-record, file, re-file,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440" w:top="274" w:right="439" w:bottom="1440" w:gutter="0" w:footer="0" w:header="0"/>
        </w:sectPr>
      </w:pPr>
    </w:p>
    <w:bookmarkStart w:id="349" w:name="page350"/>
    <w:bookmarkEnd w:id="34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properties, assets, rights or interests to the Liens now or hereafter intended to be covered by any of the Collateral Documents or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the Loan Parties shall not be required to take actions to create or perfect the security interest of the Administrative Agent (x) on any property that is covered by a certificate of title statute of any jurisdiction under the law of which the indication of a security interest on such certificate is required as a condition of perfection thereof, or (y) if recordation of a security interest with the Federal Aviation Administration or the International Registry of Mobile Assets is required as a condition of perfection thereof.</w:t>
      </w:r>
    </w:p>
    <w:p>
      <w:pPr>
        <w:spacing w:after="0" w:line="18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Ratings</w:t>
      </w:r>
      <w:r>
        <w:rPr>
          <w:rFonts w:ascii="Arial" w:cs="Arial" w:eastAsia="Arial" w:hAnsi="Arial"/>
          <w:sz w:val="18"/>
          <w:szCs w:val="18"/>
          <w:color w:val="auto"/>
        </w:rPr>
        <w:t>. At all times use commercially reasonable efforts to maintain public ratings by Moody’s and S&amp;P with respect to the Borrower and the Facilities.</w:t>
      </w:r>
    </w:p>
    <w:p>
      <w:pPr>
        <w:spacing w:after="0" w:line="170"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i w:val="1"/>
          <w:iCs w:val="1"/>
          <w:color w:val="auto"/>
        </w:rPr>
        <w:t>Designation of Restricted and Unrestricted Subsidiaries</w:t>
      </w:r>
      <w:r>
        <w:rPr>
          <w:rFonts w:ascii="Arial" w:cs="Arial" w:eastAsia="Arial" w:hAnsi="Arial"/>
          <w:sz w:val="17"/>
          <w:szCs w:val="17"/>
          <w:color w:val="auto"/>
        </w:rPr>
        <w:t xml:space="preserve">. The Borrower may designate any Restricted Subsidiary to be an Unrestricted Subsidiary in accordance with the definition of “Unrestricted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immediately before and after giving effect to such designation, no Event of Default shall have occurred and be continuing, (ii) the Borrower shall be in pro forma compliance with the financial covenant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and (iii) no Subsidiary may be designated as an Unrestricted Subsidiary if it is a “Restricted Subsidiary” as defined in or in respect of any Indebtedness in excess of the Threshold Amount. All outstanding Investments owned by the Borrower and its Restricted Subsidiaries in the designated Unrestricted Subsidiary will be treated as an Investment by the Borrower or such Restricted Subsidiary, as applicable, made at the time of the designation. The amount of all such outstanding Investments will be the aggregate fair market value of such Investments at the time of the designation. The designation will not be permitted if such Investment would not be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at that time and if such Restricted Subsidiary does not otherwise meet the definition of an Unrestricted Subsidiary. Any designation of a Subsidiary of the Borrower as an Unrestricted Subsidiary shall be evidenced to the Administrative Agent by delivering to the Administrative Agent a certified copy of the board resolution of the Borrower giving effect to such designation and a certificate signed by a Responsible Officer of the Borrower certifying that such designation complied with the foregoing conditions and the conditions set forth in the definition of “Unrestricted Subsidiary” and was permitted by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 no Subsidiary may be designated as an Unrestricted Subsidiary if such designated Unrestricted Subsidiary will own any IP Rights and the failure of the Borrower or any of its Restricted Subsidiaries to own such IP Rights could reasonably be expected to have a Material Adverse Effect and (ii) neither the Borrower nor any of its Restricted Subsidiaries shall be permitted to contribute any IP Rights to an Unrestricted Subsidiary if (x) the failure by the Borrower or any of its Restricted Subsidiaries to own such IP Rights could reasonably be expected to have a Material Adverse Effect or (y) after giving effect to such contribution the Borrower would not be in pro forma compliance with the covenant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60"/>
          </w:cols>
          <w:pgMar w:left="440" w:top="274" w:right="499" w:bottom="1440" w:gutter="0" w:footer="0" w:header="0"/>
        </w:sectPr>
      </w:pPr>
    </w:p>
    <w:bookmarkStart w:id="350" w:name="page351"/>
    <w:bookmarkEnd w:id="350"/>
    <w:p>
      <w:pPr>
        <w:ind w:right="6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at any time, any Unrestricted Subsidiary would fail to meet any of the requirements of an Unrestricted Subsidiary, it shall thereafter cease to be an Unrestricted Subsidiary for purposes of this Agreement and (1) any Indebtedness of such Subsidiary, (2) any Liens of such Subsidiary and (3) any Investments of such Subsidiary, in each case shall be deemed to be incurred by a Restricted Subsidiary of the Borrower as of such date and, if such Indebtedness, Liens or Investments are not permitted to be incurred as of such date under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as applicable, the Borrower shall be in default of such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as applicable.</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Borrower may at any time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shall be deemed to be an incurrence, on the date of designation, of Indebtedness, Liens and Investments by a Restricted Subsidiary of the Borrower of any outstanding Indebtedness, Liens and Investments of such Unrestricted Subsidiary and such designation shall only be permitted if (1) such Indebtedness is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such Liens are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such Investments are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and (2) no Event of Default shall have occurred and be continuing.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From and after the Closing Date, so long as any Lender shall have any Commitment hereunder, any Loan or other Obligation (other than contingent indemnification obligations as to which no claim has been asserted and obligations and liabilities under Secured Cash Management Agreements and Secured Hedge Agreements) hereunder shall remain unpaid or unsatisfied, or any Letter of Credit (other than Letters of Credit which have been Cash Collateralized or as to which other arrangements satisfactory to the L/C Issuer have been made) shall remain outstanding, the Borrower shall not, nor shall it permit any Restricted Subsidiary to, directly or indirectly:</w:t>
      </w:r>
    </w:p>
    <w:p>
      <w:pPr>
        <w:spacing w:after="0" w:line="8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1240" w:hanging="244"/>
        <w:spacing w:after="0"/>
        <w:tabs>
          <w:tab w:leader="none" w:pos="12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Liens pursuant to any Loan Document securing the Obligations;</w:t>
      </w:r>
    </w:p>
    <w:p>
      <w:pPr>
        <w:spacing w:after="0" w:line="225" w:lineRule="exact"/>
        <w:rPr>
          <w:rFonts w:ascii="Arial" w:cs="Arial" w:eastAsia="Arial" w:hAnsi="Arial"/>
          <w:sz w:val="18"/>
          <w:szCs w:val="18"/>
          <w:color w:val="auto"/>
        </w:rPr>
      </w:pPr>
    </w:p>
    <w:p>
      <w:pPr>
        <w:ind w:right="220" w:firstLine="996"/>
        <w:spacing w:after="0" w:line="279" w:lineRule="auto"/>
        <w:tabs>
          <w:tab w:leader="none" w:pos="124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7.01</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the Lien does not extend to any additional property other than (A) after-acquired property that is affixed or incorporated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property covered by such Lien and (B) proceeds and products thereof, and (ii) the modification, replacement, renewal or extension of the obligations secured or benefited thereby, to the extent constituting Indebtedness, is permitted by </w:t>
      </w:r>
      <w:r>
        <w:rPr>
          <w:rFonts w:ascii="Arial" w:cs="Arial" w:eastAsia="Arial" w:hAnsi="Arial"/>
          <w:sz w:val="17"/>
          <w:szCs w:val="17"/>
          <w:u w:val="single" w:color="auto"/>
          <w:color w:val="auto"/>
        </w:rPr>
        <w:t>Section 7.03(b)</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351" w:name="page352"/>
    <w:bookmarkEnd w:id="351"/>
    <w:p>
      <w:pPr>
        <w:ind w:left="-20" w:right="380" w:firstLine="996"/>
        <w:spacing w:after="0" w:line="312" w:lineRule="auto"/>
        <w:tabs>
          <w:tab w:leader="none" w:pos="1217" w:val="left"/>
        </w:tabs>
        <w:numPr>
          <w:ilvl w:val="0"/>
          <w:numId w:val="4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for taxes (i) which are (x) not then more than 30 days overdue or (y) being contested in good faith and by appropriate proceedings diligently conducted, if adequate reserves with respect thereto are maintained on the books of the applicable Person in accordance with GAAP or (ii) with respect to which the failure to make payment would not reasonably be expected to have a Material Adverse Effect;</w:t>
      </w:r>
    </w:p>
    <w:p>
      <w:pPr>
        <w:spacing w:after="0" w:line="146" w:lineRule="exact"/>
        <w:rPr>
          <w:rFonts w:ascii="Arial" w:cs="Arial" w:eastAsia="Arial" w:hAnsi="Arial"/>
          <w:sz w:val="16"/>
          <w:szCs w:val="16"/>
          <w:color w:val="auto"/>
        </w:rPr>
      </w:pPr>
    </w:p>
    <w:p>
      <w:pPr>
        <w:ind w:left="-20" w:right="100" w:firstLine="996"/>
        <w:spacing w:after="0" w:line="276" w:lineRule="auto"/>
        <w:tabs>
          <w:tab w:leader="none" w:pos="122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carriers’, warehousemen’s, landlords’, mechanics’, materialmen’s, repairmen’s or other like Liens granted or arising in the ordinary course of business (i) which secure amounts not overdue for a period of more than 60 days or if more than 60 days overdue, are unfiled and either no other action has been taken to enforce such Lien or such Liens are being contested in good faith and by appropriate proceedings diligently conducted, if adequate reserves with respect thereto are maintained on the books of the applicable Person in accordance with GAAP or (ii) with respect to which the failure to make payment could not reasonably be expected to have a Material Adverse Effect;</w:t>
      </w:r>
    </w:p>
    <w:p>
      <w:pPr>
        <w:spacing w:after="0" w:line="172" w:lineRule="exact"/>
        <w:rPr>
          <w:rFonts w:ascii="Arial" w:cs="Arial" w:eastAsia="Arial" w:hAnsi="Arial"/>
          <w:sz w:val="17"/>
          <w:szCs w:val="17"/>
          <w:color w:val="auto"/>
        </w:rPr>
      </w:pPr>
    </w:p>
    <w:p>
      <w:pPr>
        <w:ind w:left="-20" w:right="200" w:firstLine="996"/>
        <w:spacing w:after="0" w:line="277" w:lineRule="auto"/>
        <w:tabs>
          <w:tab w:leader="none" w:pos="121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ind w:left="-20" w:right="20" w:firstLine="996"/>
        <w:spacing w:after="0" w:line="342" w:lineRule="auto"/>
        <w:tabs>
          <w:tab w:leader="none" w:pos="1197" w:val="left"/>
        </w:tabs>
        <w:numPr>
          <w:ilvl w:val="0"/>
          <w:numId w:val="401"/>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and leases (other than Indebtedness for borrowed money), statutory obligations, surety, stay, customs and appeal bonds, performance bonds and other obligations of a like nature incurred in the ordinary course of business;</w:t>
      </w:r>
    </w:p>
    <w:p>
      <w:pPr>
        <w:spacing w:after="0" w:line="123" w:lineRule="exact"/>
        <w:rPr>
          <w:rFonts w:ascii="Arial" w:cs="Arial" w:eastAsia="Arial" w:hAnsi="Arial"/>
          <w:sz w:val="16"/>
          <w:szCs w:val="16"/>
          <w:color w:val="auto"/>
        </w:rPr>
      </w:pPr>
    </w:p>
    <w:p>
      <w:pPr>
        <w:jc w:val="both"/>
        <w:ind w:left="-20" w:right="100" w:firstLine="996"/>
        <w:spacing w:after="0" w:line="279" w:lineRule="auto"/>
        <w:tabs>
          <w:tab w:leader="none" w:pos="1227" w:val="left"/>
        </w:tabs>
        <w:numPr>
          <w:ilvl w:val="0"/>
          <w:numId w:val="401"/>
        </w:numPr>
        <w:rPr>
          <w:rFonts w:ascii="Arial" w:cs="Arial" w:eastAsia="Arial" w:hAnsi="Arial"/>
          <w:sz w:val="17"/>
          <w:szCs w:val="17"/>
          <w:color w:val="auto"/>
        </w:rPr>
      </w:pPr>
      <w:r>
        <w:rPr>
          <w:rFonts w:ascii="Arial" w:cs="Arial" w:eastAsia="Arial" w:hAnsi="Arial"/>
          <w:sz w:val="17"/>
          <w:szCs w:val="17"/>
          <w:color w:val="auto"/>
        </w:rPr>
        <w:t>easements, rights-of-way, restrictions (including zoning restrictions), encroachments, protrusions and other similar encumbrances and minor title defects affecting real property which, in the aggregate, do not materially interfere with the ordinary conduct of the business of the applicable Person; and Liens securing obligations (other than obligations representing Indebtedness for borrowed money) under operating, reciprocal easement or similar agreements entered into in the ordinary course of business of the Borrower and its Subsidiaries;</w:t>
      </w:r>
    </w:p>
    <w:p>
      <w:pPr>
        <w:spacing w:after="0" w:line="171" w:lineRule="exact"/>
        <w:rPr>
          <w:rFonts w:ascii="Arial" w:cs="Arial" w:eastAsia="Arial" w:hAnsi="Arial"/>
          <w:sz w:val="17"/>
          <w:szCs w:val="17"/>
          <w:color w:val="auto"/>
        </w:rPr>
      </w:pPr>
    </w:p>
    <w:p>
      <w:pPr>
        <w:ind w:left="-20" w:right="80" w:firstLine="996"/>
        <w:spacing w:after="0" w:line="277" w:lineRule="auto"/>
        <w:tabs>
          <w:tab w:leader="none" w:pos="122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Liens securing judgments, awards and decrees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or securing appeal or other surety bonds related to such judgments;</w:t>
      </w:r>
    </w:p>
    <w:p>
      <w:pPr>
        <w:spacing w:after="0" w:line="170" w:lineRule="exact"/>
        <w:rPr>
          <w:rFonts w:ascii="Arial" w:cs="Arial" w:eastAsia="Arial" w:hAnsi="Arial"/>
          <w:sz w:val="18"/>
          <w:szCs w:val="18"/>
          <w:color w:val="auto"/>
        </w:rPr>
      </w:pPr>
    </w:p>
    <w:p>
      <w:pPr>
        <w:ind w:left="-20" w:firstLine="996"/>
        <w:spacing w:after="0" w:line="254" w:lineRule="auto"/>
        <w:tabs>
          <w:tab w:leader="none" w:pos="118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(i) Liens securing Indebtedness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Liens do not at any time encumber any property (except for replacements, additions and accessions to such property) other than the property financed by such Indebtedness and (B) the Indebtedness secured thereby does not exceed the cost or fair market value of the property, whichever is lower, being acquired on the date of acquisition, improvements thereto and related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individual financings of equipment provided by one lender may be cross collateralized to other financings of equipment provided by such lender on customary terms; and (ii) Liens securing Indebtedness permitted under </w:t>
      </w:r>
      <w:r>
        <w:rPr>
          <w:rFonts w:ascii="Arial" w:cs="Arial" w:eastAsia="Arial" w:hAnsi="Arial"/>
          <w:sz w:val="18"/>
          <w:szCs w:val="18"/>
          <w:u w:val="single" w:color="auto"/>
          <w:color w:val="auto"/>
        </w:rPr>
        <w:t>Section 7.03(t)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 such Liens existed on the property or asset prior to the acquisition thereof by the Borrower or any Restricted Subsidiary or existed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property or asset of any Person that becomes a Restricted Subsidiary in connection with a Permitted Acquisition or other Investment in the nature of an acquisition (x)</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60" w:top="274" w:right="439" w:bottom="1440" w:gutter="0" w:footer="0" w:header="0"/>
        </w:sectPr>
      </w:pPr>
    </w:p>
    <w:bookmarkStart w:id="352" w:name="page353"/>
    <w:bookmarkEnd w:id="352"/>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Lien is not created in connection with such acquisition or such Person becoming a Restricted Subsidiary as a result of such Investment, as the case may be and (y) such Lien shall not encumber any other property or assets of the Borrower or any Restricted Subsidiary (other than any Person acquired by the Borrower or any Restricted Subsidiary as a result of a Permitted Acquisition or other Investment in the nature of an acquisition and any Restricted Subsidiary of such acquired Person as of the date of such Permitted Acquisition or other Investment in the nature of an acquisition);</w:t>
      </w:r>
    </w:p>
    <w:p>
      <w:pPr>
        <w:spacing w:after="0" w:line="154" w:lineRule="exact"/>
        <w:rPr>
          <w:sz w:val="20"/>
          <w:szCs w:val="20"/>
          <w:color w:val="auto"/>
        </w:rPr>
      </w:pPr>
    </w:p>
    <w:p>
      <w:pPr>
        <w:ind w:right="180" w:firstLine="996"/>
        <w:spacing w:after="0" w:line="277" w:lineRule="auto"/>
        <w:tabs>
          <w:tab w:leader="none" w:pos="120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Restricted Subsidiary or (ii) secure any Indebtedness;</w:t>
      </w:r>
    </w:p>
    <w:p>
      <w:pPr>
        <w:spacing w:after="0" w:line="170" w:lineRule="exact"/>
        <w:rPr>
          <w:rFonts w:ascii="Arial" w:cs="Arial" w:eastAsia="Arial" w:hAnsi="Arial"/>
          <w:sz w:val="18"/>
          <w:szCs w:val="18"/>
          <w:color w:val="auto"/>
        </w:rPr>
      </w:pPr>
    </w:p>
    <w:p>
      <w:pPr>
        <w:ind w:right="520" w:firstLine="996"/>
        <w:spacing w:after="0" w:line="264" w:lineRule="auto"/>
        <w:tabs>
          <w:tab w:leader="none" w:pos="12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other Liens on property securing Indebtedness and other obligations in an aggregate principal amount which does not exceed the greater of $95,000,000 and 50.00%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in the aggregate;</w:t>
      </w:r>
    </w:p>
    <w:p>
      <w:pPr>
        <w:spacing w:after="0" w:line="181" w:lineRule="exact"/>
        <w:rPr>
          <w:rFonts w:ascii="Arial" w:cs="Arial" w:eastAsia="Arial" w:hAnsi="Arial"/>
          <w:sz w:val="18"/>
          <w:szCs w:val="18"/>
          <w:color w:val="auto"/>
        </w:rPr>
      </w:pPr>
    </w:p>
    <w:p>
      <w:pPr>
        <w:ind w:right="60" w:firstLine="996"/>
        <w:spacing w:after="0" w:line="277" w:lineRule="auto"/>
        <w:tabs>
          <w:tab w:leader="none" w:pos="120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Liens on property of Restricted Subsidiaries that are not Loan Parties securing Indebtedness of such Restricted Subsidiaries that are not Loan Parties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80" w:firstLine="996"/>
        <w:spacing w:after="0" w:line="277" w:lineRule="auto"/>
        <w:tabs>
          <w:tab w:leader="none" w:pos="129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Liens arising in connection with a Qualified Receivables Transaction on Receivables Program Assets permitted to be Disposed of pursuant to </w:t>
      </w:r>
      <w:r>
        <w:rPr>
          <w:rFonts w:ascii="Arial" w:cs="Arial" w:eastAsia="Arial" w:hAnsi="Arial"/>
          <w:sz w:val="18"/>
          <w:szCs w:val="18"/>
          <w:u w:val="single" w:color="auto"/>
          <w:color w:val="auto"/>
        </w:rPr>
        <w:t>Section 7.05(l)</w:t>
      </w:r>
      <w:r>
        <w:rPr>
          <w:rFonts w:ascii="Arial" w:cs="Arial" w:eastAsia="Arial" w:hAnsi="Arial"/>
          <w:sz w:val="18"/>
          <w:szCs w:val="18"/>
          <w:color w:val="auto"/>
        </w:rPr>
        <w:t xml:space="preserve"> securing Receivables Program Obligations permitted by </w:t>
      </w:r>
      <w:r>
        <w:rPr>
          <w:rFonts w:ascii="Arial" w:cs="Arial" w:eastAsia="Arial" w:hAnsi="Arial"/>
          <w:sz w:val="18"/>
          <w:szCs w:val="18"/>
          <w:u w:val="single" w:color="auto"/>
          <w:color w:val="auto"/>
        </w:rPr>
        <w:t>Section 7.03(j)</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40" w:firstLine="996"/>
        <w:spacing w:after="0" w:line="277" w:lineRule="auto"/>
        <w:tabs>
          <w:tab w:leader="none" w:pos="12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in favor of custom and revenue authorities arising as a matter of law to secure payment of non-delinquent customs duties in connection with the importation of goods;</w:t>
      </w:r>
    </w:p>
    <w:p>
      <w:pPr>
        <w:spacing w:after="0" w:line="170" w:lineRule="exact"/>
        <w:rPr>
          <w:rFonts w:ascii="Arial" w:cs="Arial" w:eastAsia="Arial" w:hAnsi="Arial"/>
          <w:sz w:val="18"/>
          <w:szCs w:val="18"/>
          <w:color w:val="auto"/>
        </w:rPr>
      </w:pPr>
    </w:p>
    <w:p>
      <w:pPr>
        <w:ind w:right="420" w:firstLine="996"/>
        <w:spacing w:after="0" w:line="264" w:lineRule="auto"/>
        <w:tabs>
          <w:tab w:leader="none" w:pos="12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letters of credit and bankers’ acceptances issued or created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right="240" w:firstLine="996"/>
        <w:spacing w:after="0" w:line="286" w:lineRule="auto"/>
        <w:tabs>
          <w:tab w:leader="none" w:pos="1247" w:val="left"/>
        </w:tabs>
        <w:numPr>
          <w:ilvl w:val="0"/>
          <w:numId w:val="402"/>
        </w:numPr>
        <w:rPr>
          <w:rFonts w:ascii="Arial" w:cs="Arial" w:eastAsia="Arial" w:hAnsi="Arial"/>
          <w:sz w:val="17"/>
          <w:szCs w:val="17"/>
          <w:color w:val="auto"/>
        </w:rPr>
      </w:pPr>
      <w:r>
        <w:rPr>
          <w:rFonts w:ascii="Arial" w:cs="Arial" w:eastAsia="Arial" w:hAnsi="Arial"/>
          <w:sz w:val="17"/>
          <w:szCs w:val="17"/>
          <w:color w:val="auto"/>
        </w:rPr>
        <w:t>(i) Liens arising out of conditional sale, consignment, title retention or similar arrangements for the sale of goods entered into by the Borrower or any of its Restricted Subsidiaries in the ordinary course of business and (ii) purported Liens evidenced by the filing of UCC financing statements relating solely to operating leases or consignment or bailee arrangements entered into in the ordinary course of business;</w:t>
      </w:r>
    </w:p>
    <w:p>
      <w:pPr>
        <w:spacing w:after="0" w:line="165" w:lineRule="exact"/>
        <w:rPr>
          <w:rFonts w:ascii="Arial" w:cs="Arial" w:eastAsia="Arial" w:hAnsi="Arial"/>
          <w:sz w:val="17"/>
          <w:szCs w:val="17"/>
          <w:color w:val="auto"/>
        </w:rPr>
      </w:pPr>
    </w:p>
    <w:p>
      <w:pPr>
        <w:ind w:firstLine="996"/>
        <w:spacing w:after="0" w:line="312" w:lineRule="auto"/>
        <w:tabs>
          <w:tab w:leader="none" w:pos="124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UCC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440" w:top="273" w:right="439" w:bottom="1440" w:gutter="0" w:footer="0" w:header="0"/>
        </w:sectPr>
      </w:pPr>
    </w:p>
    <w:bookmarkStart w:id="353" w:name="page354"/>
    <w:bookmarkEnd w:id="353"/>
    <w:p>
      <w:pPr>
        <w:ind w:left="-20" w:right="580" w:firstLine="996"/>
        <w:spacing w:after="0" w:line="277" w:lineRule="auto"/>
        <w:tabs>
          <w:tab w:leader="none" w:pos="11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deposits made in the ordinary course of business to secure liability to insurance carriers, and Liens on insurance policies and the proceeds thereof securing the financing of the premiums with respect thereto;</w:t>
      </w:r>
    </w:p>
    <w:p>
      <w:pPr>
        <w:spacing w:after="0" w:line="170" w:lineRule="exact"/>
        <w:rPr>
          <w:rFonts w:ascii="Arial" w:cs="Arial" w:eastAsia="Arial" w:hAnsi="Arial"/>
          <w:sz w:val="18"/>
          <w:szCs w:val="18"/>
          <w:color w:val="auto"/>
        </w:rPr>
      </w:pPr>
    </w:p>
    <w:p>
      <w:pPr>
        <w:ind w:left="-20" w:right="280" w:firstLine="996"/>
        <w:spacing w:after="0" w:line="277" w:lineRule="auto"/>
        <w:tabs>
          <w:tab w:leader="none" w:pos="120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on Cash Collateral granted in favor of any Lenders and/or L/C Issuers created as a result of any requirement or option to Cash Collateralize pursuant to this Agreement;</w:t>
      </w:r>
    </w:p>
    <w:p>
      <w:pPr>
        <w:spacing w:after="0" w:line="170" w:lineRule="exact"/>
        <w:rPr>
          <w:rFonts w:ascii="Arial" w:cs="Arial" w:eastAsia="Arial" w:hAnsi="Arial"/>
          <w:sz w:val="18"/>
          <w:szCs w:val="18"/>
          <w:color w:val="auto"/>
        </w:rPr>
      </w:pPr>
    </w:p>
    <w:p>
      <w:pPr>
        <w:ind w:left="-20" w:right="20" w:firstLine="996"/>
        <w:spacing w:after="0" w:line="257" w:lineRule="auto"/>
        <w:tabs>
          <w:tab w:leader="none" w:pos="118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that are customary contractual rights of setoff (i) relating to the establishment of depository relations with banks or other financial institutions not given in connection with the incurrence of Indebtedness; (ii) relating to pooled deposit or sweep accounts of the Borrower or any of its Restricted Subsidiaries to permit satisfaction of overdraft or similar obligations incurred in the ordinary course of business of the Borrower or any of its Restricted Subsidiaries; or (iii) relating to purchase orders and other agreements entered into with customers of the Borrower or any of its Restricted Subsidiaries in the ordinary course of business;</w:t>
      </w:r>
    </w:p>
    <w:p>
      <w:pPr>
        <w:spacing w:after="0" w:line="188" w:lineRule="exact"/>
        <w:rPr>
          <w:rFonts w:ascii="Arial" w:cs="Arial" w:eastAsia="Arial" w:hAnsi="Arial"/>
          <w:sz w:val="18"/>
          <w:szCs w:val="18"/>
          <w:color w:val="auto"/>
        </w:rPr>
      </w:pPr>
    </w:p>
    <w:p>
      <w:pPr>
        <w:ind w:left="-20" w:right="100" w:firstLine="996"/>
        <w:spacing w:after="0" w:line="302" w:lineRule="auto"/>
        <w:tabs>
          <w:tab w:leader="none" w:pos="122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 zoning, building, entitlement and other land use regulations by Governmental Authorities with which the normal operation of the business complies except for such noncompliance that does not materially interfere with the ordinary conduct of the business of the Borrower or any of its Restricted Subsidiaries; and (ii) any zoning or similar law or right reserved to or vested in any Governmental Authority to control or regulate the use of any real property that does not materially interfere with the ordinary conduct of the business of the Borrower or any of its Restricted Subsidiaries;</w:t>
      </w:r>
    </w:p>
    <w:p>
      <w:pPr>
        <w:spacing w:after="0" w:line="154" w:lineRule="exact"/>
        <w:rPr>
          <w:rFonts w:ascii="Arial" w:cs="Arial" w:eastAsia="Arial" w:hAnsi="Arial"/>
          <w:sz w:val="16"/>
          <w:szCs w:val="16"/>
          <w:color w:val="auto"/>
        </w:rPr>
      </w:pPr>
    </w:p>
    <w:p>
      <w:pPr>
        <w:ind w:left="-20" w:right="320" w:firstLine="996"/>
        <w:spacing w:after="0" w:line="277" w:lineRule="auto"/>
        <w:tabs>
          <w:tab w:leader="none" w:pos="122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Restricted Subsidiaries in connection with any letter of intent or purchase agreement permitted hereunder;</w:t>
      </w:r>
    </w:p>
    <w:p>
      <w:pPr>
        <w:spacing w:after="0" w:line="170" w:lineRule="exact"/>
        <w:rPr>
          <w:rFonts w:ascii="Arial" w:cs="Arial" w:eastAsia="Arial" w:hAnsi="Arial"/>
          <w:sz w:val="18"/>
          <w:szCs w:val="18"/>
          <w:color w:val="auto"/>
        </w:rPr>
      </w:pPr>
    </w:p>
    <w:p>
      <w:pPr>
        <w:ind w:left="-20" w:right="120" w:firstLine="996"/>
        <w:spacing w:after="0" w:line="264" w:lineRule="auto"/>
        <w:tabs>
          <w:tab w:leader="none" w:pos="126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licenses and sublicenses of IP Rights, and Liens under licensing agreements for the use of intellectual property, in each case, either entered into in the ordinary course of business or pursuant to a bona fide transaction intended to increase the revenue of the Borrower and its Restricted Subsidiaries and which could not reasonably be expected to have a Material Adverse Effect;</w:t>
      </w:r>
    </w:p>
    <w:p>
      <w:pPr>
        <w:spacing w:after="0" w:line="181" w:lineRule="exact"/>
        <w:rPr>
          <w:rFonts w:ascii="Arial" w:cs="Arial" w:eastAsia="Arial" w:hAnsi="Arial"/>
          <w:sz w:val="18"/>
          <w:szCs w:val="18"/>
          <w:color w:val="auto"/>
        </w:rPr>
      </w:pPr>
    </w:p>
    <w:p>
      <w:pPr>
        <w:ind w:left="-20" w:right="180" w:firstLine="996"/>
        <w:spacing w:after="0" w:line="286" w:lineRule="auto"/>
        <w:tabs>
          <w:tab w:leader="none" w:pos="1227"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in an aggregate amount not to exceed the greater of $75,000,000 and 40.00% of Consolidated EBITDA of the Borrower and its Restricted Subsidiaries based on the most recent financial statements delivered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secure obligations of the Borrower or any Restricted Subsidiary under Swap Contracts that do not constitute Obligations;</w:t>
      </w:r>
    </w:p>
    <w:p>
      <w:pPr>
        <w:spacing w:after="0" w:line="165" w:lineRule="exact"/>
        <w:rPr>
          <w:rFonts w:ascii="Arial" w:cs="Arial" w:eastAsia="Arial" w:hAnsi="Arial"/>
          <w:sz w:val="17"/>
          <w:szCs w:val="17"/>
          <w:color w:val="auto"/>
        </w:rPr>
      </w:pPr>
    </w:p>
    <w:p>
      <w:pPr>
        <w:ind w:left="-20" w:firstLine="996"/>
        <w:spacing w:after="0" w:line="259" w:lineRule="auto"/>
        <w:tabs>
          <w:tab w:leader="none" w:pos="122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Liens on Collateral securing obligations under the documentation for Indebtedness permitted pursuant to </w:t>
      </w:r>
      <w:r>
        <w:rPr>
          <w:rFonts w:ascii="Arial" w:cs="Arial" w:eastAsia="Arial" w:hAnsi="Arial"/>
          <w:sz w:val="18"/>
          <w:szCs w:val="18"/>
          <w:u w:val="single" w:color="auto"/>
          <w:color w:val="auto"/>
        </w:rPr>
        <w:t>Section 7.03(s)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secured by any or all of the Collateral, such Liens shall be subject to the Pari Passu Intercreditor Agreement, and (if then in effect) the Junior Lien Intercreditor Agreement if such indebtedness is secured on a pari passu basis (without regard to the control of remedies) with the Obligations and, otherwise, to the Junior Lien Intercreditor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60" w:top="274" w:right="439" w:bottom="1440" w:gutter="0" w:footer="0" w:header="0"/>
        </w:sectPr>
      </w:pPr>
    </w:p>
    <w:bookmarkStart w:id="354" w:name="page355"/>
    <w:bookmarkEnd w:id="354"/>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 Liens arising in the ordinary course of business under the Perishable Agricultural Commodities Act of 1930;</w:t>
      </w:r>
    </w:p>
    <w:p>
      <w:pPr>
        <w:spacing w:after="0" w:line="225" w:lineRule="exact"/>
        <w:rPr>
          <w:sz w:val="20"/>
          <w:szCs w:val="20"/>
          <w:color w:val="auto"/>
        </w:rPr>
      </w:pPr>
    </w:p>
    <w:p>
      <w:pPr>
        <w:ind w:right="120" w:firstLine="996"/>
        <w:spacing w:after="0" w:line="277" w:lineRule="auto"/>
        <w:tabs>
          <w:tab w:leader="none" w:pos="131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Liens on Equity Interests in joint ventures or Unrestricted Subsidiaries (i) securing obligations of such joint ventures or Unrestricted Subsidiaries or (ii) pursuant to the relevant joint venture agreement or arrangements;</w:t>
      </w:r>
    </w:p>
    <w:p>
      <w:pPr>
        <w:spacing w:after="0" w:line="170" w:lineRule="exact"/>
        <w:rPr>
          <w:rFonts w:ascii="Arial" w:cs="Arial" w:eastAsia="Arial" w:hAnsi="Arial"/>
          <w:sz w:val="18"/>
          <w:szCs w:val="18"/>
          <w:color w:val="auto"/>
        </w:rPr>
      </w:pPr>
    </w:p>
    <w:p>
      <w:pPr>
        <w:ind w:left="1340" w:hanging="344"/>
        <w:spacing w:after="0"/>
        <w:tabs>
          <w:tab w:leader="none" w:pos="13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Liens arising out of sale and lease-back transactions permitted under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96"/>
        <w:spacing w:after="0" w:line="264" w:lineRule="auto"/>
        <w:tabs>
          <w:tab w:leader="none" w:pos="131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Liens (i) in favor of the Borrower or any Loan Party granted by a Restricted Subsidiary that is not a Loan Party or (ii) granted by any non-Loan Party in favor of any other non-Loan Party, in the case of each of </w:t>
      </w:r>
      <w:r>
        <w:rPr>
          <w:rFonts w:ascii="Arial" w:cs="Arial" w:eastAsia="Arial" w:hAnsi="Arial"/>
          <w:sz w:val="18"/>
          <w:szCs w:val="18"/>
          <w:u w:val="single" w:color="auto"/>
          <w:color w:val="auto"/>
        </w:rPr>
        <w:t>clauses (i) and (ii)</w:t>
      </w:r>
      <w:r>
        <w:rPr>
          <w:rFonts w:ascii="Arial" w:cs="Arial" w:eastAsia="Arial" w:hAnsi="Arial"/>
          <w:sz w:val="18"/>
          <w:szCs w:val="18"/>
          <w:color w:val="auto"/>
        </w:rPr>
        <w:t xml:space="preserve">, securing intercompany Indebtedness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40" w:hanging="344"/>
        <w:spacing w:after="0"/>
        <w:tabs>
          <w:tab w:leader="none" w:pos="13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Liens on cash or Cash Equivalents in respect of ordinary course cash management arrangements; and</w:t>
      </w:r>
    </w:p>
    <w:p>
      <w:pPr>
        <w:spacing w:after="0" w:line="225" w:lineRule="exact"/>
        <w:rPr>
          <w:rFonts w:ascii="Arial" w:cs="Arial" w:eastAsia="Arial" w:hAnsi="Arial"/>
          <w:sz w:val="18"/>
          <w:szCs w:val="18"/>
          <w:color w:val="auto"/>
        </w:rPr>
      </w:pPr>
    </w:p>
    <w:p>
      <w:pPr>
        <w:ind w:left="1320" w:hanging="324"/>
        <w:spacing w:after="0"/>
        <w:tabs>
          <w:tab w:leader="none" w:pos="132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Restricted Subsidiaries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Investments</w:t>
      </w:r>
      <w:r>
        <w:rPr>
          <w:rFonts w:ascii="Arial" w:cs="Arial" w:eastAsia="Arial" w:hAnsi="Arial"/>
          <w:sz w:val="18"/>
          <w:szCs w:val="18"/>
          <w:color w:val="auto"/>
        </w:rPr>
        <w:t>. Make any Investments, except:</w:t>
      </w:r>
    </w:p>
    <w:p>
      <w:pPr>
        <w:spacing w:after="0" w:line="225" w:lineRule="exact"/>
        <w:rPr>
          <w:sz w:val="20"/>
          <w:szCs w:val="20"/>
          <w:color w:val="auto"/>
        </w:rPr>
      </w:pPr>
    </w:p>
    <w:p>
      <w:pPr>
        <w:ind w:left="1240" w:hanging="244"/>
        <w:spacing w:after="0"/>
        <w:tabs>
          <w:tab w:leader="none" w:pos="12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Investments held by the Borrower or such Restricted Subsidiary in the form of cash and Cash Equivalents;</w:t>
      </w:r>
    </w:p>
    <w:p>
      <w:pPr>
        <w:spacing w:after="0" w:line="225" w:lineRule="exact"/>
        <w:rPr>
          <w:rFonts w:ascii="Arial" w:cs="Arial" w:eastAsia="Arial" w:hAnsi="Arial"/>
          <w:sz w:val="18"/>
          <w:szCs w:val="18"/>
          <w:color w:val="auto"/>
        </w:rPr>
      </w:pPr>
    </w:p>
    <w:p>
      <w:pPr>
        <w:jc w:val="both"/>
        <w:ind w:firstLine="996"/>
        <w:spacing w:after="0" w:line="288" w:lineRule="auto"/>
        <w:tabs>
          <w:tab w:leader="none" w:pos="1247" w:val="left"/>
        </w:tabs>
        <w:numPr>
          <w:ilvl w:val="1"/>
          <w:numId w:val="405"/>
        </w:numPr>
        <w:rPr>
          <w:rFonts w:ascii="Arial" w:cs="Arial" w:eastAsia="Arial" w:hAnsi="Arial"/>
          <w:sz w:val="16"/>
          <w:szCs w:val="16"/>
          <w:color w:val="auto"/>
        </w:rPr>
      </w:pPr>
      <w:r>
        <w:rPr>
          <w:rFonts w:ascii="Arial" w:cs="Arial" w:eastAsia="Arial" w:hAnsi="Arial"/>
          <w:sz w:val="16"/>
          <w:szCs w:val="16"/>
          <w:color w:val="auto"/>
        </w:rPr>
        <w:t xml:space="preserve">advances to officers, directors, employees and consultants of the Borrower and Restricted Subsidiaries (i) in an aggregate amount not to exceed $5,000,000 at any time outstanding, for payroll, salary, travel, entertainment, relocation and analogous ordinary business purposes; and (ii) in connection with such Person’s purchase of Equity Interests of the Borrower or BRBR, provided that no cash is actually advanced pursuant to this </w:t>
      </w:r>
      <w:r>
        <w:rPr>
          <w:rFonts w:ascii="Arial" w:cs="Arial" w:eastAsia="Arial" w:hAnsi="Arial"/>
          <w:sz w:val="16"/>
          <w:szCs w:val="16"/>
          <w:u w:val="single" w:color="auto"/>
          <w:color w:val="auto"/>
        </w:rPr>
        <w:t>clause</w:t>
      </w:r>
    </w:p>
    <w:p>
      <w:pPr>
        <w:ind w:left="260" w:hanging="256"/>
        <w:spacing w:after="0"/>
        <w:tabs>
          <w:tab w:leader="none" w:pos="260" w:val="left"/>
        </w:tabs>
        <w:numPr>
          <w:ilvl w:val="0"/>
          <w:numId w:val="406"/>
        </w:numPr>
        <w:rPr>
          <w:rFonts w:ascii="Arial" w:cs="Arial" w:eastAsia="Arial" w:hAnsi="Arial"/>
          <w:sz w:val="18"/>
          <w:szCs w:val="18"/>
          <w:u w:val="single" w:color="auto"/>
          <w:color w:val="auto"/>
        </w:rPr>
      </w:pPr>
      <w:r>
        <w:rPr>
          <w:rFonts w:ascii="Arial" w:cs="Arial" w:eastAsia="Arial" w:hAnsi="Arial"/>
          <w:sz w:val="18"/>
          <w:szCs w:val="18"/>
          <w:color w:val="auto"/>
        </w:rPr>
        <w:t>unless promptly repaid;</w:t>
      </w:r>
    </w:p>
    <w:p>
      <w:pPr>
        <w:spacing w:after="0" w:line="210" w:lineRule="exact"/>
        <w:rPr>
          <w:rFonts w:ascii="Arial" w:cs="Arial" w:eastAsia="Arial" w:hAnsi="Arial"/>
          <w:sz w:val="18"/>
          <w:szCs w:val="18"/>
          <w:u w:val="single" w:color="auto"/>
          <w:color w:val="auto"/>
        </w:rPr>
      </w:pPr>
    </w:p>
    <w:p>
      <w:pPr>
        <w:ind w:right="40" w:firstLine="996"/>
        <w:spacing w:after="0" w:line="289" w:lineRule="auto"/>
        <w:tabs>
          <w:tab w:leader="none" w:pos="1237"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Investments (i) existing on the Closing Date in Subsidiaries existing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any such Investments in Restricted Subsidiaries that are not Loan Parties in the form of intercompany loans by Loan Parties if in excess of $10,000,000 in the aggregate shall be evidenced by notes that have been pledged (individually or pursuant to a global note) to the Administrative Agent in form and substance reasonably satisfactory to the Administrative Agent for the benefit of the Secured Parties unless such pledge would, in the good faith judgment of the Borrower, result in adverse tax consequences to the Borrower and its Restricted Subsidiaries as reasonably determined by Borrower in consultation with the Administrative Agent; (ii) in Loan Parties (including those formed or acquired after the Closing Date so long as the Borrower and its Restricted Subsidiaries comply with the applicable provisions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Agreement or any other Loan Document, the Lien of the Administrative Agent for the benefit of the Secured Parties shall not attach to any such Investment in the form of an intercompany loan and any intercompany note evidencing such loan shall not be required to be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60"/>
          </w:cols>
          <w:pgMar w:left="440" w:top="274" w:right="499" w:bottom="1440" w:gutter="0" w:footer="0" w:header="0"/>
        </w:sectPr>
      </w:pPr>
    </w:p>
    <w:bookmarkStart w:id="355" w:name="page356"/>
    <w:bookmarkEnd w:id="35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delivered to the Administrative Agent if any such note is subsequently reasonably promptly contributed to a Subsidiary that is not a Loan Party pursuant to </w:t>
      </w:r>
      <w:r>
        <w:rPr>
          <w:rFonts w:ascii="Arial" w:cs="Arial" w:eastAsia="Arial" w:hAnsi="Arial"/>
          <w:sz w:val="16"/>
          <w:szCs w:val="16"/>
          <w:u w:val="single" w:color="auto"/>
          <w:color w:val="auto"/>
        </w:rPr>
        <w:t>Section 7.02(c)(iv)</w:t>
      </w:r>
      <w:r>
        <w:rPr>
          <w:rFonts w:ascii="Arial" w:cs="Arial" w:eastAsia="Arial" w:hAnsi="Arial"/>
          <w:sz w:val="16"/>
          <w:szCs w:val="16"/>
          <w:color w:val="auto"/>
        </w:rPr>
        <w:t xml:space="preserve">); (iii) by Restricted Subsidiaries that are not Loan Parties in Restricted Subsidiaries that are not Loan Parties; (iv) by the Borrower or any other Loan Party in Unrestricted Subsidiaries, in Restricted Subsidiaries that are not Loan Parties or in other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8.01(g)</w:t>
      </w:r>
      <w:r>
        <w:rPr>
          <w:rFonts w:ascii="Arial" w:cs="Arial" w:eastAsia="Arial" w:hAnsi="Arial"/>
          <w:sz w:val="16"/>
          <w:szCs w:val="16"/>
          <w:color w:val="auto"/>
        </w:rPr>
        <w:t xml:space="preserve"> shall have occurred and be continuing, (B) the Borrower and its Restricted Subsidiaries comply with the applicable provisions of </w:t>
      </w:r>
      <w:r>
        <w:rPr>
          <w:rFonts w:ascii="Arial" w:cs="Arial" w:eastAsia="Arial" w:hAnsi="Arial"/>
          <w:sz w:val="16"/>
          <w:szCs w:val="16"/>
          <w:u w:val="single" w:color="auto"/>
          <w:color w:val="auto"/>
        </w:rPr>
        <w:t>Section 6.11</w:t>
      </w:r>
      <w:r>
        <w:rPr>
          <w:rFonts w:ascii="Arial" w:cs="Arial" w:eastAsia="Arial" w:hAnsi="Arial"/>
          <w:sz w:val="16"/>
          <w:szCs w:val="16"/>
          <w:color w:val="auto"/>
        </w:rPr>
        <w:t>, (C) the aggregate amount of all such Investments outstanding at any time (determined without regard to any write-downs or write-offs of such Investments) shall not exceed the sum of the greater (x) of $75,000,000 and (y)</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40.00% of Consolidated EBITDA of the Borrower and its Restricted Subsidiaries based on the most recent financial statements delivered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apply to any such Investment in a Restricted Subsidiary that is not a Loan Party that is in the form of an equity contribution or intercompany loan if, reasonably promptly following receipt of such equity contribution or intercompany loan, the proceeds of such equity contribution or intercompany loan shall be used by such Restricted Subsidiaries that are not Loan Parties (or Restricted Subsidiaries thereof) to consummate a Permitted Acquisition (and any such Investment described in this proviso shall not utilize the basket set forth in this </w:t>
      </w:r>
      <w:r>
        <w:rPr>
          <w:rFonts w:ascii="Arial" w:cs="Arial" w:eastAsia="Arial" w:hAnsi="Arial"/>
          <w:sz w:val="16"/>
          <w:szCs w:val="16"/>
          <w:u w:val="single" w:color="auto"/>
          <w:color w:val="auto"/>
        </w:rPr>
        <w:t>clause (C)</w:t>
      </w:r>
      <w:r>
        <w:rPr>
          <w:rFonts w:ascii="Arial" w:cs="Arial" w:eastAsia="Arial" w:hAnsi="Arial"/>
          <w:sz w:val="16"/>
          <w:szCs w:val="16"/>
          <w:color w:val="auto"/>
        </w:rPr>
        <w:t>, but shall, if applicable, utilize the basket set forth in the definition of Permitted Acquisition) and (D) any such Investments in the form of intercompany loans if in excess of $10,000,000 in the aggregate shall be evidenced by notes that have been pledged (individually or pursuant to a global note) to the Administrative Agent in form and substance reasonably satisfactory to the Administrative Agent for the benefit of the Secured Parties unless</w:t>
      </w:r>
    </w:p>
    <w:p>
      <w:pPr>
        <w:spacing w:after="0" w:line="5" w:lineRule="exact"/>
        <w:rPr>
          <w:sz w:val="20"/>
          <w:szCs w:val="20"/>
          <w:color w:val="auto"/>
        </w:rPr>
      </w:pPr>
    </w:p>
    <w:p>
      <w:pPr>
        <w:ind w:right="40" w:firstLine="4"/>
        <w:spacing w:after="0" w:line="269" w:lineRule="auto"/>
        <w:tabs>
          <w:tab w:leader="none" w:pos="25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such pledge would, in the good faith judgment of the Borrower, result in adverse tax consequences to the Borrower and its Restricted Subsidiaries as reasonably determined by Borrower in consultation with the Administrative Agent or (y) reasonably promptly following the making of such intercompany loan the holder of such note representing such loan contributes such note as an equity contribution to any Restricted Subsidiary that is not a Loan Party that will reasonably promptly following receipt of such equity contribution consummate (or cause one or more of its Restricted Subsidiaries to consummate) a Permitted Acquisition, in which case and in each such case, notwithstanding anything to the contrary in this Agreement or any other Loan Document, the Lien of the Administrative Agent for the benefit of the Secured Parties shall not attach to any such note, and any such note shall not be required to be delivered to the Administrative Agent;</w:t>
      </w:r>
    </w:p>
    <w:p>
      <w:pPr>
        <w:spacing w:after="0" w:line="180" w:lineRule="exact"/>
        <w:rPr>
          <w:rFonts w:ascii="Arial" w:cs="Arial" w:eastAsia="Arial" w:hAnsi="Arial"/>
          <w:sz w:val="17"/>
          <w:szCs w:val="17"/>
          <w:color w:val="auto"/>
        </w:rPr>
      </w:pPr>
    </w:p>
    <w:p>
      <w:pPr>
        <w:ind w:firstLine="996"/>
        <w:spacing w:after="0" w:line="264" w:lineRule="auto"/>
        <w:tabs>
          <w:tab w:leader="none" w:pos="124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Arial" w:cs="Arial" w:eastAsia="Arial" w:hAnsi="Arial"/>
          <w:sz w:val="18"/>
          <w:szCs w:val="18"/>
          <w:color w:val="auto"/>
        </w:rPr>
      </w:pPr>
    </w:p>
    <w:p>
      <w:pPr>
        <w:ind w:right="60" w:firstLine="996"/>
        <w:spacing w:after="0" w:line="257" w:lineRule="auto"/>
        <w:tabs>
          <w:tab w:leader="none" w:pos="123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 xml:space="preserve">(i) any Investments by the Borrower or any Guarantor in the form of Permitted Acquisitions, and (ii) any Permitted Acquisition by any Restricted Subsidiary that is not a Loan Party (or any Restricted Subsidiary thereof) funded from, reasonably promptly following receipt thereof, the cash proceeds received by such Restricted Subsidiary (or any parent entity(ies) thereof that is also a Restricted Subsidiary and that received such proceeds in accordance with </w:t>
      </w:r>
      <w:r>
        <w:rPr>
          <w:rFonts w:ascii="Arial" w:cs="Arial" w:eastAsia="Arial" w:hAnsi="Arial"/>
          <w:sz w:val="18"/>
          <w:szCs w:val="18"/>
          <w:u w:val="single" w:color="auto"/>
          <w:color w:val="auto"/>
        </w:rPr>
        <w:t>Section 7.02(c)(iv)</w:t>
      </w:r>
      <w:r>
        <w:rPr>
          <w:rFonts w:ascii="Arial" w:cs="Arial" w:eastAsia="Arial" w:hAnsi="Arial"/>
          <w:sz w:val="18"/>
          <w:szCs w:val="18"/>
          <w:color w:val="auto"/>
        </w:rPr>
        <w:t xml:space="preserve">) from any equity contribution or intercompany loan permitted under </w:t>
      </w:r>
      <w:r>
        <w:rPr>
          <w:rFonts w:ascii="Arial" w:cs="Arial" w:eastAsia="Arial" w:hAnsi="Arial"/>
          <w:sz w:val="18"/>
          <w:szCs w:val="18"/>
          <w:u w:val="single" w:color="auto"/>
          <w:color w:val="auto"/>
        </w:rPr>
        <w:t>Section 7.02(c)(iv)</w:t>
      </w:r>
      <w:r>
        <w:rPr>
          <w:rFonts w:ascii="Arial" w:cs="Arial" w:eastAsia="Arial" w:hAnsi="Arial"/>
          <w:sz w:val="18"/>
          <w:szCs w:val="18"/>
          <w:color w:val="auto"/>
        </w:rPr>
        <w:t>, and (iii) any Investment in or of any Person acquired by, or merged into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3" w:right="459" w:bottom="1440" w:gutter="0" w:footer="0" w:header="0"/>
        </w:sectPr>
      </w:pPr>
    </w:p>
    <w:bookmarkStart w:id="356" w:name="page357"/>
    <w:bookmarkEnd w:id="356"/>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consolidated or amalgamated with, the Borrower or any Restricted Subsidiary after the Closing Date (other than an Investment in connection with a Permitted Acquisition in Persons who do not become Loan Parties), in each case pursuant to an Investment otherwise permitted by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after the Closing Date to the extent that such Investments of such Person were not made in contemplation of or in connection with such acquisition, merger, amalgamation or consolidation and were in existence on the date of such acquisition, merger, amalgamation or consolidation, and any modification, replacement, renewal or extension of any Investment permitted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Section 7.02(e) so long as any such modification, replacement, renewal or extension thereof does not increase the amount of such Investment except as otherwise permitted by this </w:t>
      </w:r>
      <w:r>
        <w:rPr>
          <w:rFonts w:ascii="Arial" w:cs="Arial" w:eastAsia="Arial" w:hAnsi="Arial"/>
          <w:sz w:val="16"/>
          <w:szCs w:val="16"/>
          <w:u w:val="single" w:color="auto"/>
          <w:color w:val="auto"/>
        </w:rPr>
        <w:t>Section 7.02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-185420</wp:posOffset>
            </wp:positionV>
            <wp:extent cx="3556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145" w:lineRule="exact"/>
        <w:rPr>
          <w:sz w:val="20"/>
          <w:szCs w:val="20"/>
          <w:color w:val="auto"/>
        </w:rPr>
      </w:pPr>
    </w:p>
    <w:p>
      <w:pPr>
        <w:ind w:left="1220" w:hanging="224"/>
        <w:spacing w:after="0"/>
        <w:tabs>
          <w:tab w:leader="none" w:pos="12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to the extent constituting Investments, transactions expressly permitted under </w:t>
      </w:r>
      <w:r>
        <w:rPr>
          <w:rFonts w:ascii="Arial" w:cs="Arial" w:eastAsia="Arial" w:hAnsi="Arial"/>
          <w:sz w:val="16"/>
          <w:szCs w:val="16"/>
          <w:u w:val="single" w:color="auto"/>
          <w:color w:val="auto"/>
        </w:rPr>
        <w:t>Sections 7.04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7.14</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220" w:firstLine="996"/>
        <w:spacing w:after="0" w:line="257" w:lineRule="auto"/>
        <w:tabs>
          <w:tab w:leader="none" w:pos="12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Investments existing on, or made pursuant to legally binding written commitments in existence on, the Closing Date and set forth on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and any modification, replacement, renewal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the terms and conditions of such modified, replacement, renewed or extended Investment shall not be materially less favorable, taken as a whole, to the Loan Parties than the Investment being modified, replaced, renewed or extended;</w:t>
      </w:r>
    </w:p>
    <w:p>
      <w:pPr>
        <w:spacing w:after="0" w:line="188" w:lineRule="exact"/>
        <w:rPr>
          <w:rFonts w:ascii="Arial" w:cs="Arial" w:eastAsia="Arial" w:hAnsi="Arial"/>
          <w:sz w:val="18"/>
          <w:szCs w:val="18"/>
          <w:color w:val="auto"/>
        </w:rPr>
      </w:pPr>
    </w:p>
    <w:p>
      <w:pPr>
        <w:ind w:left="1220" w:hanging="224"/>
        <w:spacing w:after="0"/>
        <w:tabs>
          <w:tab w:leader="none" w:pos="122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promissory notes, property (tangible or intangible) and other non-cash consideration received in connection with Dispositions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right="60" w:firstLine="996"/>
        <w:spacing w:after="0" w:line="312" w:lineRule="auto"/>
        <w:tabs>
          <w:tab w:leader="none" w:pos="1207"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46" w:lineRule="exact"/>
        <w:rPr>
          <w:rFonts w:ascii="Arial" w:cs="Arial" w:eastAsia="Arial" w:hAnsi="Arial"/>
          <w:sz w:val="16"/>
          <w:szCs w:val="16"/>
          <w:color w:val="auto"/>
        </w:rPr>
      </w:pPr>
    </w:p>
    <w:p>
      <w:pPr>
        <w:ind w:right="60" w:firstLine="996"/>
        <w:spacing w:after="0" w:line="264" w:lineRule="auto"/>
        <w:tabs>
          <w:tab w:leader="none" w:pos="12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Investments to the extent that payment for such Investments is made solely by the issuance of Equity Interests of the Borrower, BRBR or a Subsidiary (unless the issuance of Equity Interests in a Subsidiary is prohibited by </w:t>
      </w:r>
      <w:r>
        <w:rPr>
          <w:rFonts w:ascii="Arial" w:cs="Arial" w:eastAsia="Arial" w:hAnsi="Arial"/>
          <w:sz w:val="18"/>
          <w:szCs w:val="18"/>
          <w:u w:val="single" w:color="auto"/>
          <w:color w:val="auto"/>
        </w:rPr>
        <w:t>Section 7.05</w:t>
      </w:r>
      <w:r>
        <w:rPr>
          <w:rFonts w:ascii="Arial" w:cs="Arial" w:eastAsia="Arial" w:hAnsi="Arial"/>
          <w:sz w:val="18"/>
          <w:szCs w:val="18"/>
          <w:color w:val="auto"/>
        </w:rPr>
        <w:t>), in each case, to the extent not resulting in a Change of Control;</w:t>
      </w:r>
    </w:p>
    <w:p>
      <w:pPr>
        <w:spacing w:after="0" w:line="181" w:lineRule="exact"/>
        <w:rPr>
          <w:rFonts w:ascii="Arial" w:cs="Arial" w:eastAsia="Arial" w:hAnsi="Arial"/>
          <w:sz w:val="18"/>
          <w:szCs w:val="18"/>
          <w:color w:val="auto"/>
        </w:rPr>
      </w:pPr>
    </w:p>
    <w:p>
      <w:pPr>
        <w:ind w:right="40" w:firstLine="996"/>
        <w:spacing w:after="0" w:line="293" w:lineRule="auto"/>
        <w:tabs>
          <w:tab w:leader="none" w:pos="1207"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Restricted Subsidiaries of the Borrower may be established or created if the Borrower and such Restricted Subsidiary comply with the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if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to the extent such new Restricted Subsidiary is created solely for the purpose of consummating a transaction pursuant to an acquisition permitted by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such new Restricted Subsidiary at no time holds any assets or liabilities other than any merger or acquisition consideration contributed to it contemporaneously with the closing of such transactions, such new Restricted Subsidiary shall not be required to take the actions set forth in </w:t>
      </w:r>
      <w:r>
        <w:rPr>
          <w:rFonts w:ascii="Arial" w:cs="Arial" w:eastAsia="Arial" w:hAnsi="Arial"/>
          <w:sz w:val="16"/>
          <w:szCs w:val="16"/>
          <w:u w:val="single" w:color="auto"/>
          <w:color w:val="auto"/>
        </w:rPr>
        <w:t>Section 6.11</w:t>
      </w:r>
      <w:r>
        <w:rPr>
          <w:rFonts w:ascii="Arial" w:cs="Arial" w:eastAsia="Arial" w:hAnsi="Arial"/>
          <w:sz w:val="16"/>
          <w:szCs w:val="16"/>
          <w:color w:val="auto"/>
        </w:rPr>
        <w:t>, as applicable, until the applicable acquisition is consummated (at which time the surviving entity of the applicable transaction shall be required to so comply in accordance with the provisions thereof);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357" w:name="page358"/>
    <w:bookmarkEnd w:id="357"/>
    <w:p>
      <w:pPr>
        <w:ind w:right="500" w:firstLine="996"/>
        <w:spacing w:after="0" w:line="308" w:lineRule="auto"/>
        <w:tabs>
          <w:tab w:leader="none" w:pos="1297" w:val="left"/>
        </w:tabs>
        <w:numPr>
          <w:ilvl w:val="0"/>
          <w:numId w:val="4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a Receivables Subsidiary or any Investment by a Receivables Subsidiary in any other Person, in each case, (i) in connection with a Qualified Receivables Transaction and (ii) constituting a Disposition permitted pursuant to </w:t>
      </w:r>
      <w:r>
        <w:rPr>
          <w:rFonts w:ascii="Arial" w:cs="Arial" w:eastAsia="Arial" w:hAnsi="Arial"/>
          <w:sz w:val="17"/>
          <w:szCs w:val="17"/>
          <w:u w:val="single" w:color="auto"/>
          <w:color w:val="auto"/>
        </w:rPr>
        <w:t>Section 7.05(l)</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260" w:hanging="264"/>
        <w:spacing w:after="0"/>
        <w:tabs>
          <w:tab w:leader="none" w:pos="12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Swap Contracts to the extent permitted pursuant to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96"/>
        <w:spacing w:after="0" w:line="255" w:lineRule="auto"/>
        <w:tabs>
          <w:tab w:leader="none" w:pos="124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aggregate amount of Investments allowed pursuant to this </w:t>
      </w:r>
      <w:r>
        <w:rPr>
          <w:rFonts w:ascii="Arial" w:cs="Arial" w:eastAsia="Arial" w:hAnsi="Arial"/>
          <w:sz w:val="18"/>
          <w:szCs w:val="18"/>
          <w:u w:val="single" w:color="auto"/>
          <w:color w:val="auto"/>
        </w:rPr>
        <w:t>Section 7.02(o)</w:t>
      </w:r>
      <w:r>
        <w:rPr>
          <w:rFonts w:ascii="Arial" w:cs="Arial" w:eastAsia="Arial" w:hAnsi="Arial"/>
          <w:sz w:val="18"/>
          <w:szCs w:val="18"/>
          <w:color w:val="auto"/>
        </w:rPr>
        <w:t xml:space="preserve"> during the term of this Agreement exceed the sum of (1) so long as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 the greater of (x) $95,000,000 and (y) 50.00%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plus (2) an amount not to exceed the Available Amount at the time of the making of such Investment; provided that the portion of the Available Amount attributed to </w:t>
      </w:r>
      <w:r>
        <w:rPr>
          <w:rFonts w:ascii="Arial" w:cs="Arial" w:eastAsia="Arial" w:hAnsi="Arial"/>
          <w:sz w:val="18"/>
          <w:szCs w:val="18"/>
          <w:u w:val="single" w:color="auto"/>
          <w:color w:val="auto"/>
        </w:rPr>
        <w:t>clause (a)(1)</w:t>
      </w:r>
      <w:r>
        <w:rPr>
          <w:rFonts w:ascii="Arial" w:cs="Arial" w:eastAsia="Arial" w:hAnsi="Arial"/>
          <w:sz w:val="18"/>
          <w:szCs w:val="18"/>
          <w:color w:val="auto"/>
        </w:rPr>
        <w:t xml:space="preserve"> of the definition thereof shall not be available for any such Investments made pursuant to this </w:t>
      </w:r>
      <w:r>
        <w:rPr>
          <w:rFonts w:ascii="Arial" w:cs="Arial" w:eastAsia="Arial" w:hAnsi="Arial"/>
          <w:sz w:val="18"/>
          <w:szCs w:val="18"/>
          <w:u w:val="single" w:color="auto"/>
          <w:color w:val="auto"/>
        </w:rPr>
        <w:t>clause (o)(2)</w:t>
      </w:r>
      <w:r>
        <w:rPr>
          <w:rFonts w:ascii="Arial" w:cs="Arial" w:eastAsia="Arial" w:hAnsi="Arial"/>
          <w:sz w:val="18"/>
          <w:szCs w:val="18"/>
          <w:color w:val="auto"/>
        </w:rPr>
        <w:t xml:space="preserve"> if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w:t>
      </w:r>
    </w:p>
    <w:p>
      <w:pPr>
        <w:spacing w:after="0" w:line="189" w:lineRule="exact"/>
        <w:rPr>
          <w:rFonts w:ascii="Arial" w:cs="Arial" w:eastAsia="Arial" w:hAnsi="Arial"/>
          <w:sz w:val="18"/>
          <w:szCs w:val="18"/>
          <w:color w:val="auto"/>
        </w:rPr>
      </w:pPr>
    </w:p>
    <w:p>
      <w:pPr>
        <w:ind w:left="1260" w:hanging="264"/>
        <w:spacing w:after="0"/>
        <w:tabs>
          <w:tab w:leader="none" w:pos="12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Investments in Term Loans pursuant to </w:t>
      </w:r>
      <w:r>
        <w:rPr>
          <w:rFonts w:ascii="Arial" w:cs="Arial" w:eastAsia="Arial" w:hAnsi="Arial"/>
          <w:sz w:val="18"/>
          <w:szCs w:val="18"/>
          <w:u w:val="single" w:color="auto"/>
          <w:color w:val="auto"/>
        </w:rPr>
        <w:t>Section 10.06(b)(vii)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Persons;</w:t>
      </w:r>
    </w:p>
    <w:p>
      <w:pPr>
        <w:spacing w:after="0" w:line="210" w:lineRule="exact"/>
        <w:rPr>
          <w:rFonts w:ascii="Arial" w:cs="Arial" w:eastAsia="Arial" w:hAnsi="Arial"/>
          <w:sz w:val="17"/>
          <w:szCs w:val="17"/>
          <w:color w:val="auto"/>
        </w:rPr>
      </w:pPr>
    </w:p>
    <w:p>
      <w:pPr>
        <w:ind w:right="340" w:firstLine="996"/>
        <w:spacing w:after="0" w:line="277" w:lineRule="auto"/>
        <w:tabs>
          <w:tab w:leader="none" w:pos="121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Investments so long as (i)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 and (ii) the pro forma Total Net Leverage Ratio would be less than 3.00:1.00;</w:t>
      </w:r>
    </w:p>
    <w:p>
      <w:pPr>
        <w:spacing w:after="0" w:line="170" w:lineRule="exact"/>
        <w:rPr>
          <w:rFonts w:ascii="Arial" w:cs="Arial" w:eastAsia="Arial" w:hAnsi="Arial"/>
          <w:sz w:val="18"/>
          <w:szCs w:val="18"/>
          <w:color w:val="auto"/>
        </w:rPr>
      </w:pPr>
    </w:p>
    <w:p>
      <w:pPr>
        <w:ind w:firstLine="996"/>
        <w:spacing w:after="0" w:line="259" w:lineRule="auto"/>
        <w:tabs>
          <w:tab w:leader="none" w:pos="122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Investments (i) constituting deposits, prepayments and other credits to suppliers, (ii) made in connection with obtaining, maintaining or renewing client and customer contracts and (iii) in the form of advances made to distributors, suppliers, licensors and licensees, in each case, in the ordinary course of business or,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to the extent necessary to maintain the ordinary course of supplies to the Borrower or any Restricted Subsidiary;</w:t>
      </w:r>
    </w:p>
    <w:p>
      <w:pPr>
        <w:spacing w:after="0" w:line="186" w:lineRule="exact"/>
        <w:rPr>
          <w:rFonts w:ascii="Arial" w:cs="Arial" w:eastAsia="Arial" w:hAnsi="Arial"/>
          <w:sz w:val="18"/>
          <w:szCs w:val="18"/>
          <w:color w:val="auto"/>
        </w:rPr>
      </w:pPr>
    </w:p>
    <w:p>
      <w:pPr>
        <w:ind w:left="1220" w:hanging="224"/>
        <w:spacing w:after="0"/>
        <w:tabs>
          <w:tab w:leader="none" w:pos="12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25" w:lineRule="exact"/>
        <w:rPr>
          <w:rFonts w:ascii="Arial" w:cs="Arial" w:eastAsia="Arial" w:hAnsi="Arial"/>
          <w:sz w:val="18"/>
          <w:szCs w:val="18"/>
          <w:color w:val="auto"/>
        </w:rPr>
      </w:pPr>
    </w:p>
    <w:p>
      <w:pPr>
        <w:jc w:val="both"/>
        <w:ind w:firstLine="996"/>
        <w:spacing w:after="0" w:line="259" w:lineRule="auto"/>
        <w:tabs>
          <w:tab w:leader="none" w:pos="124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Investments in any Restricted Subsidiary in connection with reorganizations and related activities related to Tax planning;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any such reorganization and related activities, the Lien of the Administrative Agent in the Collateral and the value thereof, taken as a whole, is not materially impaired and after giving effect to such Investment, the Borrower and its Restricted Subsidiaries shall otherwise be in compliance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500" w:firstLine="996"/>
        <w:spacing w:after="0" w:line="277" w:lineRule="auto"/>
        <w:tabs>
          <w:tab w:leader="none" w:pos="124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that they are permitted to remain unfunded under applicable 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440" w:top="274" w:right="479" w:bottom="1440" w:gutter="0" w:footer="0" w:header="0"/>
        </w:sectPr>
      </w:pPr>
    </w:p>
    <w:bookmarkStart w:id="358" w:name="page359"/>
    <w:bookmarkEnd w:id="358"/>
    <w:p>
      <w:pPr>
        <w:ind w:left="-20" w:right="520" w:firstLine="996"/>
        <w:spacing w:after="0" w:line="277" w:lineRule="auto"/>
        <w:tabs>
          <w:tab w:leader="none" w:pos="1267" w:val="left"/>
        </w:tabs>
        <w:numPr>
          <w:ilvl w:val="0"/>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the Borrower or any Restricted Subsidiary in connection with intercompany cash management arrangements and related activities in the ordinary course of business;</w:t>
      </w:r>
    </w:p>
    <w:p>
      <w:pPr>
        <w:spacing w:after="0" w:line="170" w:lineRule="exact"/>
        <w:rPr>
          <w:rFonts w:ascii="Arial" w:cs="Arial" w:eastAsia="Arial" w:hAnsi="Arial"/>
          <w:sz w:val="18"/>
          <w:szCs w:val="18"/>
          <w:color w:val="auto"/>
        </w:rPr>
      </w:pPr>
    </w:p>
    <w:p>
      <w:pPr>
        <w:ind w:left="-20" w:right="140" w:firstLine="996"/>
        <w:spacing w:after="0" w:line="264" w:lineRule="auto"/>
        <w:tabs>
          <w:tab w:leader="none" w:pos="122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Investments in any Parent Company in amounts and for purposes for which Restricted Payments by the Borrower are permitted under </w:t>
      </w:r>
      <w:r>
        <w:rPr>
          <w:rFonts w:ascii="Arial" w:cs="Arial" w:eastAsia="Arial" w:hAnsi="Arial"/>
          <w:sz w:val="18"/>
          <w:szCs w:val="18"/>
          <w:u w:val="single" w:color="auto"/>
          <w:color w:val="auto"/>
        </w:rPr>
        <w:t>Section 7.06(e)</w:t>
      </w:r>
      <w:r>
        <w:rPr>
          <w:rFonts w:ascii="Arial" w:cs="Arial" w:eastAsia="Arial" w:hAnsi="Arial"/>
          <w:sz w:val="18"/>
          <w:szCs w:val="18"/>
          <w:color w:val="auto"/>
        </w:rPr>
        <w:t xml:space="preserve">; provided that any such Investments made as provided above in lieu of such Restricted Payments shall reduce availability under the applicable Restricted Payment basket under </w:t>
      </w:r>
      <w:r>
        <w:rPr>
          <w:rFonts w:ascii="Arial" w:cs="Arial" w:eastAsia="Arial" w:hAnsi="Arial"/>
          <w:sz w:val="18"/>
          <w:szCs w:val="18"/>
          <w:u w:val="single" w:color="auto"/>
          <w:color w:val="auto"/>
        </w:rPr>
        <w:t>Section 7.06(e)</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20" w:firstLine="996"/>
        <w:spacing w:after="0" w:line="264" w:lineRule="auto"/>
        <w:tabs>
          <w:tab w:leader="none" w:pos="122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Investments consisting of the licensing or sublicensing of IP Rights in each case, either entered into in the ordinary course of business or pursuant to a bona fide transaction intended to increase the revenue of the Borrower and its Restricted Subsidiaries and which could not reasonably be expected to have a Material Adverse Effect.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Indebtedness</w:t>
      </w:r>
      <w:r>
        <w:rPr>
          <w:rFonts w:ascii="Arial" w:cs="Arial" w:eastAsia="Arial" w:hAnsi="Arial"/>
          <w:sz w:val="18"/>
          <w:szCs w:val="18"/>
          <w:color w:val="auto"/>
        </w:rPr>
        <w:t>. Create, incur, assume or suffer to exist any Indebtedness, except:</w:t>
      </w:r>
    </w:p>
    <w:p>
      <w:pPr>
        <w:spacing w:after="0" w:line="117" w:lineRule="exact"/>
        <w:rPr>
          <w:sz w:val="20"/>
          <w:szCs w:val="20"/>
          <w:color w:val="auto"/>
        </w:rPr>
      </w:pPr>
    </w:p>
    <w:p>
      <w:pPr>
        <w:ind w:left="-20" w:right="300" w:firstLine="996"/>
        <w:spacing w:after="0" w:line="277" w:lineRule="auto"/>
        <w:tabs>
          <w:tab w:leader="none" w:pos="121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Indebtedness under the Loan Documents, including, without limitation, Incremental Term Loans, Incremental Revolving Loans and any Refinancing Facility;</w:t>
      </w:r>
    </w:p>
    <w:p>
      <w:pPr>
        <w:spacing w:after="0" w:line="170" w:lineRule="exact"/>
        <w:rPr>
          <w:rFonts w:ascii="Arial" w:cs="Arial" w:eastAsia="Arial" w:hAnsi="Arial"/>
          <w:sz w:val="18"/>
          <w:szCs w:val="18"/>
          <w:color w:val="auto"/>
        </w:rPr>
      </w:pPr>
    </w:p>
    <w:p>
      <w:pPr>
        <w:ind w:left="-20" w:right="80" w:firstLine="996"/>
        <w:spacing w:after="0" w:line="312" w:lineRule="auto"/>
        <w:tabs>
          <w:tab w:leader="none" w:pos="1227"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Indebtedness outstanding on the Closing Date and listed on </w:t>
      </w:r>
      <w:r>
        <w:rPr>
          <w:rFonts w:ascii="Arial" w:cs="Arial" w:eastAsia="Arial" w:hAnsi="Arial"/>
          <w:sz w:val="16"/>
          <w:szCs w:val="16"/>
          <w:u w:val="single" w:color="auto"/>
          <w:color w:val="auto"/>
        </w:rPr>
        <w:t>Schedule 7.03</w:t>
      </w:r>
      <w:r>
        <w:rPr>
          <w:rFonts w:ascii="Arial" w:cs="Arial" w:eastAsia="Arial" w:hAnsi="Arial"/>
          <w:sz w:val="16"/>
          <w:szCs w:val="16"/>
          <w:color w:val="auto"/>
        </w:rPr>
        <w:t xml:space="preserve"> and any Permitted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Indebtedness (including any Permitted Refinancing thereof), to the extent owed by a Loan Party to a Restricted Subsidiary that is not a Loan Party, shall be unsecured and subordinated to the payment of the Obligations in a manner reasonably satisfactory to the Administrative Agent;</w:t>
      </w:r>
    </w:p>
    <w:p>
      <w:pPr>
        <w:spacing w:after="0" w:line="146" w:lineRule="exact"/>
        <w:rPr>
          <w:rFonts w:ascii="Arial" w:cs="Arial" w:eastAsia="Arial" w:hAnsi="Arial"/>
          <w:sz w:val="16"/>
          <w:szCs w:val="16"/>
          <w:color w:val="auto"/>
        </w:rPr>
      </w:pPr>
    </w:p>
    <w:p>
      <w:pPr>
        <w:ind w:left="-20" w:right="40" w:firstLine="996"/>
        <w:spacing w:after="0" w:line="257" w:lineRule="auto"/>
        <w:tabs>
          <w:tab w:leader="none" w:pos="121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(i) Guarantees by the Borrower or any Guarantor in respect of Indebtedness otherwise permitted hereunder of the Borrower or any Guarantor; (ii) Guarantees by any Restricted Subsidiary that is not a Loan Party in respect of Indebtedness otherwise permitted hereunder of the Borrower or any Restricted Subsidiary; and (iii) Guarantees by the Borrower or any Guarantor in respect of Indebtedness otherwise permitted hereunder of Restricted Subsidiaries that are not Loan Parties to the extent such Guarantee constitutes an Investment permitted by </w:t>
      </w:r>
      <w:r>
        <w:rPr>
          <w:rFonts w:ascii="Arial" w:cs="Arial" w:eastAsia="Arial" w:hAnsi="Arial"/>
          <w:sz w:val="18"/>
          <w:szCs w:val="18"/>
          <w:u w:val="single" w:color="auto"/>
          <w:color w:val="auto"/>
        </w:rPr>
        <w:t>Sections 7.02(c)(i), (c)(iv)</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7.02(r)</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 w:right="200" w:firstLine="996"/>
        <w:spacing w:after="0" w:line="273" w:lineRule="auto"/>
        <w:tabs>
          <w:tab w:leader="none" w:pos="1227"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the Borrower or any Restricted Subsidiary existing or hereafter arising under any Swap Contract;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 (other than pursuant to customary netting or set-off provisions and except as contemplated by </w:t>
      </w:r>
      <w:r>
        <w:rPr>
          <w:rFonts w:ascii="Arial" w:cs="Arial" w:eastAsia="Arial" w:hAnsi="Arial"/>
          <w:sz w:val="17"/>
          <w:szCs w:val="17"/>
          <w:u w:val="single" w:color="auto"/>
          <w:color w:val="auto"/>
        </w:rPr>
        <w:t>Section 10.23</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60" w:top="274" w:right="439" w:bottom="1440" w:gutter="0" w:footer="0" w:header="0"/>
        </w:sectPr>
      </w:pPr>
    </w:p>
    <w:bookmarkStart w:id="359" w:name="page360"/>
    <w:bookmarkEnd w:id="359"/>
    <w:p>
      <w:pPr>
        <w:ind w:firstLine="996"/>
        <w:spacing w:after="0" w:line="257" w:lineRule="auto"/>
        <w:tabs>
          <w:tab w:leader="none" w:pos="1237" w:val="left"/>
        </w:tabs>
        <w:numPr>
          <w:ilvl w:val="0"/>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of the Borrower or any Restricted Subsidiary in respect of Capital Leases and purchase money obligations for fixed or capital assets, which may be secured by Liens under and within the applicable limitations set forth in </w:t>
      </w:r>
      <w:r>
        <w:rPr>
          <w:rFonts w:ascii="Arial" w:cs="Arial" w:eastAsia="Arial" w:hAnsi="Arial"/>
          <w:sz w:val="18"/>
          <w:szCs w:val="18"/>
          <w:u w:val="single" w:color="auto"/>
          <w:color w:val="auto"/>
        </w:rPr>
        <w:t>Section 7.01(i)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aggregate amount of all such Indebtedness at any one time outstanding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not exceed the greater of (x) $48,000,000 and (y) 25.00%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40" w:firstLine="996"/>
        <w:spacing w:after="0" w:line="259" w:lineRule="auto"/>
        <w:tabs>
          <w:tab w:leader="none" w:pos="121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owing to the Borrower or any Restricted Subsidiary to the extent constituting an Investment permitted by </w:t>
      </w:r>
      <w:r>
        <w:rPr>
          <w:rFonts w:ascii="Arial" w:cs="Arial" w:eastAsia="Arial" w:hAnsi="Arial"/>
          <w:sz w:val="18"/>
          <w:szCs w:val="18"/>
          <w:u w:val="single" w:color="auto"/>
          <w:color w:val="auto"/>
        </w:rPr>
        <w:t>Section 7.02(c), 7.02(o)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to the extent owed by a Loan Party to a Restricted Subsidiary that is not a Loan Party, shall be subordinated to the payment of the Obligations in a manner reasonably satisfactory to the Administrative Agent;</w:t>
      </w:r>
    </w:p>
    <w:p>
      <w:pPr>
        <w:spacing w:after="0" w:line="186" w:lineRule="exact"/>
        <w:rPr>
          <w:rFonts w:ascii="Arial" w:cs="Arial" w:eastAsia="Arial" w:hAnsi="Arial"/>
          <w:sz w:val="18"/>
          <w:szCs w:val="18"/>
          <w:color w:val="auto"/>
        </w:rPr>
      </w:pPr>
    </w:p>
    <w:p>
      <w:pPr>
        <w:ind w:left="1260" w:hanging="264"/>
        <w:spacing w:after="0"/>
        <w:tabs>
          <w:tab w:leader="none" w:pos="126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aggregate principal outstanding amount of all Non-Guarantor Debt if such amount does not exceed the Non-Guarantor Debt Cap;</w:t>
      </w:r>
    </w:p>
    <w:p>
      <w:pPr>
        <w:spacing w:after="0" w:line="248" w:lineRule="exact"/>
        <w:rPr>
          <w:rFonts w:ascii="Arial" w:cs="Arial" w:eastAsia="Arial" w:hAnsi="Arial"/>
          <w:sz w:val="16"/>
          <w:szCs w:val="16"/>
          <w:color w:val="auto"/>
        </w:rPr>
      </w:pPr>
    </w:p>
    <w:p>
      <w:pPr>
        <w:ind w:left="1260" w:hanging="264"/>
        <w:spacing w:after="0"/>
        <w:tabs>
          <w:tab w:leader="none" w:pos="12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20" w:hanging="224"/>
        <w:spacing w:after="0"/>
        <w:tabs>
          <w:tab w:leader="none" w:pos="12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other Indebtedness of the Borrower and its Restricted Subsidiaries in an aggregate principal amount not to exceed the greater of (x)</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$95,000,000 and (y) 50.00%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provided that the aggregate principal outstanding amount of all Non-Guarantor Debt does not exceed the Non-Guarantor Debt Cap;</w:t>
      </w:r>
    </w:p>
    <w:p>
      <w:pPr>
        <w:spacing w:after="0" w:line="190" w:lineRule="exact"/>
        <w:rPr>
          <w:sz w:val="20"/>
          <w:szCs w:val="20"/>
          <w:color w:val="auto"/>
        </w:rPr>
      </w:pPr>
    </w:p>
    <w:p>
      <w:pPr>
        <w:jc w:val="both"/>
        <w:ind w:right="60" w:firstLine="996"/>
        <w:spacing w:after="0" w:line="286" w:lineRule="auto"/>
        <w:tabs>
          <w:tab w:leader="none" w:pos="120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 xml:space="preserve">Indebtedness in respect of Receivables Program Obligations in an amount not to exceed the greater of (x) $75,000,000 and (y) 40.00% of Consolidated EBITDA of the Borrower and its Restricted Subsidiaries based on the most recent financial statements delivered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Event of Default shall have occurred and be continuing at the time such Indebtedness is incurred;</w:t>
      </w:r>
    </w:p>
    <w:p>
      <w:pPr>
        <w:spacing w:after="0" w:line="165" w:lineRule="exact"/>
        <w:rPr>
          <w:rFonts w:ascii="Arial" w:cs="Arial" w:eastAsia="Arial" w:hAnsi="Arial"/>
          <w:sz w:val="17"/>
          <w:szCs w:val="17"/>
          <w:color w:val="auto"/>
        </w:rPr>
      </w:pPr>
    </w:p>
    <w:p>
      <w:pPr>
        <w:ind w:right="100" w:firstLine="996"/>
        <w:spacing w:after="0" w:line="277" w:lineRule="auto"/>
        <w:tabs>
          <w:tab w:leader="none" w:pos="124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Indebtedness of the Borrower or any of its Restricted Subsidiaries consisting of obligations to pay insurance premiums or take-or-pay obligations contained in supply arrangements incurred in the ordinary course of business;</w:t>
      </w:r>
    </w:p>
    <w:p>
      <w:pPr>
        <w:spacing w:after="0" w:line="170" w:lineRule="exact"/>
        <w:rPr>
          <w:rFonts w:ascii="Arial" w:cs="Arial" w:eastAsia="Arial" w:hAnsi="Arial"/>
          <w:sz w:val="18"/>
          <w:szCs w:val="18"/>
          <w:color w:val="auto"/>
        </w:rPr>
      </w:pPr>
    </w:p>
    <w:p>
      <w:pPr>
        <w:ind w:right="40" w:firstLine="996"/>
        <w:spacing w:after="0" w:line="259" w:lineRule="auto"/>
        <w:tabs>
          <w:tab w:leader="none" w:pos="120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Indebtedness consisting of obligations of the Borrower or its Restricted Subsidiaries under deferred consideration or other similar arrangements (including earn-outs, indemnifications, incentive non-competes and other contingent obligations and agreements consisting of the adjustment of purchase price or similar adjustments) incurred by such Person in connection with any Permitted Acquisition or Disposition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any other Investment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996"/>
        <w:spacing w:after="0" w:line="257" w:lineRule="auto"/>
        <w:tabs>
          <w:tab w:leader="none" w:pos="129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Indebtedness incurred by the Borrower or any of its Restricted Subsidiaries in respect of bank guarantees, warehouse receipts or similar instruments (other than letters of credit) issued or created in the ordinary course of business consistent with past practice, including in respect of workers compensation claims, health, disability or other employee benefits or property, casualty or liability insurance or self-insurance, or other Indebtedness with respect to reimbursement type obligations (other than obligations in respect of letters of credit) regarding workers compensation claims;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60"/>
          </w:cols>
          <w:pgMar w:left="440" w:top="274" w:right="499" w:bottom="1440" w:gutter="0" w:footer="0" w:header="0"/>
        </w:sectPr>
      </w:pPr>
    </w:p>
    <w:bookmarkStart w:id="360" w:name="page361"/>
    <w:bookmarkEnd w:id="360"/>
    <w:p>
      <w:pPr>
        <w:ind w:left="-60" w:right="80" w:firstLine="996"/>
        <w:spacing w:after="0" w:line="279" w:lineRule="auto"/>
        <w:tabs>
          <w:tab w:leader="none" w:pos="1187" w:val="left"/>
        </w:tabs>
        <w:numPr>
          <w:ilvl w:val="0"/>
          <w:numId w:val="4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or obligations in respect of performance and completion guaranties, or customs, stay, performance, bid, surety, statutory, appeal, performance and return of money bonds, tenders, statutory obligations, leases, governmental contracts, trade contracts or other similar obligations incurred in the ordinary course of business and, in each case, not in respect of borrowed money or in respect of any letters of credit, bank guaranties, surety bonds, performance bonds or similar instruments to support any of the foregoing items;</w:t>
      </w:r>
    </w:p>
    <w:p>
      <w:pPr>
        <w:spacing w:after="0" w:line="171" w:lineRule="exact"/>
        <w:rPr>
          <w:rFonts w:ascii="Arial" w:cs="Arial" w:eastAsia="Arial" w:hAnsi="Arial"/>
          <w:sz w:val="17"/>
          <w:szCs w:val="17"/>
          <w:color w:val="auto"/>
        </w:rPr>
      </w:pPr>
    </w:p>
    <w:p>
      <w:pPr>
        <w:ind w:left="-60" w:firstLine="996"/>
        <w:spacing w:after="0" w:line="264" w:lineRule="auto"/>
        <w:tabs>
          <w:tab w:leader="none" w:pos="118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Indebtedness is extinguished within five Business Days of incurrence;</w:t>
      </w:r>
    </w:p>
    <w:p>
      <w:pPr>
        <w:spacing w:after="0" w:line="181" w:lineRule="exact"/>
        <w:rPr>
          <w:rFonts w:ascii="Arial" w:cs="Arial" w:eastAsia="Arial" w:hAnsi="Arial"/>
          <w:sz w:val="18"/>
          <w:szCs w:val="18"/>
          <w:color w:val="auto"/>
        </w:rPr>
      </w:pPr>
    </w:p>
    <w:p>
      <w:pPr>
        <w:ind w:left="-60" w:right="100" w:firstLine="996"/>
        <w:spacing w:after="0" w:line="273" w:lineRule="auto"/>
        <w:tabs>
          <w:tab w:leader="none" w:pos="1187" w:val="left"/>
        </w:tabs>
        <w:numPr>
          <w:ilvl w:val="0"/>
          <w:numId w:val="414"/>
        </w:numPr>
        <w:rPr>
          <w:rFonts w:ascii="Arial" w:cs="Arial" w:eastAsia="Arial" w:hAnsi="Arial"/>
          <w:sz w:val="17"/>
          <w:szCs w:val="17"/>
          <w:color w:val="auto"/>
        </w:rPr>
      </w:pPr>
      <w:r>
        <w:rPr>
          <w:rFonts w:ascii="Arial" w:cs="Arial" w:eastAsia="Arial" w:hAnsi="Arial"/>
          <w:sz w:val="17"/>
          <w:szCs w:val="17"/>
          <w:color w:val="auto"/>
        </w:rPr>
        <w:t>Indebtedness in respect of commercial credit cards, stored value cards, purchasing cards and treasury management services, and other netting services, overdraft protections and overdraft facilities, automated clearing-house arrangements, employee credit card programs, corporate cards and purchasing cards, controlled disbursement, ACH transactions, return items, interstate depository network service, cash pooling and operational foreign exchange management, and, in each case, similar arrangements and otherwise in connection with cash management arrangements, including cash management arrangements among the Borrower and its Restricted Subsidiaries, including Indebtedness arising under or in connection with any Cash Management Agreement with a Cash Management Bank;</w:t>
      </w:r>
    </w:p>
    <w:p>
      <w:pPr>
        <w:spacing w:after="0" w:line="178" w:lineRule="exact"/>
        <w:rPr>
          <w:rFonts w:ascii="Arial" w:cs="Arial" w:eastAsia="Arial" w:hAnsi="Arial"/>
          <w:sz w:val="17"/>
          <w:szCs w:val="17"/>
          <w:color w:val="auto"/>
        </w:rPr>
      </w:pPr>
    </w:p>
    <w:p>
      <w:pPr>
        <w:ind w:left="-60" w:firstLine="996"/>
        <w:spacing w:after="0" w:line="259" w:lineRule="auto"/>
        <w:tabs>
          <w:tab w:leader="none" w:pos="118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Indebtedness incurred under commercial letters of credit issued for the account of the Borrower or any of its Restricted Subsidiaries in the ordinary course of business (and not for the purpose of, directly or indirectly, incurring Indebtedness or providing credit support or a similar arrangement in respect of Indebtedness) or Indebtedness of the Borrower or any of its Restricted Subsidiaries under letters of credit and bank guarantees backstopped by Letters of Credit issued under this Agreement;</w:t>
      </w:r>
    </w:p>
    <w:p>
      <w:pPr>
        <w:spacing w:after="0" w:line="186" w:lineRule="exact"/>
        <w:rPr>
          <w:rFonts w:ascii="Arial" w:cs="Arial" w:eastAsia="Arial" w:hAnsi="Arial"/>
          <w:sz w:val="18"/>
          <w:szCs w:val="18"/>
          <w:color w:val="auto"/>
        </w:rPr>
      </w:pPr>
    </w:p>
    <w:p>
      <w:pPr>
        <w:ind w:left="-60" w:right="300" w:firstLine="996"/>
        <w:spacing w:after="0" w:line="277" w:lineRule="auto"/>
        <w:tabs>
          <w:tab w:leader="none" w:pos="115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of the Borrower or any of its Restricted Subsidiaries incurred in the ordinary course of business;</w:t>
      </w:r>
    </w:p>
    <w:p>
      <w:pPr>
        <w:spacing w:after="0" w:line="170" w:lineRule="exact"/>
        <w:rPr>
          <w:rFonts w:ascii="Arial" w:cs="Arial" w:eastAsia="Arial" w:hAnsi="Arial"/>
          <w:sz w:val="18"/>
          <w:szCs w:val="18"/>
          <w:color w:val="auto"/>
        </w:rPr>
      </w:pPr>
    </w:p>
    <w:p>
      <w:pPr>
        <w:ind w:left="-60" w:firstLine="996"/>
        <w:spacing w:after="0" w:line="277" w:lineRule="auto"/>
        <w:tabs>
          <w:tab w:leader="none" w:pos="116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 Indebtedness incurred or issued by the Borrower or by any Restricted Subsidiary of the Borrower in an amount not to exceed in the aggregate the Incremental Available Amount (such debt, “</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560" w:hanging="223"/>
        <w:spacing w:after="0"/>
        <w:tabs>
          <w:tab w:leader="none" w:pos="15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no Event of Default shall exist before or after giving effect to the incurrence of such Incremental Equivalent Debt;</w:t>
      </w:r>
    </w:p>
    <w:p>
      <w:pPr>
        <w:spacing w:after="0" w:line="117" w:lineRule="exact"/>
        <w:rPr>
          <w:rFonts w:ascii="Arial" w:cs="Arial" w:eastAsia="Arial" w:hAnsi="Arial"/>
          <w:sz w:val="18"/>
          <w:szCs w:val="18"/>
          <w:color w:val="auto"/>
        </w:rPr>
      </w:pPr>
    </w:p>
    <w:p>
      <w:pPr>
        <w:ind w:left="1600" w:hanging="263"/>
        <w:spacing w:after="0"/>
        <w:tabs>
          <w:tab w:leader="none" w:pos="160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such Incremental Equivalent Debt shall not be Guaranteed by any Person that is not a Guarantor;</w:t>
      </w:r>
    </w:p>
    <w:p>
      <w:pPr>
        <w:spacing w:after="0" w:line="117" w:lineRule="exact"/>
        <w:rPr>
          <w:rFonts w:ascii="Arial" w:cs="Arial" w:eastAsia="Arial" w:hAnsi="Arial"/>
          <w:sz w:val="18"/>
          <w:szCs w:val="18"/>
          <w:color w:val="auto"/>
        </w:rPr>
      </w:pPr>
    </w:p>
    <w:p>
      <w:pPr>
        <w:jc w:val="both"/>
        <w:ind w:left="940" w:right="120" w:firstLine="397"/>
        <w:spacing w:after="0" w:line="264" w:lineRule="auto"/>
        <w:tabs>
          <w:tab w:leader="none" w:pos="165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if such Incremental Equivalent Debt is in the form of loans secured by any or all of the Collateral on a pari passu basis with the Liens securing the Obligations hereunder, such Incremental Equivalent Debt shall be subject to </w:t>
      </w:r>
      <w:r>
        <w:rPr>
          <w:rFonts w:ascii="Arial" w:cs="Arial" w:eastAsia="Arial" w:hAnsi="Arial"/>
          <w:sz w:val="18"/>
          <w:szCs w:val="18"/>
          <w:u w:val="single" w:color="auto"/>
          <w:color w:val="auto"/>
        </w:rPr>
        <w:t>Section 2.14(d)(ii)</w:t>
      </w:r>
      <w:r>
        <w:rPr>
          <w:rFonts w:ascii="Arial" w:cs="Arial" w:eastAsia="Arial" w:hAnsi="Arial"/>
          <w:sz w:val="18"/>
          <w:szCs w:val="18"/>
          <w:color w:val="auto"/>
        </w:rPr>
        <w:t xml:space="preserve"> as if such Incremental Equivalent Debt were a Class of Incremental Term Loans;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20"/>
          </w:cols>
          <w:pgMar w:left="500" w:top="273" w:right="479" w:bottom="1440" w:gutter="0" w:footer="0" w:header="0"/>
        </w:sectPr>
      </w:pPr>
    </w:p>
    <w:bookmarkStart w:id="361" w:name="page362"/>
    <w:bookmarkEnd w:id="361"/>
    <w:p>
      <w:pPr>
        <w:ind w:right="20" w:firstLine="397"/>
        <w:spacing w:after="0" w:line="257" w:lineRule="auto"/>
        <w:tabs>
          <w:tab w:leader="none" w:pos="706"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of such Incremental Equivalent Debt shall not be more restrictive, taken as a whole, to the Borrower and its Restricted Subsidiaries than those applicable to any Facility at the time of incurrence of such Incremental Equivalent Debt, unless (x) such other terms apply only after the Latest Maturity Date at the time of incurrence of such Incremental Equivalent Debt, (y) this Agreement is amended so that such terms are also applicable for the benefit of any Lenders under the then-existing Facilities or (z) such other terms relate only to pricing, fees or redemption terms;</w:t>
      </w:r>
    </w:p>
    <w:p>
      <w:pPr>
        <w:spacing w:after="0" w:line="80" w:lineRule="exact"/>
        <w:rPr>
          <w:rFonts w:ascii="Arial" w:cs="Arial" w:eastAsia="Arial" w:hAnsi="Arial"/>
          <w:sz w:val="18"/>
          <w:szCs w:val="18"/>
          <w:color w:val="auto"/>
        </w:rPr>
      </w:pPr>
    </w:p>
    <w:p>
      <w:pPr>
        <w:ind w:firstLine="397"/>
        <w:spacing w:after="0" w:line="271" w:lineRule="auto"/>
        <w:tabs>
          <w:tab w:leader="none" w:pos="656" w:val="left"/>
        </w:tabs>
        <w:numPr>
          <w:ilvl w:val="0"/>
          <w:numId w:val="415"/>
        </w:numPr>
        <w:rPr>
          <w:rFonts w:ascii="Arial" w:cs="Arial" w:eastAsia="Arial" w:hAnsi="Arial"/>
          <w:sz w:val="17"/>
          <w:szCs w:val="17"/>
          <w:color w:val="auto"/>
        </w:rPr>
      </w:pPr>
      <w:r>
        <w:rPr>
          <w:rFonts w:ascii="Arial" w:cs="Arial" w:eastAsia="Arial" w:hAnsi="Arial"/>
          <w:sz w:val="17"/>
          <w:szCs w:val="17"/>
          <w:color w:val="auto"/>
        </w:rPr>
        <w:t>(x) if such Incremental Equivalent Debt is secured on a pari passu basis with the Liens securing the Obligations hereunder, the stated maturity of such Incremental Equivalent Debt shall be no earlier than the Latest Maturity Date at the time of incurrence of such Incremental Equivalent Debt and the Weighted Average Life to Maturity of such Incremental Equivalent Debt shall be no shorter than the remaining Weighted Average Life to Maturity of any then-existing Facility hereunder and (y) if such Incremental Equivalent Debt is secured on a junior basis to the Liens securing the Obligations hereunder or is unsecured, the stated maturity of such Incremental Equivalent Debt is not less than 91 days following the Latest Maturity Date at the time of incurrence of such Incremental Equivalent Debt and the Weighted Average Life to Maturity of such Incremental Equivalent Debt shall be no shorter than the remaining Weighted Average Life to Maturity of any then-existing Facility hereunder;</w:t>
      </w:r>
    </w:p>
    <w:p>
      <w:pPr>
        <w:spacing w:after="0" w:line="70" w:lineRule="exact"/>
        <w:rPr>
          <w:rFonts w:ascii="Arial" w:cs="Arial" w:eastAsia="Arial" w:hAnsi="Arial"/>
          <w:sz w:val="17"/>
          <w:szCs w:val="17"/>
          <w:color w:val="auto"/>
        </w:rPr>
      </w:pPr>
    </w:p>
    <w:p>
      <w:pPr>
        <w:ind w:left="700" w:hanging="303"/>
        <w:spacing w:after="0"/>
        <w:tabs>
          <w:tab w:leader="none" w:pos="70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aggregate principal outstanding amount of all Non-Guarantor Debt does not exceed the Non-Guarantor Debt Cap;</w:t>
      </w:r>
    </w:p>
    <w:p>
      <w:pPr>
        <w:spacing w:after="0" w:line="128" w:lineRule="exact"/>
        <w:rPr>
          <w:rFonts w:ascii="Arial" w:cs="Arial" w:eastAsia="Arial" w:hAnsi="Arial"/>
          <w:sz w:val="17"/>
          <w:szCs w:val="17"/>
          <w:color w:val="auto"/>
        </w:rPr>
      </w:pPr>
    </w:p>
    <w:p>
      <w:pPr>
        <w:ind w:right="520" w:firstLine="397"/>
        <w:spacing w:after="0" w:line="277" w:lineRule="auto"/>
        <w:tabs>
          <w:tab w:leader="none" w:pos="7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Borrower shall deliver or cause to be delivered legal opinions and such other documents reasonably requested by the Administrative Agent in connection with such transaction; and</w:t>
      </w:r>
    </w:p>
    <w:p>
      <w:pPr>
        <w:spacing w:after="0" w:line="62" w:lineRule="exact"/>
        <w:rPr>
          <w:rFonts w:ascii="Arial" w:cs="Arial" w:eastAsia="Arial" w:hAnsi="Arial"/>
          <w:sz w:val="18"/>
          <w:szCs w:val="18"/>
          <w:color w:val="auto"/>
        </w:rPr>
      </w:pPr>
    </w:p>
    <w:p>
      <w:pPr>
        <w:ind w:right="40" w:firstLine="397"/>
        <w:spacing w:after="0" w:line="289" w:lineRule="auto"/>
        <w:tabs>
          <w:tab w:leader="none" w:pos="806"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if such Incremental Equivalent Debt is secured, the representative and collateral trustee acting on behalf of the holders of such Incremental Equivalent Debt shall have executed and delivered to the Administrative Agent (x) a joinder to the Pari Passu Intercreditor Agreement and (if then in effect) the Junior Lien Intercreditor Agreement (if such Incremental Equivalent Debt is secured by any or all of the Collateral on a pari passu basis (without regard to control of remedies) with the Obligations hereunder) in accordance with the terms hereof and (y) a joinder to the Junior Lien Intercreditor Agreement (if such Incremental Equivalent Debt is secured by any or all of the Collateral on a junior basis to the Obligations hereunder)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that would cause such documents to be executed, then the Borrower, the Guarantors, the Administrative Agent and the representative and collateral trustee for such Other First Lien Obligations shall have executed and delivered the Pari Passu Intercreditor Agreement and/or the Junior Lien Intercreditor Agreement, as applicable and</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9940"/>
          </w:cols>
          <w:pgMar w:left="1440" w:top="274" w:right="519" w:bottom="1440" w:gutter="0" w:footer="0" w:header="0"/>
        </w:sectPr>
      </w:pPr>
    </w:p>
    <w:bookmarkStart w:id="362" w:name="page363"/>
    <w:bookmarkEnd w:id="362"/>
    <w:p>
      <w:pPr>
        <w:ind w:left="-4" w:right="100" w:firstLine="996"/>
        <w:spacing w:after="0" w:line="264" w:lineRule="auto"/>
        <w:tabs>
          <w:tab w:leader="none" w:pos="1273"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Refinancing of any Indebtedness incurred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(provided that any such Permitted Refinancing of any such Indebtedness that was initially incurred in reliance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Incremental Available Amount (or any Permitted Refinancing thereof) shall continue to be deemed to be a utilization of such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for purposes hereof);</w:t>
      </w:r>
    </w:p>
    <w:p>
      <w:pPr>
        <w:spacing w:after="0" w:line="181" w:lineRule="exact"/>
        <w:rPr>
          <w:sz w:val="20"/>
          <w:szCs w:val="20"/>
          <w:color w:val="auto"/>
        </w:rPr>
      </w:pPr>
    </w:p>
    <w:p>
      <w:pPr>
        <w:ind w:left="1216" w:hanging="224"/>
        <w:spacing w:after="0"/>
        <w:tabs>
          <w:tab w:leader="none" w:pos="1216" w:val="left"/>
        </w:tabs>
        <w:numPr>
          <w:ilvl w:val="1"/>
          <w:numId w:val="417"/>
        </w:numPr>
        <w:rPr>
          <w:rFonts w:ascii="Arial" w:cs="Arial" w:eastAsia="Arial" w:hAnsi="Arial"/>
          <w:sz w:val="16"/>
          <w:szCs w:val="16"/>
          <w:color w:val="auto"/>
        </w:rPr>
      </w:pPr>
      <w:r>
        <w:rPr>
          <w:rFonts w:ascii="Arial" w:cs="Arial" w:eastAsia="Arial" w:hAnsi="Arial"/>
          <w:sz w:val="16"/>
          <w:szCs w:val="16"/>
          <w:color w:val="auto"/>
        </w:rPr>
        <w:t>(x) Indebtedness assumed in connection with a Permitted Acquisition or other Investment in the nature of an acquisition so long as</w:t>
      </w:r>
    </w:p>
    <w:p>
      <w:pPr>
        <w:spacing w:after="0" w:line="46" w:lineRule="exact"/>
        <w:rPr>
          <w:rFonts w:ascii="Arial" w:cs="Arial" w:eastAsia="Arial" w:hAnsi="Arial"/>
          <w:sz w:val="16"/>
          <w:szCs w:val="16"/>
          <w:color w:val="auto"/>
        </w:rPr>
      </w:pPr>
    </w:p>
    <w:p>
      <w:pPr>
        <w:ind w:left="-4" w:firstLine="4"/>
        <w:spacing w:after="0" w:line="268" w:lineRule="auto"/>
        <w:tabs>
          <w:tab w:leader="none" w:pos="211" w:val="left"/>
        </w:tabs>
        <w:numPr>
          <w:ilvl w:val="0"/>
          <w:numId w:val="418"/>
        </w:numPr>
        <w:rPr>
          <w:rFonts w:ascii="Arial" w:cs="Arial" w:eastAsia="Arial" w:hAnsi="Arial"/>
          <w:sz w:val="17"/>
          <w:szCs w:val="17"/>
          <w:color w:val="auto"/>
        </w:rPr>
      </w:pPr>
      <w:r>
        <w:rPr>
          <w:rFonts w:ascii="Arial" w:cs="Arial" w:eastAsia="Arial" w:hAnsi="Arial"/>
          <w:sz w:val="17"/>
          <w:szCs w:val="17"/>
          <w:color w:val="auto"/>
        </w:rPr>
        <w:t xml:space="preserve">such Indebtedness existed prior to the consummation of such Permitted Acquisition or other Investment in the nature of an acquisition, (ii) such Indebtedness is not created in contemplation of such Permitted Acquisition or other Investment in the nature of an acquisition, (iii) such Indebtedness is solely the obligation of such Person, and not of the Borrower or any other Restricted Subsidiary (other than any Person acquired by the Borrower or any Restricted Subsidiary as a result of such Permitted Acquisition or other Investment in the nature of an acquisition and any Restricted Subsidiary of such acquired Person as of the date of such Permitted Acquisition or other Investment in the nature of an acquisition) and (iv) if such Indebtedness (excluding leases) is secured, the pro forma Secured Net Leverage Ratio would not exceed the greater of 4.10:1.00 and if such Indebtedness (excluding leases) is unsecured, the pro forma Total Net Leverage Ratio would not exceed the greater of 4.10:1.00 and (y) Permitted Refinancings of any Indebtedness assumed under the foregoing </w:t>
      </w:r>
      <w:r>
        <w:rPr>
          <w:rFonts w:ascii="Arial" w:cs="Arial" w:eastAsia="Arial" w:hAnsi="Arial"/>
          <w:sz w:val="17"/>
          <w:szCs w:val="17"/>
          <w:u w:val="single" w:color="auto"/>
          <w:color w:val="auto"/>
        </w:rPr>
        <w:t>clause (x)</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4" w:right="120" w:firstLine="996"/>
        <w:spacing w:after="0" w:line="257" w:lineRule="auto"/>
        <w:tabs>
          <w:tab w:leader="none" w:pos="1243"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 Indebtedness incurred in the ordinary course of business in respect of obligations of the Borrower or any Restricted Subsidiary to pay the deferred purchase price of goods or services or progress payments in connection with such goods and services, (ii) Indebtedness in respect of any letter of credit, bankers’ acceptance, bank guaranty or similar instrument supporting trade payables, warehouse receipts or similar facilities entered into in the ordinary course of business, and (iii) Indebtedness consisting of obligations owing under any customer or supplier incentive, supply, license or similar agreements entered into in the ordinary course of business;</w:t>
      </w:r>
    </w:p>
    <w:p>
      <w:pPr>
        <w:spacing w:after="0" w:line="188" w:lineRule="exact"/>
        <w:rPr>
          <w:rFonts w:ascii="Arial" w:cs="Arial" w:eastAsia="Arial" w:hAnsi="Arial"/>
          <w:sz w:val="18"/>
          <w:szCs w:val="18"/>
          <w:color w:val="auto"/>
        </w:rPr>
      </w:pPr>
    </w:p>
    <w:p>
      <w:pPr>
        <w:ind w:left="-4" w:right="300" w:firstLine="996"/>
        <w:spacing w:after="0" w:line="277" w:lineRule="auto"/>
        <w:tabs>
          <w:tab w:leader="none" w:pos="1243"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unfunded pension fund and other employee benefit plan obligations and liabilities incurred in the ordinary course of business to the extent that the unfunded amounts would not otherwise cause an Event of Default under </w:t>
      </w:r>
      <w:r>
        <w:rPr>
          <w:rFonts w:ascii="Arial" w:cs="Arial" w:eastAsia="Arial" w:hAnsi="Arial"/>
          <w:sz w:val="18"/>
          <w:szCs w:val="18"/>
          <w:u w:val="single" w:color="auto"/>
          <w:color w:val="auto"/>
        </w:rPr>
        <w:t>Section 8.01(i)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firstLine="996"/>
        <w:spacing w:after="0" w:line="277" w:lineRule="auto"/>
        <w:tabs>
          <w:tab w:leader="none" w:pos="1283" w:val="left"/>
        </w:tabs>
        <w:numPr>
          <w:ilvl w:val="1"/>
          <w:numId w:val="418"/>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w:t>
      </w:r>
    </w:p>
    <w:p>
      <w:pPr>
        <w:spacing w:after="0" w:line="170" w:lineRule="exact"/>
        <w:rPr>
          <w:rFonts w:ascii="Arial" w:cs="Arial" w:eastAsia="Arial" w:hAnsi="Arial"/>
          <w:sz w:val="18"/>
          <w:szCs w:val="18"/>
          <w:color w:val="auto"/>
        </w:rPr>
      </w:pPr>
    </w:p>
    <w:p>
      <w:pPr>
        <w:ind w:left="-4" w:right="380" w:firstLine="996"/>
        <w:spacing w:after="0" w:line="342" w:lineRule="auto"/>
        <w:tabs>
          <w:tab w:leader="none" w:pos="1243" w:val="left"/>
        </w:tabs>
        <w:numPr>
          <w:ilvl w:val="1"/>
          <w:numId w:val="418"/>
        </w:numPr>
        <w:rPr>
          <w:rFonts w:ascii="Arial" w:cs="Arial" w:eastAsia="Arial" w:hAnsi="Arial"/>
          <w:sz w:val="16"/>
          <w:szCs w:val="16"/>
          <w:color w:val="auto"/>
        </w:rPr>
      </w:pPr>
      <w:r>
        <w:rPr>
          <w:rFonts w:ascii="Arial" w:cs="Arial" w:eastAsia="Arial" w:hAnsi="Arial"/>
          <w:sz w:val="16"/>
          <w:szCs w:val="16"/>
          <w:color w:val="auto"/>
        </w:rPr>
        <w:t>without duplication of any other Indebtedness, all premiums (if any), interest (including post-petition interest and payment in kind interest), accretion or amortization of original issue discount, fees, expenses and charges with respect to Indebtedness permitted hereunder; and</w:t>
      </w:r>
    </w:p>
    <w:p>
      <w:pPr>
        <w:spacing w:after="0" w:line="123" w:lineRule="exact"/>
        <w:rPr>
          <w:rFonts w:ascii="Arial" w:cs="Arial" w:eastAsia="Arial" w:hAnsi="Arial"/>
          <w:sz w:val="16"/>
          <w:szCs w:val="16"/>
          <w:color w:val="auto"/>
        </w:rPr>
      </w:pPr>
    </w:p>
    <w:p>
      <w:pPr>
        <w:ind w:left="1256" w:hanging="264"/>
        <w:spacing w:after="0"/>
        <w:tabs>
          <w:tab w:leader="none" w:pos="1256"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Indebtedness incurred in connection with sale and leaseback transactions permitted pursuant to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96"/>
          </w:cols>
          <w:pgMar w:left="444" w:top="274" w:right="459" w:bottom="1440" w:gutter="0" w:footer="0" w:header="0"/>
        </w:sectPr>
      </w:pPr>
    </w:p>
    <w:bookmarkStart w:id="363" w:name="page364"/>
    <w:bookmarkEnd w:id="363"/>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w:t>
      </w:r>
      <w:r>
        <w:rPr>
          <w:rFonts w:ascii="Arial" w:cs="Arial" w:eastAsia="Arial" w:hAnsi="Arial"/>
          <w:sz w:val="18"/>
          <w:szCs w:val="18"/>
          <w:i w:val="1"/>
          <w:iCs w:val="1"/>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73" w:lineRule="exact"/>
        <w:rPr>
          <w:sz w:val="20"/>
          <w:szCs w:val="20"/>
          <w:color w:val="auto"/>
        </w:rPr>
      </w:pPr>
    </w:p>
    <w:p>
      <w:pPr>
        <w:ind w:right="140" w:firstLine="996"/>
        <w:spacing w:after="0" w:line="271" w:lineRule="auto"/>
        <w:tabs>
          <w:tab w:leader="none" w:pos="1237"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any Subsidiary may merge with (i)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be the continuing or surviving Person and (ii)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when any wholly-owned Subsidiary is merging with another Subsidiary, a wholly-owned Subsidiary shall be the continuing or surviving Person, (B) when any Restricted Subsidiary is merging with another Subsidiary, either (I) a Restricted Subsidiary shall be the continuing or surviving Person or (II) an Unrestricted Subsidiary shall be the continuing or surviving person (if such Person shall be permitted to be designated as an Unrestricted Subsidiary hereunder (other than pursuant to </w:t>
      </w:r>
      <w:r>
        <w:rPr>
          <w:rFonts w:ascii="Arial" w:cs="Arial" w:eastAsia="Arial" w:hAnsi="Arial"/>
          <w:sz w:val="17"/>
          <w:szCs w:val="17"/>
          <w:u w:val="single" w:color="auto"/>
          <w:color w:val="auto"/>
        </w:rPr>
        <w:t>Section 7.02(g)</w:t>
      </w:r>
      <w:r>
        <w:rPr>
          <w:rFonts w:ascii="Arial" w:cs="Arial" w:eastAsia="Arial" w:hAnsi="Arial"/>
          <w:sz w:val="17"/>
          <w:szCs w:val="17"/>
          <w:color w:val="auto"/>
        </w:rPr>
        <w:t xml:space="preserve">)), (C) when any Guarantor is merging with another Subsidiary, the continuing or surviving Person shall either (I) be a Guarantor or (II) a Loan Party, and (D) if as a result thereof, the Borrower owns, directly or indirectly, less of such Subsidiary’s equity interests than it did prior to the merger, such merger shall also constitute a Disposition subject to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must be permitted by any clause thereof other than </w:t>
      </w:r>
      <w:r>
        <w:rPr>
          <w:rFonts w:ascii="Arial" w:cs="Arial" w:eastAsia="Arial" w:hAnsi="Arial"/>
          <w:sz w:val="17"/>
          <w:szCs w:val="17"/>
          <w:u w:val="single" w:color="auto"/>
          <w:color w:val="auto"/>
        </w:rPr>
        <w:t>Section 7.05(d)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996"/>
        <w:spacing w:after="0" w:line="255" w:lineRule="auto"/>
        <w:tabs>
          <w:tab w:leader="none" w:pos="124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(i) any Subsidiary may merge, amalgamate, liquidate, dissolve or change its form if the Borrower determines in good faith that such merger, amalgamation, liquidation, dissolution or change in form (x) is in the best interests of the Borrower and (y) is not materially disadvantageous to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that in the case of a merger, amalgamation, dissolution or liquidation of a Loan Party that results in a distribution of assets to a Subsidiary that is not a Loan Party, such distribution shall be treated as an Investment and shall comply with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(ii) any Subsidiary may merge, dissolve, liquidate or consolidate, so long as the purpose thereof is to effect a Disposition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240" w:hanging="244"/>
        <w:spacing w:after="0"/>
        <w:tabs>
          <w:tab w:leader="none" w:pos="12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the Borrower or any Restricted Subsidiary may consummate any Permitted Acquisition or any other Investment permitted by</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any such transaction involving the Borrower, the Borrower shall be the continuing or surviving Person; and (ii) in any such transaction involving a Guarantor, the continuing or surviving Person shall be a Guarantor or a Loan Party; and</w:t>
      </w:r>
    </w:p>
    <w:p>
      <w:pPr>
        <w:spacing w:after="0" w:line="184" w:lineRule="exact"/>
        <w:rPr>
          <w:sz w:val="20"/>
          <w:szCs w:val="20"/>
          <w:color w:val="auto"/>
        </w:rPr>
      </w:pPr>
    </w:p>
    <w:p>
      <w:pPr>
        <w:ind w:right="100" w:firstLine="996"/>
        <w:spacing w:after="0" w:line="254" w:lineRule="auto"/>
        <w:tabs>
          <w:tab w:leader="none" w:pos="124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dissolution or otherwise) (i) to the Borrower or to a Guarantor; or (ii) if the transferor is not a Guarantor, to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(A) if the transferor in such a transaction is a wholly-owned Subsidiary, then the transferee must either be the Borrower or one or more wholly-owned Subsidiaries, (B) if the transferor in such a transaction is a wholly-owned Restricted Subsidiary, then the transferee must either be the Borrower or one or more wholly-owned Restricted Subsidiaries and (C) to the extent that the transferee is not the Borrower or one or more wholly-owned Restricted Subsidiaries (based on the percentage of such transferee which is not owned directly or indirectly by the Borrower), the Disposition shall constitute a Disposition subject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shall be permitted under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so long as it is permitted by any clause of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7.05(d) or (g)(A)</w:t>
      </w:r>
      <w:r>
        <w:rPr>
          <w:rFonts w:ascii="Arial" w:cs="Arial" w:eastAsia="Arial" w:hAnsi="Arial"/>
          <w:sz w:val="18"/>
          <w:szCs w:val="18"/>
          <w:color w:val="auto"/>
        </w:rPr>
        <w: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0"/>
          </w:cols>
          <w:pgMar w:left="440" w:top="274" w:right="499" w:bottom="1440" w:gutter="0" w:footer="0" w:header="0"/>
        </w:sectPr>
      </w:pPr>
    </w:p>
    <w:bookmarkStart w:id="364" w:name="page365"/>
    <w:bookmarkEnd w:id="364"/>
    <w:p>
      <w:pPr>
        <w:jc w:val="both"/>
        <w:ind w:right="8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7"/>
          <w:szCs w:val="17"/>
          <w:i w:val="1"/>
          <w:iCs w:val="1"/>
          <w:color w:val="auto"/>
        </w:rPr>
        <w:t>Dispositions</w:t>
      </w:r>
      <w:r>
        <w:rPr>
          <w:rFonts w:ascii="Arial" w:cs="Arial" w:eastAsia="Arial" w:hAnsi="Arial"/>
          <w:sz w:val="17"/>
          <w:szCs w:val="17"/>
          <w:color w:val="auto"/>
        </w:rPr>
        <w:t xml:space="preserve">. Make any Disposition or enter into any agreement to make any Disposition, in each case, having a fair market value in excess of the greater of (i) $9,000,000 and (i) 5.00% of Consolidated EBITDA of the Borrower and its Restricted Subsidiaries based on the most recent financial statements delivered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in a single transaction or in a related series of transactions, except:</w:t>
      </w:r>
    </w:p>
    <w:p>
      <w:pPr>
        <w:spacing w:after="0" w:line="57" w:lineRule="exact"/>
        <w:rPr>
          <w:sz w:val="20"/>
          <w:szCs w:val="20"/>
          <w:color w:val="auto"/>
        </w:rPr>
      </w:pPr>
    </w:p>
    <w:p>
      <w:pPr>
        <w:ind w:right="20" w:firstLine="996"/>
        <w:spacing w:after="0" w:line="259" w:lineRule="auto"/>
        <w:tabs>
          <w:tab w:leader="none" w:pos="123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Dispositions of surplus, obsolete, used or worn out property, whether now owned or hereafter acquired in the ordinary course of business and Dispositions of property (including, without limitation, real estate and related improvements) no longer used or useful in the conduct of the business of the Borrower and its Restricted Subsidiaries (including allowing any registrations or any applications for registration of any immaterial intellectual property to lapse or go abandoned);</w:t>
      </w:r>
    </w:p>
    <w:p>
      <w:pPr>
        <w:spacing w:after="0" w:line="186" w:lineRule="exact"/>
        <w:rPr>
          <w:rFonts w:ascii="Arial" w:cs="Arial" w:eastAsia="Arial" w:hAnsi="Arial"/>
          <w:sz w:val="18"/>
          <w:szCs w:val="18"/>
          <w:color w:val="auto"/>
        </w:rPr>
      </w:pPr>
    </w:p>
    <w:p>
      <w:pPr>
        <w:ind w:right="200" w:firstLine="996"/>
        <w:spacing w:after="0" w:line="277" w:lineRule="auto"/>
        <w:tabs>
          <w:tab w:leader="none" w:pos="124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(x) Dispositions of inventory or equipment in the ordinary course of business and (y) the leasing or subleasing of real property in the ordinary course of business;</w:t>
      </w:r>
    </w:p>
    <w:p>
      <w:pPr>
        <w:spacing w:after="0" w:line="170" w:lineRule="exact"/>
        <w:rPr>
          <w:rFonts w:ascii="Arial" w:cs="Arial" w:eastAsia="Arial" w:hAnsi="Arial"/>
          <w:sz w:val="18"/>
          <w:szCs w:val="18"/>
          <w:color w:val="auto"/>
        </w:rPr>
      </w:pPr>
    </w:p>
    <w:p>
      <w:pPr>
        <w:ind w:left="1240" w:hanging="244"/>
        <w:spacing w:after="0"/>
        <w:tabs>
          <w:tab w:leader="none" w:pos="124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Dispositions of property to the extent that (i) such property is exchanged for credit against the purchase price of other property or</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proceeds of such Disposition are reasonably promptly applied to the purchase price of such replacement property;</w:t>
      </w:r>
    </w:p>
    <w:p>
      <w:pPr>
        <w:spacing w:after="0" w:line="210" w:lineRule="exact"/>
        <w:rPr>
          <w:rFonts w:ascii="Arial" w:cs="Arial" w:eastAsia="Arial" w:hAnsi="Arial"/>
          <w:sz w:val="18"/>
          <w:szCs w:val="18"/>
          <w:color w:val="auto"/>
        </w:rPr>
      </w:pPr>
    </w:p>
    <w:p>
      <w:pPr>
        <w:ind w:right="80" w:firstLine="996"/>
        <w:spacing w:after="0" w:line="264" w:lineRule="auto"/>
        <w:tabs>
          <w:tab w:leader="none" w:pos="124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 xml:space="preserve">Dispositions of property by the Borrower to any Restricted Subsidiary, or by any Restricted Subsidiary to the Borrower or to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the Borrower or a Guarantor, the transferee thereof must either be the Borrower or a Guarantor;</w:t>
      </w:r>
    </w:p>
    <w:p>
      <w:pPr>
        <w:spacing w:after="0" w:line="181" w:lineRule="exact"/>
        <w:rPr>
          <w:rFonts w:ascii="Arial" w:cs="Arial" w:eastAsia="Arial" w:hAnsi="Arial"/>
          <w:sz w:val="18"/>
          <w:szCs w:val="18"/>
          <w:color w:val="auto"/>
        </w:rPr>
      </w:pPr>
    </w:p>
    <w:p>
      <w:pPr>
        <w:ind w:right="420" w:firstLine="996"/>
        <w:spacing w:after="0" w:line="277" w:lineRule="auto"/>
        <w:tabs>
          <w:tab w:leader="none" w:pos="123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Dispositions of accounts receivable for purposes of collection or forgiveness or discounting of accounts receivable in the ordinary course of business;</w:t>
      </w:r>
    </w:p>
    <w:p>
      <w:pPr>
        <w:spacing w:after="0" w:line="170" w:lineRule="exact"/>
        <w:rPr>
          <w:rFonts w:ascii="Arial" w:cs="Arial" w:eastAsia="Arial" w:hAnsi="Arial"/>
          <w:sz w:val="18"/>
          <w:szCs w:val="18"/>
          <w:color w:val="auto"/>
        </w:rPr>
      </w:pPr>
    </w:p>
    <w:p>
      <w:pPr>
        <w:ind w:left="1220" w:hanging="224"/>
        <w:spacing w:after="0"/>
        <w:tabs>
          <w:tab w:leader="none" w:pos="12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Dispositions of investment securities, cash and Cash Equivalents in the ordinary course of business;</w:t>
      </w:r>
    </w:p>
    <w:p>
      <w:pPr>
        <w:spacing w:after="0" w:line="225" w:lineRule="exact"/>
        <w:rPr>
          <w:rFonts w:ascii="Arial" w:cs="Arial" w:eastAsia="Arial" w:hAnsi="Arial"/>
          <w:sz w:val="18"/>
          <w:szCs w:val="18"/>
          <w:color w:val="auto"/>
        </w:rPr>
      </w:pPr>
    </w:p>
    <w:p>
      <w:pPr>
        <w:ind w:firstLine="996"/>
        <w:spacing w:after="0" w:line="264" w:lineRule="auto"/>
        <w:tabs>
          <w:tab w:leader="none" w:pos="124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 xml:space="preserve">(A) 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7.04(a)(ii)(D)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7.04(d)(ii)(C)</w:t>
      </w:r>
      <w:r>
        <w:rPr>
          <w:rFonts w:ascii="Arial" w:cs="Arial" w:eastAsia="Arial" w:hAnsi="Arial"/>
          <w:sz w:val="18"/>
          <w:szCs w:val="18"/>
          <w:color w:val="auto"/>
        </w:rPr>
        <w:t xml:space="preserve">); (B) Dispositions that constitute Investments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7.02(g)</w:t>
      </w:r>
      <w:r>
        <w:rPr>
          <w:rFonts w:ascii="Arial" w:cs="Arial" w:eastAsia="Arial" w:hAnsi="Arial"/>
          <w:sz w:val="18"/>
          <w:szCs w:val="18"/>
          <w:color w:val="auto"/>
        </w:rPr>
        <w:t xml:space="preserve">); and (C) Dispositions that constitute Restricted Payments permitted by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996"/>
        <w:spacing w:after="0" w:line="288" w:lineRule="auto"/>
        <w:tabs>
          <w:tab w:leader="none" w:pos="1247" w:val="left"/>
        </w:tabs>
        <w:numPr>
          <w:ilvl w:val="1"/>
          <w:numId w:val="422"/>
        </w:numPr>
        <w:rPr>
          <w:rFonts w:ascii="Arial" w:cs="Arial" w:eastAsia="Arial" w:hAnsi="Arial"/>
          <w:sz w:val="16"/>
          <w:szCs w:val="16"/>
          <w:color w:val="auto"/>
        </w:rPr>
      </w:pPr>
      <w:r>
        <w:rPr>
          <w:rFonts w:ascii="Arial" w:cs="Arial" w:eastAsia="Arial" w:hAnsi="Arial"/>
          <w:sz w:val="16"/>
          <w:szCs w:val="16"/>
          <w:color w:val="auto"/>
        </w:rPr>
        <w:t>(i) Dispositions, licensing, sublicensing and cross-licensing arrangements, in each case, involving any technology or IP Rights of the Borrower or any Restricted Subsidiary in each case, either entered into in the ordinary course of business or pursuant to a bona fide transaction intended to increase the revenue of the Borrower and its Restricted Subsidiaries and which could not reasonably be expected to have a Material Adverse Effect,</w:t>
      </w:r>
    </w:p>
    <w:p>
      <w:pPr>
        <w:ind w:right="20" w:firstLine="4"/>
        <w:spacing w:after="0" w:line="254" w:lineRule="auto"/>
        <w:tabs>
          <w:tab w:leader="none" w:pos="26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Disposition, abandonment, cancellation or lapse of IP Rights, or any issuances or registrations, or applications for issuances or registrations, of any IP Rights, which, in the reasonable good faith determination of the Borrower or its Restricted Subsidiaries are no longer economically practicable to maintain, worth the cost of maintaining, or used or useful in any material respect, (iii) Dispositions of IP Rights through expiration in accordance with their respective statutory terms, or (iv) Dispositions,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365" w:name="page366"/>
    <w:bookmarkEnd w:id="365"/>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licensing, sublicensing and cross-licensing arrangements involving any technology or IP Rights of (A) the Borrower or any Restricted Subsidiary that is a Loan Party to the Borrower or any Restricted Subsidiary that is a Loan Party, or (B) any Restricted Subsidiary that is not a Loan Party to the Borrower or any Restricted Subsidiary that is not a Loan Party;</w:t>
      </w:r>
    </w:p>
    <w:p>
      <w:pPr>
        <w:spacing w:after="0" w:line="181" w:lineRule="exact"/>
        <w:rPr>
          <w:sz w:val="20"/>
          <w:szCs w:val="20"/>
          <w:color w:val="auto"/>
        </w:rPr>
      </w:pPr>
    </w:p>
    <w:p>
      <w:pPr>
        <w:ind w:right="100" w:firstLine="996"/>
        <w:spacing w:after="0" w:line="264" w:lineRule="auto"/>
        <w:tabs>
          <w:tab w:leader="none" w:pos="1207"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transfers of condemned property as a result of the exercise of “eminent domain” or other similar policies to the respective Governmental Authority or agency that has condemned the same (whether by deed in lieu of condemnation or otherwise), and transfers of property that has been subject to a casualty to the respective insurer of such real property as part of an insurance settlement;</w:t>
      </w:r>
    </w:p>
    <w:p>
      <w:pPr>
        <w:spacing w:after="0" w:line="181" w:lineRule="exact"/>
        <w:rPr>
          <w:rFonts w:ascii="Arial" w:cs="Arial" w:eastAsia="Arial" w:hAnsi="Arial"/>
          <w:sz w:val="18"/>
          <w:szCs w:val="18"/>
          <w:color w:val="auto"/>
        </w:rPr>
      </w:pPr>
    </w:p>
    <w:p>
      <w:pPr>
        <w:ind w:right="100" w:firstLine="996"/>
        <w:spacing w:after="0" w:line="284" w:lineRule="auto"/>
        <w:tabs>
          <w:tab w:leader="none" w:pos="1207" w:val="left"/>
        </w:tabs>
        <w:numPr>
          <w:ilvl w:val="1"/>
          <w:numId w:val="424"/>
        </w:numPr>
        <w:rPr>
          <w:rFonts w:ascii="Arial" w:cs="Arial" w:eastAsia="Arial" w:hAnsi="Arial"/>
          <w:sz w:val="16"/>
          <w:szCs w:val="16"/>
          <w:color w:val="auto"/>
        </w:rPr>
      </w:pPr>
      <w:r>
        <w:rPr>
          <w:rFonts w:ascii="Arial" w:cs="Arial" w:eastAsia="Arial" w:hAnsi="Arial"/>
          <w:sz w:val="16"/>
          <w:szCs w:val="16"/>
          <w:color w:val="auto"/>
        </w:rPr>
        <w:t xml:space="preserve">Dispositions by the Borrower and its Restricted Subsidiaries of property not otherwise permitted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(but in any event excluding Receivables Program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Disposition with a purchase price in an aggregate amount (with respect to any single Disposition or series of related Dispositions) in excess of the greater of (i) $13,000,000 and (ii) 7.00% of Consolidated EBITDA of the Borrower and its Restricted Subsidiaries based on the most recent financial statements delivered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(i) at the time of such Disposition and after giving effect thereto, no Event of Default shall exist or would result from such Disposition as of the date of the agreement governing such Disposition, (ii) the consideration received for such property shall be in an amount at least equal to the fair market value thereof and</w:t>
      </w:r>
    </w:p>
    <w:p>
      <w:pPr>
        <w:spacing w:after="0" w:line="4" w:lineRule="exact"/>
        <w:rPr>
          <w:rFonts w:ascii="Arial" w:cs="Arial" w:eastAsia="Arial" w:hAnsi="Arial"/>
          <w:sz w:val="16"/>
          <w:szCs w:val="16"/>
          <w:color w:val="auto"/>
        </w:rPr>
      </w:pPr>
    </w:p>
    <w:p>
      <w:pPr>
        <w:ind w:firstLine="4"/>
        <w:spacing w:after="0" w:line="267" w:lineRule="auto"/>
        <w:tabs>
          <w:tab w:leader="none" w:pos="31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 xml:space="preserve">no less than 75% of such consideration shall be paid in cash;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the purposes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the following shall be deemed to be cash: (A) any liabilities (as shown on the Borrower’s or the applicable Restricted Subsidiary’s most recent balance sheet provided hereunder or in the footnotes thereto) of the Borrower or such Restricted Subsidiary (other than liabilities that are by their terms subordinated to the Obligations) that are assumed by the transferee with respect to the applicable Disposition and for which the Borrower and all of its Restricted Subsidiaries shall have been validly released by all applicable creditors in writing, (B) any securities received by the Borrower or the applicable Restricted Subsidiary from such transferee that are converted by the Borrower or such Restricted Subsidiary into cash or Cash Equivalents (to the extent of the cash or Cash Equivalents received) within 180 days (or such longer period as the Administrative Agent may agree) following the closing of the applicable Disposition and (C) any Designated Non-Cash Consideration received any in respect of such Disposition having an aggregate fair market value, taken together with all other Designated Non-Cash Consideration received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that is at that time outstanding, not in excess of the greater of (i) $20,000,000 and (ii) 10.00% of Consolidated EBITDA of the Borrower and its Restricted Subsidiaries based on the most recent financial statements delivered under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ind w:right="240" w:firstLine="996"/>
        <w:spacing w:after="0" w:line="257" w:lineRule="auto"/>
        <w:tabs>
          <w:tab w:leader="none" w:pos="124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Dispositions by the Borrower and its Restricted Subsidiaries of property acquired after the Closing Date in Permitted Acquisitions;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Borrower identifies any such assets to be divested in reasonable detail in writing to the Administrative Agent within 180 days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longer period as the Administrative Agent may agree) following the closing of such Permitted Acquisition and (ii) the fair market value of the assets to be divested in connection with any Permitted Acquisition does not exceed an amount equal to 35.00% of the total cash and non-cash consideration for such Permitted Acquisition;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440" w:top="273" w:right="439" w:bottom="1440" w:gutter="0" w:footer="0" w:header="0"/>
        </w:sectPr>
      </w:pPr>
    </w:p>
    <w:bookmarkStart w:id="366" w:name="page367"/>
    <w:bookmarkEnd w:id="366"/>
    <w:p>
      <w:pPr>
        <w:ind w:left="-60" w:firstLine="996"/>
        <w:spacing w:after="0" w:line="259" w:lineRule="auto"/>
        <w:tabs>
          <w:tab w:leader="none" w:pos="1147"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Dispositions of Receivables Program Assets in connection with a Qualified Receivables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consideration received for such assets shall be in an amount at least equal to the fair market value thereof, (ii) the outstanding amount of Indebtedness in respect of Receivables Program Obligations shall not exceed the maximum amount permitted to be outstanding under </w:t>
      </w:r>
      <w:r>
        <w:rPr>
          <w:rFonts w:ascii="Arial" w:cs="Arial" w:eastAsia="Arial" w:hAnsi="Arial"/>
          <w:sz w:val="18"/>
          <w:szCs w:val="18"/>
          <w:u w:val="single" w:color="auto"/>
          <w:color w:val="auto"/>
        </w:rPr>
        <w:t>Section 7.03(j)</w:t>
      </w:r>
      <w:r>
        <w:rPr>
          <w:rFonts w:ascii="Arial" w:cs="Arial" w:eastAsia="Arial" w:hAnsi="Arial"/>
          <w:sz w:val="18"/>
          <w:szCs w:val="18"/>
          <w:color w:val="auto"/>
        </w:rPr>
        <w:t>, and (iii) no Event of Default shall have occurred and be continuing at the time such Disposition is made;</w:t>
      </w:r>
    </w:p>
    <w:p>
      <w:pPr>
        <w:spacing w:after="0" w:line="186" w:lineRule="exact"/>
        <w:rPr>
          <w:rFonts w:ascii="Arial" w:cs="Arial" w:eastAsia="Arial" w:hAnsi="Arial"/>
          <w:sz w:val="18"/>
          <w:szCs w:val="18"/>
          <w:color w:val="auto"/>
        </w:rPr>
      </w:pPr>
    </w:p>
    <w:p>
      <w:pPr>
        <w:jc w:val="both"/>
        <w:ind w:left="-60" w:right="220" w:firstLine="996"/>
        <w:spacing w:after="0" w:line="264" w:lineRule="auto"/>
        <w:tabs>
          <w:tab w:leader="none" w:pos="123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or the termination thereof which (i) do not interfere in any material respect with the business of the Borrower or any Restricted Subsidiary or (ii) relate to closed branches or manufacturing facilities or the discontinuation of any product or service line;</w:t>
      </w:r>
    </w:p>
    <w:p>
      <w:pPr>
        <w:spacing w:after="0" w:line="181" w:lineRule="exact"/>
        <w:rPr>
          <w:rFonts w:ascii="Arial" w:cs="Arial" w:eastAsia="Arial" w:hAnsi="Arial"/>
          <w:sz w:val="18"/>
          <w:szCs w:val="18"/>
          <w:color w:val="auto"/>
        </w:rPr>
      </w:pPr>
    </w:p>
    <w:p>
      <w:pPr>
        <w:ind w:left="1200" w:hanging="264"/>
        <w:spacing w:after="0"/>
        <w:tabs>
          <w:tab w:leader="none" w:pos="12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225" w:lineRule="exact"/>
        <w:rPr>
          <w:rFonts w:ascii="Arial" w:cs="Arial" w:eastAsia="Arial" w:hAnsi="Arial"/>
          <w:sz w:val="18"/>
          <w:szCs w:val="18"/>
          <w:color w:val="auto"/>
        </w:rPr>
      </w:pPr>
    </w:p>
    <w:p>
      <w:pPr>
        <w:ind w:left="-60" w:right="380" w:firstLine="996"/>
        <w:spacing w:after="0" w:line="264" w:lineRule="auto"/>
        <w:tabs>
          <w:tab w:leader="none" w:pos="118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Dispositions of Investments in joint ventures or any Subsidiary that is not a wholly-owned Subsidiary to the extent required by, or made pursuant to, buy/sell arrangements between the joint venture or similar parties set forth in joint venture arrangements and similar binding arrangements;</w:t>
      </w:r>
    </w:p>
    <w:p>
      <w:pPr>
        <w:spacing w:after="0" w:line="181" w:lineRule="exact"/>
        <w:rPr>
          <w:rFonts w:ascii="Arial" w:cs="Arial" w:eastAsia="Arial" w:hAnsi="Arial"/>
          <w:sz w:val="18"/>
          <w:szCs w:val="18"/>
          <w:color w:val="auto"/>
        </w:rPr>
      </w:pPr>
    </w:p>
    <w:p>
      <w:pPr>
        <w:ind w:left="-60" w:right="300" w:firstLine="996"/>
        <w:spacing w:after="0" w:line="264" w:lineRule="auto"/>
        <w:tabs>
          <w:tab w:leader="none" w:pos="118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 termination of leases in the ordinary course of business, (ii) the expiration of any option agreement in respect of real or personal property and (iii) any surrender or waiver of contractual rights or the settlement, release or surrender of contractual rights or other litigation claims (including in tort) in the ordinary course of business;</w:t>
      </w:r>
    </w:p>
    <w:p>
      <w:pPr>
        <w:spacing w:after="0" w:line="181" w:lineRule="exact"/>
        <w:rPr>
          <w:rFonts w:ascii="Arial" w:cs="Arial" w:eastAsia="Arial" w:hAnsi="Arial"/>
          <w:sz w:val="18"/>
          <w:szCs w:val="18"/>
          <w:color w:val="auto"/>
        </w:rPr>
      </w:pPr>
    </w:p>
    <w:p>
      <w:pPr>
        <w:ind w:left="-60" w:right="360" w:firstLine="996"/>
        <w:spacing w:after="0" w:line="308" w:lineRule="auto"/>
        <w:tabs>
          <w:tab w:leader="none" w:pos="118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any merger, consolidation, Disposition or conveyance the sole purpose of which is to reincorporate or reorganize (i) any Domestic Subsidiary in another jurisdiction in the United States. or (ii) any Foreign Subsidiary in the United States or any other jurisdiction;</w:t>
      </w:r>
    </w:p>
    <w:p>
      <w:pPr>
        <w:spacing w:after="0" w:line="146" w:lineRule="exact"/>
        <w:rPr>
          <w:rFonts w:ascii="Arial" w:cs="Arial" w:eastAsia="Arial" w:hAnsi="Arial"/>
          <w:sz w:val="17"/>
          <w:szCs w:val="17"/>
          <w:color w:val="auto"/>
        </w:rPr>
      </w:pPr>
    </w:p>
    <w:p>
      <w:pPr>
        <w:ind w:left="-60" w:right="140" w:firstLine="996"/>
        <w:spacing w:after="0" w:line="257" w:lineRule="auto"/>
        <w:tabs>
          <w:tab w:leader="none" w:pos="11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Dispositions of assets in connection with the closing or sale of an office in the ordinary course of business of the Borrower and its Restricted Subsidiaries, which consist of leasehold interests in the premises of such office, the equipment and fixtures located at such premises and the books and records relating exclusively and directly to the operations of such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to each and all such sales and closings, (i) on the date on which the agreement governing such Disposition is executed, no Event of Default shall result and (ii) such sale shall be on commercially reasonable prices and terms in a bona fide arm’s-length transaction;</w:t>
      </w:r>
    </w:p>
    <w:p>
      <w:pPr>
        <w:spacing w:after="0" w:line="188" w:lineRule="exact"/>
        <w:rPr>
          <w:rFonts w:ascii="Arial" w:cs="Arial" w:eastAsia="Arial" w:hAnsi="Arial"/>
          <w:sz w:val="18"/>
          <w:szCs w:val="18"/>
          <w:color w:val="auto"/>
        </w:rPr>
      </w:pPr>
    </w:p>
    <w:p>
      <w:pPr>
        <w:ind w:left="1180" w:hanging="244"/>
        <w:spacing w:after="0"/>
        <w:tabs>
          <w:tab w:leader="none" w:pos="11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Disposition of aircrafts, motor vehicles, trailers, cabs, and information technology equipment;</w:t>
      </w:r>
    </w:p>
    <w:p>
      <w:pPr>
        <w:spacing w:after="0" w:line="225" w:lineRule="exact"/>
        <w:rPr>
          <w:rFonts w:ascii="Arial" w:cs="Arial" w:eastAsia="Arial" w:hAnsi="Arial"/>
          <w:sz w:val="18"/>
          <w:szCs w:val="18"/>
          <w:color w:val="auto"/>
        </w:rPr>
      </w:pPr>
    </w:p>
    <w:p>
      <w:pPr>
        <w:ind w:left="1160" w:hanging="224"/>
        <w:spacing w:after="0"/>
        <w:tabs>
          <w:tab w:leader="none" w:pos="11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sale and leaseback transactions permitted pursuant to </w:t>
      </w:r>
      <w:r>
        <w:rPr>
          <w:rFonts w:ascii="Arial" w:cs="Arial" w:eastAsia="Arial" w:hAnsi="Arial"/>
          <w:sz w:val="18"/>
          <w:szCs w:val="18"/>
          <w:u w:val="single" w:color="auto"/>
          <w:color w:val="auto"/>
        </w:rPr>
        <w:t>Section 7.15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20" w:firstLine="996"/>
        <w:spacing w:after="0" w:line="257" w:lineRule="auto"/>
        <w:tabs>
          <w:tab w:leader="none" w:pos="118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exchanges or swaps, including transactions covered by Section 1031 of the Code (or any comparable provision of any foreign jurisdiction), of property or assets so long as the exchange or swap is made for fair value (as reasonably determined by the Borrower) for like property or assets; provided that (i) within 90 days of any such exchange or swap, in the case of any Loan Party and to the extent such property does not constitute an “Excluded Asset”, the Administrative Agent has a perfected Lien having the same priority as any Lien held on the assets so exchanged or swapped;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20"/>
          </w:cols>
          <w:pgMar w:left="500" w:top="273" w:right="479" w:bottom="1440" w:gutter="0" w:footer="0" w:header="0"/>
        </w:sectPr>
      </w:pPr>
    </w:p>
    <w:bookmarkStart w:id="367" w:name="page368"/>
    <w:bookmarkEnd w:id="367"/>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 terminations of Swap Contracts.</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Restricted Payments</w:t>
      </w:r>
      <w:r>
        <w:rPr>
          <w:rFonts w:ascii="Arial" w:cs="Arial" w:eastAsia="Arial" w:hAnsi="Arial"/>
          <w:sz w:val="18"/>
          <w:szCs w:val="18"/>
          <w:color w:val="auto"/>
        </w:rPr>
        <w:t>. Declare or make, directly or indirectly, any Restricted Payment, or incur any obligation (contingent or otherwise) to do so, except that:</w:t>
      </w:r>
    </w:p>
    <w:p>
      <w:pPr>
        <w:spacing w:after="0" w:line="62" w:lineRule="exact"/>
        <w:rPr>
          <w:sz w:val="20"/>
          <w:szCs w:val="20"/>
          <w:color w:val="auto"/>
        </w:rPr>
      </w:pPr>
    </w:p>
    <w:p>
      <w:pPr>
        <w:ind w:right="140" w:firstLine="996"/>
        <w:spacing w:after="0" w:line="264" w:lineRule="auto"/>
        <w:tabs>
          <w:tab w:leader="none" w:pos="123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Borrower, the Guarantors and any other Person (including any other Restricted Subsidiary) that owns an Equity Interest in such Restricted Subsidiary ratably according to their respective holdings of the relevant class of Equity Interest in respect of which such Restricted Payment is being made;</w:t>
      </w:r>
    </w:p>
    <w:p>
      <w:pPr>
        <w:spacing w:after="0" w:line="181" w:lineRule="exact"/>
        <w:rPr>
          <w:rFonts w:ascii="Arial" w:cs="Arial" w:eastAsia="Arial" w:hAnsi="Arial"/>
          <w:sz w:val="18"/>
          <w:szCs w:val="18"/>
          <w:color w:val="auto"/>
        </w:rPr>
      </w:pPr>
    </w:p>
    <w:p>
      <w:pPr>
        <w:ind w:right="200" w:firstLine="996"/>
        <w:spacing w:after="0" w:line="264" w:lineRule="auto"/>
        <w:tabs>
          <w:tab w:leader="none" w:pos="124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Borrower and each Restricted Subsidiary may declare and make dividend payments or other distributions payable solely in Qualified Equity Interests of such Person, in the case of a Restricted Subsidiary, ratably to each Person that owns an Equity Interest in such Restricted Subsidiary of the class of Equity Interest in respect of which the Restricted Payment is being made;</w:t>
      </w:r>
    </w:p>
    <w:p>
      <w:pPr>
        <w:spacing w:after="0" w:line="181" w:lineRule="exact"/>
        <w:rPr>
          <w:rFonts w:ascii="Arial" w:cs="Arial" w:eastAsia="Arial" w:hAnsi="Arial"/>
          <w:sz w:val="18"/>
          <w:szCs w:val="18"/>
          <w:color w:val="auto"/>
        </w:rPr>
      </w:pPr>
    </w:p>
    <w:p>
      <w:pPr>
        <w:ind w:right="60" w:firstLine="996"/>
        <w:spacing w:after="0" w:line="264" w:lineRule="auto"/>
        <w:tabs>
          <w:tab w:leader="none" w:pos="123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Borrower and each Restricted Subsidiary may purchase, redeem or otherwise acquire or retire Equity Interests issued by it with the proceeds (whether in cash or Equity Interests) received from the substantially concurrent issue of new Qualified Equity Interests issued by it or Equity Interests of any Parent Company or Post;</w:t>
      </w:r>
    </w:p>
    <w:p>
      <w:pPr>
        <w:spacing w:after="0" w:line="181" w:lineRule="exact"/>
        <w:rPr>
          <w:rFonts w:ascii="Arial" w:cs="Arial" w:eastAsia="Arial" w:hAnsi="Arial"/>
          <w:sz w:val="18"/>
          <w:szCs w:val="18"/>
          <w:color w:val="auto"/>
        </w:rPr>
      </w:pPr>
    </w:p>
    <w:p>
      <w:pPr>
        <w:ind w:right="300" w:firstLine="996"/>
        <w:spacing w:after="0" w:line="264" w:lineRule="auto"/>
        <w:tabs>
          <w:tab w:leader="none" w:pos="124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Borrower and each Restricted Subsidiary may make Restricted Payments pursuant to and in accordance with their stock option, stock purchase and other benefit plans of general application to management, directors or other employees of the Borrower and its Restricted Subsidiaries, as adopted or implemented in the ordinary course of business;</w:t>
      </w:r>
    </w:p>
    <w:p>
      <w:pPr>
        <w:spacing w:after="0" w:line="181" w:lineRule="exact"/>
        <w:rPr>
          <w:rFonts w:ascii="Arial" w:cs="Arial" w:eastAsia="Arial" w:hAnsi="Arial"/>
          <w:sz w:val="18"/>
          <w:szCs w:val="18"/>
          <w:color w:val="auto"/>
        </w:rPr>
      </w:pPr>
    </w:p>
    <w:p>
      <w:pPr>
        <w:ind w:firstLine="996"/>
        <w:spacing w:after="0" w:line="291" w:lineRule="auto"/>
        <w:tabs>
          <w:tab w:leader="none" w:pos="123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 xml:space="preserve">the Borrower may (i) declare and make dividends or distributions to its stockholders, partner or members in respect of Qualified Equity Interests and (ii) purchase, redeem, retire or otherwise acquire for Qualified Equity Interests issued by it in an aggregate amount with respect to </w:t>
      </w:r>
      <w:r>
        <w:rPr>
          <w:rFonts w:ascii="Arial" w:cs="Arial" w:eastAsia="Arial" w:hAnsi="Arial"/>
          <w:sz w:val="16"/>
          <w:szCs w:val="16"/>
          <w:u w:val="single" w:color="auto"/>
          <w:color w:val="auto"/>
        </w:rPr>
        <w:t>clauses</w:t>
      </w:r>
    </w:p>
    <w:p>
      <w:pPr>
        <w:ind w:right="40" w:firstLine="4"/>
        <w:spacing w:after="0" w:line="252" w:lineRule="auto"/>
        <w:tabs>
          <w:tab w:leader="none" w:pos="215" w:val="left"/>
        </w:tabs>
        <w:numPr>
          <w:ilvl w:val="0"/>
          <w:numId w:val="42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collectively from and after the Closing Date not to exceed the sum of (1) so long as no Event of Default shall have occurred and be continuing at the time of any action described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or would result therefrom, the greater of $38,000,000 and 20.00%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plus (2) an amount not to exceed the Available Amount at the time of the making of such dividend, distribution, retirement, purchase, redemption or acquisition; provided that, the portion of the Available Amount attributed to </w:t>
      </w:r>
      <w:r>
        <w:rPr>
          <w:rFonts w:ascii="Arial" w:cs="Arial" w:eastAsia="Arial" w:hAnsi="Arial"/>
          <w:sz w:val="18"/>
          <w:szCs w:val="18"/>
          <w:u w:val="single" w:color="auto"/>
          <w:color w:val="auto"/>
        </w:rPr>
        <w:t>clause (a)(1)</w:t>
      </w:r>
      <w:r>
        <w:rPr>
          <w:rFonts w:ascii="Arial" w:cs="Arial" w:eastAsia="Arial" w:hAnsi="Arial"/>
          <w:sz w:val="18"/>
          <w:szCs w:val="18"/>
          <w:color w:val="auto"/>
        </w:rPr>
        <w:t xml:space="preserve"> of the definition thereof shall not be available for any such Restricted Payment made pursuant to this </w:t>
      </w:r>
      <w:r>
        <w:rPr>
          <w:rFonts w:ascii="Arial" w:cs="Arial" w:eastAsia="Arial" w:hAnsi="Arial"/>
          <w:sz w:val="18"/>
          <w:szCs w:val="18"/>
          <w:u w:val="single" w:color="auto"/>
          <w:color w:val="auto"/>
        </w:rPr>
        <w:t>clause (e)(2)</w:t>
      </w:r>
      <w:r>
        <w:rPr>
          <w:rFonts w:ascii="Arial" w:cs="Arial" w:eastAsia="Arial" w:hAnsi="Arial"/>
          <w:sz w:val="18"/>
          <w:szCs w:val="18"/>
          <w:color w:val="auto"/>
        </w:rPr>
        <w:t xml:space="preserve"> if (i) the pro forma Total Net Leverage Ratio would be greater than 4.10:1.00 or (ii)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shall have occurred and be continuing at the time of any action described in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or would result therefrom;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368" w:name="page369"/>
    <w:bookmarkEnd w:id="368"/>
    <w:p>
      <w:pPr>
        <w:ind w:left="-20" w:right="120" w:firstLine="996"/>
        <w:spacing w:after="0" w:line="264" w:lineRule="auto"/>
        <w:tabs>
          <w:tab w:leader="none" w:pos="1197"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long as no Event of Default shall have occurred and be continuing at the time of any action described in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would result therefrom, the Borrower may declare and make cash dividends or distributions to its stockholders, partners or members in respect of Disqualified Equity Interests;</w:t>
      </w:r>
    </w:p>
    <w:p>
      <w:pPr>
        <w:spacing w:after="0" w:line="181" w:lineRule="exact"/>
        <w:rPr>
          <w:rFonts w:ascii="Arial" w:cs="Arial" w:eastAsia="Arial" w:hAnsi="Arial"/>
          <w:sz w:val="18"/>
          <w:szCs w:val="18"/>
          <w:color w:val="auto"/>
        </w:rPr>
      </w:pPr>
    </w:p>
    <w:p>
      <w:pPr>
        <w:ind w:left="1240" w:hanging="264"/>
        <w:spacing w:after="0"/>
        <w:tabs>
          <w:tab w:leader="none" w:pos="12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Investments pursuant to </w:t>
      </w:r>
      <w:r>
        <w:rPr>
          <w:rFonts w:ascii="Arial" w:cs="Arial" w:eastAsia="Arial" w:hAnsi="Arial"/>
          <w:sz w:val="18"/>
          <w:szCs w:val="18"/>
          <w:u w:val="single" w:color="auto"/>
          <w:color w:val="auto"/>
        </w:rPr>
        <w:t>Section 7.02(c)</w:t>
      </w:r>
      <w:r>
        <w:rPr>
          <w:rFonts w:ascii="Arial" w:cs="Arial" w:eastAsia="Arial" w:hAnsi="Arial"/>
          <w:sz w:val="18"/>
          <w:szCs w:val="18"/>
          <w:color w:val="auto"/>
        </w:rPr>
        <w:t xml:space="preserve"> shall be permitted;</w:t>
      </w:r>
    </w:p>
    <w:p>
      <w:pPr>
        <w:spacing w:after="0" w:line="225" w:lineRule="exact"/>
        <w:rPr>
          <w:rFonts w:ascii="Arial" w:cs="Arial" w:eastAsia="Arial" w:hAnsi="Arial"/>
          <w:sz w:val="18"/>
          <w:szCs w:val="18"/>
          <w:color w:val="auto"/>
        </w:rPr>
      </w:pPr>
    </w:p>
    <w:p>
      <w:pPr>
        <w:ind w:left="-20" w:right="40" w:firstLine="996"/>
        <w:spacing w:after="0" w:line="286" w:lineRule="auto"/>
        <w:tabs>
          <w:tab w:leader="none" w:pos="122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non-cash repurchases of Equity Interests of the Borrower deemed to occur (i) upon the non-cash exercise of stock options and warrants or similar equity incentive awards, and (ii) in connection with the withholding of a portion of the Equity Interests granted or awarded to a director or an employee to pay for the taxes payable by such director or employee upon such grant or award shall be permitted;</w:t>
      </w:r>
    </w:p>
    <w:p>
      <w:pPr>
        <w:spacing w:after="0" w:line="165" w:lineRule="exact"/>
        <w:rPr>
          <w:rFonts w:ascii="Arial" w:cs="Arial" w:eastAsia="Arial" w:hAnsi="Arial"/>
          <w:sz w:val="17"/>
          <w:szCs w:val="17"/>
          <w:color w:val="auto"/>
        </w:rPr>
      </w:pPr>
    </w:p>
    <w:p>
      <w:pPr>
        <w:ind w:left="-20" w:right="80" w:firstLine="996"/>
        <w:spacing w:after="0" w:line="264" w:lineRule="auto"/>
        <w:tabs>
          <w:tab w:leader="none" w:pos="118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Borrower or any of its Restricted Subsidiaries may (i) pay cash in lieu of fractional shares in connection with any dividend, distribution split or combination thereof or any Permitted Acquisition and (ii) honor any conversion request by a holder of convertible Indebtedness and make cash payments in lieu of fractional shares in connection with any such conversion;</w:t>
      </w:r>
    </w:p>
    <w:p>
      <w:pPr>
        <w:spacing w:after="0" w:line="181" w:lineRule="exact"/>
        <w:rPr>
          <w:rFonts w:ascii="Arial" w:cs="Arial" w:eastAsia="Arial" w:hAnsi="Arial"/>
          <w:sz w:val="18"/>
          <w:szCs w:val="18"/>
          <w:color w:val="auto"/>
        </w:rPr>
      </w:pPr>
    </w:p>
    <w:p>
      <w:pPr>
        <w:ind w:left="-20" w:right="220" w:firstLine="996"/>
        <w:spacing w:after="0" w:line="277" w:lineRule="auto"/>
        <w:tabs>
          <w:tab w:leader="none" w:pos="118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payment of dividends and distributions within ninety (90) days after the date of declaration thereof, if at the date of declaration of such payment, such payment would have complied with the other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be permitted;</w:t>
      </w:r>
    </w:p>
    <w:p>
      <w:pPr>
        <w:spacing w:after="0" w:line="170" w:lineRule="exact"/>
        <w:rPr>
          <w:rFonts w:ascii="Arial" w:cs="Arial" w:eastAsia="Arial" w:hAnsi="Arial"/>
          <w:sz w:val="18"/>
          <w:szCs w:val="18"/>
          <w:color w:val="auto"/>
        </w:rPr>
      </w:pPr>
    </w:p>
    <w:p>
      <w:pPr>
        <w:ind w:left="-20" w:firstLine="996"/>
        <w:spacing w:after="0" w:line="257" w:lineRule="auto"/>
        <w:tabs>
          <w:tab w:leader="none" w:pos="122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purchase, redemption, acquisition, cancellation or other retirement for a nominal value per right of any rights granted to all holders of Equity Interests of the Borrower pursuant to any shareholders’ or members’ rights plan adopted for the purpose of protecting shareholders from unfair takeover tactics shall be permitted;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purchase, redemption, acquisition, cancellation or other retirement of such rights is not for the purpose of evading the limitations of this covenant (all as determined in good faith by a Responsible Officer that is a senior financial officer of the Borrower);</w:t>
      </w:r>
    </w:p>
    <w:p>
      <w:pPr>
        <w:spacing w:after="0" w:line="188" w:lineRule="exact"/>
        <w:rPr>
          <w:rFonts w:ascii="Arial" w:cs="Arial" w:eastAsia="Arial" w:hAnsi="Arial"/>
          <w:sz w:val="18"/>
          <w:szCs w:val="18"/>
          <w:color w:val="auto"/>
        </w:rPr>
      </w:pPr>
    </w:p>
    <w:p>
      <w:pPr>
        <w:ind w:left="1200" w:hanging="224"/>
        <w:spacing w:after="0"/>
        <w:tabs>
          <w:tab w:leader="none" w:pos="12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20" w:right="360" w:firstLine="996"/>
        <w:spacing w:after="0" w:line="277" w:lineRule="auto"/>
        <w:tabs>
          <w:tab w:leader="none" w:pos="127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unlimited Restricted Payments shall be permitted so long as (i) no Event of Default shall exist before or after giving effect to such Restricted Payment and (ii) the pro forma Total Net Leverage Ratio would be less than 3.00:1.00;</w:t>
      </w:r>
    </w:p>
    <w:p>
      <w:pPr>
        <w:spacing w:after="0" w:line="170" w:lineRule="exact"/>
        <w:rPr>
          <w:rFonts w:ascii="Arial" w:cs="Arial" w:eastAsia="Arial" w:hAnsi="Arial"/>
          <w:sz w:val="18"/>
          <w:szCs w:val="18"/>
          <w:color w:val="auto"/>
        </w:rPr>
      </w:pPr>
    </w:p>
    <w:p>
      <w:pPr>
        <w:ind w:left="-20" w:right="140" w:firstLine="996"/>
        <w:spacing w:after="0" w:line="293" w:lineRule="auto"/>
        <w:tabs>
          <w:tab w:leader="none" w:pos="1227"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Borrower may make Restricted Payments to the extent necessary to permit any Parent Company to pay (i) general administrative fees, costs and expenses (including corporate overhead, corporate maintenance, insurance premiums, audit and other accounting and reporting fees, costs and expenses, SEC fees, costs and expenses, legal or similar fees, costs and expenses and customary wages, salary, bonus and other benefits payable to directors, officers, employees, members of management, consultants and/or independent contractors of any Parent Company, fees, costs and expenses in connection with debt or equity offerings (whether or not consummated), and fees, costs and expenses in connection with Investments (whether or not consummated), in the case of such Investments or debt or equity offerings, so long as and to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60" w:top="274" w:right="439" w:bottom="1440" w:gutter="0" w:footer="0" w:header="0"/>
        </w:sectPr>
      </w:pPr>
    </w:p>
    <w:bookmarkStart w:id="369" w:name="page370"/>
    <w:bookmarkEnd w:id="369"/>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extent that such Investments or the proceeds of such debt or equity offerings are contributed or were intended to be contributed (if such Investment, debt or equity offerings were not consummated) to the Borrower or its Restricted Subsidiaries), in each case, which are reasonable and customary and incurred in the ordinary course of business by such Parent Company, and (ii) any reasonable and customary indemnification claims made by current or former directors, officers, members of management, employees or consultants of any Parent Company, in the case of each of </w:t>
      </w:r>
      <w:r>
        <w:rPr>
          <w:rFonts w:ascii="Arial" w:cs="Arial" w:eastAsia="Arial" w:hAnsi="Arial"/>
          <w:sz w:val="17"/>
          <w:szCs w:val="17"/>
          <w:u w:val="single" w:color="auto"/>
          <w:color w:val="auto"/>
        </w:rPr>
        <w:t>clauses (i) and (ii)</w:t>
      </w:r>
      <w:r>
        <w:rPr>
          <w:rFonts w:ascii="Arial" w:cs="Arial" w:eastAsia="Arial" w:hAnsi="Arial"/>
          <w:sz w:val="17"/>
          <w:szCs w:val="17"/>
          <w:color w:val="auto"/>
        </w:rPr>
        <w:t xml:space="preserve">, solely to the extent (1) attributable to the ownership by such Parent Company of the Borrower and/or its Subsidiaries or to the payment by such Parent Company of any of such expenses on behalf of the Borrower and its Subsidiaries and (2) that the Borrower and its Restricted Subsidiaries have not otherwise made payments to such Parent Company or any of its Affiliates in respect of such fees, costs and expenses whether pursuant to the Formation Documents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Restricted Payments under this </w:t>
      </w:r>
      <w:r>
        <w:rPr>
          <w:rFonts w:ascii="Arial" w:cs="Arial" w:eastAsia="Arial" w:hAnsi="Arial"/>
          <w:sz w:val="17"/>
          <w:szCs w:val="17"/>
          <w:u w:val="single" w:color="auto"/>
          <w:color w:val="auto"/>
        </w:rPr>
        <w:t>clause (n)</w:t>
      </w:r>
      <w:r>
        <w:rPr>
          <w:rFonts w:ascii="Arial" w:cs="Arial" w:eastAsia="Arial" w:hAnsi="Arial"/>
          <w:sz w:val="17"/>
          <w:szCs w:val="17"/>
          <w:color w:val="auto"/>
        </w:rPr>
        <w:t xml:space="preserve"> that are attributable to any Unrestricted Subsidiary shall be permitted only to the extent that either (x) such Unrestricted Subsidiary has made one or more cash distributions, advances or loans to the Borrower or any of its Restricted Subsidiaries for such purpose in an amount up to the amount of such Unrestricted Subsidiary’s proportionate share of such fees, costs and expenses or (y) the amount of such Restricted Payments made by the Borrower on behalf of such Unrestricted Subsidiary is treated as an Investment subject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hereof;</w:t>
      </w:r>
    </w:p>
    <w:p>
      <w:pPr>
        <w:spacing w:after="0" w:line="180" w:lineRule="exact"/>
        <w:rPr>
          <w:sz w:val="20"/>
          <w:szCs w:val="20"/>
          <w:color w:val="auto"/>
        </w:rPr>
      </w:pPr>
    </w:p>
    <w:p>
      <w:pPr>
        <w:ind w:left="1260" w:hanging="264"/>
        <w:spacing w:after="0"/>
        <w:tabs>
          <w:tab w:leader="none" w:pos="12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 may make Tax and Related Distributions;</w:t>
      </w:r>
    </w:p>
    <w:p>
      <w:pPr>
        <w:spacing w:after="0" w:line="225" w:lineRule="exact"/>
        <w:rPr>
          <w:rFonts w:ascii="Arial" w:cs="Arial" w:eastAsia="Arial" w:hAnsi="Arial"/>
          <w:sz w:val="18"/>
          <w:szCs w:val="18"/>
          <w:color w:val="auto"/>
        </w:rPr>
      </w:pPr>
    </w:p>
    <w:p>
      <w:pPr>
        <w:ind w:right="40" w:firstLine="996"/>
        <w:spacing w:after="0" w:line="290" w:lineRule="auto"/>
        <w:tabs>
          <w:tab w:leader="none" w:pos="1247"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the Borrower may make Restricted Payments to any Parent Company to enable such Parent Company to make Restricted Payments consisting of (1) cash payments in lieu of the issuance of fractional shares in connection with the exercise of warrants, options or other securities convertible into or exchangeable for Equity Interests of such Parent Company or (2) (A) payments made or expected to be made in respect of withholding or similar Taxes payable by any future, present or former officers, directors, employees, members of management, managers or consultants of the Borrower, any Subsidiary or Parent Company or any of their respective Immediate Family Members in respect of their purchase of Equity Interests of such Parent Company and/or (B) repurchases of Equity Interests in consideration of the payments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including demand repurchases in connection with the exercise of stock options; provided that, for purposes of this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Restricted Payments shall only be made to a Parent Company that owns no Equity Interests in any other Person other than the Borrower and its Subsidiaries;</w:t>
      </w:r>
    </w:p>
    <w:p>
      <w:pPr>
        <w:spacing w:after="0" w:line="166" w:lineRule="exact"/>
        <w:rPr>
          <w:rFonts w:ascii="Arial" w:cs="Arial" w:eastAsia="Arial" w:hAnsi="Arial"/>
          <w:sz w:val="16"/>
          <w:szCs w:val="16"/>
          <w:color w:val="auto"/>
        </w:rPr>
      </w:pPr>
    </w:p>
    <w:p>
      <w:pPr>
        <w:ind w:firstLine="996"/>
        <w:spacing w:after="0" w:line="264" w:lineRule="auto"/>
        <w:tabs>
          <w:tab w:leader="none" w:pos="124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 may repurchase (or make Restricted Payments to any Parent Company to enable it to repurchase) its Equity Interests upon the exercise of options or warrants or other securities convertible into or exchangeable for Equity Interests if such Equity Interests represent all or a portion of the exercise price of such options or warrants or other securities as part of a “cashless” exercise;</w:t>
      </w:r>
    </w:p>
    <w:p>
      <w:pPr>
        <w:spacing w:after="0" w:line="181" w:lineRule="exact"/>
        <w:rPr>
          <w:rFonts w:ascii="Arial" w:cs="Arial" w:eastAsia="Arial" w:hAnsi="Arial"/>
          <w:sz w:val="18"/>
          <w:szCs w:val="18"/>
          <w:color w:val="auto"/>
        </w:rPr>
      </w:pPr>
    </w:p>
    <w:p>
      <w:pPr>
        <w:ind w:right="160" w:firstLine="996"/>
        <w:spacing w:after="0" w:line="264" w:lineRule="auto"/>
        <w:tabs>
          <w:tab w:leader="none" w:pos="121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 may make Restricted Payments the proceeds of which are applied (A) on or prior to the date that is 60 days after the Closing Date, solely to effect the consummation of the Transactions and (B) on or prior to the date that is 60 days after the Closing Date, to satisfy any payment obligations owing in connection with the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4" w:right="439" w:bottom="1440" w:gutter="0" w:footer="0" w:header="0"/>
        </w:sectPr>
      </w:pPr>
    </w:p>
    <w:bookmarkStart w:id="370" w:name="page371"/>
    <w:bookmarkEnd w:id="370"/>
    <w:p>
      <w:pPr>
        <w:ind w:right="60" w:firstLine="996"/>
        <w:spacing w:after="0" w:line="255" w:lineRule="auto"/>
        <w:tabs>
          <w:tab w:leader="none" w:pos="1227"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or any Restricted Subsidiary may make Restricted Payments pursuant to the Formation Documents (as in effect on the date of this Agreement, or as amended, modified or restated from time to time in a manner not materially adverse to the interests of the Lenders), including, without limitation, all indemnity payments thereunder, all fees, costs and expenses thereunder, and all other payments and reimbursements owed thereunder, in each case whether currently due or paid in respect of accruals from prior periods, and with respect to any of the foregoing, may pay such amounts to or on behalf of any Parent Company, provided, however, that Restricted Payments made pursuant to Article IV of the Tax Receivable Agreement shall not exceed $100,000,000 in the aggregate; and</w:t>
      </w:r>
    </w:p>
    <w:p>
      <w:pPr>
        <w:spacing w:after="0" w:line="193" w:lineRule="exact"/>
        <w:rPr>
          <w:rFonts w:ascii="Arial" w:cs="Arial" w:eastAsia="Arial" w:hAnsi="Arial"/>
          <w:sz w:val="18"/>
          <w:szCs w:val="18"/>
          <w:color w:val="auto"/>
        </w:rPr>
      </w:pPr>
    </w:p>
    <w:p>
      <w:pPr>
        <w:ind w:firstLine="996"/>
        <w:spacing w:after="0" w:line="276" w:lineRule="auto"/>
        <w:tabs>
          <w:tab w:leader="none" w:pos="1207"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Borrower may make one or more Restricted Payments to Post upon the redemption by the Borrower of Equity Interests in the Borrower owned by Post in an amount not to exceed in the aggregate the amount of the proceeds contributed in cash to the Borrower by BRBR resulting from the exercise(s) by the underwriters named in the Registration Statement of the option, described in the Registration Statement under the heading “Underwriting (Conflicts of Interest),” to acquire Equity Interests of BRBR; provided that such Restricted Payment shall only be permitted if such Restricted Payment is made on or prior to the date which is 120 days after receipt of such proceeds by the Borrower.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Change in Nature of Business</w:t>
      </w:r>
      <w:r>
        <w:rPr>
          <w:rFonts w:ascii="Arial" w:cs="Arial" w:eastAsia="Arial" w:hAnsi="Arial"/>
          <w:sz w:val="17"/>
          <w:szCs w:val="17"/>
          <w:color w:val="auto"/>
        </w:rPr>
        <w:t>. Engage in any material line of business substantially different from the Permitted Business.</w:t>
      </w:r>
    </w:p>
    <w:p>
      <w:pPr>
        <w:spacing w:after="0" w:line="23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xml:space="preserve">. Enter into any transaction of any kind involving, pursuant to any such transaction, payments in excess of the greater of (i) $9,000,000 and (ii) 5.00%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any Fiscal Year with any Affiliate of the Borrower, whether or not in the ordinary course of business, other than on fair and reasonable terms not materially less favorable to the Borrower or such Restricted Subsidiary than would be obtainable by the Borrower or such Restricted Subsidiary at the time in a comparable arm’s length transaction with a Person other than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restriction shall not apply to:</w:t>
      </w:r>
    </w:p>
    <w:p>
      <w:pPr>
        <w:spacing w:after="0" w:line="85" w:lineRule="exact"/>
        <w:rPr>
          <w:sz w:val="20"/>
          <w:szCs w:val="20"/>
          <w:color w:val="auto"/>
        </w:rPr>
      </w:pPr>
    </w:p>
    <w:p>
      <w:pPr>
        <w:ind w:left="1240" w:hanging="244"/>
        <w:spacing w:after="0"/>
        <w:tabs>
          <w:tab w:leader="none" w:pos="12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transactions between or among Loan Parties or between and among Restricted Subsidiaries that are not Loan Parties;</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Qualified Receivables Transactions otherwise permitted hereunder;</w:t>
      </w:r>
    </w:p>
    <w:p>
      <w:pPr>
        <w:spacing w:after="0" w:line="225" w:lineRule="exact"/>
        <w:rPr>
          <w:rFonts w:ascii="Arial" w:cs="Arial" w:eastAsia="Arial" w:hAnsi="Arial"/>
          <w:sz w:val="18"/>
          <w:szCs w:val="18"/>
          <w:color w:val="auto"/>
        </w:rPr>
      </w:pPr>
    </w:p>
    <w:p>
      <w:pPr>
        <w:ind w:right="180" w:firstLine="996"/>
        <w:spacing w:after="0" w:line="264" w:lineRule="auto"/>
        <w:tabs>
          <w:tab w:leader="none" w:pos="123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payment of reasonable fees, expenses, indemnities, and compensation (including equity compensation) to and insurance provided on behalf of current, former and future officers, employees, managers, and directors of the Borrower or any of its Restricted Subsidiaries and indemnification agreements entered into by the Borrower or any of its Restricted Subsidiaries;</w:t>
      </w:r>
    </w:p>
    <w:p>
      <w:pPr>
        <w:spacing w:after="0" w:line="181" w:lineRule="exact"/>
        <w:rPr>
          <w:rFonts w:ascii="Arial" w:cs="Arial" w:eastAsia="Arial" w:hAnsi="Arial"/>
          <w:sz w:val="18"/>
          <w:szCs w:val="18"/>
          <w:color w:val="auto"/>
        </w:rPr>
      </w:pPr>
    </w:p>
    <w:p>
      <w:pPr>
        <w:ind w:right="300" w:firstLine="996"/>
        <w:spacing w:after="0" w:line="277" w:lineRule="auto"/>
        <w:tabs>
          <w:tab w:leader="none" w:pos="124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employment and severance arrangements with current, former and future officers and employees and transactions pursuant to stock option plans and employee benefit plans and arrangements in the ordinary course of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3" w:right="459" w:bottom="1440" w:gutter="0" w:footer="0" w:header="0"/>
        </w:sectPr>
      </w:pPr>
    </w:p>
    <w:bookmarkStart w:id="371" w:name="page372"/>
    <w:bookmarkEnd w:id="371"/>
    <w:p>
      <w:pPr>
        <w:ind w:right="220" w:firstLine="996"/>
        <w:spacing w:after="0" w:line="277" w:lineRule="auto"/>
        <w:tabs>
          <w:tab w:leader="none" w:pos="1237"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transactions pursuant to agreements in existence on the Closing Date and set forth on </w:t>
      </w:r>
      <w:r>
        <w:rPr>
          <w:rFonts w:ascii="Arial" w:cs="Arial" w:eastAsia="Arial" w:hAnsi="Arial"/>
          <w:sz w:val="18"/>
          <w:szCs w:val="18"/>
          <w:u w:val="single" w:color="auto"/>
          <w:color w:val="auto"/>
        </w:rPr>
        <w:t>Schedule 7.08</w:t>
      </w:r>
      <w:r>
        <w:rPr>
          <w:rFonts w:ascii="Arial" w:cs="Arial" w:eastAsia="Arial" w:hAnsi="Arial"/>
          <w:sz w:val="18"/>
          <w:szCs w:val="18"/>
          <w:color w:val="auto"/>
        </w:rPr>
        <w:t xml:space="preserve"> or any amendment thereto to the extent such an amendment is not adverse to the Lenders in any material respect;</w:t>
      </w:r>
    </w:p>
    <w:p>
      <w:pPr>
        <w:spacing w:after="0" w:line="170" w:lineRule="exact"/>
        <w:rPr>
          <w:rFonts w:ascii="Arial" w:cs="Arial" w:eastAsia="Arial" w:hAnsi="Arial"/>
          <w:sz w:val="18"/>
          <w:szCs w:val="18"/>
          <w:color w:val="auto"/>
        </w:rPr>
      </w:pPr>
    </w:p>
    <w:p>
      <w:pPr>
        <w:ind w:left="1220" w:hanging="224"/>
        <w:spacing w:after="0"/>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Restricted Payments made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96"/>
        <w:spacing w:after="0" w:line="276" w:lineRule="auto"/>
        <w:tabs>
          <w:tab w:leader="none" w:pos="1247"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transactions between or among Loan Parties and Restricted Subsidiaries who are not Loan Parties provided any such transaction does not adversely impact the Collateral securing the Obligations or the guarantees of the Obligations, impair the rights of or benefits or remedies available to the Secured Parties under any Loan Document or result in (and are not reasonably expected to result in)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the continuance of an Event of Default, any amounts payable by a Loan Party to a Restricted Subsidiary that is not a Loan Party in connection with any such transactions shall be subordinated to the payment of the Obligations;</w:t>
      </w:r>
    </w:p>
    <w:p>
      <w:pPr>
        <w:spacing w:after="0" w:line="172" w:lineRule="exact"/>
        <w:rPr>
          <w:rFonts w:ascii="Arial" w:cs="Arial" w:eastAsia="Arial" w:hAnsi="Arial"/>
          <w:sz w:val="17"/>
          <w:szCs w:val="17"/>
          <w:color w:val="auto"/>
        </w:rPr>
      </w:pPr>
    </w:p>
    <w:p>
      <w:pPr>
        <w:ind w:left="1260" w:hanging="264"/>
        <w:spacing w:after="0"/>
        <w:tabs>
          <w:tab w:leader="none" w:pos="12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pledge of Equity Interests of Unrestricted Subsidiaries;</w:t>
      </w:r>
    </w:p>
    <w:p>
      <w:pPr>
        <w:spacing w:after="0" w:line="225" w:lineRule="exact"/>
        <w:rPr>
          <w:rFonts w:ascii="Arial" w:cs="Arial" w:eastAsia="Arial" w:hAnsi="Arial"/>
          <w:sz w:val="18"/>
          <w:szCs w:val="18"/>
          <w:color w:val="auto"/>
        </w:rPr>
      </w:pPr>
    </w:p>
    <w:p>
      <w:pPr>
        <w:ind w:left="1220" w:hanging="224"/>
        <w:spacing w:after="0"/>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assumption of the obligations arising under the Bridge Facility Agreement by the Borrower from Post;</w:t>
      </w:r>
    </w:p>
    <w:p>
      <w:pPr>
        <w:spacing w:after="0" w:line="225" w:lineRule="exact"/>
        <w:rPr>
          <w:rFonts w:ascii="Arial" w:cs="Arial" w:eastAsia="Arial" w:hAnsi="Arial"/>
          <w:sz w:val="18"/>
          <w:szCs w:val="18"/>
          <w:color w:val="auto"/>
        </w:rPr>
      </w:pPr>
    </w:p>
    <w:p>
      <w:pPr>
        <w:ind w:right="160" w:firstLine="996"/>
        <w:spacing w:after="0" w:line="264" w:lineRule="auto"/>
        <w:tabs>
          <w:tab w:leader="none" w:pos="1207"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81" w:lineRule="exact"/>
        <w:rPr>
          <w:rFonts w:ascii="Arial" w:cs="Arial" w:eastAsia="Arial" w:hAnsi="Arial"/>
          <w:sz w:val="18"/>
          <w:szCs w:val="18"/>
          <w:color w:val="auto"/>
        </w:rPr>
      </w:pPr>
    </w:p>
    <w:p>
      <w:pPr>
        <w:ind w:firstLine="996"/>
        <w:spacing w:after="0" w:line="272" w:lineRule="auto"/>
        <w:tabs>
          <w:tab w:leader="none" w:pos="1247"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 any collective bargaining agreements, employment agreements or arrangements, severance agreements or compensatory (including profit sharing) arrangements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Equity Interests pursuant to put/call rights or similar rights with current or former officers, directors, members of management, managers, employees, consultants or independent contractors and (iii) transactions pursuant to any employee compensation arrangement, benefit plan, stock option plan or arrangement, any health, disability or similar insurance plan which covers current or former officers, directors, members of management, employees, consultants or independent contractors;</w:t>
      </w:r>
    </w:p>
    <w:p>
      <w:pPr>
        <w:spacing w:after="0" w:line="177" w:lineRule="exact"/>
        <w:rPr>
          <w:rFonts w:ascii="Arial" w:cs="Arial" w:eastAsia="Arial" w:hAnsi="Arial"/>
          <w:sz w:val="17"/>
          <w:szCs w:val="17"/>
          <w:color w:val="auto"/>
        </w:rPr>
      </w:pPr>
    </w:p>
    <w:p>
      <w:pPr>
        <w:ind w:left="1220" w:hanging="224"/>
        <w:spacing w:after="0"/>
        <w:tabs>
          <w:tab w:leader="none" w:pos="12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Transactions, including the payment of any fees, costs, expenses, indemnity or similar obligations with respect thereto;</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Guarantees permitted by this Agreement;</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licenses or sublicenses of IP Rights in the ordinary course of business with Post or any of its Subsidiaries;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20"/>
          </w:cols>
          <w:pgMar w:left="440" w:top="273" w:right="439" w:bottom="1440" w:gutter="0" w:footer="0" w:header="0"/>
        </w:sectPr>
      </w:pPr>
    </w:p>
    <w:bookmarkStart w:id="372" w:name="page373"/>
    <w:bookmarkEnd w:id="372"/>
    <w:p>
      <w:pPr>
        <w:ind w:firstLine="996"/>
        <w:spacing w:after="0" w:line="277" w:lineRule="auto"/>
        <w:tabs>
          <w:tab w:leader="none" w:pos="1247"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pursuant to the Formation Documents (as in effect on the date of this Agreement, or as amended, modified or restated from time to time in a manner not materially adverse to the interests of the Lenders).</w:t>
      </w:r>
    </w:p>
    <w:p>
      <w:pPr>
        <w:spacing w:after="0" w:line="17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Restrictive Agreements</w:t>
      </w:r>
      <w:r>
        <w:rPr>
          <w:rFonts w:ascii="Arial" w:cs="Arial" w:eastAsia="Arial" w:hAnsi="Arial"/>
          <w:sz w:val="16"/>
          <w:szCs w:val="16"/>
          <w:color w:val="auto"/>
        </w:rPr>
        <w:t xml:space="preserve">. Enter into any Contractual Obligation (other than this Agreement or any other Loan Document) that limits the ability (i) of any Restricted Subsidiary to make Restricted Payments to the Borrower or any Guarantor or to otherwise transfer property to the Borrower or any Guarantor, (ii) of any Restricted Subsidiary to Guarantee the Indebtedness of the Borrower hereunder or (iii) of the Borrower or any Restricted Subsidiary to create, incur, assume or suffer to exist Liens on property of such Person to secure the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not prohibit any negative pledge or similar provision, or restriction on transfer of property, incurred or provided in favor of any holder of Indebtedness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solely to the extent any such negative pledge relates to the property financed by or the subject of such Indebtedness or transaction or any other property securing any other Indebtedness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to the extent permitted thereunder. Notwithstanding the foregoing, this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will not restrict or prohibit:</w:t>
      </w:r>
    </w:p>
    <w:p>
      <w:pPr>
        <w:spacing w:after="0" w:line="72" w:lineRule="exact"/>
        <w:rPr>
          <w:sz w:val="20"/>
          <w:szCs w:val="20"/>
          <w:color w:val="auto"/>
        </w:rPr>
      </w:pPr>
    </w:p>
    <w:p>
      <w:pPr>
        <w:ind w:left="1420" w:right="300" w:hanging="430"/>
        <w:spacing w:after="0" w:line="264" w:lineRule="auto"/>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xml:space="preserve">, restrictions imposed pursuant to an agreement that has been entered into in connection with a transaction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 respect to the property that is subject to that transaction;</w:t>
      </w:r>
    </w:p>
    <w:p>
      <w:pPr>
        <w:spacing w:after="0" w:line="86" w:lineRule="exact"/>
        <w:rPr>
          <w:rFonts w:ascii="Arial" w:cs="Arial" w:eastAsia="Arial" w:hAnsi="Arial"/>
          <w:sz w:val="18"/>
          <w:szCs w:val="18"/>
          <w:color w:val="auto"/>
        </w:rPr>
      </w:pPr>
    </w:p>
    <w:p>
      <w:pPr>
        <w:ind w:left="1420" w:right="120" w:hanging="430"/>
        <w:spacing w:after="0" w:line="264" w:lineRule="auto"/>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restrictions imposed by any agreement relating to secured Indebtedness permitted pursuant to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(to the extent secured under </w:t>
      </w:r>
      <w:r>
        <w:rPr>
          <w:rFonts w:ascii="Arial" w:cs="Arial" w:eastAsia="Arial" w:hAnsi="Arial"/>
          <w:sz w:val="18"/>
          <w:szCs w:val="18"/>
          <w:u w:val="single" w:color="auto"/>
          <w:color w:val="auto"/>
        </w:rPr>
        <w:t>Section 7.01(x)</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in each case in respect of the limitation described in </w:t>
      </w:r>
      <w:r>
        <w:rPr>
          <w:rFonts w:ascii="Arial" w:cs="Arial" w:eastAsia="Arial" w:hAnsi="Arial"/>
          <w:sz w:val="18"/>
          <w:szCs w:val="18"/>
          <w:u w:val="single" w:color="auto"/>
          <w:color w:val="auto"/>
        </w:rPr>
        <w:t>Section 7.09(iii)</w:t>
      </w:r>
      <w:r>
        <w:rPr>
          <w:rFonts w:ascii="Arial" w:cs="Arial" w:eastAsia="Arial" w:hAnsi="Arial"/>
          <w:sz w:val="18"/>
          <w:szCs w:val="18"/>
          <w:color w:val="auto"/>
        </w:rPr>
        <w:t xml:space="preserve"> to the extent that such restrictions apply only to the property or assets securing to such Indebtedness;</w:t>
      </w:r>
    </w:p>
    <w:p>
      <w:pPr>
        <w:spacing w:after="0" w:line="86" w:lineRule="exact"/>
        <w:rPr>
          <w:rFonts w:ascii="Arial" w:cs="Arial" w:eastAsia="Arial" w:hAnsi="Arial"/>
          <w:sz w:val="18"/>
          <w:szCs w:val="18"/>
          <w:color w:val="auto"/>
        </w:rPr>
      </w:pPr>
    </w:p>
    <w:p>
      <w:pPr>
        <w:ind w:left="1420" w:hanging="430"/>
        <w:spacing w:after="0"/>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provisions restricting subletting or assignment of Contractual Obligations;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restrictions contained in Indebtedness permitted under</w:t>
      </w:r>
    </w:p>
    <w:p>
      <w:pPr>
        <w:spacing w:after="0" w:line="23" w:lineRule="exact"/>
        <w:rPr>
          <w:rFonts w:ascii="Arial" w:cs="Arial" w:eastAsia="Arial" w:hAnsi="Arial"/>
          <w:sz w:val="18"/>
          <w:szCs w:val="18"/>
          <w:color w:val="auto"/>
        </w:rPr>
      </w:pPr>
    </w:p>
    <w:p>
      <w:pPr>
        <w:ind w:left="1420" w:right="4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8"/>
          <w:szCs w:val="18"/>
          <w:u w:val="single" w:color="auto"/>
          <w:color w:val="auto"/>
        </w:rPr>
        <w:t>Section 7.03(g)</w:t>
      </w:r>
      <w:r>
        <w:rPr>
          <w:rFonts w:ascii="Arial" w:cs="Arial" w:eastAsia="Arial" w:hAnsi="Arial"/>
          <w:sz w:val="18"/>
          <w:szCs w:val="18"/>
          <w:color w:val="auto"/>
        </w:rPr>
        <w:t xml:space="preserve"> or (y) </w:t>
      </w:r>
      <w:r>
        <w:rPr>
          <w:rFonts w:ascii="Arial" w:cs="Arial" w:eastAsia="Arial" w:hAnsi="Arial"/>
          <w:sz w:val="18"/>
          <w:szCs w:val="18"/>
          <w:u w:val="single" w:color="auto"/>
          <w:color w:val="auto"/>
        </w:rPr>
        <w:t>Sections 7.03(i), (s), (t)</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in the case of this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so long as such restrictions are no more restrictive, taken as a whole, to the Borrower and its Restricted Subsidiaries than the restrictions or covenants contained in this Agreement;</w:t>
      </w:r>
    </w:p>
    <w:p>
      <w:pPr>
        <w:spacing w:after="0" w:line="95" w:lineRule="exact"/>
        <w:rPr>
          <w:rFonts w:ascii="Arial" w:cs="Arial" w:eastAsia="Arial" w:hAnsi="Arial"/>
          <w:sz w:val="18"/>
          <w:szCs w:val="18"/>
          <w:color w:val="auto"/>
        </w:rPr>
      </w:pPr>
    </w:p>
    <w:p>
      <w:pPr>
        <w:jc w:val="both"/>
        <w:ind w:left="1420" w:right="100" w:hanging="430"/>
        <w:spacing w:after="0" w:line="264" w:lineRule="auto"/>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provisions with respect to the disposition or distribution of assets or property in joint venture agreements and other similar agreements entered into by the Borrower and its Restricted Subsidiaries in the ordinary course of business;</w:t>
      </w:r>
    </w:p>
    <w:p>
      <w:pPr>
        <w:spacing w:after="0" w:line="86" w:lineRule="exact"/>
        <w:rPr>
          <w:rFonts w:ascii="Arial" w:cs="Arial" w:eastAsia="Arial" w:hAnsi="Arial"/>
          <w:sz w:val="18"/>
          <w:szCs w:val="18"/>
          <w:color w:val="auto"/>
        </w:rPr>
      </w:pPr>
    </w:p>
    <w:p>
      <w:pPr>
        <w:ind w:left="1420" w:right="680" w:hanging="430"/>
        <w:spacing w:after="0" w:line="277" w:lineRule="auto"/>
        <w:tabs>
          <w:tab w:leader="none" w:pos="14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to the extent constituting the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customary restrictions on a Receivables Subsidiary and Receivables Program Assets effected in connection with a Qualified Receivables Transaction;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4" w:right="459" w:bottom="1440" w:gutter="0" w:footer="0" w:header="0"/>
        </w:sectPr>
      </w:pPr>
    </w:p>
    <w:bookmarkStart w:id="373" w:name="page374"/>
    <w:bookmarkEnd w:id="373"/>
    <w:p>
      <w:pPr>
        <w:ind w:left="1420" w:right="280" w:hanging="430"/>
        <w:spacing w:after="0" w:line="342" w:lineRule="auto"/>
        <w:tabs>
          <w:tab w:leader="none" w:pos="1420" w:val="left"/>
        </w:tabs>
        <w:numPr>
          <w:ilvl w:val="0"/>
          <w:numId w:val="4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constituting a limitation described in </w:t>
      </w:r>
      <w:r>
        <w:rPr>
          <w:rFonts w:ascii="Arial" w:cs="Arial" w:eastAsia="Arial" w:hAnsi="Arial"/>
          <w:sz w:val="16"/>
          <w:szCs w:val="16"/>
          <w:u w:val="single" w:color="auto"/>
          <w:color w:val="auto"/>
        </w:rPr>
        <w:t>Section 7.09(i)</w:t>
      </w:r>
      <w:r>
        <w:rPr>
          <w:rFonts w:ascii="Arial" w:cs="Arial" w:eastAsia="Arial" w:hAnsi="Arial"/>
          <w:sz w:val="16"/>
          <w:szCs w:val="16"/>
          <w:color w:val="auto"/>
        </w:rPr>
        <w:t>, restrictions on cash or other deposits or net worth imposed by customers on the Borrower and its Restricted Subsidiaries under contracts entered into in the ordinary course of business;</w:t>
      </w:r>
    </w:p>
    <w:p>
      <w:pPr>
        <w:spacing w:after="0" w:line="29" w:lineRule="exact"/>
        <w:rPr>
          <w:rFonts w:ascii="Arial" w:cs="Arial" w:eastAsia="Arial" w:hAnsi="Arial"/>
          <w:sz w:val="16"/>
          <w:szCs w:val="16"/>
          <w:color w:val="auto"/>
        </w:rPr>
      </w:pPr>
    </w:p>
    <w:p>
      <w:pPr>
        <w:ind w:left="1420" w:right="100" w:hanging="430"/>
        <w:spacing w:after="0" w:line="259" w:lineRule="auto"/>
        <w:tabs>
          <w:tab w:leader="none" w:pos="14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xml:space="preserve">to the extent constituting a limitation described in </w:t>
      </w:r>
      <w:r>
        <w:rPr>
          <w:rFonts w:ascii="Arial" w:cs="Arial" w:eastAsia="Arial" w:hAnsi="Arial"/>
          <w:sz w:val="18"/>
          <w:szCs w:val="18"/>
          <w:u w:val="single" w:color="auto"/>
          <w:color w:val="auto"/>
        </w:rPr>
        <w:t>Section 7.09(i)</w:t>
      </w:r>
      <w:r>
        <w:rPr>
          <w:rFonts w:ascii="Arial" w:cs="Arial" w:eastAsia="Arial" w:hAnsi="Arial"/>
          <w:sz w:val="18"/>
          <w:szCs w:val="18"/>
          <w:color w:val="auto"/>
        </w:rPr>
        <w:t>, encumbrances or restrictions arising or agreed to in the ordinary course of business, not relating to any Indebtedness, and that do not, individually or in the aggregate, detract from the value of property or assets of the Borrower or any of its Restricted Subsidiaries in any manner material to the Borrower or any of its Restricted Subsidiaries; or</w:t>
      </w:r>
    </w:p>
    <w:p>
      <w:pPr>
        <w:spacing w:after="0" w:line="92" w:lineRule="exact"/>
        <w:rPr>
          <w:rFonts w:ascii="Arial" w:cs="Arial" w:eastAsia="Arial" w:hAnsi="Arial"/>
          <w:sz w:val="18"/>
          <w:szCs w:val="18"/>
          <w:color w:val="auto"/>
        </w:rPr>
      </w:pPr>
    </w:p>
    <w:p>
      <w:pPr>
        <w:ind w:left="1420" w:right="40" w:hanging="430"/>
        <w:spacing w:after="0" w:line="286" w:lineRule="auto"/>
        <w:tabs>
          <w:tab w:leader="none" w:pos="14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 xml:space="preserve">to the extent constituting a limitation described in </w:t>
      </w:r>
      <w:r>
        <w:rPr>
          <w:rFonts w:ascii="Arial" w:cs="Arial" w:eastAsia="Arial" w:hAnsi="Arial"/>
          <w:sz w:val="17"/>
          <w:szCs w:val="17"/>
          <w:u w:val="single" w:color="auto"/>
          <w:color w:val="auto"/>
        </w:rPr>
        <w:t>Section 7.09(i)</w:t>
      </w:r>
      <w:r>
        <w:rPr>
          <w:rFonts w:ascii="Arial" w:cs="Arial" w:eastAsia="Arial" w:hAnsi="Arial"/>
          <w:sz w:val="17"/>
          <w:szCs w:val="17"/>
          <w:color w:val="auto"/>
        </w:rPr>
        <w:t>, encumbrances or restrictions existing under, by reason of or with respect to customary provisions contained in leases or licenses of intellectual property and other agreements, in each case, entered into by the Borrower or any of its Restricted Subsidiaries in the ordinary course of business.</w:t>
      </w:r>
    </w:p>
    <w:p>
      <w:pPr>
        <w:spacing w:after="0" w:line="166"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Use of Proceeds</w:t>
      </w:r>
      <w:r>
        <w:rPr>
          <w:rFonts w:ascii="Arial" w:cs="Arial" w:eastAsia="Arial" w:hAnsi="Arial"/>
          <w:sz w:val="16"/>
          <w:szCs w:val="16"/>
          <w:color w:val="auto"/>
        </w:rPr>
        <w:t>. Request any Credit Extension, use, or allow any of its Restricted Subsidiaries to use, the proceeds of any Credit Extension, (a) in furtherance of an offer, payment, promise to pay or authorization of the payment or giving of money, or anything else of value to any Person in violation of Anti-Corruption Laws, (b) for the purpose of funding, financing or facilitating any activities, business or transaction of, or with, any Sanctioned Person or in any Sanctioned Country, or (c) to purchase or carry margin stock (within the meaning of Regulation U of the FRB) or to extend credit to others for the purpose of purchasing or carrying margin stock or to refund indebtedness originally incurred for such purpose.</w:t>
      </w:r>
    </w:p>
    <w:p>
      <w:pPr>
        <w:spacing w:after="0" w:line="15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Total Net Leverage Ratio</w:t>
      </w:r>
      <w:r>
        <w:rPr>
          <w:rFonts w:ascii="Arial" w:cs="Arial" w:eastAsia="Arial" w:hAnsi="Arial"/>
          <w:sz w:val="18"/>
          <w:szCs w:val="18"/>
          <w:color w:val="auto"/>
        </w:rPr>
        <w:t>. Commencing with the first full fiscal quarter ending after the Closing Date, permit the Total Net Leverage Ratio at the end of any fiscal quarter to be greater than 6.00:1.00.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Amendments of Organization Documents</w:t>
      </w:r>
      <w:r>
        <w:rPr>
          <w:rFonts w:ascii="Arial" w:cs="Arial" w:eastAsia="Arial" w:hAnsi="Arial"/>
          <w:sz w:val="16"/>
          <w:szCs w:val="16"/>
          <w:color w:val="auto"/>
        </w:rPr>
        <w:t>. Amend any of its Organization Documents in a manner materially adverse to the Lenders.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Fiscal Year</w:t>
      </w:r>
      <w:r>
        <w:rPr>
          <w:rFonts w:ascii="Arial" w:cs="Arial" w:eastAsia="Arial" w:hAnsi="Arial"/>
          <w:sz w:val="18"/>
          <w:szCs w:val="18"/>
          <w:color w:val="auto"/>
        </w:rPr>
        <w:t>. Make any change in its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Prepayments of Indebtedness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Prepay, redeem, purchase, defease or otherwise satisfy more than ninety (90) days prior to the scheduled maturity thereof in any manner, or make any payment in violation of any subordination terms of, any subordinated, unsecured or junior secured Indebtedness, in each case with an outstanding principal amount in excess of the greater of (x) $28,000,000 and (y) 15.00%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(such Indebtedness, the “</w:t>
      </w:r>
      <w:r>
        <w:rPr>
          <w:rFonts w:ascii="Arial" w:cs="Arial" w:eastAsia="Arial" w:hAnsi="Arial"/>
          <w:sz w:val="18"/>
          <w:szCs w:val="18"/>
          <w:b w:val="1"/>
          <w:bCs w:val="1"/>
          <w:color w:val="auto"/>
        </w:rPr>
        <w:t>Restricted Indebtedness</w:t>
      </w:r>
      <w:r>
        <w:rPr>
          <w:rFonts w:ascii="Arial" w:cs="Arial" w:eastAsia="Arial" w:hAnsi="Arial"/>
          <w:sz w:val="18"/>
          <w:szCs w:val="18"/>
          <w:color w:val="auto"/>
        </w:rPr>
        <w:t>”), except, in each case, for:</w:t>
      </w:r>
    </w:p>
    <w:p>
      <w:pPr>
        <w:spacing w:after="0" w:line="80" w:lineRule="exact"/>
        <w:rPr>
          <w:sz w:val="20"/>
          <w:szCs w:val="20"/>
          <w:color w:val="auto"/>
        </w:rPr>
      </w:pPr>
    </w:p>
    <w:p>
      <w:pPr>
        <w:ind w:left="5380" w:right="2600" w:hanging="4384"/>
        <w:spacing w:after="0" w:line="449" w:lineRule="auto"/>
        <w:tabs>
          <w:tab w:leader="none" w:pos="124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refinancing thereof with the proceeds of any Permitted Refinancing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152</w:t>
      </w:r>
    </w:p>
    <w:p>
      <w:pPr>
        <w:sectPr>
          <w:pgSz w:w="11900" w:h="16838" w:orient="portrait"/>
          <w:cols w:equalWidth="0" w:num="1">
            <w:col w:w="10920"/>
          </w:cols>
          <w:pgMar w:left="440" w:top="274" w:right="539" w:bottom="1440" w:gutter="0" w:footer="0" w:header="0"/>
        </w:sectPr>
      </w:pPr>
    </w:p>
    <w:bookmarkStart w:id="374" w:name="page375"/>
    <w:bookmarkEnd w:id="374"/>
    <w:p>
      <w:pPr>
        <w:ind w:firstLine="996"/>
        <w:spacing w:after="0" w:line="277" w:lineRule="auto"/>
        <w:tabs>
          <w:tab w:leader="none" w:pos="1247" w:val="left"/>
        </w:tabs>
        <w:numPr>
          <w:ilvl w:val="0"/>
          <w:numId w:val="4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prepayment of Indebtedness of the Borrower or any Restricted Subsidiary owed to the Borrower or any Restricted Subsidiary to the extent not prohibited by the subordination provisions applicable thereto,</w:t>
      </w:r>
    </w:p>
    <w:p>
      <w:pPr>
        <w:spacing w:after="0" w:line="170" w:lineRule="exact"/>
        <w:rPr>
          <w:rFonts w:ascii="Arial" w:cs="Arial" w:eastAsia="Arial" w:hAnsi="Arial"/>
          <w:sz w:val="18"/>
          <w:szCs w:val="18"/>
          <w:color w:val="auto"/>
        </w:rPr>
      </w:pPr>
    </w:p>
    <w:p>
      <w:pPr>
        <w:ind w:right="120" w:firstLine="996"/>
        <w:spacing w:after="0" w:line="259" w:lineRule="auto"/>
        <w:tabs>
          <w:tab w:leader="none" w:pos="123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 prepayments, redemptions, purchases or other payments made to satisfy Restricted Indebtedness (not in violation of any subordination terms in respect thereof) in an amount not to exceed the greater of $38,000,000 and 20.00%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96"/>
        <w:spacing w:after="0" w:line="259" w:lineRule="auto"/>
        <w:tabs>
          <w:tab w:leader="none" w:pos="124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an amount not to exceed the Available Amount at the time of the making of such prepayment, redemption, repurchase or other payment; provided that the portion of the Available Amount attributed to </w:t>
      </w:r>
      <w:r>
        <w:rPr>
          <w:rFonts w:ascii="Arial" w:cs="Arial" w:eastAsia="Arial" w:hAnsi="Arial"/>
          <w:sz w:val="18"/>
          <w:szCs w:val="18"/>
          <w:u w:val="single" w:color="auto"/>
          <w:color w:val="auto"/>
        </w:rPr>
        <w:t>clause (a)(1)</w:t>
      </w:r>
      <w:r>
        <w:rPr>
          <w:rFonts w:ascii="Arial" w:cs="Arial" w:eastAsia="Arial" w:hAnsi="Arial"/>
          <w:sz w:val="18"/>
          <w:szCs w:val="18"/>
          <w:color w:val="auto"/>
        </w:rPr>
        <w:t xml:space="preserve"> of the definition thereof shall not be available for any such prepayments, redemptions, purchases or other payments made to satisfy Restricted Indebtedness made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if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has occurred and is continuing or would be caused thereby,</w:t>
      </w:r>
    </w:p>
    <w:p>
      <w:pPr>
        <w:spacing w:after="0" w:line="186" w:lineRule="exact"/>
        <w:rPr>
          <w:rFonts w:ascii="Arial" w:cs="Arial" w:eastAsia="Arial" w:hAnsi="Arial"/>
          <w:sz w:val="18"/>
          <w:szCs w:val="18"/>
          <w:color w:val="auto"/>
        </w:rPr>
      </w:pPr>
    </w:p>
    <w:p>
      <w:pPr>
        <w:ind w:right="80" w:firstLine="996"/>
        <w:spacing w:after="0" w:line="264" w:lineRule="auto"/>
        <w:tabs>
          <w:tab w:leader="none" w:pos="123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be caused thereby, prepayments, redemptions, purchases or other payments made to satisfy Restricted Indebtedness (not in violation of any subordination terms in respect thereof) shall be permitted so long as the pro forma Total Net Leverage Ratio would be less than 2.70:1.00,</w:t>
      </w:r>
    </w:p>
    <w:p>
      <w:pPr>
        <w:spacing w:after="0" w:line="181" w:lineRule="exact"/>
        <w:rPr>
          <w:rFonts w:ascii="Arial" w:cs="Arial" w:eastAsia="Arial" w:hAnsi="Arial"/>
          <w:sz w:val="18"/>
          <w:szCs w:val="18"/>
          <w:color w:val="auto"/>
        </w:rPr>
      </w:pPr>
    </w:p>
    <w:p>
      <w:pPr>
        <w:ind w:right="240" w:firstLine="996"/>
        <w:spacing w:after="0" w:line="255" w:lineRule="auto"/>
        <w:tabs>
          <w:tab w:leader="none" w:pos="121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regularly scheduled interest, fees and indemnification obligations due under any document, agreement or instrument evidencing any Restricted Indebtedness or entered into in connection with any Restricted Indebtedness, other non-principal payments thereunder, any mandatory prepayments of principal, interest and fees thereunder, scheduled payments thereon necessary to avoid the Restricted Indebtedness from constituting “applicable high yield discount obligations” within the meaning of Section 163(i)(1) of the Code and principal on the scheduled maturity date of any Restricted Indebtedness (or within ninety (90) days thereof), in each case to the extent not expressly prohibited by the subordination provisions applicable thereto, if any, and</w:t>
      </w:r>
    </w:p>
    <w:p>
      <w:pPr>
        <w:spacing w:after="0" w:line="193" w:lineRule="exact"/>
        <w:rPr>
          <w:rFonts w:ascii="Arial" w:cs="Arial" w:eastAsia="Arial" w:hAnsi="Arial"/>
          <w:sz w:val="18"/>
          <w:szCs w:val="18"/>
          <w:color w:val="auto"/>
        </w:rPr>
      </w:pPr>
    </w:p>
    <w:p>
      <w:pPr>
        <w:ind w:right="440" w:firstLine="996"/>
        <w:spacing w:after="0" w:line="277" w:lineRule="auto"/>
        <w:tabs>
          <w:tab w:leader="none" w:pos="124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prepayments, redemptions or purchases of, or other payments made to refinance or repay, the Indebtedness outstanding under the Bridge Facility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avoidance of doubt, nothing contained herein prohibits the making of the Bridge Loan Repayment.</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Sale-Leaseback Transactions</w:t>
      </w:r>
      <w:r>
        <w:rPr>
          <w:rFonts w:ascii="Arial" w:cs="Arial" w:eastAsia="Arial" w:hAnsi="Arial"/>
          <w:sz w:val="18"/>
          <w:szCs w:val="18"/>
          <w:color w:val="auto"/>
        </w:rPr>
        <w:t xml:space="preserve">. Enter into any sale-leaseback transaction in which any Loan Party is the seller or the lessee unless the disposition of assets is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and the incurrence of indebtedness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provided, that the amount of all such sales shall not exceed the greater of (x) $75,000,000 and (y) 40.00% of Consolidated EBITDA of the Borrower and its Restricted Subsidiaries based on the most recent financial statements delivered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80"/>
          </w:cols>
          <w:pgMar w:left="440" w:top="274" w:right="479" w:bottom="1440" w:gutter="0" w:footer="0" w:header="0"/>
        </w:sectPr>
      </w:pPr>
    </w:p>
    <w:bookmarkStart w:id="375" w:name="page376"/>
    <w:bookmarkEnd w:id="375"/>
    <w:p>
      <w:pPr>
        <w:ind w:right="3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7.16 </w:t>
      </w:r>
      <w:r>
        <w:rPr>
          <w:rFonts w:ascii="Arial" w:cs="Arial" w:eastAsia="Arial" w:hAnsi="Arial"/>
          <w:sz w:val="18"/>
          <w:szCs w:val="18"/>
          <w:i w:val="1"/>
          <w:iCs w:val="1"/>
          <w:color w:val="auto"/>
        </w:rPr>
        <w:t>Amendments of Indebtedness</w:t>
      </w:r>
      <w:r>
        <w:rPr>
          <w:rFonts w:ascii="Arial" w:cs="Arial" w:eastAsia="Arial" w:hAnsi="Arial"/>
          <w:sz w:val="18"/>
          <w:szCs w:val="18"/>
          <w:color w:val="auto"/>
        </w:rPr>
        <w:t xml:space="preserve">. Amend, modify, or change in any manner any term or condition of any Restricted Indebtedness, in each case, in a manner materially adverse to the Lenders or that would effect a prepayment, redemption or repurchase or a Restricted Payment not otherwise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7.14</w:t>
      </w:r>
      <w:r>
        <w:rPr>
          <w:rFonts w:ascii="Arial" w:cs="Arial" w:eastAsia="Arial" w:hAnsi="Arial"/>
          <w:sz w:val="18"/>
          <w:szCs w:val="18"/>
          <w:color w:val="auto"/>
        </w:rPr>
        <w:t>, as applicable.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Events of Default</w:t>
      </w:r>
      <w:r>
        <w:rPr>
          <w:rFonts w:ascii="Arial" w:cs="Arial" w:eastAsia="Arial" w:hAnsi="Arial"/>
          <w:sz w:val="18"/>
          <w:szCs w:val="18"/>
          <w:color w:val="auto"/>
        </w:rPr>
        <w:t>. Each of the following shall constitute an Event of Default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21" w:lineRule="exact"/>
        <w:rPr>
          <w:sz w:val="20"/>
          <w:szCs w:val="20"/>
          <w:color w:val="auto"/>
        </w:rPr>
      </w:pPr>
    </w:p>
    <w:p>
      <w:pPr>
        <w:ind w:right="20" w:firstLine="996"/>
        <w:spacing w:after="0" w:line="259" w:lineRule="auto"/>
        <w:tabs>
          <w:tab w:leader="none" w:pos="1236"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The Borrower or any other Loan Party fails to pay (i) when and as required to be paid herein, any amount of principal of</w:t>
      </w:r>
      <w:r>
        <w:rPr>
          <w:rFonts w:ascii="Arial" w:cs="Arial" w:eastAsia="Arial" w:hAnsi="Arial"/>
          <w:sz w:val="18"/>
          <w:szCs w:val="18"/>
          <w:i w:val="1"/>
          <w:iCs w:val="1"/>
          <w:color w:val="auto"/>
        </w:rPr>
        <w:t xml:space="preserve"> </w:t>
      </w:r>
      <w:r>
        <w:rPr>
          <w:rFonts w:ascii="Arial" w:cs="Arial" w:eastAsia="Arial" w:hAnsi="Arial"/>
          <w:sz w:val="18"/>
          <w:szCs w:val="18"/>
          <w:color w:val="auto"/>
        </w:rPr>
        <w:t>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ind w:firstLine="996"/>
        <w:spacing w:after="0" w:line="277" w:lineRule="auto"/>
        <w:tabs>
          <w:tab w:leader="none" w:pos="1247"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Specific Covenants</w:t>
      </w:r>
      <w:r>
        <w:rPr>
          <w:rFonts w:ascii="Arial" w:cs="Arial" w:eastAsia="Arial" w:hAnsi="Arial"/>
          <w:sz w:val="18"/>
          <w:szCs w:val="18"/>
          <w:color w:val="auto"/>
        </w:rPr>
        <w:t>. (i) The Borrower fails to perform or observe any term, covenant or agreement contained in any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6.03(a)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(with respect to the Borrower’s existence) or </w:t>
      </w:r>
      <w:r>
        <w:rPr>
          <w:rFonts w:ascii="Arial" w:cs="Arial" w:eastAsia="Arial" w:hAnsi="Arial"/>
          <w:sz w:val="18"/>
          <w:szCs w:val="18"/>
          <w:u w:val="single" w:color="auto"/>
          <w:color w:val="auto"/>
        </w:rPr>
        <w:t>6.10</w:t>
      </w:r>
      <w:r>
        <w:rPr>
          <w:rFonts w:ascii="Arial" w:cs="Arial" w:eastAsia="Arial" w:hAnsi="Arial"/>
          <w:sz w:val="18"/>
          <w:szCs w:val="18"/>
          <w:color w:val="auto"/>
        </w:rPr>
        <w:t>, or Article 7; or</w:t>
      </w:r>
    </w:p>
    <w:p>
      <w:pPr>
        <w:spacing w:after="0" w:line="170" w:lineRule="exact"/>
        <w:rPr>
          <w:rFonts w:ascii="Arial" w:cs="Arial" w:eastAsia="Arial" w:hAnsi="Arial"/>
          <w:sz w:val="18"/>
          <w:szCs w:val="18"/>
          <w:color w:val="auto"/>
        </w:rPr>
      </w:pPr>
    </w:p>
    <w:p>
      <w:pPr>
        <w:ind w:right="180" w:firstLine="996"/>
        <w:spacing w:after="0" w:line="264" w:lineRule="auto"/>
        <w:tabs>
          <w:tab w:leader="none" w:pos="1236"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Other Defaults</w:t>
      </w:r>
      <w:r>
        <w:rPr>
          <w:rFonts w:ascii="Arial" w:cs="Arial" w:eastAsia="Arial" w:hAnsi="Arial"/>
          <w:sz w:val="18"/>
          <w:szCs w:val="18"/>
          <w:color w:val="auto"/>
        </w:rPr>
        <w:t>. Any Loan Party fails to perform or observe any other covenant or agreement (not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contained in any Loan Document on its part to be performed or observed and such failure continues for 30 days after the Administrative Agent provides written notice to the Borrower of such failure; or</w:t>
      </w:r>
    </w:p>
    <w:p>
      <w:pPr>
        <w:spacing w:after="0" w:line="181" w:lineRule="exact"/>
        <w:rPr>
          <w:rFonts w:ascii="Arial" w:cs="Arial" w:eastAsia="Arial" w:hAnsi="Arial"/>
          <w:sz w:val="18"/>
          <w:szCs w:val="18"/>
          <w:color w:val="auto"/>
        </w:rPr>
      </w:pPr>
    </w:p>
    <w:p>
      <w:pPr>
        <w:jc w:val="both"/>
        <w:ind w:right="20" w:firstLine="996"/>
        <w:spacing w:after="0" w:line="264" w:lineRule="auto"/>
        <w:tabs>
          <w:tab w:leader="none" w:pos="1247"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Any representation, warranty, certification or statement of fact made or deemed made by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or any other Loan Party herein, in any other Loan Document, or in any document delivered in connection herewith or therewith shall be incorrect, in any material respect, when made or deemed made; or</w:t>
      </w:r>
    </w:p>
    <w:p>
      <w:pPr>
        <w:spacing w:after="0" w:line="181" w:lineRule="exact"/>
        <w:rPr>
          <w:rFonts w:ascii="Arial" w:cs="Arial" w:eastAsia="Arial" w:hAnsi="Arial"/>
          <w:sz w:val="18"/>
          <w:szCs w:val="18"/>
          <w:color w:val="auto"/>
        </w:rPr>
      </w:pPr>
    </w:p>
    <w:p>
      <w:pPr>
        <w:ind w:right="20" w:firstLine="996"/>
        <w:spacing w:after="0" w:line="254" w:lineRule="auto"/>
        <w:tabs>
          <w:tab w:leader="none" w:pos="1236"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Cross-Default</w:t>
      </w:r>
      <w:r>
        <w:rPr>
          <w:rFonts w:ascii="Arial" w:cs="Arial" w:eastAsia="Arial" w:hAnsi="Arial"/>
          <w:sz w:val="18"/>
          <w:szCs w:val="18"/>
          <w:color w:val="auto"/>
        </w:rPr>
        <w:t>. (i) The Borrower or any Restricted Subsidiary (other than an Escrow Subsidiary) (A) fails to make any payment when</w:t>
      </w:r>
      <w:r>
        <w:rPr>
          <w:rFonts w:ascii="Arial" w:cs="Arial" w:eastAsia="Arial" w:hAnsi="Arial"/>
          <w:sz w:val="18"/>
          <w:szCs w:val="18"/>
          <w:i w:val="1"/>
          <w:iCs w:val="1"/>
          <w:color w:val="auto"/>
        </w:rPr>
        <w:t xml:space="preserve"> </w:t>
      </w:r>
      <w:r>
        <w:rPr>
          <w:rFonts w:ascii="Arial" w:cs="Arial" w:eastAsia="Arial" w:hAnsi="Arial"/>
          <w:sz w:val="18"/>
          <w:szCs w:val="18"/>
          <w:color w:val="auto"/>
        </w:rPr>
        <w:t>due (whether by scheduled maturity, required prepayment, acceleration, demand, or otherwise) in respect of any Indebtedness or Guarantee of Indebtedness (other than Indebtedness under the Loan Documents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of Indebtedness or contained in any instrument or agreement evidencing, securing or relating thereto, or any other event occurs, in each case after any applicable grace, cure or notice period, the effect of which default or other event is to cause, or to permit the holder or holders of such Indebtedness or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273" w:right="459" w:bottom="1440" w:gutter="0" w:footer="0" w:header="0"/>
        </w:sectPr>
      </w:pPr>
    </w:p>
    <w:bookmarkStart w:id="376" w:name="page377"/>
    <w:bookmarkEnd w:id="37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beneficiary or beneficiaries of such Guarantee of Indebtedness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of Indebtedness to become payable or cash collateral in respect thereof to be demanded; or (ii) there occurs under any Swap Contract an Early Termination Date (as defined, or as such comparable term may be used and defined, in such Swap Contract) resulting from (A) any event of default under such Swap Contract as to which the Borrower or any Restricted Subsidiary is the Defaulting Party (as defined, or as such comparable term may be used and defined, in such Swap Contract) or (B) any Termination Event (as defined, or as such comparable term may be used and defined, in such Swap Contract) under such Swap Contract as to which the Borrower or any Restricted Subsidiary is an Affected Party (as defined, or as such comparable term may be used and defined, in such Swap Contract) and, in either event, the Swap Termination Value owed by the Borrower or such Restricted Subsidiary as a result thereof is greater than the Threshold Amount; or</w:t>
      </w:r>
    </w:p>
    <w:p>
      <w:pPr>
        <w:spacing w:after="0" w:line="178" w:lineRule="exact"/>
        <w:rPr>
          <w:sz w:val="20"/>
          <w:szCs w:val="20"/>
          <w:color w:val="auto"/>
        </w:rPr>
      </w:pPr>
    </w:p>
    <w:p>
      <w:pPr>
        <w:ind w:right="60" w:firstLine="996"/>
        <w:spacing w:after="0" w:line="272" w:lineRule="auto"/>
        <w:tabs>
          <w:tab w:leader="none" w:pos="1217" w:val="left"/>
        </w:tabs>
        <w:numPr>
          <w:ilvl w:val="1"/>
          <w:numId w:val="440"/>
        </w:numPr>
        <w:rPr>
          <w:rFonts w:ascii="Arial" w:cs="Arial" w:eastAsia="Arial" w:hAnsi="Arial"/>
          <w:sz w:val="17"/>
          <w:szCs w:val="17"/>
          <w:color w:val="auto"/>
        </w:rPr>
      </w:pPr>
      <w:r>
        <w:rPr>
          <w:rFonts w:ascii="Arial" w:cs="Arial" w:eastAsia="Arial" w:hAnsi="Arial"/>
          <w:sz w:val="17"/>
          <w:szCs w:val="17"/>
          <w:i w:val="1"/>
          <w:iCs w:val="1"/>
          <w:color w:val="auto"/>
        </w:rPr>
        <w:t>Insolvency Proceedings</w:t>
      </w:r>
      <w:r>
        <w:rPr>
          <w:rFonts w:ascii="Arial" w:cs="Arial" w:eastAsia="Arial" w:hAnsi="Arial"/>
          <w:sz w:val="17"/>
          <w:szCs w:val="17"/>
          <w:color w:val="auto"/>
        </w:rPr>
        <w:t>,</w:t>
      </w:r>
      <w:r>
        <w:rPr>
          <w:rFonts w:ascii="Arial" w:cs="Arial" w:eastAsia="Arial" w:hAnsi="Arial"/>
          <w:sz w:val="17"/>
          <w:szCs w:val="17"/>
          <w:i w:val="1"/>
          <w:iCs w:val="1"/>
          <w:color w:val="auto"/>
        </w:rPr>
        <w:t xml:space="preserve"> Etc</w:t>
      </w:r>
      <w:r>
        <w:rPr>
          <w:rFonts w:ascii="Arial" w:cs="Arial" w:eastAsia="Arial" w:hAnsi="Arial"/>
          <w:sz w:val="17"/>
          <w:szCs w:val="17"/>
          <w:color w:val="auto"/>
        </w:rPr>
        <w:t>. Any Loan Party or any of its Restricted Subsidiaries (other than an Immaterial Subsidiary or an Escrow</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77" w:lineRule="exact"/>
        <w:rPr>
          <w:rFonts w:ascii="Arial" w:cs="Arial" w:eastAsia="Arial" w:hAnsi="Arial"/>
          <w:sz w:val="17"/>
          <w:szCs w:val="17"/>
          <w:color w:val="auto"/>
        </w:rPr>
      </w:pPr>
    </w:p>
    <w:p>
      <w:pPr>
        <w:ind w:right="180" w:firstLine="996"/>
        <w:spacing w:after="0" w:line="259" w:lineRule="auto"/>
        <w:tabs>
          <w:tab w:leader="none" w:pos="1247" w:val="left"/>
        </w:tabs>
        <w:numPr>
          <w:ilvl w:val="1"/>
          <w:numId w:val="440"/>
        </w:numPr>
        <w:rPr>
          <w:rFonts w:ascii="Arial" w:cs="Arial" w:eastAsia="Arial" w:hAnsi="Arial"/>
          <w:sz w:val="18"/>
          <w:szCs w:val="18"/>
          <w:color w:val="auto"/>
        </w:rPr>
      </w:pPr>
      <w:r>
        <w:rPr>
          <w:rFonts w:ascii="Arial" w:cs="Arial" w:eastAsia="Arial" w:hAnsi="Arial"/>
          <w:sz w:val="18"/>
          <w:szCs w:val="18"/>
          <w:i w:val="1"/>
          <w:iCs w:val="1"/>
          <w:color w:val="auto"/>
        </w:rPr>
        <w:t>Inability to Pay Debts</w:t>
      </w:r>
      <w:r>
        <w:rPr>
          <w:rFonts w:ascii="Arial" w:cs="Arial" w:eastAsia="Arial" w:hAnsi="Arial"/>
          <w:sz w:val="18"/>
          <w:szCs w:val="18"/>
          <w:color w:val="auto"/>
        </w:rPr>
        <w:t>;</w:t>
      </w:r>
      <w:r>
        <w:rPr>
          <w:rFonts w:ascii="Arial" w:cs="Arial" w:eastAsia="Arial" w:hAnsi="Arial"/>
          <w:sz w:val="18"/>
          <w:szCs w:val="18"/>
          <w:i w:val="1"/>
          <w:iCs w:val="1"/>
          <w:color w:val="auto"/>
        </w:rPr>
        <w:t xml:space="preserve"> Attachment</w:t>
      </w:r>
      <w:r>
        <w:rPr>
          <w:rFonts w:ascii="Arial" w:cs="Arial" w:eastAsia="Arial" w:hAnsi="Arial"/>
          <w:sz w:val="18"/>
          <w:szCs w:val="18"/>
          <w:color w:val="auto"/>
        </w:rPr>
        <w:t>. (i) The Borrower or any Restricted Subsidiary (other than an Immaterial Subsidiary or an Escrow</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86" w:lineRule="exact"/>
        <w:rPr>
          <w:rFonts w:ascii="Arial" w:cs="Arial" w:eastAsia="Arial" w:hAnsi="Arial"/>
          <w:sz w:val="18"/>
          <w:szCs w:val="18"/>
          <w:color w:val="auto"/>
        </w:rPr>
      </w:pPr>
    </w:p>
    <w:p>
      <w:pPr>
        <w:ind w:right="100" w:firstLine="996"/>
        <w:spacing w:after="0" w:line="286" w:lineRule="auto"/>
        <w:tabs>
          <w:tab w:leader="none" w:pos="1247" w:val="left"/>
        </w:tabs>
        <w:numPr>
          <w:ilvl w:val="1"/>
          <w:numId w:val="440"/>
        </w:numPr>
        <w:rPr>
          <w:rFonts w:ascii="Arial" w:cs="Arial" w:eastAsia="Arial" w:hAnsi="Arial"/>
          <w:sz w:val="16"/>
          <w:szCs w:val="16"/>
          <w:color w:val="auto"/>
        </w:rPr>
      </w:pPr>
      <w:r>
        <w:rPr>
          <w:rFonts w:ascii="Arial" w:cs="Arial" w:eastAsia="Arial" w:hAnsi="Arial"/>
          <w:sz w:val="16"/>
          <w:szCs w:val="16"/>
          <w:i w:val="1"/>
          <w:iCs w:val="1"/>
          <w:color w:val="auto"/>
        </w:rPr>
        <w:t>Judgments</w:t>
      </w:r>
      <w:r>
        <w:rPr>
          <w:rFonts w:ascii="Arial" w:cs="Arial" w:eastAsia="Arial" w:hAnsi="Arial"/>
          <w:sz w:val="16"/>
          <w:szCs w:val="16"/>
          <w:color w:val="auto"/>
        </w:rPr>
        <w:t>. There is entered against the Borrower or any Restricted Subsidiary (other than an Escrow Subsidiary) (i) one or more final</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w:t>
      </w:r>
    </w:p>
    <w:p>
      <w:pPr>
        <w:spacing w:after="0" w:line="1" w:lineRule="exact"/>
        <w:rPr>
          <w:rFonts w:ascii="Arial" w:cs="Arial" w:eastAsia="Arial" w:hAnsi="Arial"/>
          <w:sz w:val="16"/>
          <w:szCs w:val="16"/>
          <w:color w:val="auto"/>
        </w:rPr>
      </w:pPr>
    </w:p>
    <w:p>
      <w:pPr>
        <w:ind w:right="60" w:firstLine="4"/>
        <w:spacing w:after="0" w:line="261" w:lineRule="auto"/>
        <w:tabs>
          <w:tab w:leader="none" w:pos="29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440" w:top="274" w:right="439" w:bottom="1440" w:gutter="0" w:footer="0" w:header="0"/>
        </w:sectPr>
      </w:pPr>
    </w:p>
    <w:bookmarkStart w:id="377" w:name="page378"/>
    <w:bookmarkEnd w:id="377"/>
    <w:p>
      <w:pPr>
        <w:ind w:right="120" w:firstLine="996"/>
        <w:spacing w:after="0" w:line="259" w:lineRule="auto"/>
        <w:tabs>
          <w:tab w:leader="none" w:pos="1207"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ERISA</w:t>
      </w:r>
      <w:r>
        <w:rPr>
          <w:rFonts w:ascii="Arial" w:cs="Arial" w:eastAsia="Arial" w:hAnsi="Arial"/>
          <w:sz w:val="18"/>
          <w:szCs w:val="18"/>
          <w:color w:val="auto"/>
        </w:rPr>
        <w:t>. (i) An ERISA Event occurs that alone or together with any other ERISA Event that has occurred could reasonably be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to result in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 or</w:t>
      </w:r>
    </w:p>
    <w:p>
      <w:pPr>
        <w:spacing w:after="0" w:line="186" w:lineRule="exact"/>
        <w:rPr>
          <w:rFonts w:ascii="Arial" w:cs="Arial" w:eastAsia="Arial" w:hAnsi="Arial"/>
          <w:sz w:val="18"/>
          <w:szCs w:val="18"/>
          <w:color w:val="auto"/>
        </w:rPr>
      </w:pPr>
    </w:p>
    <w:p>
      <w:pPr>
        <w:ind w:firstLine="996"/>
        <w:spacing w:after="0" w:line="276" w:lineRule="auto"/>
        <w:tabs>
          <w:tab w:leader="none" w:pos="1207" w:val="left"/>
        </w:tabs>
        <w:numPr>
          <w:ilvl w:val="0"/>
          <w:numId w:val="442"/>
        </w:numPr>
        <w:rPr>
          <w:rFonts w:ascii="Arial" w:cs="Arial" w:eastAsia="Arial" w:hAnsi="Arial"/>
          <w:sz w:val="17"/>
          <w:szCs w:val="17"/>
          <w:color w:val="auto"/>
        </w:rPr>
      </w:pPr>
      <w:r>
        <w:rPr>
          <w:rFonts w:ascii="Arial" w:cs="Arial" w:eastAsia="Arial" w:hAnsi="Arial"/>
          <w:sz w:val="17"/>
          <w:szCs w:val="17"/>
          <w:i w:val="1"/>
          <w:iCs w:val="1"/>
          <w:color w:val="auto"/>
        </w:rPr>
        <w:t>Invalidity of Loan Documents</w:t>
      </w:r>
      <w:r>
        <w:rPr>
          <w:rFonts w:ascii="Arial" w:cs="Arial" w:eastAsia="Arial" w:hAnsi="Arial"/>
          <w:sz w:val="17"/>
          <w:szCs w:val="17"/>
          <w:color w:val="auto"/>
        </w:rPr>
        <w:t>. Any provision of any Loan Document, at any time after its execution and delivery and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as expressly permitted hereunder or thereunder including the release or termination thereof by the Administrative Agent or the Required Lenders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72" w:lineRule="exact"/>
        <w:rPr>
          <w:rFonts w:ascii="Arial" w:cs="Arial" w:eastAsia="Arial" w:hAnsi="Arial"/>
          <w:sz w:val="17"/>
          <w:szCs w:val="17"/>
          <w:color w:val="auto"/>
        </w:rPr>
      </w:pPr>
    </w:p>
    <w:p>
      <w:pPr>
        <w:ind w:left="1260" w:hanging="264"/>
        <w:spacing w:after="0"/>
        <w:tabs>
          <w:tab w:leader="none" w:pos="1260"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firstLine="996"/>
        <w:spacing w:after="0" w:line="264" w:lineRule="auto"/>
        <w:tabs>
          <w:tab w:leader="none" w:pos="1207"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Any Collateral Document after delivery thereof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i w:val="1"/>
          <w:iCs w:val="1"/>
          <w:color w:val="auto"/>
        </w:rPr>
        <w:t xml:space="preserve"> </w:t>
      </w:r>
      <w:r>
        <w:rPr>
          <w:rFonts w:ascii="Arial" w:cs="Arial" w:eastAsia="Arial" w:hAnsi="Arial"/>
          <w:sz w:val="18"/>
          <w:szCs w:val="18"/>
          <w:color w:val="auto"/>
        </w:rPr>
        <w:t>shall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pursuant to the terms hereof) cease to create a valid and perfected first priority Lien (subject to Permitted Prior Liens) on the Collateral purported to be covered thereby.</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Remedies Upon Event of Default</w:t>
      </w:r>
      <w:r>
        <w:rPr>
          <w:rFonts w:ascii="Arial" w:cs="Arial" w:eastAsia="Arial" w:hAnsi="Arial"/>
          <w:sz w:val="18"/>
          <w:szCs w:val="18"/>
          <w:color w:val="auto"/>
        </w:rPr>
        <w:t xml:space="preserve">. If any Event of Default occurs and is continuing, the Administrative Agent shall, at the request of, or may, with the consent of, the Required Lenders (or, in the case of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(insofar as it relates to the obligations of the Revolving Credit Lenders to make Revolving Credit Loans and of the L/C Issuers to make L/C Credit Extensions), in each case, the Required Revolving Credit Lenders), take any or all of the following actions:</w:t>
      </w:r>
    </w:p>
    <w:p>
      <w:pPr>
        <w:spacing w:after="0" w:line="79" w:lineRule="exact"/>
        <w:rPr>
          <w:sz w:val="20"/>
          <w:szCs w:val="20"/>
          <w:color w:val="auto"/>
        </w:rPr>
      </w:pPr>
    </w:p>
    <w:p>
      <w:pPr>
        <w:ind w:right="400" w:firstLine="996"/>
        <w:spacing w:after="0" w:line="277" w:lineRule="auto"/>
        <w:tabs>
          <w:tab w:leader="none" w:pos="123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jc w:val="both"/>
        <w:ind w:right="140" w:firstLine="996"/>
        <w:spacing w:after="0" w:line="264" w:lineRule="auto"/>
        <w:tabs>
          <w:tab w:leader="none" w:pos="1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Arial" w:cs="Arial" w:eastAsia="Arial" w:hAnsi="Arial"/>
          <w:sz w:val="18"/>
          <w:szCs w:val="18"/>
          <w:color w:val="auto"/>
        </w:rPr>
      </w:pPr>
    </w:p>
    <w:p>
      <w:pPr>
        <w:ind w:left="1240" w:hanging="244"/>
        <w:spacing w:after="0"/>
        <w:tabs>
          <w:tab w:leader="none" w:pos="124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require that the Borrower Cash Collateralize the L/C Obligations (in an amount equal to 105% of the then Outstanding Amount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and</w:t>
      </w:r>
    </w:p>
    <w:p>
      <w:pPr>
        <w:spacing w:after="0" w:line="210" w:lineRule="exact"/>
        <w:rPr>
          <w:rFonts w:ascii="Arial" w:cs="Arial" w:eastAsia="Arial" w:hAnsi="Arial"/>
          <w:sz w:val="17"/>
          <w:szCs w:val="17"/>
          <w:color w:val="auto"/>
        </w:rPr>
      </w:pPr>
    </w:p>
    <w:p>
      <w:pPr>
        <w:ind w:right="380" w:firstLine="996"/>
        <w:spacing w:after="0" w:line="277" w:lineRule="auto"/>
        <w:tabs>
          <w:tab w:leader="none" w:pos="1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Issuers all rights and remedies available to it, the Lenders and the L/C Issuers under the Loan Documents or at law or in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3" w:right="459" w:bottom="1440" w:gutter="0" w:footer="0" w:header="0"/>
        </w:sectPr>
      </w:pPr>
    </w:p>
    <w:bookmarkStart w:id="378" w:name="page379"/>
    <w:bookmarkEnd w:id="378"/>
    <w:p>
      <w:pPr>
        <w:ind w:right="40" w:firstLine="441"/>
        <w:spacing w:after="0" w:line="27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however, </w:t>
      </w:r>
      <w:r>
        <w:rPr>
          <w:rFonts w:ascii="Arial" w:cs="Arial" w:eastAsia="Arial" w:hAnsi="Arial"/>
          <w:sz w:val="17"/>
          <w:szCs w:val="17"/>
          <w:color w:val="auto"/>
        </w:rPr>
        <w:t>that upon the occurrence of an actual or deemed entry of an order for relief with respect to the Borrower or any Guarantor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Bankruptcy Code of the United States,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3" w:lineRule="exact"/>
        <w:rPr>
          <w:sz w:val="20"/>
          <w:szCs w:val="20"/>
          <w:color w:val="auto"/>
        </w:rPr>
      </w:pPr>
    </w:p>
    <w:p>
      <w:pPr>
        <w:ind w:right="360" w:firstLine="441"/>
        <w:spacing w:after="0" w:line="302"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Application of Funds</w:t>
      </w:r>
      <w:r>
        <w:rPr>
          <w:rFonts w:ascii="Arial" w:cs="Arial" w:eastAsia="Arial" w:hAnsi="Arial"/>
          <w:sz w:val="16"/>
          <w:szCs w:val="16"/>
          <w:color w:val="auto"/>
        </w:rPr>
        <w:t xml:space="preserve">. 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of any Pari Passu Intercreditor Agreement then in effect, be applied by the Administrative Agent in the order specified in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of the Collateral Agreement.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AGENCY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Appointment and Authority</w:t>
      </w:r>
      <w:r>
        <w:rPr>
          <w:rFonts w:ascii="Arial" w:cs="Arial" w:eastAsia="Arial" w:hAnsi="Arial"/>
          <w:sz w:val="18"/>
          <w:szCs w:val="18"/>
          <w:color w:val="auto"/>
        </w:rPr>
        <w:t>.</w:t>
      </w:r>
    </w:p>
    <w:p>
      <w:pPr>
        <w:spacing w:after="0" w:line="225" w:lineRule="exact"/>
        <w:rPr>
          <w:sz w:val="20"/>
          <w:szCs w:val="20"/>
          <w:color w:val="auto"/>
        </w:rPr>
      </w:pPr>
    </w:p>
    <w:p>
      <w:pPr>
        <w:ind w:right="20" w:firstLine="996"/>
        <w:spacing w:after="0" w:line="290" w:lineRule="auto"/>
        <w:tabs>
          <w:tab w:leader="none" w:pos="1237" w:val="left"/>
        </w:tabs>
        <w:numPr>
          <w:ilvl w:val="0"/>
          <w:numId w:val="444"/>
        </w:numPr>
        <w:rPr>
          <w:rFonts w:ascii="Arial" w:cs="Arial" w:eastAsia="Arial" w:hAnsi="Arial"/>
          <w:sz w:val="16"/>
          <w:szCs w:val="16"/>
          <w:color w:val="auto"/>
        </w:rPr>
      </w:pPr>
      <w:r>
        <w:rPr>
          <w:rFonts w:ascii="Arial" w:cs="Arial" w:eastAsia="Arial" w:hAnsi="Arial"/>
          <w:sz w:val="16"/>
          <w:szCs w:val="16"/>
          <w:color w:val="auto"/>
        </w:rPr>
        <w:t>Each of the Lenders and each L/C Issuer hereby irrevocably appoints Credit Suisse AG, Cayman Islands Branch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the Borrower shall not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66" w:lineRule="exact"/>
        <w:rPr>
          <w:rFonts w:ascii="Arial" w:cs="Arial" w:eastAsia="Arial" w:hAnsi="Arial"/>
          <w:sz w:val="16"/>
          <w:szCs w:val="16"/>
          <w:color w:val="auto"/>
        </w:rPr>
      </w:pPr>
    </w:p>
    <w:p>
      <w:pPr>
        <w:ind w:firstLine="996"/>
        <w:spacing w:after="0" w:line="254" w:lineRule="auto"/>
        <w:tabs>
          <w:tab w:leader="none" w:pos="124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(including in its capacities as a potential Cash Management Bank and potential Hedge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0"/>
          </w:cols>
          <w:pgMar w:left="440" w:top="274" w:right="459" w:bottom="1440" w:gutter="0" w:footer="0" w:header="0"/>
        </w:sectPr>
      </w:pPr>
    </w:p>
    <w:bookmarkStart w:id="379" w:name="page380"/>
    <w:bookmarkEnd w:id="37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as though such co-agents, sub-agents and attorneys-in-fact were the “collateral agent” under the Loan Documents, as if set forth in full herein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 L/C Issuer is entitled to indemnification under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solely in connection with its role as an L/C Issuer, only the Revolving Credit Lenders shall be required to indemnify such L/C Issuer in accordance with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survive the payment in full of the Obligations, the termination of the Commitments and the termination of this Agreement.</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Rights as a Lender</w:t>
      </w:r>
      <w:r>
        <w:rPr>
          <w:rFonts w:ascii="Arial" w:cs="Arial" w:eastAsia="Arial" w:hAnsi="Arial"/>
          <w:sz w:val="18"/>
          <w:szCs w:val="18"/>
          <w:color w:val="auto"/>
        </w:rPr>
        <w:t>. The Administrative Agent shall have the same rights and powers in its capacity as a Lender as any other Lender and may exercise the same as though it were not the Administrative Agent hereunder,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73" w:lineRule="exact"/>
        <w:rPr>
          <w:sz w:val="20"/>
          <w:szCs w:val="20"/>
          <w:color w:val="auto"/>
        </w:rPr>
      </w:pPr>
    </w:p>
    <w:p>
      <w:pPr>
        <w:ind w:left="1240" w:hanging="244"/>
        <w:spacing w:after="0"/>
        <w:tabs>
          <w:tab w:leader="none" w:pos="12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firstLine="996"/>
        <w:spacing w:after="0" w:line="272" w:lineRule="auto"/>
        <w:tabs>
          <w:tab w:leader="none" w:pos="1247"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(in the case of the Administrative Agent)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7" w:lineRule="exact"/>
        <w:rPr>
          <w:rFonts w:ascii="Arial" w:cs="Arial" w:eastAsia="Arial" w:hAnsi="Arial"/>
          <w:sz w:val="17"/>
          <w:szCs w:val="17"/>
          <w:color w:val="auto"/>
        </w:rPr>
      </w:pPr>
    </w:p>
    <w:p>
      <w:pPr>
        <w:ind w:firstLine="996"/>
        <w:spacing w:after="0" w:line="264" w:lineRule="auto"/>
        <w:tabs>
          <w:tab w:leader="none" w:pos="1237"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20"/>
          </w:cols>
          <w:pgMar w:left="440" w:top="274" w:right="439" w:bottom="1440" w:gutter="0" w:footer="0" w:header="0"/>
        </w:sectPr>
      </w:pPr>
    </w:p>
    <w:bookmarkStart w:id="380" w:name="page381"/>
    <w:bookmarkEnd w:id="380"/>
    <w:p>
      <w:pPr>
        <w:ind w:right="12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8.02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10.01</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it shall have received written notice from a Lender, an L/C Issuer or the Borrower referring to this Agreement, describing such Default and stating that such notice is a “notice of default.”</w:t>
      </w:r>
    </w:p>
    <w:p>
      <w:pPr>
        <w:spacing w:after="0" w:line="178"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elsewhere herein, other than, in the case of the Administrative Agent, to confirm receipt of items expressly required to be delivered to the Administrative Agent.</w:t>
      </w:r>
    </w:p>
    <w:p>
      <w:pPr>
        <w:spacing w:after="0" w:line="17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Reliance</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i w:val="1"/>
          <w:iCs w:val="1"/>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3" w:right="459" w:bottom="1440" w:gutter="0" w:footer="0" w:header="0"/>
        </w:sectPr>
      </w:pPr>
    </w:p>
    <w:bookmarkStart w:id="381" w:name="page382"/>
    <w:bookmarkEnd w:id="381"/>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9.06 </w:t>
      </w:r>
      <w:r>
        <w:rPr>
          <w:rFonts w:ascii="Arial" w:cs="Arial" w:eastAsia="Arial" w:hAnsi="Arial"/>
          <w:sz w:val="16"/>
          <w:szCs w:val="16"/>
          <w:i w:val="1"/>
          <w:iCs w:val="1"/>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38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Any resignation by the entity serving as Administrative Agent pursuant to this Section shall also constitute its resignation as an L/C Issuer (if applicable). Upon the acceptance of a successor’s appointment as Administrative Agent hereunder, such successor may agree to succeed to and become vested with all of the rights, powers, privileges and duties of a retiring L/C Issuer, if applicable. In connection with any such agreement to succeed to the retiring L/C Issuer, the successor L/C Issuer, if applicable, shall issue letters of credit in substitution for the Letters of Credit, if any, outstanding at the time of such succession or make other arrangements reasonably satisfactory to the retiring L/C Issuer to effectively assume the obligations of such retiring L/C Issuer with respect to such Letters of Credit.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440" w:top="274" w:right="439" w:bottom="1440" w:gutter="0" w:footer="0" w:header="0"/>
        </w:sectPr>
      </w:pPr>
    </w:p>
    <w:bookmarkStart w:id="382" w:name="page383"/>
    <w:bookmarkEnd w:id="382"/>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the failure of any successor to agree to succeed to a retiring L/C Issuer shall not affect the resignation of such retiring L/C Issuer. The retiring L/C Issuer shall retain all the rights, powers, privileges and duties of an L/C Issuer hereunder with respect to all Letters of Credit issued by 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but shall have no obligation to issue any additional Letters of Credit or to amend, extend or otherwise modify any existing Letters of Credit (except as required pursuant to the terms of any such existing Letters of Credit).</w:t>
      </w:r>
    </w:p>
    <w:p>
      <w:pPr>
        <w:spacing w:after="0" w:line="193"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Non-Reliance on Administrative Agent and Other Lenders</w:t>
      </w:r>
      <w:r>
        <w:rPr>
          <w:rFonts w:ascii="Arial" w:cs="Arial" w:eastAsia="Arial" w:hAnsi="Arial"/>
          <w:sz w:val="16"/>
          <w:szCs w:val="16"/>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No Other Duties, Etc.</w:t>
      </w:r>
      <w:r>
        <w:rPr>
          <w:rFonts w:ascii="Arial" w:cs="Arial" w:eastAsia="Arial" w:hAnsi="Arial"/>
          <w:sz w:val="18"/>
          <w:szCs w:val="18"/>
          <w:color w:val="auto"/>
        </w:rPr>
        <w:t xml:space="preserve"> Anything herein to the contrary notwithstanding, none of the Arrangers, Co-Managers or the Administrative Agent shall have any powers, duties or responsibilities under this Agreement or any of the other Loan Documents, except in its capacity, as applicable, as the Administrative Agent, a Lender or an L/C Issuer hereunder.</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i w:val="1"/>
          <w:iCs w:val="1"/>
          <w:color w:val="auto"/>
        </w:rPr>
        <w:t>Administrative Agent May File Proofs of Claim</w:t>
      </w:r>
      <w:r>
        <w:rPr>
          <w:rFonts w:ascii="Arial" w:cs="Arial" w:eastAsia="Arial" w:hAnsi="Arial"/>
          <w:sz w:val="17"/>
          <w:szCs w:val="17"/>
          <w:color w:val="auto"/>
        </w:rPr>
        <w:t>. In case of the pendency of any proceeding under any Debtor Relief Law or any other judicial proceeding relating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63" w:lineRule="exact"/>
        <w:rPr>
          <w:sz w:val="20"/>
          <w:szCs w:val="20"/>
          <w:color w:val="auto"/>
        </w:rPr>
      </w:pPr>
    </w:p>
    <w:p>
      <w:pPr>
        <w:ind w:right="60" w:firstLine="996"/>
        <w:spacing w:after="0" w:line="297" w:lineRule="auto"/>
        <w:tabs>
          <w:tab w:leader="none" w:pos="1237"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158" w:lineRule="exact"/>
        <w:rPr>
          <w:rFonts w:ascii="Arial" w:cs="Arial" w:eastAsia="Arial" w:hAnsi="Arial"/>
          <w:sz w:val="16"/>
          <w:szCs w:val="16"/>
          <w:color w:val="auto"/>
        </w:rPr>
      </w:pPr>
    </w:p>
    <w:p>
      <w:pPr>
        <w:ind w:left="1260" w:hanging="264"/>
        <w:spacing w:after="0"/>
        <w:tabs>
          <w:tab w:leader="none" w:pos="12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3" w:right="459" w:bottom="1440" w:gutter="0" w:footer="0" w:header="0"/>
        </w:sectPr>
      </w:pPr>
    </w:p>
    <w:bookmarkStart w:id="383" w:name="page384"/>
    <w:bookmarkEnd w:id="38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to authorize the Administrative Agent to vote in respect of the claim of any Lender or L/C Issuer in any such proceeding.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Collateral and Guaranty Matters</w:t>
      </w:r>
      <w:r>
        <w:rPr>
          <w:rFonts w:ascii="Arial" w:cs="Arial" w:eastAsia="Arial" w:hAnsi="Arial"/>
          <w:sz w:val="16"/>
          <w:szCs w:val="16"/>
          <w:color w:val="auto"/>
        </w:rPr>
        <w:t>. Each Lender (including in its capacities as a potential Cash Management Bank and as a potential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Hedge Bank) and L/C Issuer irrevocably authorizes the Administrative Agent, at its option and in its discretion, after the Closing Date:</w:t>
      </w:r>
    </w:p>
    <w:p>
      <w:pPr>
        <w:spacing w:after="0" w:line="103" w:lineRule="exact"/>
        <w:rPr>
          <w:sz w:val="20"/>
          <w:szCs w:val="20"/>
          <w:color w:val="auto"/>
        </w:rPr>
      </w:pPr>
    </w:p>
    <w:p>
      <w:pPr>
        <w:ind w:firstLine="996"/>
        <w:spacing w:after="0" w:line="270" w:lineRule="auto"/>
        <w:tabs>
          <w:tab w:leader="none" w:pos="1237" w:val="left"/>
        </w:tabs>
        <w:numPr>
          <w:ilvl w:val="1"/>
          <w:numId w:val="447"/>
        </w:numPr>
        <w:rPr>
          <w:rFonts w:ascii="Arial" w:cs="Arial" w:eastAsia="Arial" w:hAnsi="Arial"/>
          <w:sz w:val="17"/>
          <w:szCs w:val="17"/>
          <w:color w:val="auto"/>
        </w:rPr>
      </w:pPr>
      <w:r>
        <w:rPr>
          <w:rFonts w:ascii="Arial" w:cs="Arial" w:eastAsia="Arial" w:hAnsi="Arial"/>
          <w:sz w:val="17"/>
          <w:szCs w:val="17"/>
          <w:color w:val="auto"/>
        </w:rPr>
        <w:t xml:space="preserve">to release any Lien to the extent securing the Obligations on any property granted to or held by the Administrative Agent under any Loan Document (i), upon termination of the Aggregate Commitments and payment in full of all Obligations (other than (A) contingent indemnification obligations as to which no claim has been asserted and (B) obligations and liabilities under Secured Cash Management Agreements and Secured Hedge Agreements), the expiration or termination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(other than any such agreements as to which other arrangements reasonably satisfactory to the applicable Cash Management Bank or Hedge Bank have been made), (ii) that is Disposed of in a transaction permitted hereunder the result of which is that, following the consummation thereof, no Loan Party has rights in the property being Disposed of or (iii)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140" w:firstLine="996"/>
        <w:spacing w:after="0" w:line="291" w:lineRule="auto"/>
        <w:tabs>
          <w:tab w:leader="none" w:pos="1247" w:val="left"/>
        </w:tabs>
        <w:numPr>
          <w:ilvl w:val="1"/>
          <w:numId w:val="447"/>
        </w:numPr>
        <w:rPr>
          <w:rFonts w:ascii="Arial" w:cs="Arial" w:eastAsia="Arial" w:hAnsi="Arial"/>
          <w:sz w:val="16"/>
          <w:szCs w:val="16"/>
          <w:color w:val="auto"/>
        </w:rPr>
      </w:pPr>
      <w:r>
        <w:rPr>
          <w:rFonts w:ascii="Arial" w:cs="Arial" w:eastAsia="Arial" w:hAnsi="Arial"/>
          <w:sz w:val="16"/>
          <w:szCs w:val="16"/>
          <w:color w:val="auto"/>
        </w:rPr>
        <w:t>to release any Guarantor from its Guarantee of the Obligations under the Collateral Agreement (i) upon termination of the Aggregate Commitments and payment in full of all Obligations (other than (A) contingent indemnification obligations as to which no claim has been asserted and</w:t>
      </w:r>
    </w:p>
    <w:p>
      <w:pPr>
        <w:ind w:right="60" w:firstLine="4"/>
        <w:spacing w:after="0" w:line="270" w:lineRule="auto"/>
        <w:tabs>
          <w:tab w:leader="none" w:pos="285"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obligations and liabilities under Secured Cash Management Agreement and Secured Hedge Agreements), the expiration or termination of all Letters of Credit (other than Letters of Credit which have been Cash Collateralized or as to which other arrangements satisfactory to the Administrative Agent and the applicable L/C Issuer shall have been made) and the termination and payment in full of all obligations and liabilities under Secured Cash Management Agreements and Secured Hedge Agreements in respect of which the Administrative Agent has received notice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(other than any such agreements as to which other arrangements reasonably satisfactory to the applicable Cash Management Bank or Hedge Bank have been made), or (ii)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440" w:top="274" w:right="439" w:bottom="1440" w:gutter="0" w:footer="0" w:header="0"/>
        </w:sectPr>
      </w:pPr>
    </w:p>
    <w:bookmarkStart w:id="384" w:name="page385"/>
    <w:bookmarkEnd w:id="384"/>
    <w:p>
      <w:pPr>
        <w:ind w:firstLine="996"/>
        <w:spacing w:after="0" w:line="268" w:lineRule="auto"/>
        <w:tabs>
          <w:tab w:leader="none" w:pos="1237" w:val="left"/>
        </w:tabs>
        <w:numPr>
          <w:ilvl w:val="0"/>
          <w:numId w:val="4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release any Guarantor from its Guarantee of the Obligations and all Liens granted by any such Guarantor, and all pledges of Equity Interests in any such Guarantor under the Collateral Agreement if such Person ceases to be a Restricted Subsidiary (including by being designated an Unrestricted Subsidiary in accordance with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hereof, or by way of liquidation, merger, consolidation, amalgamation or dissolution or Disposition thereof as permitted by this Agreement), or becomes an Immaterial Subsidiary or an Excluded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Guarantor becomes an Excluded Subsidiary by virtue of being a first tier Affected Foreign Subsidiary, then the release of any pledge of Equity Interests therein shall be limited to 35% of the voting Equity Interests thereof and if such Affected Foreign Subsidiary is a direct or indirect Subsidiary of an Affected Foreign Subsidiary, then the release shall be 100% of any pledge of Equity Interests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Guarantor becomes an Excluded Subsidiary solely in reliance on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of the definition of “Excluded Subsidiary,” then the release of such Guarantor from its Obligations under the Loan Documents shall only be permitted if at the time such Guarantor becomes an Excluded Subsidiary of such type, after giving pro forma effect to such release and consummation of the transaction that causes such Person to be an Excluded Subsidiary of such type, the Borrower is deemed to have made a new Investment in such Person on the date of such release in an amount equal to the portion of the fair market value of the net assets of such Person attributable to the Borrower’s or any Restricted Subsidiary’s Equity Interest therein and such Investment is permitted under </w:t>
      </w:r>
      <w:r>
        <w:rPr>
          <w:rFonts w:ascii="Arial" w:cs="Arial" w:eastAsia="Arial" w:hAnsi="Arial"/>
          <w:sz w:val="17"/>
          <w:szCs w:val="17"/>
          <w:u w:val="single" w:color="auto"/>
          <w:color w:val="auto"/>
        </w:rPr>
        <w:t>Section 7.</w:t>
      </w:r>
      <w:r>
        <w:rPr>
          <w:rFonts w:ascii="Arial" w:cs="Arial" w:eastAsia="Arial" w:hAnsi="Arial"/>
          <w:sz w:val="17"/>
          <w:szCs w:val="17"/>
          <w:color w:val="auto"/>
        </w:rPr>
        <w:t>02 at such time;</w:t>
      </w:r>
    </w:p>
    <w:p>
      <w:pPr>
        <w:spacing w:after="0" w:line="187" w:lineRule="exact"/>
        <w:rPr>
          <w:rFonts w:ascii="Arial" w:cs="Arial" w:eastAsia="Arial" w:hAnsi="Arial"/>
          <w:sz w:val="17"/>
          <w:szCs w:val="17"/>
          <w:color w:val="auto"/>
        </w:rPr>
      </w:pPr>
    </w:p>
    <w:p>
      <w:pPr>
        <w:ind w:right="240" w:firstLine="996"/>
        <w:spacing w:after="0" w:line="308" w:lineRule="auto"/>
        <w:tabs>
          <w:tab w:leader="none" w:pos="1247" w:val="left"/>
        </w:tabs>
        <w:numPr>
          <w:ilvl w:val="0"/>
          <w:numId w:val="449"/>
        </w:numPr>
        <w:rPr>
          <w:rFonts w:ascii="Arial" w:cs="Arial" w:eastAsia="Arial" w:hAnsi="Arial"/>
          <w:sz w:val="17"/>
          <w:szCs w:val="17"/>
          <w:color w:val="auto"/>
        </w:rPr>
      </w:pPr>
      <w:r>
        <w:rPr>
          <w:rFonts w:ascii="Arial" w:cs="Arial" w:eastAsia="Arial" w:hAnsi="Arial"/>
          <w:sz w:val="17"/>
          <w:szCs w:val="17"/>
          <w:color w:val="auto"/>
        </w:rPr>
        <w:t>to execute any intercreditor agreements and/or subordination agreements with any holder of any Indebtedness or Liens permitted by this Agreement to the extent such intercreditor agreement and/or subordination agreement is required by the terms hereof; and</w:t>
      </w:r>
    </w:p>
    <w:p>
      <w:pPr>
        <w:spacing w:after="0" w:line="146" w:lineRule="exact"/>
        <w:rPr>
          <w:rFonts w:ascii="Arial" w:cs="Arial" w:eastAsia="Arial" w:hAnsi="Arial"/>
          <w:sz w:val="17"/>
          <w:szCs w:val="17"/>
          <w:color w:val="auto"/>
        </w:rPr>
      </w:pPr>
    </w:p>
    <w:p>
      <w:pPr>
        <w:ind w:right="500" w:firstLine="996"/>
        <w:spacing w:after="0" w:line="277" w:lineRule="auto"/>
        <w:tabs>
          <w:tab w:leader="none" w:pos="1237"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extent securing the Obligations,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w:t>
      </w:r>
    </w:p>
    <w:p>
      <w:pPr>
        <w:spacing w:after="0" w:line="170"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Collateral, or to release any Guarantor from its Guarantee of the Obligations under the Collateral Agreement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Section 9.10,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Guarantee of the Obligations under the Collateral Agreement,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440" w:top="274" w:right="459" w:bottom="1440" w:gutter="0" w:footer="0" w:header="0"/>
        </w:sectPr>
      </w:pPr>
    </w:p>
    <w:bookmarkStart w:id="385" w:name="page386"/>
    <w:bookmarkEnd w:id="385"/>
    <w:p>
      <w:pPr>
        <w:ind w:right="40" w:firstLine="44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in this Agreement, upon a Subsidiary being designated an Unrestricted Subsidiary in accordance with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of this Agreement or otherwise ceasing to be a Restricted Subsidiary (including by way of liquidation, merger, consolidation or amalgamation or dissolution) in a transaction permitted by this Agreement, such Subsidiary shall be automatically released and relieved of any obligations under this Agreement, the Collateral Agreement and all other Loan Documents, all Liens granted by such Subsidiary in its assets to the Administrative Agent shall be automatically released, all pledges to the Administrative Agent of Equity Interests in any such Subsidiary shall be automatically released, and the Administrative Agent is authorized to, and shall promptly, deliver to the Borrower any acknowledgement confirming such releases and all necessary releases and terminations, in each case as the Borrower may reasonably request to evidence such release and at Borrower’s expense. To the extent any Loan Document conflicts or is inconsistent with the terms of this Section, this Section shall govern and control in all respects.</w:t>
      </w:r>
    </w:p>
    <w:p>
      <w:pPr>
        <w:spacing w:after="0" w:line="197"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i w:val="1"/>
          <w:iCs w:val="1"/>
          <w:color w:val="auto"/>
        </w:rPr>
        <w:t>Additional Secured Parties</w:t>
      </w:r>
      <w:r>
        <w:rPr>
          <w:rFonts w:ascii="Arial" w:cs="Arial" w:eastAsia="Arial" w:hAnsi="Arial"/>
          <w:sz w:val="16"/>
          <w:szCs w:val="16"/>
          <w:color w:val="auto"/>
        </w:rPr>
        <w:t>. No Cash Management Bank or Hedge Bank that obtains the benefits of the Collateral Agreement or any Collateral by virtue of the provisions hereof or of the Collateral Agreement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ind w:right="80" w:firstLine="996"/>
        <w:spacing w:after="0" w:line="259" w:lineRule="auto"/>
        <w:tabs>
          <w:tab w:leader="none" w:pos="123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1000" w:firstLine="397"/>
        <w:spacing w:after="0" w:line="342" w:lineRule="auto"/>
        <w:tabs>
          <w:tab w:leader="none" w:pos="161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5" w:lineRule="exact"/>
        <w:rPr>
          <w:rFonts w:ascii="Arial" w:cs="Arial" w:eastAsia="Arial" w:hAnsi="Arial"/>
          <w:sz w:val="16"/>
          <w:szCs w:val="16"/>
          <w:color w:val="auto"/>
        </w:rPr>
      </w:pPr>
    </w:p>
    <w:p>
      <w:pPr>
        <w:ind w:left="1000" w:right="20" w:firstLine="397"/>
        <w:spacing w:after="0" w:line="272" w:lineRule="auto"/>
        <w:tabs>
          <w:tab w:leader="none" w:pos="1666" w:val="left"/>
        </w:tabs>
        <w:numPr>
          <w:ilvl w:val="1"/>
          <w:numId w:val="450"/>
        </w:numPr>
        <w:rPr>
          <w:rFonts w:ascii="Arial" w:cs="Arial" w:eastAsia="Arial" w:hAnsi="Arial"/>
          <w:sz w:val="17"/>
          <w:szCs w:val="17"/>
          <w:color w:val="auto"/>
        </w:rPr>
      </w:pPr>
      <w:r>
        <w:rPr>
          <w:rFonts w:ascii="Arial" w:cs="Arial" w:eastAsia="Arial" w:hAnsi="Arial"/>
          <w:sz w:val="17"/>
          <w:szCs w:val="17"/>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440" w:top="273" w:right="439" w:bottom="1440" w:gutter="0" w:footer="0" w:header="0"/>
        </w:sectPr>
      </w:pPr>
    </w:p>
    <w:bookmarkStart w:id="386" w:name="page387"/>
    <w:bookmarkEnd w:id="386"/>
    <w:p>
      <w:pPr>
        <w:ind w:left="1000" w:right="60" w:firstLine="397"/>
        <w:spacing w:after="0" w:line="272" w:lineRule="auto"/>
        <w:tabs>
          <w:tab w:leader="none" w:pos="1716" w:val="left"/>
        </w:tabs>
        <w:numPr>
          <w:ilvl w:val="2"/>
          <w:numId w:val="4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Arial" w:cs="Arial" w:eastAsia="Arial" w:hAnsi="Arial"/>
          <w:sz w:val="17"/>
          <w:szCs w:val="17"/>
          <w:u w:val="single" w:color="auto"/>
          <w:color w:val="auto"/>
        </w:rPr>
        <w:t>sub-sections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Part I of PTE 84-14 and (D) to the best knowledge of such Lender, the requirements of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Part I of PTE 84-14 are satisfied with respect to such Lender’s entrance into, participation in, administration of and performance of the Loans, the Letters of Credit, the Commitments and this Agreement, or</w:t>
      </w:r>
    </w:p>
    <w:p>
      <w:pPr>
        <w:spacing w:after="0" w:line="69" w:lineRule="exact"/>
        <w:rPr>
          <w:rFonts w:ascii="Arial" w:cs="Arial" w:eastAsia="Arial" w:hAnsi="Arial"/>
          <w:sz w:val="17"/>
          <w:szCs w:val="17"/>
          <w:color w:val="auto"/>
        </w:rPr>
      </w:pPr>
    </w:p>
    <w:p>
      <w:pPr>
        <w:ind w:left="1000" w:right="400" w:firstLine="397"/>
        <w:spacing w:after="0" w:line="277" w:lineRule="auto"/>
        <w:tabs>
          <w:tab w:leader="none" w:pos="1706" w:val="left"/>
        </w:tabs>
        <w:numPr>
          <w:ilvl w:val="2"/>
          <w:numId w:val="45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right="40" w:firstLine="996"/>
        <w:spacing w:after="0" w:line="291" w:lineRule="auto"/>
        <w:tabs>
          <w:tab w:leader="none" w:pos="1247" w:val="left"/>
        </w:tabs>
        <w:numPr>
          <w:ilvl w:val="1"/>
          <w:numId w:val="452"/>
        </w:numPr>
        <w:rPr>
          <w:rFonts w:ascii="Arial" w:cs="Arial" w:eastAsia="Arial" w:hAnsi="Arial"/>
          <w:sz w:val="16"/>
          <w:szCs w:val="16"/>
          <w:color w:val="auto"/>
        </w:rPr>
      </w:pPr>
      <w:r>
        <w:rPr>
          <w:rFonts w:ascii="Arial" w:cs="Arial" w:eastAsia="Arial" w:hAnsi="Arial"/>
          <w:sz w:val="16"/>
          <w:szCs w:val="16"/>
          <w:color w:val="auto"/>
        </w:rPr>
        <w:t xml:space="preserve">In addition, unless either (1) sub-clause (i)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(2) a Lender has provided another representation, warranty and covenant in accordance with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such Lender further</w:t>
      </w:r>
    </w:p>
    <w:p>
      <w:pPr>
        <w:ind w:right="80" w:firstLine="4"/>
        <w:spacing w:after="0" w:line="270" w:lineRule="auto"/>
        <w:tabs>
          <w:tab w:leader="none" w:pos="255" w:val="left"/>
        </w:tabs>
        <w:numPr>
          <w:ilvl w:val="0"/>
          <w:numId w:val="453"/>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or any other Loan Party, that none of the Administrative Agent or any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-1000125</wp:posOffset>
            </wp:positionV>
            <wp:extent cx="6470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 Etc.</w:t>
      </w:r>
      <w:r>
        <w:rPr>
          <w:rFonts w:ascii="Arial" w:cs="Arial" w:eastAsia="Arial" w:hAnsi="Arial"/>
          <w:sz w:val="18"/>
          <w:szCs w:val="18"/>
          <w:color w:val="auto"/>
        </w:rPr>
        <w:t xml:space="preserve"> Except as set forth below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(or signed by the Administrative Agent on behalf of and with the written consent of the Required Lenders), and each such waiver or consent shall be effective only in the specific instance and for the specific purpose for which given;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waiver, consent or other modification shall: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80"/>
          </w:cols>
          <w:pgMar w:left="440" w:top="274" w:right="479" w:bottom="1440" w:gutter="0" w:footer="0" w:header="0"/>
        </w:sectPr>
      </w:pPr>
    </w:p>
    <w:bookmarkStart w:id="387" w:name="page388"/>
    <w:bookmarkEnd w:id="387"/>
    <w:p>
      <w:pPr>
        <w:ind w:left="1236" w:hanging="244"/>
        <w:spacing w:after="0"/>
        <w:tabs>
          <w:tab w:leader="none" w:pos="1236" w:val="left"/>
        </w:tabs>
        <w:numPr>
          <w:ilvl w:val="1"/>
          <w:numId w:val="4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without the written consent of each Lender adversely affected thereby;</w:t>
      </w:r>
    </w:p>
    <w:p>
      <w:pPr>
        <w:spacing w:after="0" w:line="225" w:lineRule="exact"/>
        <w:rPr>
          <w:rFonts w:ascii="Arial" w:cs="Arial" w:eastAsia="Arial" w:hAnsi="Arial"/>
          <w:sz w:val="18"/>
          <w:szCs w:val="18"/>
          <w:color w:val="auto"/>
        </w:rPr>
      </w:pPr>
    </w:p>
    <w:p>
      <w:pPr>
        <w:ind w:left="-4" w:right="160" w:firstLine="996"/>
        <w:spacing w:after="0" w:line="277" w:lineRule="auto"/>
        <w:tabs>
          <w:tab w:leader="none" w:pos="1243"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the Revolving Credit Facility without the written consent of the Required Revolving Credit Lenders;</w:t>
      </w:r>
    </w:p>
    <w:p>
      <w:pPr>
        <w:spacing w:after="0" w:line="170" w:lineRule="exact"/>
        <w:rPr>
          <w:rFonts w:ascii="Arial" w:cs="Arial" w:eastAsia="Arial" w:hAnsi="Arial"/>
          <w:sz w:val="18"/>
          <w:szCs w:val="18"/>
          <w:color w:val="auto"/>
        </w:rPr>
      </w:pPr>
    </w:p>
    <w:p>
      <w:pPr>
        <w:ind w:left="-4" w:right="120" w:firstLine="996"/>
        <w:spacing w:after="0" w:line="277" w:lineRule="auto"/>
        <w:tabs>
          <w:tab w:leader="none" w:pos="1233" w:val="left"/>
        </w:tabs>
        <w:numPr>
          <w:ilvl w:val="1"/>
          <w:numId w:val="454"/>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left="-4" w:right="60" w:firstLine="996"/>
        <w:spacing w:after="0" w:line="312" w:lineRule="auto"/>
        <w:tabs>
          <w:tab w:leader="none" w:pos="1243" w:val="left"/>
        </w:tabs>
        <w:numPr>
          <w:ilvl w:val="1"/>
          <w:numId w:val="454"/>
        </w:numPr>
        <w:rPr>
          <w:rFonts w:ascii="Arial" w:cs="Arial" w:eastAsia="Arial" w:hAnsi="Arial"/>
          <w:sz w:val="16"/>
          <w:szCs w:val="16"/>
          <w:color w:val="auto"/>
        </w:rPr>
      </w:pPr>
      <w:r>
        <w:rPr>
          <w:rFonts w:ascii="Arial" w:cs="Arial" w:eastAsia="Arial" w:hAnsi="Arial"/>
          <w:sz w:val="16"/>
          <w:szCs w:val="16"/>
          <w:color w:val="auto"/>
        </w:rPr>
        <w:t xml:space="preserve">postpone any date fixed by this Agreement or any other Loan Document for any payment (excluding mandatory prepayments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of principal, interest, fees or other amounts due to the Lenders (or any of them) or any scheduled or mandatory reduction of any Facility hereunder or under any other Loan Document without the written consent of each Appropriate Lender directly affected thereby;</w:t>
      </w:r>
    </w:p>
    <w:p>
      <w:pPr>
        <w:spacing w:after="0" w:line="146" w:lineRule="exact"/>
        <w:rPr>
          <w:rFonts w:ascii="Arial" w:cs="Arial" w:eastAsia="Arial" w:hAnsi="Arial"/>
          <w:sz w:val="16"/>
          <w:szCs w:val="16"/>
          <w:color w:val="auto"/>
        </w:rPr>
      </w:pPr>
    </w:p>
    <w:p>
      <w:pPr>
        <w:ind w:left="-4" w:right="40" w:firstLine="996"/>
        <w:spacing w:after="0" w:line="286" w:lineRule="auto"/>
        <w:tabs>
          <w:tab w:leader="none" w:pos="1233" w:val="left"/>
        </w:tabs>
        <w:numPr>
          <w:ilvl w:val="1"/>
          <w:numId w:val="454"/>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any fees or other amounts payable hereunder or under any other Loan Document without the written consent of each Lender directly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only the consent of the Required Lenders shall be necessary to amend (i) the definition of “</w:t>
      </w:r>
      <w:r>
        <w:rPr>
          <w:rFonts w:ascii="Arial" w:cs="Arial" w:eastAsia="Arial" w:hAnsi="Arial"/>
          <w:sz w:val="16"/>
          <w:szCs w:val="16"/>
          <w:b w:val="1"/>
          <w:bCs w:val="1"/>
          <w:color w:val="auto"/>
        </w:rPr>
        <w:t>Default Rate</w:t>
      </w:r>
      <w:r>
        <w:rPr>
          <w:rFonts w:ascii="Arial" w:cs="Arial" w:eastAsia="Arial" w:hAnsi="Arial"/>
          <w:sz w:val="16"/>
          <w:szCs w:val="16"/>
          <w:color w:val="auto"/>
        </w:rPr>
        <w:t>” or to waive any obligation of the Borrower to pay interest or Letter of Credit Fees at the Default Rate and (ii) any financial ratio (including any defined term used therein) or any definition relating to any</w:t>
      </w:r>
    </w:p>
    <w:p>
      <w:pPr>
        <w:spacing w:after="0" w:line="1" w:lineRule="exact"/>
        <w:rPr>
          <w:rFonts w:ascii="Arial" w:cs="Arial" w:eastAsia="Arial" w:hAnsi="Arial"/>
          <w:sz w:val="16"/>
          <w:szCs w:val="16"/>
          <w:color w:val="auto"/>
        </w:rPr>
      </w:pPr>
    </w:p>
    <w:p>
      <w:pPr>
        <w:ind w:left="-4" w:right="120" w:firstLine="4"/>
        <w:spacing w:after="0" w:line="277" w:lineRule="auto"/>
        <w:tabs>
          <w:tab w:leader="none" w:pos="251"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financial calculation or (y) currency exchange rate calculation affecting compliance with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with respect to the amount of Liens, Indebtedness or Investment in currencies other than U.S. Dollars hereunder even if, in the case of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and (y), the effect of such amendment would be to reduce the rate of interest on any Loan or L/C Borrowing or to reduce any fee payable hereunder;</w:t>
      </w:r>
    </w:p>
    <w:p>
      <w:pPr>
        <w:spacing w:after="0" w:line="173" w:lineRule="exact"/>
        <w:rPr>
          <w:rFonts w:ascii="Arial" w:cs="Arial" w:eastAsia="Arial" w:hAnsi="Arial"/>
          <w:sz w:val="17"/>
          <w:szCs w:val="17"/>
          <w:color w:val="auto"/>
        </w:rPr>
      </w:pPr>
    </w:p>
    <w:p>
      <w:pPr>
        <w:ind w:left="-4" w:firstLine="996"/>
        <w:spacing w:after="0" w:line="255" w:lineRule="auto"/>
        <w:tabs>
          <w:tab w:leader="none" w:pos="1213" w:val="left"/>
        </w:tabs>
        <w:numPr>
          <w:ilvl w:val="1"/>
          <w:numId w:val="455"/>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of this Agreement or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the Collateral Agreement in a manner that would alter the pro rata sharing of payments required thereby without the written consent of each Lender or (ii) the definition of “Applicable Percentage,” the definition of “Applicable Revolving Credit Percentage”, the order of application or pro rata nature of application of any reduction in the Commitments or any prepayment of Loans within or among the Facilities from the application thereof set forth in the applicable provisions of </w:t>
      </w:r>
      <w:r>
        <w:rPr>
          <w:rFonts w:ascii="Arial" w:cs="Arial" w:eastAsia="Arial" w:hAnsi="Arial"/>
          <w:sz w:val="18"/>
          <w:szCs w:val="18"/>
          <w:u w:val="single" w:color="auto"/>
          <w:color w:val="auto"/>
        </w:rPr>
        <w:t>Sections 2.05(a)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w:t>
      </w:r>
      <w:r>
        <w:rPr>
          <w:rFonts w:ascii="Arial" w:cs="Arial" w:eastAsia="Arial" w:hAnsi="Arial"/>
          <w:sz w:val="18"/>
          <w:szCs w:val="18"/>
          <w:color w:val="auto"/>
        </w:rPr>
        <w:t xml:space="preserve"> or 2.06(c), or other provisions in respect of the pro rata application of payments or offers hereunder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2.15,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10.06(b)(vii)</w:t>
      </w:r>
      <w:r>
        <w:rPr>
          <w:rFonts w:ascii="Arial" w:cs="Arial" w:eastAsia="Arial" w:hAnsi="Arial"/>
          <w:sz w:val="18"/>
          <w:szCs w:val="18"/>
          <w:color w:val="auto"/>
        </w:rPr>
        <w:t xml:space="preserve"> in any manner that materially and adversely affects the Lenders under a Facility or Class without the written consent of the Lenders with respect to the relevant Facility or Class and adversely affected thereby;</w:t>
      </w:r>
    </w:p>
    <w:p>
      <w:pPr>
        <w:spacing w:after="0" w:line="189" w:lineRule="exact"/>
        <w:rPr>
          <w:rFonts w:ascii="Arial" w:cs="Arial" w:eastAsia="Arial" w:hAnsi="Arial"/>
          <w:sz w:val="18"/>
          <w:szCs w:val="18"/>
          <w:color w:val="auto"/>
        </w:rPr>
      </w:pPr>
    </w:p>
    <w:p>
      <w:pPr>
        <w:ind w:left="-4" w:right="220" w:firstLine="996"/>
        <w:spacing w:after="0" w:line="302" w:lineRule="auto"/>
        <w:tabs>
          <w:tab w:leader="none" w:pos="1243"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change (i) any provision of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10.01(g)</w:t>
      </w:r>
      <w:r>
        <w:rPr>
          <w:rFonts w:ascii="Arial" w:cs="Arial" w:eastAsia="Arial" w:hAnsi="Arial"/>
          <w:sz w:val="16"/>
          <w:szCs w:val="16"/>
          <w:color w:val="auto"/>
        </w:rPr>
        <w:t>), without the written consent of each Lender; (ii) the definition of “Required Lenders”, “Required Facility Lenders”, “Required Revolving Credit Lenders” or “Required Term B Lenders”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6090920</wp:posOffset>
            </wp:positionH>
            <wp:positionV relativeFrom="paragraph">
              <wp:posOffset>-1153160</wp:posOffset>
            </wp:positionV>
            <wp:extent cx="3556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6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96"/>
          </w:cols>
          <w:pgMar w:left="444" w:top="273" w:right="459" w:bottom="1440" w:gutter="0" w:footer="0" w:header="0"/>
        </w:sectPr>
      </w:pPr>
    </w:p>
    <w:bookmarkStart w:id="388" w:name="page389"/>
    <w:bookmarkEnd w:id="3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written consent of each Lender under the applicable Facility or (iii) any other provision of this Agreement or the other Loan Documents in a manner that creates a materially disadvantaged Class or otherwise materially adversely affects a Class, without the written consent of the Required Lenders with respect to such Class determined in a manner consistent with the definition of “Required Facility Lenders” (as if such Class constituted a Facility for purposes of such definition);</w:t>
      </w:r>
    </w:p>
    <w:p>
      <w:pPr>
        <w:spacing w:after="0" w:line="187" w:lineRule="exact"/>
        <w:rPr>
          <w:sz w:val="20"/>
          <w:szCs w:val="20"/>
          <w:color w:val="auto"/>
        </w:rPr>
      </w:pPr>
    </w:p>
    <w:p>
      <w:pPr>
        <w:jc w:val="both"/>
        <w:ind w:right="160" w:firstLine="996"/>
        <w:spacing w:after="0" w:line="264" w:lineRule="auto"/>
        <w:tabs>
          <w:tab w:leader="none" w:pos="124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Guarantees of the Obligations in any transaction or series of transactions without the written consent of each Lender, except to the extent the release of any Guarantor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181" w:lineRule="exact"/>
        <w:rPr>
          <w:rFonts w:ascii="Arial" w:cs="Arial" w:eastAsia="Arial" w:hAnsi="Arial"/>
          <w:sz w:val="18"/>
          <w:szCs w:val="18"/>
          <w:color w:val="auto"/>
        </w:rPr>
      </w:pPr>
    </w:p>
    <w:p>
      <w:pPr>
        <w:ind w:right="300" w:firstLine="996"/>
        <w:spacing w:after="0" w:line="264" w:lineRule="auto"/>
        <w:tabs>
          <w:tab w:leader="none" w:pos="120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Collateral in any transaction or series of related transactions without the written consent of each Lender, except to the extent the release of any Collateral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181" w:lineRule="exact"/>
        <w:rPr>
          <w:rFonts w:ascii="Arial" w:cs="Arial" w:eastAsia="Arial" w:hAnsi="Arial"/>
          <w:sz w:val="18"/>
          <w:szCs w:val="18"/>
          <w:color w:val="auto"/>
        </w:rPr>
      </w:pPr>
    </w:p>
    <w:p>
      <w:pPr>
        <w:ind w:right="200" w:firstLine="996"/>
        <w:spacing w:after="0" w:line="277" w:lineRule="auto"/>
        <w:tabs>
          <w:tab w:leader="none" w:pos="120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Facility Lenders with respect to the relevant Facility;</w:t>
      </w:r>
    </w:p>
    <w:p>
      <w:pPr>
        <w:spacing w:after="0" w:line="170" w:lineRule="exact"/>
        <w:rPr>
          <w:rFonts w:ascii="Arial" w:cs="Arial" w:eastAsia="Arial" w:hAnsi="Arial"/>
          <w:sz w:val="18"/>
          <w:szCs w:val="18"/>
          <w:color w:val="auto"/>
        </w:rPr>
      </w:pPr>
    </w:p>
    <w:p>
      <w:pPr>
        <w:ind w:left="1260" w:hanging="264"/>
        <w:spacing w:after="0"/>
        <w:tabs>
          <w:tab w:leader="none" w:pos="126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amend the definition of “Alternative Currency” without the written consent of each Revolving Credit Lender and L/C Issuer; or</w:t>
      </w:r>
    </w:p>
    <w:p>
      <w:pPr>
        <w:spacing w:after="0" w:line="236" w:lineRule="exact"/>
        <w:rPr>
          <w:rFonts w:ascii="Arial" w:cs="Arial" w:eastAsia="Arial" w:hAnsi="Arial"/>
          <w:sz w:val="17"/>
          <w:szCs w:val="17"/>
          <w:color w:val="auto"/>
        </w:rPr>
      </w:pPr>
    </w:p>
    <w:p>
      <w:pPr>
        <w:ind w:left="1220" w:hanging="224"/>
        <w:spacing w:after="0"/>
        <w:tabs>
          <w:tab w:leader="none" w:pos="12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10.06(a)</w:t>
      </w:r>
      <w:r>
        <w:rPr>
          <w:rFonts w:ascii="Arial" w:cs="Arial" w:eastAsia="Arial" w:hAnsi="Arial"/>
          <w:sz w:val="18"/>
          <w:szCs w:val="18"/>
          <w:color w:val="auto"/>
        </w:rPr>
        <w:t xml:space="preserve"> without the written consent of each Lender;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 no amendment, waiver, consent or modification shall, unless in writing and signed by the applicable L/C Issuer in addition to the Lenders required above, affect the rights or duties of such L/C Issuer under this Agreement or any Issuer Document, in each case, relating to any Letter of Credit issued or to be issued by it; (ii) [reserved], (iii) no amendment, waiver, consent or modification shall, unless in writing and signed by the Administrative Agent in addition to the Lenders required above, affect the rights or duties of the Administrative Agent under this Agreement or any other Loan Document and (iv) any Fee Letter may be amended, and rights or privileges thereunder may be waived, in a writing executed only by the parties thereto.</w:t>
      </w:r>
    </w:p>
    <w:p>
      <w:pPr>
        <w:spacing w:after="0" w:line="19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Notwithstanding anything to the contrary contained herein,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 same is not objected to in writing by the Required Lenders within three Business Days following receipt of notice thereof. It is understood that posting such amendment electronically on IntraLinks/IntraAgency, SyndTrak or another relevant website with notice of such posting by the Administrative Agent to the Required Lenders shall be deemed adequate receipt of notice thereof.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20"/>
          </w:cols>
          <w:pgMar w:left="440" w:top="274" w:right="439" w:bottom="1440" w:gutter="0" w:footer="0" w:header="0"/>
        </w:sectPr>
      </w:pPr>
    </w:p>
    <w:bookmarkStart w:id="389" w:name="page390"/>
    <w:bookmarkEnd w:id="3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10.02 </w:t>
      </w:r>
      <w:r>
        <w:rPr>
          <w:rFonts w:ascii="Arial" w:cs="Arial" w:eastAsia="Arial" w:hAnsi="Arial"/>
          <w:sz w:val="18"/>
          <w:szCs w:val="18"/>
          <w:i w:val="1"/>
          <w:iCs w:val="1"/>
          <w:color w:val="auto"/>
        </w:rPr>
        <w:t>Notices; Effectiveness; Electronic Communication</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308" w:lineRule="auto"/>
        <w:tabs>
          <w:tab w:leader="none" w:pos="1236" w:val="left"/>
        </w:tabs>
        <w:numPr>
          <w:ilvl w:val="0"/>
          <w:numId w:val="457"/>
        </w:numPr>
        <w:rPr>
          <w:rFonts w:ascii="Arial" w:cs="Arial" w:eastAsia="Arial" w:hAnsi="Arial"/>
          <w:sz w:val="17"/>
          <w:szCs w:val="17"/>
          <w:color w:val="auto"/>
        </w:rPr>
      </w:pPr>
      <w:r>
        <w:rPr>
          <w:rFonts w:ascii="Arial" w:cs="Arial" w:eastAsia="Arial" w:hAnsi="Arial"/>
          <w:sz w:val="17"/>
          <w:szCs w:val="17"/>
          <w:i w:val="1"/>
          <w:iCs w:val="1"/>
          <w:color w:val="auto"/>
        </w:rPr>
        <w:t>Notices Generally</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10.02(b),</w:t>
      </w:r>
      <w:r>
        <w:rPr>
          <w:rFonts w:ascii="Arial" w:cs="Arial" w:eastAsia="Arial" w:hAnsi="Arial"/>
          <w:sz w:val="17"/>
          <w:szCs w:val="17"/>
          <w:i w:val="1"/>
          <w:iCs w:val="1"/>
          <w:color w:val="auto"/>
        </w:rPr>
        <w:t xml:space="preserve"> </w:t>
      </w:r>
      <w:r>
        <w:rPr>
          <w:rFonts w:ascii="Arial" w:cs="Arial" w:eastAsia="Arial" w:hAnsi="Arial"/>
          <w:sz w:val="17"/>
          <w:szCs w:val="17"/>
          <w:color w:val="auto"/>
        </w:rPr>
        <w:t>all notices and other communications provided for herein shall be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be delivered by hand or overnight courier service, mailed by certified or registered mail or sent by facsimile as follows:</w:t>
      </w:r>
    </w:p>
    <w:p>
      <w:pPr>
        <w:spacing w:after="0" w:line="38" w:lineRule="exact"/>
        <w:rPr>
          <w:rFonts w:ascii="Arial" w:cs="Arial" w:eastAsia="Arial" w:hAnsi="Arial"/>
          <w:sz w:val="17"/>
          <w:szCs w:val="17"/>
          <w:color w:val="auto"/>
        </w:rPr>
      </w:pPr>
    </w:p>
    <w:p>
      <w:pPr>
        <w:ind w:left="1000" w:right="40" w:firstLine="397"/>
        <w:spacing w:after="0" w:line="277" w:lineRule="auto"/>
        <w:tabs>
          <w:tab w:leader="none" w:pos="161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any L/C Issuer party hereto on the Closing Date, to the address, facsimile number, or electronic mail address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660" w:hanging="263"/>
        <w:spacing w:after="0"/>
        <w:tabs>
          <w:tab w:leader="none" w:pos="166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or electronic mail address specified in its Administrative Questionnaire.</w:t>
      </w:r>
    </w:p>
    <w:p>
      <w:pPr>
        <w:spacing w:after="0" w:line="248"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shall be effective as provided in such </w:t>
      </w:r>
      <w:r>
        <w:rPr>
          <w:rFonts w:ascii="Arial" w:cs="Arial" w:eastAsia="Arial" w:hAnsi="Arial"/>
          <w:sz w:val="18"/>
          <w:szCs w:val="18"/>
          <w:u w:val="single" w:color="auto"/>
          <w:color w:val="auto"/>
        </w:rPr>
        <w:t>Section 10.02(b)</w:t>
      </w:r>
      <w:r>
        <w:rPr>
          <w:rFonts w:ascii="Arial" w:cs="Arial" w:eastAsia="Arial" w:hAnsi="Arial"/>
          <w:sz w:val="18"/>
          <w:szCs w:val="18"/>
          <w:color w:val="auto"/>
        </w:rPr>
        <w:t>.</w:t>
      </w:r>
    </w:p>
    <w:p>
      <w:pPr>
        <w:spacing w:after="0" w:line="188" w:lineRule="exact"/>
        <w:rPr>
          <w:sz w:val="20"/>
          <w:szCs w:val="20"/>
          <w:color w:val="auto"/>
        </w:rPr>
      </w:pPr>
    </w:p>
    <w:p>
      <w:pPr>
        <w:ind w:right="380" w:firstLine="996"/>
        <w:spacing w:after="0" w:line="255" w:lineRule="auto"/>
        <w:tabs>
          <w:tab w:leader="none" w:pos="1247" w:val="left"/>
        </w:tabs>
        <w:numPr>
          <w:ilvl w:val="0"/>
          <w:numId w:val="458"/>
        </w:numPr>
        <w:rPr>
          <w:rFonts w:ascii="Arial" w:cs="Arial" w:eastAsia="Arial" w:hAnsi="Arial"/>
          <w:sz w:val="18"/>
          <w:szCs w:val="18"/>
          <w:color w:val="auto"/>
        </w:rPr>
      </w:pPr>
      <w:r>
        <w:rPr>
          <w:rFonts w:ascii="Arial" w:cs="Arial" w:eastAsia="Arial" w:hAnsi="Arial"/>
          <w:sz w:val="18"/>
          <w:szCs w:val="18"/>
          <w:i w:val="1"/>
          <w:iCs w:val="1"/>
          <w:color w:val="auto"/>
        </w:rPr>
        <w:t>Electronic Communications</w:t>
      </w:r>
      <w:r>
        <w:rPr>
          <w:rFonts w:ascii="Arial" w:cs="Arial" w:eastAsia="Arial" w:hAnsi="Arial"/>
          <w:sz w:val="18"/>
          <w:szCs w:val="18"/>
          <w:color w:val="auto"/>
        </w:rPr>
        <w:t>. Notices and other communications to the Lenders and the L/C Issuers hereunder may be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furnished by electronic communication (including e-mail and Internet or intranet websites)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to any Lender or L/C Issuer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if such Lender or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right="220" w:firstLine="441"/>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2" w:lineRule="exact"/>
        <w:rPr>
          <w:sz w:val="20"/>
          <w:szCs w:val="20"/>
          <w:color w:val="auto"/>
        </w:rPr>
      </w:pPr>
    </w:p>
    <w:p>
      <w:pPr>
        <w:ind w:firstLine="4"/>
        <w:spacing w:after="0" w:line="255" w:lineRule="auto"/>
        <w:tabs>
          <w:tab w:leader="none" w:pos="26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440" w:top="274" w:right="459" w:bottom="1440" w:gutter="0" w:footer="0" w:header="0"/>
        </w:sectPr>
      </w:pPr>
    </w:p>
    <w:bookmarkStart w:id="390" w:name="page391"/>
    <w:bookmarkEnd w:id="390"/>
    <w:p>
      <w:pPr>
        <w:ind w:left="-20" w:right="60" w:firstLine="996"/>
        <w:spacing w:after="0" w:line="269" w:lineRule="auto"/>
        <w:tabs>
          <w:tab w:leader="none" w:pos="1216" w:val="left"/>
        </w:tabs>
        <w:numPr>
          <w:ilvl w:val="0"/>
          <w:numId w:val="46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Platform</w:t>
      </w:r>
      <w:r>
        <w:rPr>
          <w:rFonts w:ascii="Arial" w:cs="Arial" w:eastAsia="Arial" w:hAnsi="Arial"/>
          <w:sz w:val="17"/>
          <w:szCs w:val="17"/>
          <w:color w:val="auto"/>
        </w:rPr>
        <w:t>. THE PLATFORM IS PROVIDED “AS IS” AND “AS AVAILABLE.” THE AGENT PARTIES DO NOT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the Borrower,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event shall any Agent Party have any liability to the Borrower, any Lender, any L/C Issuer or any other Person for indirect, special, incidental, consequential or punitive damages (as opposed to direct or actual damages).</w:t>
      </w:r>
    </w:p>
    <w:p>
      <w:pPr>
        <w:spacing w:after="0" w:line="179" w:lineRule="exact"/>
        <w:rPr>
          <w:rFonts w:ascii="Arial" w:cs="Arial" w:eastAsia="Arial" w:hAnsi="Arial"/>
          <w:sz w:val="17"/>
          <w:szCs w:val="17"/>
          <w:color w:val="auto"/>
        </w:rPr>
      </w:pPr>
    </w:p>
    <w:p>
      <w:pPr>
        <w:ind w:left="-20" w:right="20" w:firstLine="996"/>
        <w:spacing w:after="0" w:line="288" w:lineRule="auto"/>
        <w:tabs>
          <w:tab w:leader="none" w:pos="1227" w:val="left"/>
        </w:tabs>
        <w:numPr>
          <w:ilvl w:val="0"/>
          <w:numId w:val="460"/>
        </w:numPr>
        <w:rPr>
          <w:rFonts w:ascii="Arial" w:cs="Arial" w:eastAsia="Arial" w:hAnsi="Arial"/>
          <w:sz w:val="16"/>
          <w:szCs w:val="16"/>
          <w:color w:val="auto"/>
        </w:rPr>
      </w:pPr>
      <w:r>
        <w:rPr>
          <w:rFonts w:ascii="Arial" w:cs="Arial" w:eastAsia="Arial" w:hAnsi="Arial"/>
          <w:sz w:val="16"/>
          <w:szCs w:val="16"/>
          <w:i w:val="1"/>
          <w:iCs w:val="1"/>
          <w:color w:val="auto"/>
        </w:rPr>
        <w:t>Change of Address</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Each of the Borrower, the Administrative Agent and the L/C Issuers may change its address or facsimile for</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and other communications hereunder by notice to the other parties hereto. Each Lender may change its address or facsimile for notices and other communications hereunder by notice to the Borrower, the Administrative Agent and the L/C Issuers. In addition, each Lender agrees to notify the Administrative Agent from time to time to ensure that the Administrative Agent has on record (i) an effective address, contact name,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 with respect to the Borrower or any of its Subsidiaries or their respective securities for purposes of United States Federal or state securities laws.</w:t>
      </w:r>
    </w:p>
    <w:p>
      <w:pPr>
        <w:spacing w:after="0" w:line="169" w:lineRule="exact"/>
        <w:rPr>
          <w:rFonts w:ascii="Arial" w:cs="Arial" w:eastAsia="Arial" w:hAnsi="Arial"/>
          <w:sz w:val="16"/>
          <w:szCs w:val="16"/>
          <w:color w:val="auto"/>
        </w:rPr>
      </w:pPr>
    </w:p>
    <w:p>
      <w:pPr>
        <w:ind w:left="-20" w:firstLine="996"/>
        <w:spacing w:after="0" w:line="290" w:lineRule="auto"/>
        <w:tabs>
          <w:tab w:leader="none" w:pos="1216" w:val="left"/>
        </w:tabs>
        <w:numPr>
          <w:ilvl w:val="0"/>
          <w:numId w:val="460"/>
        </w:numPr>
        <w:rPr>
          <w:rFonts w:ascii="Arial" w:cs="Arial" w:eastAsia="Arial" w:hAnsi="Arial"/>
          <w:sz w:val="16"/>
          <w:szCs w:val="16"/>
          <w:color w:val="auto"/>
        </w:rPr>
      </w:pPr>
      <w:r>
        <w:rPr>
          <w:rFonts w:ascii="Arial" w:cs="Arial" w:eastAsia="Arial" w:hAnsi="Arial"/>
          <w:sz w:val="16"/>
          <w:szCs w:val="16"/>
          <w:i w:val="1"/>
          <w:iCs w:val="1"/>
          <w:color w:val="auto"/>
        </w:rPr>
        <w:t>Reliance by Administrative Agent</w:t>
      </w:r>
      <w:r>
        <w:rPr>
          <w:rFonts w:ascii="Arial" w:cs="Arial" w:eastAsia="Arial" w:hAnsi="Arial"/>
          <w:sz w:val="16"/>
          <w:szCs w:val="16"/>
          <w:color w:val="auto"/>
        </w:rPr>
        <w:t>,</w:t>
      </w:r>
      <w:r>
        <w:rPr>
          <w:rFonts w:ascii="Arial" w:cs="Arial" w:eastAsia="Arial" w:hAnsi="Arial"/>
          <w:sz w:val="16"/>
          <w:szCs w:val="16"/>
          <w:i w:val="1"/>
          <w:iCs w:val="1"/>
          <w:color w:val="auto"/>
        </w:rPr>
        <w:t xml:space="preserve"> L/C Issuers and Lenders</w:t>
      </w:r>
      <w:r>
        <w:rPr>
          <w:rFonts w:ascii="Arial" w:cs="Arial" w:eastAsia="Arial" w:hAnsi="Arial"/>
          <w:sz w:val="16"/>
          <w:szCs w:val="16"/>
          <w:color w:val="auto"/>
        </w:rPr>
        <w:t>. The Administrative Agent, the L/C Issuers and the Lenders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Issuers, each Lender and the Related Parties of each of them from all losses, costs, expenses and liabilities resulting from the reliance by such Person on each notice purportedly given by or on behalf of the Borrower except to the extent that such losses, claims, damages, liabilities or related expenses are determined by a court of competent jurisdiction by final and nonappealable judgment to have resulted from the gross negligence or willful misconduct of such Person. All telephonic communications with the Administrative Agent may be recorded by the Administrative Agent, and each of the parties hereby consents to such recording.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460" w:top="274" w:right="439" w:bottom="1440" w:gutter="0" w:footer="0" w:header="0"/>
        </w:sectPr>
      </w:pPr>
    </w:p>
    <w:bookmarkStart w:id="391" w:name="page392"/>
    <w:bookmarkEnd w:id="391"/>
    <w:p>
      <w:pPr>
        <w:ind w:right="8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i w:val="1"/>
          <w:iCs w:val="1"/>
          <w:color w:val="auto"/>
        </w:rPr>
        <w:t>No Waiver; Cumulative Remedies; Enforcement</w:t>
      </w:r>
      <w:r>
        <w:rPr>
          <w:rFonts w:ascii="Arial" w:cs="Arial" w:eastAsia="Arial" w:hAnsi="Arial"/>
          <w:sz w:val="18"/>
          <w:szCs w:val="18"/>
          <w:color w:val="auto"/>
        </w:rPr>
        <w:t>. No failure by any Lender, any L/C Issuer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and, in respect of the Collateral Documents, any other Secured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each of the L/C Issuers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Secured Party from filing proofs of claim or appearing and filing pleadings on its own behalf during the pendency of a proceeding relative to any Loan Party under any Debtor Relief Law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90" w:lineRule="auto"/>
        <w:tabs>
          <w:tab w:leader="none" w:pos="1236" w:val="left"/>
        </w:tabs>
        <w:numPr>
          <w:ilvl w:val="0"/>
          <w:numId w:val="461"/>
        </w:numPr>
        <w:rPr>
          <w:rFonts w:ascii="Arial" w:cs="Arial" w:eastAsia="Arial" w:hAnsi="Arial"/>
          <w:sz w:val="16"/>
          <w:szCs w:val="16"/>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 The Borrower shall pay (i) all reasonable out-of-pocket expenses incurred by the Arrangers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and their respective Affiliates (including but not limited to expenses associated with the syndication of the Facilities, due diligence efforts, the reasonable fees, charges and disbursements of counsel, limited to a single counsel and, in each relevant jurisdiction, a single local counsel and one additional local counsel in each applicable jurisdiction for any such person in the event of a conflict of interest, (including, without limitation, reasonable and actual travel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440" w:top="274" w:right="439" w:bottom="1440" w:gutter="0" w:footer="0" w:header="0"/>
        </w:sectPr>
      </w:pPr>
    </w:p>
    <w:bookmarkStart w:id="392" w:name="page393"/>
    <w:bookmarkEnd w:id="39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Letter of Credit or any demand for payment thereunder and (iii) all out-of-pocket expenses incurred by the Administrative Agent (including the fees, charges and disbursements of any counsel for the Administrative Agent (limited to the fees, disbursements, and other charges of a single law firm and, in each relevant jurisdiction, a single local counsel, in each case, representing the Administrative Agent, and one additional local counsel in each applicable jurisdiction for any such person in the event of a conflict of interest)),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89" w:lineRule="exact"/>
        <w:rPr>
          <w:sz w:val="20"/>
          <w:szCs w:val="20"/>
          <w:color w:val="auto"/>
        </w:rPr>
      </w:pPr>
    </w:p>
    <w:p>
      <w:pPr>
        <w:ind w:right="60" w:firstLine="996"/>
        <w:spacing w:after="0" w:line="285" w:lineRule="auto"/>
        <w:tabs>
          <w:tab w:leader="none" w:pos="1247" w:val="left"/>
        </w:tabs>
        <w:numPr>
          <w:ilvl w:val="0"/>
          <w:numId w:val="462"/>
        </w:numPr>
        <w:rPr>
          <w:rFonts w:ascii="Arial" w:cs="Arial" w:eastAsia="Arial" w:hAnsi="Arial"/>
          <w:sz w:val="16"/>
          <w:szCs w:val="16"/>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Each Loan Party shall indemnify the Administrative Agent (and any sub-agent thereof), each Lender and each L/C</w:t>
      </w:r>
      <w:r>
        <w:rPr>
          <w:rFonts w:ascii="Arial" w:cs="Arial" w:eastAsia="Arial" w:hAnsi="Arial"/>
          <w:sz w:val="16"/>
          <w:szCs w:val="16"/>
          <w:i w:val="1"/>
          <w:iCs w:val="1"/>
          <w:color w:val="auto"/>
        </w:rPr>
        <w:t xml:space="preserve"> </w:t>
      </w:r>
      <w:r>
        <w:rPr>
          <w:rFonts w:ascii="Arial" w:cs="Arial" w:eastAsia="Arial" w:hAnsi="Arial"/>
          <w:sz w:val="16"/>
          <w:szCs w:val="16"/>
          <w:color w:val="auto"/>
        </w:rPr>
        <w:t>Issuer and each Related Party of any of the foregoing Persons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external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and the transactions contemplated hereby or thereby, or, in the case of the Administrative Agent (and any sub-agent thereof) and its Related Parties only, the administration of this Agreement and the other Loan Documents (except for any Taxes (which shall be governed by </w:t>
      </w:r>
      <w:r>
        <w:rPr>
          <w:rFonts w:ascii="Arial" w:cs="Arial" w:eastAsia="Arial" w:hAnsi="Arial"/>
          <w:sz w:val="16"/>
          <w:szCs w:val="16"/>
          <w:u w:val="single" w:color="auto"/>
          <w:color w:val="auto"/>
        </w:rPr>
        <w:t>Section 3.01</w:t>
      </w:r>
      <w:r>
        <w:rPr>
          <w:rFonts w:ascii="Arial" w:cs="Arial" w:eastAsia="Arial" w:hAnsi="Arial"/>
          <w:sz w:val="16"/>
          <w:szCs w:val="16"/>
          <w:color w:val="auto"/>
        </w:rPr>
        <w:t>), other than any Taxes that represent losses, claims or damages arising from any non-Tax claim), (ii) any Loan or Letter of Credit or the use or intended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through, under or from any property currently or formerly owned, leased or operated by the Borrower or any of its Restricted Subsidiaries, or any Environmental Claim or Environmental Liability related in any way to any of the Loan Parties or any of their respective Restricted Subsidiaries or (iv) any claim, litigation, investigation, inquiry or proceeding relating to any of the foregoing, whether based on contract, tort or any other theory, whether brought by a Lender, a third party or by the Borrower or any other Loan Party, and regardless of whether any Indemnitee is a party thereto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bad faith or willful misconduct of such Indemnitee or (y) any proceedings between or among Indemnitees (other than any claims against an Indemnitee in its capacity as Administrative Agent, Lead Arranger, Co-Manager or similar role under any Facility).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440" w:top="273" w:right="439" w:bottom="1440" w:gutter="0" w:footer="0" w:header="0"/>
        </w:sectPr>
      </w:pPr>
    </w:p>
    <w:bookmarkStart w:id="393" w:name="page394"/>
    <w:bookmarkEnd w:id="393"/>
    <w:p>
      <w:pPr>
        <w:ind w:firstLine="996"/>
        <w:spacing w:after="0" w:line="269" w:lineRule="auto"/>
        <w:tabs>
          <w:tab w:leader="none" w:pos="1236" w:val="left"/>
        </w:tabs>
        <w:numPr>
          <w:ilvl w:val="0"/>
          <w:numId w:val="4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 by Lenders</w:t>
      </w:r>
      <w:r>
        <w:rPr>
          <w:rFonts w:ascii="Arial" w:cs="Arial" w:eastAsia="Arial" w:hAnsi="Arial"/>
          <w:sz w:val="17"/>
          <w:szCs w:val="17"/>
          <w:color w:val="auto"/>
        </w:rPr>
        <w:t>. To the extent that the Borrower for any reason fails to indefeasibly pay any amount required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any L/C Issuer or any Related Party of any of the foregoing, each Lender severally agrees to pay to the Administrative Agent (or any such sub-agent), such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or such L/C Issuer in its capacity as such, or against any Related Party of any of the foregoing acting for the Administrative Agent (or any such sub-agent) or such L/C Issuer in connection with such capacity;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the proviso in </w:t>
      </w:r>
      <w:r>
        <w:rPr>
          <w:rFonts w:ascii="Arial" w:cs="Arial" w:eastAsia="Arial" w:hAnsi="Arial"/>
          <w:sz w:val="17"/>
          <w:szCs w:val="17"/>
          <w:u w:val="single" w:color="auto"/>
          <w:color w:val="auto"/>
        </w:rPr>
        <w:t>subclause (b)</w:t>
      </w:r>
      <w:r>
        <w:rPr>
          <w:rFonts w:ascii="Arial" w:cs="Arial" w:eastAsia="Arial" w:hAnsi="Arial"/>
          <w:sz w:val="17"/>
          <w:szCs w:val="17"/>
          <w:color w:val="auto"/>
        </w:rPr>
        <w:t xml:space="preserve"> above, it is understood and agreed that any action taken by the Administrative Agent (and any sub-agent thereof) and/or any of its Related Parties in accordance with the directions of the Required Lenders or any other appropriate group of Lenders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not be deemed to constitute gross negligence or willful misconduct for purposes of such proviso.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2.12(e</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firstLine="996"/>
        <w:spacing w:after="0" w:line="290" w:lineRule="auto"/>
        <w:tabs>
          <w:tab w:leader="none" w:pos="1247" w:val="left"/>
        </w:tabs>
        <w:numPr>
          <w:ilvl w:val="0"/>
          <w:numId w:val="463"/>
        </w:numPr>
        <w:rPr>
          <w:rFonts w:ascii="Arial" w:cs="Arial" w:eastAsia="Arial" w:hAnsi="Arial"/>
          <w:sz w:val="16"/>
          <w:szCs w:val="16"/>
          <w:color w:val="auto"/>
        </w:rPr>
      </w:pPr>
      <w:r>
        <w:rPr>
          <w:rFonts w:ascii="Arial" w:cs="Arial" w:eastAsia="Arial" w:hAnsi="Arial"/>
          <w:sz w:val="16"/>
          <w:szCs w:val="16"/>
          <w:i w:val="1"/>
          <w:iCs w:val="1"/>
          <w:color w:val="auto"/>
        </w:rPr>
        <w:t>Waiver of Consequential Damages</w:t>
      </w:r>
      <w:r>
        <w:rPr>
          <w:rFonts w:ascii="Arial" w:cs="Arial" w:eastAsia="Arial" w:hAnsi="Arial"/>
          <w:sz w:val="16"/>
          <w:szCs w:val="16"/>
          <w:color w:val="auto"/>
        </w:rPr>
        <w:t>,</w:t>
      </w:r>
      <w:r>
        <w:rPr>
          <w:rFonts w:ascii="Arial" w:cs="Arial" w:eastAsia="Arial" w:hAnsi="Arial"/>
          <w:sz w:val="16"/>
          <w:szCs w:val="16"/>
          <w:i w:val="1"/>
          <w:iCs w:val="1"/>
          <w:color w:val="auto"/>
        </w:rPr>
        <w:t xml:space="preserve"> Etc</w:t>
      </w:r>
      <w:r>
        <w:rPr>
          <w:rFonts w:ascii="Arial" w:cs="Arial" w:eastAsia="Arial" w:hAnsi="Arial"/>
          <w:sz w:val="16"/>
          <w:szCs w:val="16"/>
          <w:color w:val="auto"/>
        </w:rPr>
        <w:t>. To the fullest extent permitted by applicable law, the Borrower shall not assert, and hereby</w:t>
      </w:r>
      <w:r>
        <w:rPr>
          <w:rFonts w:ascii="Arial" w:cs="Arial" w:eastAsia="Arial" w:hAnsi="Arial"/>
          <w:sz w:val="16"/>
          <w:szCs w:val="16"/>
          <w:i w:val="1"/>
          <w:iCs w:val="1"/>
          <w:color w:val="auto"/>
        </w:rPr>
        <w:t xml:space="preserve"> </w:t>
      </w:r>
      <w:r>
        <w:rPr>
          <w:rFonts w:ascii="Arial" w:cs="Arial" w:eastAsia="Arial" w:hAnsi="Arial"/>
          <w:sz w:val="16"/>
          <w:szCs w:val="16"/>
          <w:color w:val="auto"/>
        </w:rPr>
        <w:t>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6" w:lineRule="exact"/>
        <w:rPr>
          <w:rFonts w:ascii="Arial" w:cs="Arial" w:eastAsia="Arial" w:hAnsi="Arial"/>
          <w:sz w:val="16"/>
          <w:szCs w:val="16"/>
          <w:color w:val="auto"/>
        </w:rPr>
      </w:pPr>
    </w:p>
    <w:p>
      <w:pPr>
        <w:ind w:left="1240" w:hanging="244"/>
        <w:spacing w:after="0"/>
        <w:tabs>
          <w:tab w:leader="none" w:pos="1240" w:val="left"/>
        </w:tabs>
        <w:numPr>
          <w:ilvl w:val="0"/>
          <w:numId w:val="463"/>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140" w:firstLine="996"/>
        <w:spacing w:after="0" w:line="264" w:lineRule="auto"/>
        <w:tabs>
          <w:tab w:leader="none" w:pos="1217" w:val="left"/>
        </w:tabs>
        <w:numPr>
          <w:ilvl w:val="0"/>
          <w:numId w:val="463"/>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agreements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10.04</w:t>
      </w:r>
      <w:r>
        <w:rPr>
          <w:rFonts w:ascii="Arial" w:cs="Arial" w:eastAsia="Arial" w:hAnsi="Arial"/>
          <w:sz w:val="18"/>
          <w:szCs w:val="18"/>
          <w:i w:val="1"/>
          <w:iCs w:val="1"/>
          <w:color w:val="auto"/>
        </w:rPr>
        <w:t xml:space="preserve"> </w:t>
      </w:r>
      <w:r>
        <w:rPr>
          <w:rFonts w:ascii="Arial" w:cs="Arial" w:eastAsia="Arial" w:hAnsi="Arial"/>
          <w:sz w:val="18"/>
          <w:szCs w:val="18"/>
          <w:color w:val="auto"/>
        </w:rPr>
        <w:t>shall survive the resignation of the Administrative Agent and any L/C Issuer,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of the Administrative Agent, any Lender or any L/C Issuer, the termination of the Aggregate Commitments, the repayment, satisfaction or discharge of all the other Obligations and the termination of this Agreement.</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Payments Set Aside</w:t>
      </w:r>
      <w:r>
        <w:rPr>
          <w:rFonts w:ascii="Arial" w:cs="Arial" w:eastAsia="Arial" w:hAnsi="Arial"/>
          <w:sz w:val="18"/>
          <w:szCs w:val="18"/>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20"/>
          </w:cols>
          <w:pgMar w:left="440" w:top="274" w:right="439" w:bottom="1440" w:gutter="0" w:footer="0" w:header="0"/>
        </w:sectPr>
      </w:pPr>
    </w:p>
    <w:bookmarkStart w:id="394" w:name="page395"/>
    <w:bookmarkEnd w:id="394"/>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be satisfied shall be revived and continued in full force and effect as if such payment had not been made or such setoff had not occurred and (b) each Lender and L/C Issuer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Effective Rate from time to time in effect. The obligations of the Lenders and the L/C Issuers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the termination of the Commitments and the termination of this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70" w:lineRule="auto"/>
        <w:tabs>
          <w:tab w:leader="none" w:pos="1236" w:val="left"/>
        </w:tabs>
        <w:numPr>
          <w:ilvl w:val="0"/>
          <w:numId w:val="464"/>
        </w:numPr>
        <w:rPr>
          <w:rFonts w:ascii="Arial" w:cs="Arial" w:eastAsia="Arial" w:hAnsi="Arial"/>
          <w:sz w:val="17"/>
          <w:szCs w:val="17"/>
          <w:color w:val="auto"/>
        </w:rPr>
      </w:pPr>
      <w:r>
        <w:rPr>
          <w:rFonts w:ascii="Arial" w:cs="Arial" w:eastAsia="Arial" w:hAnsi="Arial"/>
          <w:sz w:val="17"/>
          <w:szCs w:val="17"/>
          <w:i w:val="1"/>
          <w:iCs w:val="1"/>
          <w:color w:val="auto"/>
        </w:rPr>
        <w:t>Successors and Assigns Generally</w:t>
      </w:r>
      <w:r>
        <w:rPr>
          <w:rFonts w:ascii="Arial" w:cs="Arial" w:eastAsia="Arial" w:hAnsi="Arial"/>
          <w:sz w:val="17"/>
          <w:szCs w:val="17"/>
          <w:color w:val="auto"/>
        </w:rPr>
        <w:t>. The provisions of this Agreement shall be binding upon and inure to the benefit of the parties hereto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their respective successors and assigns permitted hereby, except that (x) the Borrower may not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(ii) by way of participation in accordance with the provisions of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or (iii) by way of pledge or assignment of a security interest subject to the restrictions of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77" w:lineRule="exact"/>
        <w:rPr>
          <w:rFonts w:ascii="Arial" w:cs="Arial" w:eastAsia="Arial" w:hAnsi="Arial"/>
          <w:sz w:val="17"/>
          <w:szCs w:val="17"/>
          <w:color w:val="auto"/>
        </w:rPr>
      </w:pPr>
    </w:p>
    <w:p>
      <w:pPr>
        <w:ind w:right="260" w:firstLine="996"/>
        <w:spacing w:after="0" w:line="286" w:lineRule="auto"/>
        <w:tabs>
          <w:tab w:leader="none" w:pos="1247" w:val="left"/>
        </w:tabs>
        <w:numPr>
          <w:ilvl w:val="0"/>
          <w:numId w:val="464"/>
        </w:numPr>
        <w:rPr>
          <w:rFonts w:ascii="Arial" w:cs="Arial" w:eastAsia="Arial" w:hAnsi="Arial"/>
          <w:sz w:val="17"/>
          <w:szCs w:val="17"/>
          <w:color w:val="auto"/>
        </w:rPr>
      </w:pPr>
      <w:r>
        <w:rPr>
          <w:rFonts w:ascii="Arial" w:cs="Arial" w:eastAsia="Arial" w:hAnsi="Arial"/>
          <w:sz w:val="17"/>
          <w:szCs w:val="17"/>
          <w:i w:val="1"/>
          <w:iCs w:val="1"/>
          <w:color w:val="auto"/>
        </w:rPr>
        <w:t>Assignments by Lenders</w:t>
      </w:r>
      <w:r>
        <w:rPr>
          <w:rFonts w:ascii="Arial" w:cs="Arial" w:eastAsia="Arial" w:hAnsi="Arial"/>
          <w:sz w:val="17"/>
          <w:szCs w:val="17"/>
          <w:color w:val="auto"/>
        </w:rPr>
        <w:t>. Any Lender may at any time assign to one or more assignees all or a portion of its rights and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this Agreement (including all or a portion of its Commitment and the Loans (including for purposes of this </w:t>
      </w:r>
      <w:r>
        <w:rPr>
          <w:rFonts w:ascii="Arial" w:cs="Arial" w:eastAsia="Arial" w:hAnsi="Arial"/>
          <w:sz w:val="17"/>
          <w:szCs w:val="17"/>
          <w:u w:val="single" w:color="auto"/>
          <w:color w:val="auto"/>
        </w:rPr>
        <w:t>subsection(b)</w:t>
      </w:r>
      <w:r>
        <w:rPr>
          <w:rFonts w:ascii="Arial" w:cs="Arial" w:eastAsia="Arial" w:hAnsi="Arial"/>
          <w:sz w:val="17"/>
          <w:szCs w:val="17"/>
          <w:color w:val="auto"/>
        </w:rPr>
        <w:t xml:space="preserve">, participations in L/C Obligations)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assignment shall be subject to the following conditions:</w:t>
      </w:r>
    </w:p>
    <w:p>
      <w:pPr>
        <w:spacing w:after="0" w:line="57" w:lineRule="exact"/>
        <w:rPr>
          <w:rFonts w:ascii="Arial" w:cs="Arial" w:eastAsia="Arial" w:hAnsi="Arial"/>
          <w:sz w:val="17"/>
          <w:szCs w:val="17"/>
          <w:color w:val="auto"/>
        </w:rPr>
      </w:pPr>
    </w:p>
    <w:p>
      <w:pPr>
        <w:ind w:left="1620" w:hanging="223"/>
        <w:spacing w:after="0"/>
        <w:tabs>
          <w:tab w:leader="none" w:pos="1620" w:val="left"/>
        </w:tabs>
        <w:numPr>
          <w:ilvl w:val="1"/>
          <w:numId w:val="464"/>
        </w:numPr>
        <w:rPr>
          <w:rFonts w:ascii="Arial" w:cs="Arial" w:eastAsia="Arial" w:hAnsi="Arial"/>
          <w:sz w:val="18"/>
          <w:szCs w:val="18"/>
          <w:color w:val="auto"/>
        </w:rPr>
      </w:pPr>
      <w:r>
        <w:rPr>
          <w:rFonts w:ascii="Arial" w:cs="Arial" w:eastAsia="Arial" w:hAnsi="Arial"/>
          <w:sz w:val="18"/>
          <w:szCs w:val="18"/>
          <w:i w:val="1"/>
          <w:iCs w:val="1"/>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40" w:right="60" w:firstLine="380"/>
        <w:spacing w:after="0" w:line="277" w:lineRule="auto"/>
        <w:tabs>
          <w:tab w:leader="none" w:pos="2118" w:val="left"/>
        </w:tabs>
        <w:numPr>
          <w:ilvl w:val="2"/>
          <w:numId w:val="464"/>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 the Loans at the time owing to it under such Facility, no minimum amount need be assigned; and</w:t>
      </w:r>
    </w:p>
    <w:p>
      <w:pPr>
        <w:spacing w:after="0" w:line="62" w:lineRule="exact"/>
        <w:rPr>
          <w:rFonts w:ascii="Arial" w:cs="Arial" w:eastAsia="Arial" w:hAnsi="Arial"/>
          <w:sz w:val="18"/>
          <w:szCs w:val="18"/>
          <w:color w:val="auto"/>
        </w:rPr>
      </w:pPr>
    </w:p>
    <w:p>
      <w:pPr>
        <w:ind w:left="1440" w:right="100" w:firstLine="380"/>
        <w:spacing w:after="0" w:line="257" w:lineRule="auto"/>
        <w:tabs>
          <w:tab w:leader="none" w:pos="2108" w:val="left"/>
        </w:tabs>
        <w:numPr>
          <w:ilvl w:val="2"/>
          <w:numId w:val="464"/>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subsection (b)(i)(A)</w:t>
      </w:r>
      <w:r>
        <w:rPr>
          <w:rFonts w:ascii="Arial" w:cs="Arial" w:eastAsia="Arial" w:hAnsi="Arial"/>
          <w:sz w:val="18"/>
          <w:szCs w:val="18"/>
          <w:color w:val="auto"/>
        </w:rPr>
        <w:t xml:space="preserve"> of this Section, the aggregate amount of the Commitment (which for this purpose includes Loans outstanding thereunder) or, if the Commitment is not then in effect, the principal outstanding balance of the Loans (including such Lender’s participations in L/C Obligations) of the assigning Lender subject to each such assignment, determined as of the date the Assignment and Assumption with respect to such assignment is delivered to the Administrative Agent or, if “Trade Date” is specified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0"/>
          </w:cols>
          <w:pgMar w:left="440" w:top="274" w:right="459" w:bottom="1440" w:gutter="0" w:footer="0" w:header="0"/>
        </w:sectPr>
      </w:pPr>
    </w:p>
    <w:bookmarkStart w:id="395" w:name="page396"/>
    <w:bookmarkEnd w:id="39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Assignment and Assumption, as of the Trade Date, shall not be less than $5,000,000 (and whole multiples of $1,000,000 in</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excess thereof), in the case of any assignment in respect of the Revolving Credit Facility, or $1,000,000 (and whole multiples of</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$1,000,000 in excess thereof), in the case of any assignment in respect of the Term Loans, unless each of the Administrative Agent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and, so long as no Event of Default has occurred and is continuing, the Borrower otherwise consents (each such consent not to be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unreasonably withheld or delayed);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concurrent assignments to members of an Assignee Group and</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concurrent assignments from members of an Assignee Group to a single Eligible Assignee (or to an Eligible Assignee and members</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of its Assignee Group) will be treated as a single assignment for purposes of determining whether such minimum amount has been</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met.</w:t>
      </w:r>
    </w:p>
    <w:p>
      <w:pPr>
        <w:spacing w:after="0" w:line="103" w:lineRule="exact"/>
        <w:rPr>
          <w:sz w:val="20"/>
          <w:szCs w:val="20"/>
          <w:color w:val="auto"/>
        </w:rPr>
      </w:pPr>
    </w:p>
    <w:p>
      <w:pPr>
        <w:jc w:val="both"/>
        <w:ind w:left="4" w:right="500" w:firstLine="397"/>
        <w:spacing w:after="0" w:line="291" w:lineRule="auto"/>
        <w:tabs>
          <w:tab w:leader="none" w:pos="670" w:val="left"/>
        </w:tabs>
        <w:numPr>
          <w:ilvl w:val="1"/>
          <w:numId w:val="465"/>
        </w:numPr>
        <w:rPr>
          <w:rFonts w:ascii="Arial" w:cs="Arial" w:eastAsia="Arial" w:hAnsi="Arial"/>
          <w:sz w:val="16"/>
          <w:szCs w:val="16"/>
          <w:color w:val="auto"/>
        </w:rPr>
      </w:pPr>
      <w:r>
        <w:rPr>
          <w:rFonts w:ascii="Arial" w:cs="Arial" w:eastAsia="Arial" w:hAnsi="Arial"/>
          <w:sz w:val="16"/>
          <w:szCs w:val="16"/>
          <w:i w:val="1"/>
          <w:iCs w:val="1"/>
          <w:color w:val="auto"/>
        </w:rPr>
        <w:t>Proportionate Amounts</w:t>
      </w:r>
      <w:r>
        <w:rPr>
          <w:rFonts w:ascii="Arial" w:cs="Arial" w:eastAsia="Arial" w:hAnsi="Arial"/>
          <w:sz w:val="16"/>
          <w:szCs w:val="16"/>
          <w:color w:val="auto"/>
        </w:rPr>
        <w:t>. Each partial assignment shall be made as an assignment of a proportionate part of all the assigning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rights and obligations under this Agreement with respect to the Loans or the Commitment assigned, except that this </w:t>
      </w:r>
      <w:r>
        <w:rPr>
          <w:rFonts w:ascii="Arial" w:cs="Arial" w:eastAsia="Arial" w:hAnsi="Arial"/>
          <w:sz w:val="16"/>
          <w:szCs w:val="16"/>
          <w:u w:val="single" w:color="auto"/>
          <w:color w:val="auto"/>
        </w:rPr>
        <w:t>clause</w:t>
      </w:r>
    </w:p>
    <w:p>
      <w:pPr>
        <w:ind w:left="4" w:right="280" w:hanging="4"/>
        <w:spacing w:after="0" w:line="261" w:lineRule="auto"/>
        <w:tabs>
          <w:tab w:leader="none" w:pos="269" w:val="left"/>
        </w:tabs>
        <w:numPr>
          <w:ilvl w:val="0"/>
          <w:numId w:val="466"/>
        </w:numPr>
        <w:rPr>
          <w:rFonts w:ascii="Arial" w:cs="Arial" w:eastAsia="Arial" w:hAnsi="Arial"/>
          <w:sz w:val="18"/>
          <w:szCs w:val="18"/>
          <w:u w:val="single" w:color="auto"/>
          <w:color w:val="auto"/>
        </w:rPr>
      </w:pPr>
      <w:r>
        <w:rPr>
          <w:rFonts w:ascii="Arial" w:cs="Arial" w:eastAsia="Arial" w:hAnsi="Arial"/>
          <w:sz w:val="18"/>
          <w:szCs w:val="18"/>
          <w:color w:val="auto"/>
        </w:rPr>
        <w:t>shall not prohibit any Lender from assigning all or a portion of its rights and obligations among separate Facilities on a non-pro rata basis.</w:t>
      </w:r>
    </w:p>
    <w:p>
      <w:pPr>
        <w:spacing w:after="0" w:line="75" w:lineRule="exact"/>
        <w:rPr>
          <w:rFonts w:ascii="Arial" w:cs="Arial" w:eastAsia="Arial" w:hAnsi="Arial"/>
          <w:sz w:val="18"/>
          <w:szCs w:val="18"/>
          <w:u w:val="single" w:color="auto"/>
          <w:color w:val="auto"/>
        </w:rPr>
      </w:pPr>
    </w:p>
    <w:p>
      <w:pPr>
        <w:ind w:left="4" w:right="100" w:firstLine="397"/>
        <w:spacing w:after="0" w:line="277" w:lineRule="auto"/>
        <w:tabs>
          <w:tab w:leader="none" w:pos="720" w:val="left"/>
        </w:tabs>
        <w:numPr>
          <w:ilvl w:val="1"/>
          <w:numId w:val="466"/>
        </w:numPr>
        <w:rPr>
          <w:rFonts w:ascii="Arial" w:cs="Arial" w:eastAsia="Arial" w:hAnsi="Arial"/>
          <w:sz w:val="18"/>
          <w:szCs w:val="18"/>
          <w:color w:val="auto"/>
        </w:rPr>
      </w:pPr>
      <w:r>
        <w:rPr>
          <w:rFonts w:ascii="Arial" w:cs="Arial" w:eastAsia="Arial" w:hAnsi="Arial"/>
          <w:sz w:val="18"/>
          <w:szCs w:val="18"/>
          <w:i w:val="1"/>
          <w:iCs w:val="1"/>
          <w:color w:val="auto"/>
        </w:rPr>
        <w:t>Required Consents</w:t>
      </w:r>
      <w:r>
        <w:rPr>
          <w:rFonts w:ascii="Arial" w:cs="Arial" w:eastAsia="Arial" w:hAnsi="Arial"/>
          <w:sz w:val="18"/>
          <w:szCs w:val="18"/>
          <w:color w:val="auto"/>
        </w:rPr>
        <w:t>. No consent shall be required for any assignment except to the extent required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subsection (b)(i)(B)</w:t>
      </w:r>
      <w:r>
        <w:rPr>
          <w:rFonts w:ascii="Arial" w:cs="Arial" w:eastAsia="Arial" w:hAnsi="Arial"/>
          <w:sz w:val="18"/>
          <w:szCs w:val="18"/>
          <w:i w:val="1"/>
          <w:iCs w:val="1"/>
          <w:color w:val="auto"/>
        </w:rPr>
        <w:t xml:space="preserve"> </w:t>
      </w:r>
      <w:r>
        <w:rPr>
          <w:rFonts w:ascii="Arial" w:cs="Arial" w:eastAsia="Arial" w:hAnsi="Arial"/>
          <w:sz w:val="18"/>
          <w:szCs w:val="18"/>
          <w:color w:val="auto"/>
        </w:rPr>
        <w:t>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and, in addition:</w:t>
      </w:r>
    </w:p>
    <w:p>
      <w:pPr>
        <w:spacing w:after="0" w:line="62" w:lineRule="exact"/>
        <w:rPr>
          <w:rFonts w:ascii="Arial" w:cs="Arial" w:eastAsia="Arial" w:hAnsi="Arial"/>
          <w:sz w:val="18"/>
          <w:szCs w:val="18"/>
          <w:color w:val="auto"/>
        </w:rPr>
      </w:pPr>
    </w:p>
    <w:p>
      <w:pPr>
        <w:ind w:left="444" w:firstLine="380"/>
        <w:spacing w:after="0" w:line="255" w:lineRule="auto"/>
        <w:tabs>
          <w:tab w:leader="none" w:pos="1123" w:val="left"/>
        </w:tabs>
        <w:numPr>
          <w:ilvl w:val="2"/>
          <w:numId w:val="466"/>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 in the case of assignments of any Term Loans and ten (10) Business Days after having received notice thereof in the case of assignments of the Revolving Credit Facility;</w:t>
      </w:r>
    </w:p>
    <w:p>
      <w:pPr>
        <w:spacing w:after="0" w:line="85" w:lineRule="exact"/>
        <w:rPr>
          <w:rFonts w:ascii="Arial" w:cs="Arial" w:eastAsia="Arial" w:hAnsi="Arial"/>
          <w:sz w:val="18"/>
          <w:szCs w:val="18"/>
          <w:color w:val="auto"/>
        </w:rPr>
      </w:pPr>
    </w:p>
    <w:p>
      <w:pPr>
        <w:ind w:left="444" w:right="160" w:firstLine="380"/>
        <w:spacing w:after="0" w:line="259" w:lineRule="auto"/>
        <w:tabs>
          <w:tab w:leader="none" w:pos="1113" w:val="left"/>
        </w:tabs>
        <w:numPr>
          <w:ilvl w:val="2"/>
          <w:numId w:val="466"/>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any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spacing w:after="0" w:line="78" w:lineRule="exact"/>
        <w:rPr>
          <w:rFonts w:ascii="Arial" w:cs="Arial" w:eastAsia="Arial" w:hAnsi="Arial"/>
          <w:sz w:val="18"/>
          <w:szCs w:val="18"/>
          <w:color w:val="auto"/>
        </w:rPr>
      </w:pPr>
    </w:p>
    <w:p>
      <w:pPr>
        <w:ind w:left="444" w:right="340" w:firstLine="380"/>
        <w:spacing w:after="0" w:line="277" w:lineRule="auto"/>
        <w:tabs>
          <w:tab w:leader="none" w:pos="1113" w:val="left"/>
        </w:tabs>
        <w:numPr>
          <w:ilvl w:val="2"/>
          <w:numId w:val="466"/>
        </w:numPr>
        <w:rPr>
          <w:rFonts w:ascii="Arial" w:cs="Arial" w:eastAsia="Arial" w:hAnsi="Arial"/>
          <w:sz w:val="18"/>
          <w:szCs w:val="18"/>
          <w:color w:val="auto"/>
        </w:rPr>
      </w:pPr>
      <w:r>
        <w:rPr>
          <w:rFonts w:ascii="Arial" w:cs="Arial" w:eastAsia="Arial" w:hAnsi="Arial"/>
          <w:sz w:val="18"/>
          <w:szCs w:val="18"/>
          <w:color w:val="auto"/>
        </w:rPr>
        <w:t>the consent of the L/C Issuers (each such consent not to be unreasonably withheld or delayed) shall be required for any assignment in respect of any Revolving Credit Facility.</w:t>
      </w:r>
    </w:p>
    <w:p>
      <w:pPr>
        <w:spacing w:after="0" w:line="103" w:lineRule="exact"/>
        <w:rPr>
          <w:sz w:val="20"/>
          <w:szCs w:val="20"/>
          <w:color w:val="auto"/>
        </w:rPr>
      </w:pPr>
    </w:p>
    <w:p>
      <w:pPr>
        <w:ind w:left="4384"/>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024"/>
          </w:cols>
          <w:pgMar w:left="1436" w:top="274" w:right="439" w:bottom="1440" w:gutter="0" w:footer="0" w:header="0"/>
        </w:sectPr>
      </w:pPr>
    </w:p>
    <w:bookmarkStart w:id="396" w:name="page397"/>
    <w:bookmarkEnd w:id="396"/>
    <w:p>
      <w:pPr>
        <w:ind w:right="300" w:firstLine="397"/>
        <w:spacing w:after="0" w:line="279" w:lineRule="auto"/>
        <w:tabs>
          <w:tab w:leader="none" w:pos="706" w:val="left"/>
        </w:tabs>
        <w:numPr>
          <w:ilvl w:val="0"/>
          <w:numId w:val="46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Assumption</w:t>
      </w:r>
      <w:r>
        <w:rPr>
          <w:rFonts w:ascii="Arial" w:cs="Arial" w:eastAsia="Arial" w:hAnsi="Arial"/>
          <w:sz w:val="17"/>
          <w:szCs w:val="17"/>
          <w:color w:val="auto"/>
        </w:rPr>
        <w:t>. The parties to each assignment shall execute and deliver to the Administrative Agent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Assignment and Assumption, together with a processing and recordation fee in the amount of $3,500;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63" w:lineRule="exact"/>
        <w:rPr>
          <w:rFonts w:ascii="Arial" w:cs="Arial" w:eastAsia="Arial" w:hAnsi="Arial"/>
          <w:sz w:val="17"/>
          <w:szCs w:val="17"/>
          <w:color w:val="auto"/>
        </w:rPr>
      </w:pPr>
    </w:p>
    <w:p>
      <w:pPr>
        <w:ind w:right="40" w:firstLine="397"/>
        <w:spacing w:after="0" w:line="264" w:lineRule="auto"/>
        <w:tabs>
          <w:tab w:leader="none" w:pos="656" w:val="left"/>
        </w:tabs>
        <w:numPr>
          <w:ilvl w:val="0"/>
          <w:numId w:val="467"/>
        </w:numPr>
        <w:rPr>
          <w:rFonts w:ascii="Arial" w:cs="Arial" w:eastAsia="Arial" w:hAnsi="Arial"/>
          <w:sz w:val="18"/>
          <w:szCs w:val="18"/>
          <w:color w:val="auto"/>
        </w:rPr>
      </w:pPr>
      <w:r>
        <w:rPr>
          <w:rFonts w:ascii="Arial" w:cs="Arial" w:eastAsia="Arial" w:hAnsi="Arial"/>
          <w:sz w:val="18"/>
          <w:szCs w:val="18"/>
          <w:i w:val="1"/>
          <w:iCs w:val="1"/>
          <w:color w:val="auto"/>
        </w:rPr>
        <w:t>No Assignment to Certain Persons</w:t>
      </w:r>
      <w:r>
        <w:rPr>
          <w:rFonts w:ascii="Arial" w:cs="Arial" w:eastAsia="Arial" w:hAnsi="Arial"/>
          <w:sz w:val="18"/>
          <w:szCs w:val="18"/>
          <w:color w:val="auto"/>
        </w:rPr>
        <w:t>. No such assignment shall be made (A) to the Borrower or any of the Borrower’s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except as provided below in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or (B) to a Defaulting Lender, a Disqualified Lender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80" w:firstLine="397"/>
        <w:spacing w:after="0" w:line="277" w:lineRule="auto"/>
        <w:tabs>
          <w:tab w:leader="none" w:pos="706" w:val="left"/>
        </w:tabs>
        <w:numPr>
          <w:ilvl w:val="0"/>
          <w:numId w:val="467"/>
        </w:numPr>
        <w:rPr>
          <w:rFonts w:ascii="Arial" w:cs="Arial" w:eastAsia="Arial" w:hAnsi="Arial"/>
          <w:sz w:val="18"/>
          <w:szCs w:val="18"/>
          <w:color w:val="auto"/>
        </w:rPr>
      </w:pPr>
      <w:r>
        <w:rPr>
          <w:rFonts w:ascii="Arial" w:cs="Arial" w:eastAsia="Arial" w:hAnsi="Arial"/>
          <w:sz w:val="18"/>
          <w:szCs w:val="18"/>
          <w:i w:val="1"/>
          <w:iCs w:val="1"/>
          <w:color w:val="auto"/>
        </w:rPr>
        <w:t>No Assignment to Natural Persons</w:t>
      </w:r>
      <w:r>
        <w:rPr>
          <w:rFonts w:ascii="Arial" w:cs="Arial" w:eastAsia="Arial" w:hAnsi="Arial"/>
          <w:sz w:val="18"/>
          <w:szCs w:val="18"/>
          <w:color w:val="auto"/>
        </w:rPr>
        <w:t>. No such assignment shall be made to a natural person (or a holding company,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or trust for, or owned and operated for the primary benefit of, a natural Person).</w:t>
      </w:r>
    </w:p>
    <w:p>
      <w:pPr>
        <w:spacing w:after="0" w:line="62" w:lineRule="exact"/>
        <w:rPr>
          <w:rFonts w:ascii="Arial" w:cs="Arial" w:eastAsia="Arial" w:hAnsi="Arial"/>
          <w:sz w:val="18"/>
          <w:szCs w:val="18"/>
          <w:color w:val="auto"/>
        </w:rPr>
      </w:pPr>
    </w:p>
    <w:p>
      <w:pPr>
        <w:ind w:right="280" w:firstLine="397"/>
        <w:spacing w:after="0" w:line="264" w:lineRule="auto"/>
        <w:tabs>
          <w:tab w:leader="none" w:pos="756" w:val="left"/>
        </w:tabs>
        <w:numPr>
          <w:ilvl w:val="0"/>
          <w:numId w:val="467"/>
        </w:numPr>
        <w:rPr>
          <w:rFonts w:ascii="Arial" w:cs="Arial" w:eastAsia="Arial" w:hAnsi="Arial"/>
          <w:sz w:val="18"/>
          <w:szCs w:val="18"/>
          <w:color w:val="auto"/>
        </w:rPr>
      </w:pPr>
      <w:r>
        <w:rPr>
          <w:rFonts w:ascii="Arial" w:cs="Arial" w:eastAsia="Arial" w:hAnsi="Arial"/>
          <w:sz w:val="18"/>
          <w:szCs w:val="18"/>
          <w:i w:val="1"/>
          <w:iCs w:val="1"/>
          <w:color w:val="auto"/>
        </w:rPr>
        <w:t>Borrower Purchases</w:t>
      </w:r>
      <w:r>
        <w:rPr>
          <w:rFonts w:ascii="Arial" w:cs="Arial" w:eastAsia="Arial" w:hAnsi="Arial"/>
          <w:sz w:val="18"/>
          <w:szCs w:val="18"/>
          <w:color w:val="auto"/>
        </w:rPr>
        <w:t>. Notwithstanding anything to the contrary contained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10.06</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provision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so long as no Event of Default has occurred and is continuing or would result therefrom, the Borrower may repurchase outstanding Term Loans of any Facility on the following basis:</w:t>
      </w:r>
    </w:p>
    <w:p>
      <w:pPr>
        <w:spacing w:after="0" w:line="69" w:lineRule="exact"/>
        <w:rPr>
          <w:rFonts w:ascii="Arial" w:cs="Arial" w:eastAsia="Arial" w:hAnsi="Arial"/>
          <w:sz w:val="18"/>
          <w:szCs w:val="18"/>
          <w:color w:val="auto"/>
        </w:rPr>
      </w:pPr>
    </w:p>
    <w:p>
      <w:pPr>
        <w:ind w:left="440" w:firstLine="380"/>
        <w:spacing w:after="0" w:line="283" w:lineRule="auto"/>
        <w:tabs>
          <w:tab w:leader="none" w:pos="1118" w:val="left"/>
        </w:tabs>
        <w:numPr>
          <w:ilvl w:val="1"/>
          <w:numId w:val="467"/>
        </w:numPr>
        <w:rPr>
          <w:rFonts w:ascii="Arial" w:cs="Arial" w:eastAsia="Arial" w:hAnsi="Arial"/>
          <w:sz w:val="16"/>
          <w:szCs w:val="16"/>
          <w:color w:val="auto"/>
        </w:rPr>
      </w:pPr>
      <w:r>
        <w:rPr>
          <w:rFonts w:ascii="Arial" w:cs="Arial" w:eastAsia="Arial" w:hAnsi="Arial"/>
          <w:sz w:val="16"/>
          <w:szCs w:val="16"/>
          <w:color w:val="auto"/>
        </w:rPr>
        <w:t>the Borrower may conduct one or more auctions (each, an “</w:t>
      </w:r>
      <w:r>
        <w:rPr>
          <w:rFonts w:ascii="Arial" w:cs="Arial" w:eastAsia="Arial" w:hAnsi="Arial"/>
          <w:sz w:val="16"/>
          <w:szCs w:val="16"/>
          <w:b w:val="1"/>
          <w:bCs w:val="1"/>
          <w:color w:val="auto"/>
        </w:rPr>
        <w:t>Auction</w:t>
      </w:r>
      <w:r>
        <w:rPr>
          <w:rFonts w:ascii="Arial" w:cs="Arial" w:eastAsia="Arial" w:hAnsi="Arial"/>
          <w:sz w:val="16"/>
          <w:szCs w:val="16"/>
          <w:color w:val="auto"/>
        </w:rPr>
        <w:t>”) to repurchase all or any portion of the applicable Term Loans of a given Class (such Term Loans, the “</w:t>
      </w:r>
      <w:r>
        <w:rPr>
          <w:rFonts w:ascii="Arial" w:cs="Arial" w:eastAsia="Arial" w:hAnsi="Arial"/>
          <w:sz w:val="16"/>
          <w:szCs w:val="16"/>
          <w:b w:val="1"/>
          <w:bCs w:val="1"/>
          <w:color w:val="auto"/>
        </w:rPr>
        <w:t>Offer Loans</w:t>
      </w:r>
      <w:r>
        <w:rPr>
          <w:rFonts w:ascii="Arial" w:cs="Arial" w:eastAsia="Arial" w:hAnsi="Arial"/>
          <w:sz w:val="16"/>
          <w:szCs w:val="16"/>
          <w:color w:val="auto"/>
        </w:rPr>
        <w:t xml:space="preserve">”) of Term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the Borrower delivers to the Administrative Agent (for distribution to all Lenders holding Term Loans of such Class) a notice of the aggregate principal amount of the Offer Loans that will be subject to such Auction no later than 12:00 p.m. at least five Business Days (or such shorter period as may be agreed to by the Administrative Agent) in advance of a proposed consummation date of such Auction indicating (a) the date on which the Auction will conclude, (b) the maximum principal amount of the Offer Loans the Borrower is willing to purchase in the Auction and (c) the range of discounts to par at which the Borrower would be willing to repurchase the Offer Loans; (2) the minimum dollar amount of the Auction shall be no less than $10,000,000 or whole multiples of $1,000,000 in excess thereof; (3) the Borrower shall hold the Auction open for a minimum period of three Business Days; (4) a Lender who elects to participate in the Auction may choose to tender all or part of such Lender’s Offer Loans; (5) the Auction shall be made to the Lenders holding the Offer Loans (and purchases of Offer Loans held by Lenders who elect to participate shall be made by the Borrower) on a pro rata basis in accordance with the respective principal amount then due and owing to the applicable Term Lenders; and (6) the Auction shall be conducted pursuant to such procedures as the Administrative Agent may establish which are consistent with this</w:t>
      </w:r>
    </w:p>
    <w:p>
      <w:pPr>
        <w:spacing w:after="0" w:line="7" w:lineRule="exact"/>
        <w:rPr>
          <w:rFonts w:ascii="Arial" w:cs="Arial" w:eastAsia="Arial" w:hAnsi="Arial"/>
          <w:sz w:val="16"/>
          <w:szCs w:val="16"/>
          <w:color w:val="auto"/>
        </w:rPr>
      </w:pPr>
    </w:p>
    <w:p>
      <w:pPr>
        <w:ind w:left="440" w:right="2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are reasonably acceptable to the Borrower, which procedures must be followed by a Lender in order to have its Offer Loans repurchased;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9980"/>
          </w:cols>
          <w:pgMar w:left="1440" w:top="274" w:right="479" w:bottom="1440" w:gutter="0" w:footer="0" w:header="0"/>
        </w:sectPr>
      </w:pPr>
    </w:p>
    <w:bookmarkStart w:id="397" w:name="page398"/>
    <w:bookmarkEnd w:id="397"/>
    <w:p>
      <w:pPr>
        <w:ind w:left="1440" w:firstLine="380"/>
        <w:spacing w:after="0" w:line="297" w:lineRule="auto"/>
        <w:tabs>
          <w:tab w:leader="none" w:pos="2108" w:val="left"/>
        </w:tabs>
        <w:numPr>
          <w:ilvl w:val="1"/>
          <w:numId w:val="4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all repurchases made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(1) the Borrower shall pay to the applicable selling Lender all accrued and unpaid interest, if any, on the repurchased Offer Loans to the date of repurchase of such Offer Loans, (2) such repurchases shall not be deemed to be optional prepayments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(3) the amount of the Loans so repurchased shall be applied on a pro rata basis to reduce the scheduled remaining installments of principal on the Offer Loans, and (4) the purchase consideration for such Auction shall in no event be funded with the proceeds of Revolving Credit Loans; and</w:t>
      </w:r>
    </w:p>
    <w:p>
      <w:pPr>
        <w:spacing w:after="0" w:line="50" w:lineRule="exact"/>
        <w:rPr>
          <w:rFonts w:ascii="Arial" w:cs="Arial" w:eastAsia="Arial" w:hAnsi="Arial"/>
          <w:sz w:val="16"/>
          <w:szCs w:val="16"/>
          <w:color w:val="auto"/>
        </w:rPr>
      </w:pPr>
    </w:p>
    <w:p>
      <w:pPr>
        <w:ind w:left="1440" w:right="40" w:firstLine="380"/>
        <w:spacing w:after="0" w:line="254" w:lineRule="auto"/>
        <w:tabs>
          <w:tab w:leader="none" w:pos="2108"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following a repurchase pursuant to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the Offer Loans so repurchased shall, without further action by any Person, be deemed cancelled for all purposes and no longer outstanding (and may not be resold) for all purposes of this Agreement and all the other Loan Documents, including, but not limited to (1) the making of, or the application of, any payments to the Lenders under this Agreement or any other Loan Document, (2) the making of any request, demand, authorization, direction, notice, consent or waiver under this Agreement or any other Loan Document or (3) the determination of Required Lenders, or for any similar or related purpose, under this Agreement or any other Loan Document. In connection with any Term Loans repurchased and cancelled pursuant to this </w:t>
      </w:r>
      <w:r>
        <w:rPr>
          <w:rFonts w:ascii="Arial" w:cs="Arial" w:eastAsia="Arial" w:hAnsi="Arial"/>
          <w:sz w:val="18"/>
          <w:szCs w:val="18"/>
          <w:u w:val="single" w:color="auto"/>
          <w:color w:val="auto"/>
        </w:rPr>
        <w:t>Section 10.06</w:t>
      </w:r>
      <w:r>
        <w:rPr>
          <w:rFonts w:ascii="Arial" w:cs="Arial" w:eastAsia="Arial" w:hAnsi="Arial"/>
          <w:sz w:val="18"/>
          <w:szCs w:val="18"/>
          <w:color w:val="auto"/>
        </w:rPr>
        <w:t>, the Administrative Agent is authorized to make appropriate entries in the Register to reflect any such cancellation.</w:t>
      </w:r>
    </w:p>
    <w:p>
      <w:pPr>
        <w:spacing w:after="0" w:line="84" w:lineRule="exact"/>
        <w:rPr>
          <w:rFonts w:ascii="Arial" w:cs="Arial" w:eastAsia="Arial" w:hAnsi="Arial"/>
          <w:sz w:val="18"/>
          <w:szCs w:val="18"/>
          <w:color w:val="auto"/>
        </w:rPr>
      </w:pPr>
    </w:p>
    <w:p>
      <w:pPr>
        <w:ind w:left="1000" w:right="40" w:firstLine="397"/>
        <w:spacing w:after="0" w:line="269" w:lineRule="auto"/>
        <w:tabs>
          <w:tab w:leader="none" w:pos="1806" w:val="left"/>
        </w:tabs>
        <w:numPr>
          <w:ilvl w:val="0"/>
          <w:numId w:val="469"/>
        </w:numPr>
        <w:rPr>
          <w:rFonts w:ascii="Arial" w:cs="Arial" w:eastAsia="Arial" w:hAnsi="Arial"/>
          <w:sz w:val="17"/>
          <w:szCs w:val="17"/>
          <w:color w:val="auto"/>
        </w:rPr>
      </w:pPr>
      <w:r>
        <w:rPr>
          <w:rFonts w:ascii="Arial" w:cs="Arial" w:eastAsia="Arial" w:hAnsi="Arial"/>
          <w:sz w:val="17"/>
          <w:szCs w:val="17"/>
          <w:i w:val="1"/>
          <w:iCs w:val="1"/>
          <w:color w:val="auto"/>
        </w:rPr>
        <w:t>Certain Additional Payments</w:t>
      </w:r>
      <w:r>
        <w:rPr>
          <w:rFonts w:ascii="Arial" w:cs="Arial" w:eastAsia="Arial" w:hAnsi="Arial"/>
          <w:sz w:val="17"/>
          <w:szCs w:val="17"/>
          <w:color w:val="auto"/>
        </w:rPr>
        <w:t>. In connection with any assignment of rights and obligations of any Defaulting Lender hereunder,</w:t>
      </w:r>
      <w:r>
        <w:rPr>
          <w:rFonts w:ascii="Arial" w:cs="Arial" w:eastAsia="Arial" w:hAnsi="Arial"/>
          <w:sz w:val="17"/>
          <w:szCs w:val="17"/>
          <w:i w:val="1"/>
          <w:iCs w:val="1"/>
          <w:color w:val="auto"/>
        </w:rPr>
        <w:t xml:space="preserve"> </w:t>
      </w:r>
      <w:r>
        <w:rPr>
          <w:rFonts w:ascii="Arial" w:cs="Arial" w:eastAsia="Arial" w:hAnsi="Arial"/>
          <w:sz w:val="17"/>
          <w:szCs w:val="17"/>
          <w:color w:val="auto"/>
        </w:rPr>
        <w:t>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Subject to acceptance and recording in the Register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20"/>
          </w:cols>
          <w:pgMar w:left="440" w:top="273" w:right="439" w:bottom="1440" w:gutter="0" w:footer="0" w:header="0"/>
        </w:sectPr>
      </w:pPr>
    </w:p>
    <w:bookmarkStart w:id="398" w:name="page399"/>
    <w:bookmarkEnd w:id="39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10.04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5413375</wp:posOffset>
            </wp:positionH>
            <wp:positionV relativeFrom="paragraph">
              <wp:posOffset>-434975</wp:posOffset>
            </wp:positionV>
            <wp:extent cx="28575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ind w:left="260" w:hanging="256"/>
        <w:spacing w:after="0"/>
        <w:tabs>
          <w:tab w:leader="none" w:pos="260" w:val="left"/>
        </w:tabs>
        <w:numPr>
          <w:ilvl w:val="0"/>
          <w:numId w:val="470"/>
        </w:numPr>
        <w:rPr>
          <w:rFonts w:ascii="Arial" w:cs="Arial" w:eastAsia="Arial" w:hAnsi="Arial"/>
          <w:sz w:val="18"/>
          <w:szCs w:val="18"/>
          <w:u w:val="single" w:color="auto"/>
          <w:color w:val="auto"/>
        </w:rPr>
      </w:pPr>
      <w:r>
        <w:rPr>
          <w:rFonts w:ascii="Arial" w:cs="Arial" w:eastAsia="Arial" w:hAnsi="Arial"/>
          <w:sz w:val="18"/>
          <w:szCs w:val="18"/>
          <w:color w:val="auto"/>
        </w:rPr>
        <w:t>of this Section.</w:t>
      </w:r>
    </w:p>
    <w:p>
      <w:pPr>
        <w:spacing w:after="0" w:line="210" w:lineRule="exact"/>
        <w:rPr>
          <w:rFonts w:ascii="Arial" w:cs="Arial" w:eastAsia="Arial" w:hAnsi="Arial"/>
          <w:sz w:val="18"/>
          <w:szCs w:val="18"/>
          <w:u w:val="single" w:color="auto"/>
          <w:color w:val="auto"/>
        </w:rPr>
      </w:pPr>
    </w:p>
    <w:p>
      <w:pPr>
        <w:ind w:firstLine="996"/>
        <w:spacing w:after="0" w:line="287" w:lineRule="auto"/>
        <w:tabs>
          <w:tab w:leader="none" w:pos="1236" w:val="left"/>
        </w:tabs>
        <w:numPr>
          <w:ilvl w:val="1"/>
          <w:numId w:val="470"/>
        </w:numPr>
        <w:rPr>
          <w:rFonts w:ascii="Arial" w:cs="Arial" w:eastAsia="Arial" w:hAnsi="Arial"/>
          <w:sz w:val="16"/>
          <w:szCs w:val="16"/>
          <w:color w:val="auto"/>
        </w:rPr>
      </w:pPr>
      <w:r>
        <w:rPr>
          <w:rFonts w:ascii="Arial" w:cs="Arial" w:eastAsia="Arial" w:hAnsi="Arial"/>
          <w:sz w:val="16"/>
          <w:szCs w:val="16"/>
          <w:i w:val="1"/>
          <w:iCs w:val="1"/>
          <w:color w:val="auto"/>
        </w:rPr>
        <w:t>Register</w:t>
      </w:r>
      <w:r>
        <w:rPr>
          <w:rFonts w:ascii="Arial" w:cs="Arial" w:eastAsia="Arial" w:hAnsi="Arial"/>
          <w:sz w:val="16"/>
          <w:szCs w:val="16"/>
          <w:color w:val="auto"/>
        </w:rPr>
        <w:t>. The Administrative Agent, acting solely for this purpose as a non-fiduciary agent of the Borrower (and such agency being</w:t>
      </w:r>
      <w:r>
        <w:rPr>
          <w:rFonts w:ascii="Arial" w:cs="Arial" w:eastAsia="Arial" w:hAnsi="Arial"/>
          <w:sz w:val="16"/>
          <w:szCs w:val="16"/>
          <w:i w:val="1"/>
          <w:iCs w:val="1"/>
          <w:color w:val="auto"/>
        </w:rPr>
        <w:t xml:space="preserve"> </w:t>
      </w:r>
      <w:r>
        <w:rPr>
          <w:rFonts w:ascii="Arial" w:cs="Arial" w:eastAsia="Arial" w:hAnsi="Arial"/>
          <w:sz w:val="16"/>
          <w:szCs w:val="16"/>
          <w:color w:val="auto"/>
        </w:rPr>
        <w:t>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Upon its receipt of a duly completed and executed Assignment and Assumption, the Administrative Agent shall record the information contained therein in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is intended to cause each Loan and other obligation hereunder to be in registered form within the meaning of Section 5f.103-1(c) of the United States Treasury Regulations and Proposed Treasury Regulations Section 1.163-5(b) (or any amended or successor version) and within the meaning of Section 163(f), 871(h)(2) and 881(c)(2) of the Code. The Register shall be available for inspection by the Borrower and any Lender (with respect to such Lender’s entry), at any reasonable time and from time to time upon reasonable prior notice.</w:t>
      </w:r>
    </w:p>
    <w:p>
      <w:pPr>
        <w:spacing w:after="0" w:line="168" w:lineRule="exact"/>
        <w:rPr>
          <w:rFonts w:ascii="Arial" w:cs="Arial" w:eastAsia="Arial" w:hAnsi="Arial"/>
          <w:sz w:val="16"/>
          <w:szCs w:val="16"/>
          <w:color w:val="auto"/>
        </w:rPr>
      </w:pPr>
    </w:p>
    <w:p>
      <w:pPr>
        <w:ind w:right="20" w:firstLine="996"/>
        <w:spacing w:after="0" w:line="271" w:lineRule="auto"/>
        <w:tabs>
          <w:tab w:leader="none" w:pos="1247" w:val="left"/>
        </w:tabs>
        <w:numPr>
          <w:ilvl w:val="1"/>
          <w:numId w:val="470"/>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Any Lender may at any time, without the consent of, or notice to, the Borrower, any L/C Issuer or the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Loans (including such Lender’s participations in L/C Obligations)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Lenders and the L/C Issuers shall continue to deal solely and directly with such Lender in connection with such Lender’s rights and obligations under this Agreement .</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00"/>
          </w:cols>
          <w:pgMar w:left="440" w:top="273" w:right="459" w:bottom="1440" w:gutter="0" w:footer="0" w:header="0"/>
        </w:sectPr>
      </w:pPr>
    </w:p>
    <w:bookmarkStart w:id="399" w:name="page400"/>
    <w:bookmarkEnd w:id="399"/>
    <w:p>
      <w:pPr>
        <w:ind w:firstLine="44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requiring the consent of each Lender affected thereby and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such agreement or instrument shall provide that the Participant understands that the value of the loan asset (including Participant’s pro rata share thereof) may increase or decrease based on fluctuations in currency exchange rates and agrees that any losses (gains) experienced as a result of changes in currency exchange rates shall be shared by such Participant in accordance with the Participant’s pro rata share. To the extent permitted by law, each Participant shall also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an non-fiduciary agent of the Borrower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United States Treasury Regulations Section 5f.103-1(c) and Proposed Treasury Regulations Section 1.163-5(b) (or, in each case, any amended or successor version) and within the meaning of Sections 163(f), 871(h)(2) and 881(c)(2) of the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ind w:right="60" w:firstLine="996"/>
        <w:spacing w:after="0" w:line="273" w:lineRule="auto"/>
        <w:tabs>
          <w:tab w:leader="none" w:pos="1236" w:val="left"/>
        </w:tabs>
        <w:numPr>
          <w:ilvl w:val="0"/>
          <w:numId w:val="471"/>
        </w:numPr>
        <w:rPr>
          <w:rFonts w:ascii="Arial" w:cs="Arial" w:eastAsia="Arial" w:hAnsi="Arial"/>
          <w:sz w:val="17"/>
          <w:szCs w:val="17"/>
          <w:color w:val="auto"/>
        </w:rPr>
      </w:pPr>
      <w:r>
        <w:rPr>
          <w:rFonts w:ascii="Arial" w:cs="Arial" w:eastAsia="Arial" w:hAnsi="Arial"/>
          <w:sz w:val="17"/>
          <w:szCs w:val="17"/>
          <w:i w:val="1"/>
          <w:iCs w:val="1"/>
          <w:color w:val="auto"/>
        </w:rPr>
        <w:t>Limitations upon Participant Rights</w:t>
      </w:r>
      <w:r>
        <w:rPr>
          <w:rFonts w:ascii="Arial" w:cs="Arial" w:eastAsia="Arial" w:hAnsi="Arial"/>
          <w:sz w:val="17"/>
          <w:szCs w:val="17"/>
          <w:color w:val="auto"/>
        </w:rPr>
        <w:t>. A Participant shall not be entitled to receive any greater payment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i w:val="1"/>
          <w:iCs w:val="1"/>
          <w:color w:val="auto"/>
        </w:rPr>
        <w:t xml:space="preserve"> </w:t>
      </w:r>
      <w:r>
        <w:rPr>
          <w:rFonts w:ascii="Arial" w:cs="Arial" w:eastAsia="Arial" w:hAnsi="Arial"/>
          <w:sz w:val="17"/>
          <w:szCs w:val="17"/>
          <w:color w:val="auto"/>
        </w:rPr>
        <w:t>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 A Participant shall be entitled to the benefits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if such Participant agrees, for the benefit of the Borrower,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as though it were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forms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instead be delivered to the applicable Lender).</w:t>
      </w:r>
    </w:p>
    <w:p>
      <w:pPr>
        <w:spacing w:after="0" w:line="178" w:lineRule="exact"/>
        <w:rPr>
          <w:rFonts w:ascii="Arial" w:cs="Arial" w:eastAsia="Arial" w:hAnsi="Arial"/>
          <w:sz w:val="17"/>
          <w:szCs w:val="17"/>
          <w:color w:val="auto"/>
        </w:rPr>
      </w:pPr>
    </w:p>
    <w:p>
      <w:pPr>
        <w:ind w:firstLine="996"/>
        <w:spacing w:after="0" w:line="259" w:lineRule="auto"/>
        <w:tabs>
          <w:tab w:leader="none" w:pos="1217" w:val="left"/>
        </w:tabs>
        <w:numPr>
          <w:ilvl w:val="0"/>
          <w:numId w:val="471"/>
        </w:numPr>
        <w:rPr>
          <w:rFonts w:ascii="Arial" w:cs="Arial" w:eastAsia="Arial" w:hAnsi="Arial"/>
          <w:sz w:val="18"/>
          <w:szCs w:val="18"/>
          <w:color w:val="auto"/>
        </w:rPr>
      </w:pPr>
      <w:r>
        <w:rPr>
          <w:rFonts w:ascii="Arial" w:cs="Arial" w:eastAsia="Arial" w:hAnsi="Arial"/>
          <w:sz w:val="18"/>
          <w:szCs w:val="18"/>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00"/>
          </w:cols>
          <w:pgMar w:left="440" w:top="274" w:right="459" w:bottom="1440" w:gutter="0" w:footer="0" w:header="0"/>
        </w:sectPr>
      </w:pPr>
    </w:p>
    <w:bookmarkStart w:id="400" w:name="page401"/>
    <w:bookmarkEnd w:id="400"/>
    <w:p>
      <w:pPr>
        <w:ind w:right="40" w:firstLine="996"/>
        <w:spacing w:after="0" w:line="287" w:lineRule="auto"/>
        <w:tabs>
          <w:tab w:leader="none" w:pos="1247" w:val="left"/>
        </w:tabs>
        <w:numPr>
          <w:ilvl w:val="0"/>
          <w:numId w:val="47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as L/C Issuer after Assignment</w:t>
      </w:r>
      <w:r>
        <w:rPr>
          <w:rFonts w:ascii="Arial" w:cs="Arial" w:eastAsia="Arial" w:hAnsi="Arial"/>
          <w:sz w:val="16"/>
          <w:szCs w:val="16"/>
          <w:color w:val="auto"/>
        </w:rPr>
        <w:t>. Notwithstanding anything to the contrary contained herein, if at any time a Lender serving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an L/C Issuer assigns all of its Revolving Credit Commitment and Revolving Credit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such Lender may, upon 30 days’ notice to the Borrower and the other Lenders, resign as an L/C Issuer. In the event of any such resignation as L/C Issuer, the Borrower shall be entitled to appoint from among the Revolving Credit Lenders a successor L/C Issuer hereunder if such Revolving Credit Lender is willing to act in such capacity;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failure by the Borrower to appoint any such successor shall affect the resignation of the retiring entity as L/C Issuer. If any entity serving as L/C Issuer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Upon the appointment of a successor L/C Issuer and the acceptance of such appointment by such successor,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reasonably satisfactory to the retiring L/C Issuer to effectively assume the obligations of such L/C Issuer with respect to such Letters of Credit.</w:t>
      </w:r>
    </w:p>
    <w:p>
      <w:pPr>
        <w:spacing w:after="0" w:line="168" w:lineRule="exact"/>
        <w:rPr>
          <w:rFonts w:ascii="Arial" w:cs="Arial" w:eastAsia="Arial" w:hAnsi="Arial"/>
          <w:sz w:val="16"/>
          <w:szCs w:val="16"/>
          <w:color w:val="auto"/>
        </w:rPr>
      </w:pPr>
    </w:p>
    <w:p>
      <w:pPr>
        <w:ind w:left="1260" w:hanging="264"/>
        <w:spacing w:after="0"/>
        <w:tabs>
          <w:tab w:leader="none" w:pos="12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Disqualified Lenders.</w:t>
      </w:r>
    </w:p>
    <w:p>
      <w:pPr>
        <w:spacing w:after="0" w:line="113" w:lineRule="exact"/>
        <w:rPr>
          <w:rFonts w:ascii="Arial" w:cs="Arial" w:eastAsia="Arial" w:hAnsi="Arial"/>
          <w:sz w:val="18"/>
          <w:szCs w:val="18"/>
          <w:color w:val="auto"/>
        </w:rPr>
      </w:pPr>
    </w:p>
    <w:p>
      <w:pPr>
        <w:ind w:left="1000" w:firstLine="397"/>
        <w:spacing w:after="0" w:line="258" w:lineRule="auto"/>
        <w:tabs>
          <w:tab w:leader="none" w:pos="161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No assignment or participation shall be made to any Person that was a Disqualified Lender as of the date (the “</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on which the assigning or transferring Lender entered into a binding agreement to sell and assign, or grant a participation in, all or a portion of its rights and obligations under this Agreement, as applicable, to such Person. For the avoidance of doubt, no assignment or participation shall be retroactively invalidated pursuant to this </w:t>
      </w:r>
      <w:r>
        <w:rPr>
          <w:rFonts w:ascii="Arial" w:cs="Arial" w:eastAsia="Arial" w:hAnsi="Arial"/>
          <w:sz w:val="18"/>
          <w:szCs w:val="18"/>
          <w:u w:val="single" w:color="auto"/>
          <w:color w:val="auto"/>
        </w:rPr>
        <w:t>Section 10.06(h)</w:t>
      </w:r>
      <w:r>
        <w:rPr>
          <w:rFonts w:ascii="Arial" w:cs="Arial" w:eastAsia="Arial" w:hAnsi="Arial"/>
          <w:sz w:val="18"/>
          <w:szCs w:val="18"/>
          <w:color w:val="auto"/>
        </w:rPr>
        <w:t xml:space="preserve"> if the Trade Date therefor occurred prior to the assignee’s or participant’s becoming a Disqualified Lender.</w:t>
      </w:r>
    </w:p>
    <w:p>
      <w:pPr>
        <w:spacing w:after="0" w:line="79" w:lineRule="exact"/>
        <w:rPr>
          <w:rFonts w:ascii="Arial" w:cs="Arial" w:eastAsia="Arial" w:hAnsi="Arial"/>
          <w:sz w:val="18"/>
          <w:szCs w:val="18"/>
          <w:color w:val="auto"/>
        </w:rPr>
      </w:pPr>
    </w:p>
    <w:p>
      <w:pPr>
        <w:ind w:left="1000" w:right="60" w:firstLine="397"/>
        <w:spacing w:after="0" w:line="254" w:lineRule="auto"/>
        <w:tabs>
          <w:tab w:leader="none" w:pos="166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 xml:space="preserve">The Administrative Agent and each assignor of a Loan or Commitment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 The Administrative Agent shall have the right, and the Borrower hereby expressly authorizes the Administrative Agent, to provide the list of Disqualified Lenders to each Lender upon request. Subject to </w:t>
      </w:r>
      <w:r>
        <w:rPr>
          <w:rFonts w:ascii="Arial" w:cs="Arial" w:eastAsia="Arial" w:hAnsi="Arial"/>
          <w:sz w:val="18"/>
          <w:szCs w:val="18"/>
          <w:u w:val="single" w:color="auto"/>
          <w:color w:val="auto"/>
        </w:rPr>
        <w:t>Section 10.06(h)(iii)</w:t>
      </w:r>
      <w:r>
        <w:rPr>
          <w:rFonts w:ascii="Arial" w:cs="Arial" w:eastAsia="Arial" w:hAnsi="Arial"/>
          <w:sz w:val="18"/>
          <w:szCs w:val="18"/>
          <w:color w:val="auto"/>
        </w:rPr>
        <w:t xml:space="preserve">, any assignment by a Lender to a Disqualified Lender in violation of this </w:t>
      </w:r>
      <w:r>
        <w:rPr>
          <w:rFonts w:ascii="Arial" w:cs="Arial" w:eastAsia="Arial" w:hAnsi="Arial"/>
          <w:sz w:val="18"/>
          <w:szCs w:val="18"/>
          <w:u w:val="single" w:color="auto"/>
          <w:color w:val="auto"/>
        </w:rPr>
        <w:t>Section 10.06(h)</w:t>
      </w:r>
      <w:r>
        <w:rPr>
          <w:rFonts w:ascii="Arial" w:cs="Arial" w:eastAsia="Arial" w:hAnsi="Arial"/>
          <w:sz w:val="18"/>
          <w:szCs w:val="18"/>
          <w:color w:val="auto"/>
        </w:rPr>
        <w:t xml:space="preserve"> shall be treated for purposes of this Agreement as a sale by such Lender of a participation of such rights and obligations in accordance with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treatment shall not relieve any assigning Lender from any liabilities arising as a consequence of its breach of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440" w:top="274" w:right="439" w:bottom="1440" w:gutter="0" w:footer="0" w:header="0"/>
        </w:sectPr>
      </w:pPr>
    </w:p>
    <w:bookmarkStart w:id="401" w:name="page402"/>
    <w:bookmarkEnd w:id="401"/>
    <w:p>
      <w:pPr>
        <w:ind w:left="4" w:right="20" w:firstLine="397"/>
        <w:spacing w:after="0" w:line="287" w:lineRule="auto"/>
        <w:tabs>
          <w:tab w:leader="none" w:pos="720" w:val="left"/>
        </w:tabs>
        <w:numPr>
          <w:ilvl w:val="1"/>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assignment or participation is made to any Disqualified Lender without the Borrower’s prior written consent in violation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Borrower may, at its sole expense and effort, upon notice to the applicable Disqualified Lender and the Administrative Agent, (A) terminate any Revolving Credit Commitment of such Disqualified Lender and repay all obligations of the Borrower owing to such Disqualified Lender in connection with such Revolving Credit Commitment or in accordance with and subject to the provisions of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require such Disqualified Lender to assign and delegate all of its interests, rights (other than its existing rights to payments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obligations under this Agreement and the related Loan Documents to an Eligible Assignee as if such Disqualified Lender were required to do so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(B) in the case of Term Loans held by a Disqualified Lender, purchase or prepay such Term Loans by paying the lesser of (x) the principal amount thereof and (y) the amount that such Disqualified Lender paid to acquire such Term Loans and or (C) in the case of Term Loans, require such Disqualified Lender to assign, without recourse (in accordance with and subject to the restrictions contained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all of its interest, rights and obligations under this Agreement to one or more Eligible Assignees that agrees to such assignment in writing at a price equal to the lesser of (x) the principal amount thereof and (y) the amount that such Disqualified Lender paid to acquire such interests, rights and obligations.</w:t>
      </w:r>
    </w:p>
    <w:p>
      <w:pPr>
        <w:spacing w:after="0" w:line="60" w:lineRule="exact"/>
        <w:rPr>
          <w:rFonts w:ascii="Arial" w:cs="Arial" w:eastAsia="Arial" w:hAnsi="Arial"/>
          <w:sz w:val="16"/>
          <w:szCs w:val="16"/>
          <w:color w:val="auto"/>
        </w:rPr>
      </w:pPr>
    </w:p>
    <w:p>
      <w:pPr>
        <w:ind w:left="704" w:hanging="303"/>
        <w:spacing w:after="0"/>
        <w:tabs>
          <w:tab w:leader="none" w:pos="704" w:val="left"/>
        </w:tabs>
        <w:numPr>
          <w:ilvl w:val="1"/>
          <w:numId w:val="47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Disqualified Lenders (1) will not have the right to</w:t>
      </w:r>
    </w:p>
    <w:p>
      <w:pPr>
        <w:spacing w:after="0" w:line="34" w:lineRule="exact"/>
        <w:rPr>
          <w:rFonts w:ascii="Arial" w:cs="Arial" w:eastAsia="Arial" w:hAnsi="Arial"/>
          <w:sz w:val="17"/>
          <w:szCs w:val="17"/>
          <w:color w:val="auto"/>
        </w:rPr>
      </w:pPr>
    </w:p>
    <w:p>
      <w:pPr>
        <w:ind w:left="4" w:hanging="4"/>
        <w:spacing w:after="0" w:line="281" w:lineRule="auto"/>
        <w:tabs>
          <w:tab w:leader="none" w:pos="259" w:val="left"/>
        </w:tabs>
        <w:numPr>
          <w:ilvl w:val="0"/>
          <w:numId w:val="474"/>
        </w:numPr>
        <w:rPr>
          <w:rFonts w:ascii="Arial" w:cs="Arial" w:eastAsia="Arial" w:hAnsi="Arial"/>
          <w:sz w:val="16"/>
          <w:szCs w:val="16"/>
          <w:color w:val="auto"/>
        </w:rPr>
      </w:pPr>
      <w:r>
        <w:rPr>
          <w:rFonts w:ascii="Arial" w:cs="Arial" w:eastAsia="Arial" w:hAnsi="Arial"/>
          <w:sz w:val="16"/>
          <w:szCs w:val="16"/>
          <w:color w:val="auto"/>
        </w:rPr>
        <w:t xml:space="preserve">receive information, reports or other materials provided to the Administrative Agent or the Lenders by the Borrower or any of its Subsidiaries,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to such matter in the same proportion as the Lenders that are not Disqualified Lenders consented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any Disqualified Lender’s consent shall be required for any amendment, waiver or other modification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with respect to any increase to the Commitments of such Disqualified Lender, and</w:t>
      </w:r>
    </w:p>
    <w:p>
      <w:pPr>
        <w:spacing w:after="0" w:line="6" w:lineRule="exact"/>
        <w:rPr>
          <w:rFonts w:ascii="Arial" w:cs="Arial" w:eastAsia="Arial" w:hAnsi="Arial"/>
          <w:sz w:val="16"/>
          <w:szCs w:val="16"/>
          <w:color w:val="auto"/>
        </w:rPr>
      </w:pPr>
    </w:p>
    <w:p>
      <w:pPr>
        <w:ind w:left="4" w:right="60" w:hanging="4"/>
        <w:spacing w:after="0" w:line="281" w:lineRule="auto"/>
        <w:tabs>
          <w:tab w:leader="none" w:pos="259" w:val="left"/>
        </w:tabs>
        <w:numPr>
          <w:ilvl w:val="0"/>
          <w:numId w:val="474"/>
        </w:numPr>
        <w:rPr>
          <w:rFonts w:ascii="Arial" w:cs="Arial" w:eastAsia="Arial" w:hAnsi="Arial"/>
          <w:sz w:val="16"/>
          <w:szCs w:val="16"/>
          <w:color w:val="auto"/>
        </w:rPr>
      </w:pPr>
      <w:r>
        <w:rPr>
          <w:rFonts w:ascii="Arial" w:cs="Arial" w:eastAsia="Arial" w:hAnsi="Arial"/>
          <w:sz w:val="16"/>
          <w:szCs w:val="16"/>
          <w:color w:val="auto"/>
        </w:rPr>
        <w:t xml:space="preserve">for purposes of voting on any plan of reorganization pursuant to Section 1126 of the Bankruptcy Code of the United States or any similar plan or proposal under any other Debtor Relief Law with respect to Borrower or any of its Subsidiaries, each Disqualified Lender hereby agrees (1) not to vote on such plan, (2) if such Disqualified Lender does vote on such plan notwithstanding the restriction in the immediately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such vote will be deemed not to be in good faith and shall be “designated” pursuant to Section 1126(e) of the Bankruptcy Code of the United States (or any similar provision in any other similar federal, state or foreign law affecting creditor’s rights, including any Debtor Relief Law), and such vote shall not be counted in determining whether the applicable class has accepted or rejected such plan in accordance with Section 1126(c) of the Bankruptcy Code of the United States (or any similar provision in any other similar federal, state or foreign law affecting creditor’s rights including any Debtor Relief Laws) and (3)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143" w:lineRule="exact"/>
        <w:rPr>
          <w:sz w:val="20"/>
          <w:szCs w:val="20"/>
          <w:color w:val="auto"/>
        </w:rPr>
      </w:pPr>
    </w:p>
    <w:p>
      <w:pPr>
        <w:ind w:left="4384"/>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9984"/>
          </w:cols>
          <w:pgMar w:left="1436" w:top="274" w:right="479" w:bottom="1440" w:gutter="0" w:footer="0" w:header="0"/>
        </w:sectPr>
      </w:pPr>
    </w:p>
    <w:bookmarkStart w:id="402" w:name="page403"/>
    <w:bookmarkEnd w:id="402"/>
    <w:p>
      <w:pPr>
        <w:ind w:left="1000" w:firstLine="397"/>
        <w:spacing w:after="0" w:line="273" w:lineRule="auto"/>
        <w:tabs>
          <w:tab w:leader="none" w:pos="1656" w:val="left"/>
        </w:tabs>
        <w:numPr>
          <w:ilvl w:val="0"/>
          <w:numId w:val="4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this Agreement, the Loan Parties and the Lenders acknowledge and agree that in no event shall the Administrative Agent or any of its Affiliates or Related Parties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78"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Treatment of Certain Information; Confidentiality</w:t>
      </w:r>
      <w:r>
        <w:rPr>
          <w:rFonts w:ascii="Arial" w:cs="Arial" w:eastAsia="Arial" w:hAnsi="Arial"/>
          <w:sz w:val="16"/>
          <w:szCs w:val="16"/>
          <w:color w:val="auto"/>
        </w:rPr>
        <w:t>. Each of the Administrative Agent, the Lenders and the L/C Issuers agrees to maintain the confidentiality of the Information,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it or its Affiliates (including any self-regulatory authority, such as the National Association of Insurance Commissioners),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 such L/C Issuer) and to use commercially reasonable efforts to ensure that any such information so disclosed is accorded confidential treatment, (c) pursuant to the order of any court or administrative agency or in any pending legal or administrative proceeding, or otherwise as required by applicable law or compulsory legal process or to the extent required by applicable laws or regulations or by any subpoena or similar legal process, in which case each of the Administrative Agent, the Lenders and the L/C Issuers agrees to inform the Borrower promptly thereof prior to such disclosure to the extent not prohibited by law, rule or regulation, as applicable (except with respect to any audit or examination conducted by bank accountants or any governmental or regulatory authority exercising examination or regulatory authority over the Administrative Agent, such Lender or such L/C Issuer) and to use commercially reasonable efforts to ensure that any such information so disclosed is accorded confidential treatment,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or (ii) any actual or prospective counterparty (or its advisors) to any swap or derivative transaction relating to the Borrower and its obligations, (g) with the consent of the Borrower, (h) on a confidential basis to (i) any rating agency in connection with rating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20"/>
          </w:cols>
          <w:pgMar w:left="440" w:top="273" w:right="439" w:bottom="1440" w:gutter="0" w:footer="0" w:header="0"/>
        </w:sectPr>
      </w:pPr>
    </w:p>
    <w:bookmarkStart w:id="403" w:name="page404"/>
    <w:bookmarkEnd w:id="40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or its Restricted Subsidiaries or any Facility or (ii) the CUSIP Service Bureau or any similar agency in connection with the issuance and monitoring of CUSIP numbers with respect to any Facility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Borrower or (z) is independently developed by the Administrative Agent, any Lender, any L/C Issuer or any of their respective Affiliates without reliance on any confidential Information of the Borrower and its Subsidiaries. In addition, each of the Administrative Agent, the Lenders and the L/C Issuers may disclose the existence of this Agreement and information about this Agreement to market data collectors, similar service providers to the lending industry and service providers to the Administrative Agent, the Lenders and the L/C Issuers in connection with the administration of this Agreement, the other Loan Documents and the Credit Extensions.</w:t>
      </w:r>
    </w:p>
    <w:p>
      <w:pPr>
        <w:spacing w:after="0" w:line="17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MNPI concerning the Borrower or a Subsidiary, as the case may be, (b) it has developed compliance procedures regarding the use of MNPI and (c) it will handle such MNPI in accordance with applicable Law, including United States Federal and state securities Laws.</w:t>
      </w:r>
    </w:p>
    <w:p>
      <w:pPr>
        <w:spacing w:after="0" w:line="18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i w:val="1"/>
          <w:iCs w:val="1"/>
          <w:color w:val="auto"/>
        </w:rPr>
        <w:t>Right of Setoff</w:t>
      </w:r>
      <w:r>
        <w:rPr>
          <w:rFonts w:ascii="Arial" w:cs="Arial" w:eastAsia="Arial" w:hAnsi="Arial"/>
          <w:sz w:val="17"/>
          <w:szCs w:val="17"/>
          <w:color w:val="auto"/>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of such Lender or such L/C Issuer different from the branch or office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all other rights and remedies (including other rights of setoff) that such Lender, such L/C Issuer or their respective Affiliates may have under applicable Law or otherwise. Each Lender and L/C Issuer agrees to notify the Borrower and the Administrative Agent promptly after any such setoff and application;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80"/>
          </w:cols>
          <w:pgMar w:left="440" w:top="273" w:right="479" w:bottom="1440" w:gutter="0" w:footer="0" w:header="0"/>
        </w:sectPr>
      </w:pPr>
    </w:p>
    <w:bookmarkStart w:id="404" w:name="page405"/>
    <w:bookmarkEnd w:id="404"/>
    <w:p>
      <w:pPr>
        <w:ind w:right="60"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10.09 </w:t>
      </w:r>
      <w:r>
        <w:rPr>
          <w:rFonts w:ascii="Arial" w:cs="Arial" w:eastAsia="Arial" w:hAnsi="Arial"/>
          <w:sz w:val="18"/>
          <w:szCs w:val="18"/>
          <w:i w:val="1"/>
          <w:iCs w:val="1"/>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unpaid principal of the Loans or, if it exceeds such unpaid principal, refunded to the Borrower. In determining whether the interest contracted for, charged, or received by the Administrative Agent or any Lender exceeds the Maximum Rate, such Person may, to the extent permitted by applicable Law, (a) characterize any payment that is not principal as an expense, fee, or premium rather than interest, (b) exclude optional prepayments and the effects thereof and (c) amortize, prorate, allocate, and spread in equal or unequal parts the total amount of interest throughout the contemplated term of the Obligations hereunder.</w:t>
      </w:r>
    </w:p>
    <w:p>
      <w:pPr>
        <w:spacing w:after="0" w:line="19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Counterparts; Integration; Effectiveness</w:t>
      </w:r>
      <w:r>
        <w:rPr>
          <w:rFonts w:ascii="Arial" w:cs="Arial" w:eastAsia="Arial" w:hAnsi="Arial"/>
          <w:sz w:val="16"/>
          <w:szCs w:val="16"/>
          <w:color w:val="auto"/>
        </w:rPr>
        <w:t>. This Agreement may be executed in counterparts (and by different parties hereto in different counterparts), each of which shall constitute an original, but all of which when taken together shall constitute a single contract. This Agreement, the Fee Letters and the other Loan Documents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shall be effective as delivery of a manually executed counterpart of this Agreement.</w:t>
      </w:r>
    </w:p>
    <w:p>
      <w:pPr>
        <w:spacing w:after="0" w:line="16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i w:val="1"/>
          <w:iCs w:val="1"/>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Lender and each L/C Issuer, regardless of any investigation made by the Administrative Agent, any Lender or any L/C Issuer or on their behalf and notwithstanding that the Administrative Agent, any Lender or any L/C Issuer may have had notice or knowledge of any Default at the time of any Credit Extension, and shall continue in full force and effect as long as any Loan or any other Obligation (other than contingent indemnification obligations as to which no claim has been asserted and obligations and liabilities under Secured Cash Management Agreements and Secured Hedge Agreements) hereunder shall remain unpaid or unsatisfied, any Commitment remains in effect or any Letter of Credit shall remain outstanding.</w:t>
      </w:r>
    </w:p>
    <w:p>
      <w:pPr>
        <w:spacing w:after="0" w:line="17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or the other Loan Documents is held to be illegal, invalid or unenforceable, then, to the fullest extent permitted by law,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20"/>
          </w:cols>
          <w:pgMar w:left="440" w:top="274" w:right="439" w:bottom="1440" w:gutter="0" w:footer="0" w:header="0"/>
        </w:sectPr>
      </w:pPr>
    </w:p>
    <w:bookmarkStart w:id="405" w:name="page406"/>
    <w:bookmarkEnd w:id="40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or any L/C Issuer, as applicable, then such provisions shall be deemed to be in effect only to the extent not so limited.</w:t>
      </w:r>
    </w:p>
    <w:p>
      <w:pPr>
        <w:spacing w:after="0" w:line="188"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shall have not consented to any proposed amendment, modification, termination, waiver or consent requiring the consent of all Lenders or all affected Lenders as contemplated by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the consent of the Required Lenders, the Required Term B Lenders, the Required Revolving Credit Lenders or the Required Facility Lenders, as applicable, has been obtained, or if any Lender is a Defaulting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59" w:lineRule="exact"/>
        <w:rPr>
          <w:sz w:val="20"/>
          <w:szCs w:val="20"/>
          <w:color w:val="auto"/>
        </w:rPr>
      </w:pPr>
    </w:p>
    <w:p>
      <w:pPr>
        <w:ind w:left="1240" w:hanging="244"/>
        <w:spacing w:after="0"/>
        <w:tabs>
          <w:tab w:leader="none" w:pos="12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96"/>
        <w:spacing w:after="0" w:line="259" w:lineRule="auto"/>
        <w:tabs>
          <w:tab w:leader="none" w:pos="124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L/C Advances, and accrued interest and fees) or the Borrower (in the case of all other amounts);</w:t>
      </w:r>
    </w:p>
    <w:p>
      <w:pPr>
        <w:spacing w:after="0" w:line="186" w:lineRule="exact"/>
        <w:rPr>
          <w:rFonts w:ascii="Arial" w:cs="Arial" w:eastAsia="Arial" w:hAnsi="Arial"/>
          <w:sz w:val="18"/>
          <w:szCs w:val="18"/>
          <w:color w:val="auto"/>
        </w:rPr>
      </w:pPr>
    </w:p>
    <w:p>
      <w:pPr>
        <w:ind w:right="520" w:firstLine="996"/>
        <w:spacing w:after="0" w:line="308" w:lineRule="auto"/>
        <w:tabs>
          <w:tab w:leader="none" w:pos="1237"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46" w:lineRule="exact"/>
        <w:rPr>
          <w:rFonts w:ascii="Arial" w:cs="Arial" w:eastAsia="Arial" w:hAnsi="Arial"/>
          <w:sz w:val="17"/>
          <w:szCs w:val="17"/>
          <w:color w:val="auto"/>
        </w:rPr>
      </w:pPr>
    </w:p>
    <w:p>
      <w:pPr>
        <w:ind w:left="1260" w:hanging="264"/>
        <w:spacing w:after="0"/>
        <w:tabs>
          <w:tab w:leader="none" w:pos="12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420" w:firstLine="996"/>
        <w:spacing w:after="0" w:line="277" w:lineRule="auto"/>
        <w:tabs>
          <w:tab w:leader="none" w:pos="123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Lender becoming a non-consenting Lender, the applicable assignee shall have consented to the applicable amendment, modification, termination, waiver or consent.</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 Each Lender and L/C Issuer hereby agrees and acknowledges that, with regard to any Assignment and Assumption necessary to effectuate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00"/>
          </w:cols>
          <w:pgMar w:left="440" w:top="274" w:right="459" w:bottom="1440" w:gutter="0" w:footer="0" w:header="0"/>
        </w:sectPr>
      </w:pPr>
    </w:p>
    <w:bookmarkStart w:id="406" w:name="page407"/>
    <w:bookmarkEnd w:id="406"/>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assignment of such Lender’s or L/C Issuer’s interests hereunder in the circumstances contemplated by this </w:t>
      </w:r>
      <w:r>
        <w:rPr>
          <w:rFonts w:ascii="Arial" w:cs="Arial" w:eastAsia="Arial" w:hAnsi="Arial"/>
          <w:sz w:val="18"/>
          <w:szCs w:val="18"/>
          <w:u w:val="single" w:color="auto"/>
          <w:color w:val="auto"/>
        </w:rPr>
        <w:t>Section 10.13</w:t>
      </w:r>
      <w:r>
        <w:rPr>
          <w:rFonts w:ascii="Arial" w:cs="Arial" w:eastAsia="Arial" w:hAnsi="Arial"/>
          <w:sz w:val="18"/>
          <w:szCs w:val="18"/>
          <w:color w:val="auto"/>
        </w:rPr>
        <w:t>, consent to such Assignment and Assumption shall have been deemed to have been given if such Lender or L/C Issuer has not responded within one Business Day of a request for such consent.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Governing Law; Jurisdiction; Etc.</w:t>
      </w:r>
    </w:p>
    <w:p>
      <w:pPr>
        <w:spacing w:after="0" w:line="225" w:lineRule="exact"/>
        <w:rPr>
          <w:sz w:val="20"/>
          <w:szCs w:val="20"/>
          <w:color w:val="auto"/>
        </w:rPr>
      </w:pPr>
    </w:p>
    <w:p>
      <w:pPr>
        <w:ind w:firstLine="996"/>
        <w:spacing w:after="0" w:line="257" w:lineRule="auto"/>
        <w:tabs>
          <w:tab w:leader="none" w:pos="123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Governing Law. THIS AGREEMENT AND THE OTHER LOAN DOCUMENTS AND ALL CLAIMS OR CAUSES OF ACTION (WHETHER IN CONTRACT, TORT OR OTHERWISE) THAT MAY BE BASED UPON, ARISE OUT OF OR RELATE IN ANY WAY HERETO OR THERETO OR THE NEGOTIATION, EXECUTION OR PERFORMANCE HEREOF OR THEREOF OR THE TRANSACTIONS CONTEMPLATED HEREBY OR THEREBY, UNLESS OTHERWISE EXPRESSLY SET FORTH THEREIN, SHALL BE GOVERNED BY, AND CONSTRUED IN ACCORDANCE WITH, THE LAW OF THE STATE OF NEW YORK.</w:t>
      </w:r>
    </w:p>
    <w:p>
      <w:pPr>
        <w:spacing w:after="0" w:line="188" w:lineRule="exact"/>
        <w:rPr>
          <w:rFonts w:ascii="Arial" w:cs="Arial" w:eastAsia="Arial" w:hAnsi="Arial"/>
          <w:sz w:val="18"/>
          <w:szCs w:val="18"/>
          <w:color w:val="auto"/>
        </w:rPr>
      </w:pPr>
    </w:p>
    <w:p>
      <w:pPr>
        <w:ind w:right="80" w:firstLine="996"/>
        <w:spacing w:after="0" w:line="268" w:lineRule="auto"/>
        <w:tabs>
          <w:tab w:leader="none" w:pos="1247" w:val="left"/>
        </w:tabs>
        <w:numPr>
          <w:ilvl w:val="0"/>
          <w:numId w:val="477"/>
        </w:numPr>
        <w:rPr>
          <w:rFonts w:ascii="Arial" w:cs="Arial" w:eastAsia="Arial" w:hAnsi="Arial"/>
          <w:sz w:val="17"/>
          <w:szCs w:val="17"/>
          <w:color w:val="auto"/>
        </w:rPr>
      </w:pPr>
      <w:r>
        <w:rPr>
          <w:rFonts w:ascii="Arial" w:cs="Arial" w:eastAsia="Arial" w:hAnsi="Arial"/>
          <w:sz w:val="17"/>
          <w:szCs w:val="17"/>
          <w:color w:val="auto"/>
        </w:rPr>
        <w:t>Submission to Jurisdiction. THE BORROWER IRREVOCABLY AND UNCONDITIONALLY SUBMITS, FOR ITSELF AND ITS PROPERTY, TO THE EXCLUSIVE JURISDICTION OF THE COURTS OF THE STATE OF NEW YORK SITTING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ITS PROPERTIES IN THE COURTS OF ANY JURISDICTION.</w:t>
      </w:r>
    </w:p>
    <w:p>
      <w:pPr>
        <w:spacing w:after="0" w:line="187" w:lineRule="exact"/>
        <w:rPr>
          <w:rFonts w:ascii="Arial" w:cs="Arial" w:eastAsia="Arial" w:hAnsi="Arial"/>
          <w:sz w:val="17"/>
          <w:szCs w:val="17"/>
          <w:color w:val="auto"/>
        </w:rPr>
      </w:pPr>
    </w:p>
    <w:p>
      <w:pPr>
        <w:ind w:right="80" w:firstLine="996"/>
        <w:spacing w:after="0" w:line="255" w:lineRule="auto"/>
        <w:tabs>
          <w:tab w:leader="none" w:pos="123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 xml:space="preserve">Waiver of Venue.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440" w:top="274" w:right="439" w:bottom="1440" w:gutter="0" w:footer="0" w:header="0"/>
        </w:sectPr>
      </w:pPr>
    </w:p>
    <w:bookmarkStart w:id="407" w:name="page408"/>
    <w:bookmarkEnd w:id="407"/>
    <w:p>
      <w:pPr>
        <w:ind w:right="120" w:firstLine="996"/>
        <w:spacing w:after="0" w:line="264" w:lineRule="auto"/>
        <w:tabs>
          <w:tab w:leader="none" w:pos="1247" w:val="left"/>
        </w:tabs>
        <w:numPr>
          <w:ilvl w:val="0"/>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Service of Process.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80" w:firstLine="4"/>
        <w:spacing w:after="0" w:line="253" w:lineRule="auto"/>
        <w:tabs>
          <w:tab w:leader="none" w:pos="29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 xml:space="preserve">Section 10.16 </w:t>
      </w:r>
      <w:r>
        <w:rPr>
          <w:rFonts w:ascii="Arial" w:cs="Arial" w:eastAsia="Arial" w:hAnsi="Arial"/>
          <w:sz w:val="17"/>
          <w:szCs w:val="17"/>
          <w:i w:val="1"/>
          <w:iCs w:val="1"/>
          <w:color w:val="auto"/>
        </w:rPr>
        <w:t>California Judicial Reference</w:t>
      </w:r>
      <w:r>
        <w:rPr>
          <w:rFonts w:ascii="Arial" w:cs="Arial" w:eastAsia="Arial" w:hAnsi="Arial"/>
          <w:sz w:val="17"/>
          <w:szCs w:val="17"/>
          <w:color w:val="auto"/>
        </w:rPr>
        <w:t xml:space="preserve">. 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option of any party to such proceeding, any such issues pertaining to a “provisional remedy” as defined in California Code of Civil Procedure Section 1281.8 shall be heard and determined by the court, and (b) without limiting the generality of </w:t>
      </w:r>
      <w:r>
        <w:rPr>
          <w:rFonts w:ascii="Arial" w:cs="Arial" w:eastAsia="Arial" w:hAnsi="Arial"/>
          <w:sz w:val="17"/>
          <w:szCs w:val="17"/>
          <w:u w:val="single" w:color="auto"/>
          <w:color w:val="auto"/>
        </w:rPr>
        <w:t>Section 10.04</w:t>
      </w:r>
      <w:r>
        <w:rPr>
          <w:rFonts w:ascii="Arial" w:cs="Arial" w:eastAsia="Arial" w:hAnsi="Arial"/>
          <w:sz w:val="17"/>
          <w:szCs w:val="17"/>
          <w:color w:val="auto"/>
        </w:rPr>
        <w:t>, the Borrower shall be solely responsible to pay all fees and expenses of any referee appointed in such action or proceeding.</w:t>
      </w:r>
    </w:p>
    <w:p>
      <w:pPr>
        <w:spacing w:after="0" w:line="178" w:lineRule="exact"/>
        <w:rPr>
          <w:sz w:val="20"/>
          <w:szCs w:val="20"/>
          <w:color w:val="auto"/>
        </w:rPr>
      </w:pPr>
    </w:p>
    <w:p>
      <w:pPr>
        <w:ind w:right="340" w:firstLine="441"/>
        <w:spacing w:after="0" w:line="291"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that:</w:t>
      </w:r>
    </w:p>
    <w:p>
      <w:pPr>
        <w:ind w:firstLine="4"/>
        <w:spacing w:after="0" w:line="252" w:lineRule="auto"/>
        <w:tabs>
          <w:tab w:leader="none" w:pos="21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of the Arrangers and the Lenders is and has been acting solely as a principal and, except as expressly agreed in writing by the relevant parties, has not been, is not, and will not be acting as an advisor, agent or fiduciary for the Borrower or any of its Affiliates, or any other Person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20"/>
          </w:cols>
          <w:pgMar w:left="440" w:top="273" w:right="439" w:bottom="1440" w:gutter="0" w:footer="0" w:header="0"/>
        </w:sectPr>
      </w:pPr>
    </w:p>
    <w:bookmarkStart w:id="408" w:name="page409"/>
    <w:bookmarkEnd w:id="40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 neither the Administrative Agent nor any of the Arrangers or the Lenders has any obligation to the Borrower or any of its Affiliates with respect to the transactions contemplated hereby except those obligations expressly set forth herein and in the other Loan Documents; and (iii) the Administrative Agent and each of the Arrangers and the Lenders and their respective Affiliates may be engaged in a broad range of transactions that involve interests that differ from those of the Borrower and its Affiliates, and neither the Administrative Agent nor any of the Arrangers or the Lenders has any obligation to disclose any of such interests to the Borrower or its Affiliates. To the fullest extent permitted by law, the Borrower hereby waives and releases any claims that it may have against the Administrative Agent and each of the Arrangers and the Lenders with respect to any breach or alleged breach of agency or fiduciary duty in connection with any aspect of any transaction contemplated hereby.</w:t>
      </w:r>
    </w:p>
    <w:p>
      <w:pPr>
        <w:spacing w:after="0" w:line="178"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i w:val="1"/>
          <w:iCs w:val="1"/>
          <w:color w:val="auto"/>
        </w:rPr>
        <w:t>Electronic Execution of Assignments and Certain Other Documents</w:t>
      </w:r>
      <w:r>
        <w:rPr>
          <w:rFonts w:ascii="Arial" w:cs="Arial" w:eastAsia="Arial" w:hAnsi="Arial"/>
          <w:sz w:val="17"/>
          <w:szCs w:val="17"/>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i w:val="1"/>
          <w:iCs w:val="1"/>
          <w:color w:val="auto"/>
        </w:rPr>
        <w:t>USA PATRIOT Act</w:t>
      </w:r>
      <w:r>
        <w:rPr>
          <w:rFonts w:ascii="Arial" w:cs="Arial" w:eastAsia="Arial" w:hAnsi="Arial"/>
          <w:sz w:val="17"/>
          <w:szCs w:val="17"/>
          <w:color w:val="auto"/>
        </w:rPr>
        <w:t>. Each Lender and each L/C Issuer that is subject to the Act and the Administrative Agent (for itself and not on behalf of any Lender or L/C Issuer) hereby notifies the Borrower that pursuant to the requirements of the USA PATRIOT Act (Title III of Pub. L. 107-56 (signed into law October 26, 2001)) (the “</w:t>
      </w:r>
      <w:r>
        <w:rPr>
          <w:rFonts w:ascii="Arial" w:cs="Arial" w:eastAsia="Arial" w:hAnsi="Arial"/>
          <w:sz w:val="17"/>
          <w:szCs w:val="17"/>
          <w:b w:val="1"/>
          <w:bCs w:val="1"/>
          <w:color w:val="auto"/>
        </w:rPr>
        <w:t>Act</w:t>
      </w:r>
      <w:r>
        <w:rPr>
          <w:rFonts w:ascii="Arial" w:cs="Arial" w:eastAsia="Arial" w:hAnsi="Arial"/>
          <w:sz w:val="17"/>
          <w:szCs w:val="17"/>
          <w:color w:val="auto"/>
        </w:rPr>
        <w:t>”) and the Beneficial Ownership Regulation, it is required to obtain, verify and record information that identifies the Borrower and each Guarantor, which information includes the name, tax identification number and address of the Borrower and each Guarantor and other information that will allow such Lender or L/C Issuer or the Administrative Agent, as applicable, to identify the Borrower and each Guarantor in accordance with the Act and the Beneficial Ownership Regulation. The Borrower shall, and shall cause each Guarantor to, promptly following a request by the Administrative Agent or any Lender or L/C Issuer, provide all documentation and other information that the Administrative Agent or L/C Issuer or such Lender requests in order to comply with its ongoing obligations under applicable “know your customer” and anti-money laundering rules and regulations, including the Act and the Beneficial Ownership Regulation.</w:t>
      </w:r>
    </w:p>
    <w:p>
      <w:pPr>
        <w:spacing w:after="0" w:line="182"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i w:val="1"/>
          <w:iCs w:val="1"/>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b w:val="1"/>
          <w:bCs w:val="1"/>
          <w:color w:val="auto"/>
        </w:rPr>
        <w:t>Agreement Currency</w:t>
      </w:r>
      <w:r>
        <w:rPr>
          <w:rFonts w:ascii="Arial" w:cs="Arial" w:eastAsia="Arial" w:hAnsi="Arial"/>
          <w:sz w:val="16"/>
          <w:szCs w:val="16"/>
          <w:color w:val="auto"/>
        </w:rPr>
        <w:t>”), be discharged only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0"/>
          </w:cols>
          <w:pgMar w:left="440" w:top="273" w:right="439" w:bottom="1440" w:gutter="0" w:footer="0" w:header="0"/>
        </w:sectPr>
      </w:pPr>
    </w:p>
    <w:bookmarkStart w:id="409" w:name="page410"/>
    <w:bookmarkEnd w:id="409"/>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The provisions of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shall survive the payment in full of the Obligations, the termination of the Commitments and the termination of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i w:val="1"/>
          <w:iCs w:val="1"/>
          <w:color w:val="auto"/>
        </w:rPr>
        <w:t>Pari Passu Intercreditor Agreement</w:t>
      </w:r>
      <w:r>
        <w:rPr>
          <w:rFonts w:ascii="Arial" w:cs="Arial" w:eastAsia="Arial" w:hAnsi="Arial"/>
          <w:sz w:val="16"/>
          <w:szCs w:val="16"/>
          <w:color w:val="auto"/>
        </w:rPr>
        <w:t>. Notwithstanding anything to the contrary in this Agreement or in any other Loan Document:</w:t>
      </w:r>
    </w:p>
    <w:p>
      <w:pPr>
        <w:spacing w:after="0" w:line="46" w:lineRule="exact"/>
        <w:rPr>
          <w:sz w:val="20"/>
          <w:szCs w:val="20"/>
          <w:color w:val="auto"/>
        </w:rPr>
      </w:pPr>
    </w:p>
    <w:p>
      <w:pPr>
        <w:ind w:right="40" w:firstLine="4"/>
        <w:spacing w:after="0" w:line="269" w:lineRule="auto"/>
        <w:tabs>
          <w:tab w:leader="none" w:pos="215"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Liens granted to the Administrative Agent in favor of the Secured Parties pursuant to the Loan Documents and the exercise of any right related to any Collateral shall be subject, in each case, to the terms of the Pari Passu Intercreditor Agreement (if in effect), (ii) in the event of any conflict between the express terms and provisions of this Agreement or any other Loan Document, on the one hand, and of the Pari Passu Intercreditor Agreement, on the other hand, the terms and provisions of the Pari Passu Intercreditor Agreement shall control and (iii) each Lender and L/C Issuer (A) authorizes the Administrative Agent to execute the Pari Passu Intercreditor Agreement on behalf of such Lender and L/C Issuer, and (B) agrees to be bound by the terms of the Pari Passu Intercreditor Agreement and agrees that any action taken by the Administrative Agent under the Pari Passu Intercreditor Agreement shall be binding upon such Lender and L/C Issuer.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Acknowledgement and Consent to Bail-In of EEA Financial Institutions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Write-Down and Conversion Powers of an EEA Resolution Authority and agrees and consents to, and acknowledges and agrees to be bound by:</w:t>
      </w:r>
    </w:p>
    <w:p>
      <w:pPr>
        <w:spacing w:after="0" w:line="79" w:lineRule="exact"/>
        <w:rPr>
          <w:sz w:val="20"/>
          <w:szCs w:val="20"/>
          <w:color w:val="auto"/>
        </w:rPr>
      </w:pPr>
    </w:p>
    <w:p>
      <w:pPr>
        <w:ind w:right="220" w:firstLine="996"/>
        <w:spacing w:after="0" w:line="277" w:lineRule="auto"/>
        <w:tabs>
          <w:tab w:leader="none" w:pos="1237"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1260" w:hanging="264"/>
        <w:spacing w:after="0"/>
        <w:tabs>
          <w:tab w:leader="none" w:pos="12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right="40" w:firstLine="1436"/>
        <w:spacing w:after="0" w:line="286" w:lineRule="auto"/>
        <w:tabs>
          <w:tab w:leader="none" w:pos="1698" w:val="left"/>
        </w:tabs>
        <w:numPr>
          <w:ilvl w:val="1"/>
          <w:numId w:val="482"/>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20"/>
          </w:cols>
          <w:pgMar w:left="440" w:top="274" w:right="439" w:bottom="1440" w:gutter="0" w:footer="0" w:header="0"/>
        </w:sectPr>
      </w:pPr>
    </w:p>
    <w:bookmarkStart w:id="410" w:name="page411"/>
    <w:bookmarkEnd w:id="410"/>
    <w:p>
      <w:pPr>
        <w:ind w:right="320" w:firstLine="1436"/>
        <w:spacing w:after="0" w:line="277" w:lineRule="auto"/>
        <w:tabs>
          <w:tab w:leader="none" w:pos="1748" w:val="left"/>
        </w:tabs>
        <w:numPr>
          <w:ilvl w:val="0"/>
          <w:numId w:val="4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10.23 </w:t>
      </w:r>
      <w:r>
        <w:rPr>
          <w:rFonts w:ascii="Arial" w:cs="Arial" w:eastAsia="Arial" w:hAnsi="Arial"/>
          <w:sz w:val="16"/>
          <w:szCs w:val="16"/>
          <w:i w:val="1"/>
          <w:iCs w:val="1"/>
          <w:color w:val="auto"/>
        </w:rPr>
        <w:t>Acknowledgement Regarding Any Supported QFCs</w:t>
      </w:r>
      <w:r>
        <w:rPr>
          <w:rFonts w:ascii="Arial" w:cs="Arial" w:eastAsia="Arial" w:hAnsi="Arial"/>
          <w:sz w:val="16"/>
          <w:szCs w:val="16"/>
          <w:color w:val="auto"/>
        </w:rPr>
        <w:t>. To the extent that the Loan Documents provide support, through a guarantee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otherwise, for Swap Contracts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applicable notwithstanding that the Loan Documents and any Supported QFC may in fact be stated to be governed by the laws of the State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and/or of the United States or any other state of the United States):</w:t>
      </w:r>
    </w:p>
    <w:p>
      <w:pPr>
        <w:spacing w:after="0" w:line="99" w:lineRule="exact"/>
        <w:rPr>
          <w:sz w:val="20"/>
          <w:szCs w:val="20"/>
          <w:color w:val="auto"/>
        </w:rPr>
      </w:pPr>
    </w:p>
    <w:p>
      <w:pPr>
        <w:ind w:firstLine="996"/>
        <w:spacing w:after="0" w:line="288" w:lineRule="auto"/>
        <w:tabs>
          <w:tab w:leader="none" w:pos="1237"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and</w:t>
      </w:r>
    </w:p>
    <w:p>
      <w:pPr>
        <w:spacing w:after="0" w:line="168" w:lineRule="exact"/>
        <w:rPr>
          <w:rFonts w:ascii="Arial" w:cs="Arial" w:eastAsia="Arial" w:hAnsi="Arial"/>
          <w:sz w:val="16"/>
          <w:szCs w:val="16"/>
          <w:color w:val="auto"/>
        </w:rPr>
      </w:pPr>
    </w:p>
    <w:p>
      <w:pPr>
        <w:ind w:left="1260" w:hanging="264"/>
        <w:spacing w:after="0"/>
        <w:tabs>
          <w:tab w:leader="none" w:pos="12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10.23</w:t>
      </w:r>
      <w:r>
        <w:rPr>
          <w:rFonts w:ascii="Arial" w:cs="Arial" w:eastAsia="Arial" w:hAnsi="Arial"/>
          <w:sz w:val="18"/>
          <w:szCs w:val="18"/>
          <w:color w:val="auto"/>
        </w:rPr>
        <w:t>, the following terms have the following meanings:</w:t>
      </w:r>
    </w:p>
    <w:p>
      <w:pPr>
        <w:spacing w:after="0" w:line="113"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240" w:hanging="244"/>
        <w:spacing w:after="0"/>
        <w:tabs>
          <w:tab w:leader="none" w:pos="12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5380" w:right="2380" w:hanging="4384"/>
        <w:spacing w:after="0" w:line="449" w:lineRule="auto"/>
        <w:tabs>
          <w:tab w:leader="none" w:pos="125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 189</w:t>
      </w:r>
    </w:p>
    <w:p>
      <w:pPr>
        <w:sectPr>
          <w:pgSz w:w="11900" w:h="16838" w:orient="portrait"/>
          <w:cols w:equalWidth="0" w:num="1">
            <w:col w:w="11000"/>
          </w:cols>
          <w:pgMar w:left="440" w:top="274" w:right="459" w:bottom="1440" w:gutter="0" w:footer="0" w:header="0"/>
        </w:sectPr>
      </w:pPr>
    </w:p>
    <w:bookmarkStart w:id="411" w:name="page412"/>
    <w:bookmarkEnd w:id="41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 “covered FSI” as that term is defined in, and interpreted in accordance with, 12 C.F.R. § 382.2(b).</w:t>
      </w:r>
    </w:p>
    <w:p>
      <w:pPr>
        <w:spacing w:after="0" w:line="221"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820"/>
          </w:cols>
          <w:pgMar w:left="440" w:top="274" w:right="639" w:bottom="1440" w:gutter="0" w:footer="0" w:header="0"/>
        </w:sectPr>
      </w:pPr>
    </w:p>
    <w:bookmarkStart w:id="412" w:name="page413"/>
    <w:bookmarkEnd w:id="4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BELLRING BRANDS,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Paul A. Rode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-130810</wp:posOffset>
            </wp:positionV>
            <wp:extent cx="25984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9579"/>
          </w:cols>
          <w:pgMar w:left="880" w:top="273" w:right="1440" w:bottom="1440" w:gutter="0" w:footer="0" w:header="0"/>
        </w:sectPr>
      </w:pPr>
    </w:p>
    <w:bookmarkStart w:id="413" w:name="page414"/>
    <w:bookmarkEnd w:id="41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 an L/C Issuer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Doreen Barr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Komal Shah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900"/>
          </w:cols>
          <w:pgMar w:left="1440" w:top="269" w:right="559" w:bottom="1440" w:gutter="0" w:footer="0" w:header="0"/>
        </w:sectPr>
      </w:pPr>
    </w:p>
    <w:bookmarkStart w:id="414" w:name="page415"/>
    <w:bookmarkEnd w:id="41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w:t>
      </w:r>
      <w:r>
        <w:rPr>
          <w:rFonts w:ascii="Arial" w:cs="Arial" w:eastAsia="Arial" w:hAnsi="Arial"/>
          <w:sz w:val="17"/>
          <w:szCs w:val="17"/>
          <w:color w:val="auto"/>
        </w:rPr>
        <w:t>., as an L/C Issuer and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H. Strickert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H. Strickert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480"/>
          </w:cols>
          <w:pgMar w:left="1440" w:top="270" w:right="979" w:bottom="1440" w:gutter="0" w:footer="0" w:header="0"/>
        </w:sectPr>
      </w:pPr>
    </w:p>
    <w:bookmarkStart w:id="415" w:name="page416"/>
    <w:bookmarkEnd w:id="415"/>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6"/>
          <w:szCs w:val="16"/>
          <w:color w:val="auto"/>
        </w:rPr>
        <w:t>, 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M. Aitkin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M.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0" w:right="1440" w:bottom="1440" w:gutter="0" w:footer="0" w:header="0"/>
        </w:sectPr>
      </w:pPr>
    </w:p>
    <w:bookmarkStart w:id="416" w:name="page417"/>
    <w:bookmarkEnd w:id="41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Moore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417" w:name="page418"/>
    <w:bookmarkEnd w:id="41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M. Menning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M. Menning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120"/>
          </w:cols>
          <w:pgMar w:left="1440" w:top="269" w:right="1339" w:bottom="1440" w:gutter="0" w:footer="0" w:header="0"/>
        </w:sectPr>
      </w:pPr>
    </w:p>
    <w:bookmarkStart w:id="418" w:name="page419"/>
    <w:bookmarkEnd w:id="418"/>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Brendon Korb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Brendan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260"/>
          </w:cols>
          <w:pgMar w:left="1440" w:top="270" w:right="1199" w:bottom="1440" w:gutter="0" w:footer="0" w:header="0"/>
        </w:sectPr>
      </w:pPr>
    </w:p>
    <w:bookmarkStart w:id="419" w:name="page420"/>
    <w:bookmarkEnd w:id="419"/>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w:t>
      </w:r>
      <w:r>
        <w:rPr>
          <w:rFonts w:ascii="Arial" w:cs="Arial" w:eastAsia="Arial" w:hAnsi="Arial"/>
          <w:sz w:val="17"/>
          <w:szCs w:val="17"/>
          <w:color w:val="auto"/>
        </w:rPr>
        <w:t>, as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Ethan Plater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Ethan Plater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800"/>
          </w:cols>
          <w:pgMar w:left="1440" w:top="270" w:right="659" w:bottom="1440" w:gutter="0" w:footer="0" w:header="0"/>
        </w:sectPr>
      </w:pPr>
    </w:p>
    <w:bookmarkStart w:id="420" w:name="page421"/>
    <w:bookmarkEnd w:id="42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BANK, N.A.</w:t>
      </w:r>
      <w:r>
        <w:rPr>
          <w:rFonts w:ascii="Arial" w:cs="Arial" w:eastAsia="Arial" w:hAnsi="Arial"/>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Joan Murphy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019"/>
          </w:cols>
          <w:pgMar w:left="1440" w:top="269" w:right="1440" w:bottom="1440" w:gutter="0" w:footer="0" w:header="0"/>
        </w:sectPr>
      </w:pPr>
    </w:p>
    <w:bookmarkStart w:id="421" w:name="page422"/>
    <w:bookmarkEnd w:id="42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COÖPERATIEVE RABOBANK U.A., NEW YORK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Bradley A. Pierce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Bradley A.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Shane Koonce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Shane Koonce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660"/>
          </w:cols>
          <w:pgMar w:left="1440" w:top="270" w:right="799" w:bottom="1440" w:gutter="0" w:footer="0" w:header="0"/>
        </w:sectPr>
      </w:pPr>
    </w:p>
    <w:bookmarkStart w:id="422" w:name="page423"/>
    <w:bookmarkEnd w:id="42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NOMURA CORPORATE FUNDING AMERICAS,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Garrett Carpenter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Garrett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580"/>
          </w:cols>
          <w:pgMar w:left="1440" w:top="269" w:right="879" w:bottom="1440" w:gutter="0" w:footer="0" w:header="0"/>
        </w:sectPr>
      </w:pPr>
    </w:p>
    <w:bookmarkStart w:id="423" w:name="page424"/>
    <w:bookmarkEnd w:id="423"/>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SUNTRUST BANK, </w:t>
      </w:r>
      <w:r>
        <w:rPr>
          <w:rFonts w:ascii="Arial" w:cs="Arial" w:eastAsia="Arial" w:hAnsi="Arial"/>
          <w:sz w:val="16"/>
          <w:szCs w:val="16"/>
          <w:color w:val="auto"/>
        </w:rPr>
        <w:t>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Tesha Winslow</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70" w:right="1440" w:bottom="1440" w:gutter="0" w:footer="0" w:header="0"/>
        </w:sectPr>
      </w:pPr>
    </w:p>
    <w:bookmarkStart w:id="424" w:name="page425"/>
    <w:bookmarkEnd w:id="42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UBS AG, STAMFORD BRANCH, </w:t>
      </w:r>
      <w:r>
        <w:rPr>
          <w:rFonts w:ascii="Arial" w:cs="Arial" w:eastAsia="Arial" w:hAnsi="Arial"/>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Darlene Arias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Kenneth Chin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Kenneth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140"/>
          </w:cols>
          <w:pgMar w:left="1440" w:top="270" w:right="1319" w:bottom="1440" w:gutter="0" w:footer="0" w:header="0"/>
        </w:sectPr>
      </w:pPr>
    </w:p>
    <w:bookmarkStart w:id="425" w:name="page426"/>
    <w:bookmarkEnd w:id="42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Holm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5984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900"/>
          </w:cols>
          <w:pgMar w:left="1440" w:top="269" w:right="55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1115060" cy="7632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15060" cy="76327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171450</wp:posOffset>
            </wp:positionV>
            <wp:extent cx="1346200" cy="660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Post Holdings and BellRing Brands Announce Closing of BellRing’s Initial Public</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Offering and Full Exercise of Underwriters’ Option to Purchase Additional Shares</w:t>
      </w:r>
    </w:p>
    <w:p>
      <w:pPr>
        <w:spacing w:after="0" w:line="20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St. Louis – October 21, 2019 </w:t>
      </w:r>
      <w:r>
        <w:rPr>
          <w:rFonts w:ascii="Arial" w:cs="Arial" w:eastAsia="Arial" w:hAnsi="Arial"/>
          <w:sz w:val="18"/>
          <w:szCs w:val="18"/>
          <w:color w:val="auto"/>
        </w:rPr>
        <w:t>- Post Holdings, Inc. (NYSE:POST) (“Post”) and BellRing Brands, Inc. (NYSE:BRBR) (“BellRing”)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BellRing’s previously announced initial public offering of 39,428,571 shares of BellRing’s Class A common stock at a price to the public of $14.00 per share, including the exercise in full by the underwriters of their option to purchase 5,142,857 additional shares. Upon completion of the offering, Post owns approximately 71% of BellRing. BellRing’s Class A common stock began trading on October 17, 2019 on the New York Stock Exchange under the symbol “BRBR”.</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Morgan Stanley &amp; Co. LLC, Citigroup, J.P. Morgan Securities LLC and Goldman Sachs &amp; Co. LLC acted as the lead bookrunning managers for the offering. BofA Merrill Lynch, Barclays Capital Inc., BMO Capital Markets Corp., Credit Suisse Securities (USA) LLC, Evercore Group L.L.C., Stifel, Nicolaus &amp; Company, Incorporated, SunTrust Robinson Humphrey, Inc. and Wells Fargo Securities, LLC acted as bookrunning managers. HSBC Securities (USA) Inc., Nomura Securities International, Inc., PNC Capital Markets LLC, Rabo Securities USA, Inc. and UBS Securities LLC acted as co-managers for the offering.</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offering was made only by means of a prospectus. A copy of the final prospectus may be obtained from Morgan Stanley &amp; Co. LLC, Attention: Prospectus Department, 180 Varick Street, Second Floor, New York, New York 10014; Citigroup Global Markets Inc., c/o Broadridge Financial Solutions, 1155 Long Island Ave., Edgewood, NY 11717, or by telephone at (800) 831-9146; J.P. Morgan Securities LLC, c/o Broadridge Financial Solutions, 1155 Long Island Avenue, Edgewood, NY 11717, or by telephone at (866) 803-9204, or by email at prospectus-eq_fi@jpmchase.com; or Goldman Sachs &amp; Co. LLC, Attention: Prospectus Department, 200 West Street, New York, NY 10282, or by telephone at (866) 471-2526, or by email at prospectus-ny@ny.email.gs.com.</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registration statement relating to these securities has been filed with, and declared effective by, the Securities and Exchange Commission. This press release does not constitute an offer to sell or the solicitation of an offer to buy any security and shall not constitute an offer, solicitation or sale in any jurisdiction in which such offering, solicitation or sale would be unlawful prior to registration or qualification under the securities laws of any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Post Holdings, Inc., headquartered in St. Louis, Missouri, is a consumer packaged goods holding company operating in the center-of-the-store, refrigerated, foodservice, food ingredient and convenient nutrition food categories. Through its Post Consumer Brands business, Post is a leader in the North American ready-to-eat cereal category offering a broad portfolio including recognized brands such as Honey Bunches of Oats®, Pebbles</w:t>
      </w:r>
      <w:r>
        <w:rPr>
          <w:rFonts w:ascii="Arial" w:cs="Arial" w:eastAsia="Arial" w:hAnsi="Arial"/>
          <w:sz w:val="14"/>
          <w:szCs w:val="14"/>
          <w:color w:val="auto"/>
        </w:rPr>
        <w:t>™</w:t>
      </w:r>
      <w:r>
        <w:rPr>
          <w:rFonts w:ascii="Arial" w:cs="Arial" w:eastAsia="Arial" w:hAnsi="Arial"/>
          <w:sz w:val="17"/>
          <w:szCs w:val="17"/>
          <w:color w:val="auto"/>
        </w:rPr>
        <w:t>, Great Grains® and Malt-O-Meal® bag cereal as well as private label products. Post also is a leader in the United Kingdom ready-to-eat cereal category with the iconic Weetabix® brand. As a leader in refrigerated foods, Post delivers innovative, value-added egg and refrigerated potato products to the foodservice channel and the retail refrigerated side dish category, offering side dishes and egg, sausage and cheese products through the Bob Evans®, Simply Potatoes®, All Whites®, Better’n Eggs® and Crystal Farms® brands. Post’s majority owned BellRing Brands business is a holding company operating in the global convenient nutrition category through its primary brands of Premier Protein®, PowerBar® and Dymatize®. Post participates in the private brand food category through its investment with Thomas H. Lee Partners in 8th Avenue Food &amp; Provisions, a leading, private brand centric, consumer products holding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BellRing Brands, Inc.</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BellRing Brands, Inc. is a holding company operating in the global convenient nutrition category. Its primary brands, Premier Protein®, Dymatize® and PowerBar®, comprise all major product forms, including ready-to-drink protein shakes, powders and nutrition bars, and are distributed across channels including club, food, drug, mass, eCommerce, convenience and specialty.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lisa.hanly@postholdings.com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B13C1"/>
    <w:multiLevelType w:val="hybridMultilevel"/>
    <w:lvl w:ilvl="0">
      <w:lvlJc w:val="left"/>
      <w:lvlText w:val="☐"/>
      <w:numFmt w:val="bullet"/>
      <w:start w:val="1"/>
    </w:lvl>
  </w:abstractNum>
  <w:abstractNum w:abstractNumId="1">
    <w:nsid w:val="271210C7"/>
    <w:multiLevelType w:val="hybridMultilevel"/>
    <w:lvl w:ilvl="0">
      <w:lvlJc w:val="left"/>
      <w:lvlText w:val="•"/>
      <w:numFmt w:val="bullet"/>
      <w:start w:val="1"/>
    </w:lvl>
  </w:abstractNum>
  <w:abstractNum w:abstractNumId="2">
    <w:nsid w:val="217B22E4"/>
    <w:multiLevelType w:val="hybridMultilevel"/>
    <w:lvl w:ilvl="0">
      <w:lvlJc w:val="left"/>
      <w:lvlText w:val="(%1)"/>
      <w:numFmt w:val="lowerRoman"/>
      <w:start w:val="3"/>
    </w:lvl>
  </w:abstractNum>
  <w:abstractNum w:abstractNumId="3">
    <w:nsid w:val="53E31A24"/>
    <w:multiLevelType w:val="hybridMultilevel"/>
    <w:lvl w:ilvl="0">
      <w:lvlJc w:val="left"/>
      <w:lvlText w:val="(%1)"/>
      <w:numFmt w:val="lowerLetter"/>
      <w:start w:val="2"/>
    </w:lvl>
  </w:abstractNum>
  <w:abstractNum w:abstractNumId="4">
    <w:nsid w:val="6DC45E83"/>
    <w:multiLevelType w:val="hybridMultilevel"/>
    <w:lvl w:ilvl="0">
      <w:lvlJc w:val="left"/>
      <w:lvlText w:val="•"/>
      <w:numFmt w:val="bullet"/>
      <w:start w:val="1"/>
    </w:lvl>
  </w:abstractNum>
  <w:abstractNum w:abstractNumId="5">
    <w:nsid w:val="17304A67"/>
    <w:multiLevelType w:val="hybridMultilevel"/>
    <w:lvl w:ilvl="0">
      <w:lvlJc w:val="left"/>
      <w:lvlText w:val="•"/>
      <w:numFmt w:val="bullet"/>
      <w:start w:val="1"/>
    </w:lvl>
  </w:abstractNum>
  <w:abstractNum w:abstractNumId="6">
    <w:nsid w:val="2BB180D8"/>
    <w:multiLevelType w:val="hybridMultilevel"/>
    <w:lvl w:ilvl="0">
      <w:lvlJc w:val="left"/>
      <w:lvlText w:val="•"/>
      <w:numFmt w:val="bullet"/>
      <w:start w:val="1"/>
    </w:lvl>
  </w:abstractNum>
  <w:abstractNum w:abstractNumId="7">
    <w:nsid w:val="556B69ED"/>
    <w:multiLevelType w:val="hybridMultilevel"/>
    <w:lvl w:ilvl="0">
      <w:lvlJc w:val="left"/>
      <w:lvlText w:val="%1."/>
      <w:numFmt w:val="decimal"/>
      <w:start w:val="1"/>
    </w:lvl>
  </w:abstractNum>
  <w:abstractNum w:abstractNumId="8">
    <w:nsid w:val="70836196"/>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9">
    <w:nsid w:val="539F7F12"/>
    <w:multiLevelType w:val="hybridMultilevel"/>
    <w:lvl w:ilvl="0">
      <w:lvlJc w:val="left"/>
      <w:lvlText w:val="%1"/>
      <w:numFmt w:val="lowerRoman"/>
      <w:start w:val="1"/>
    </w:lvl>
    <w:lvl w:ilvl="1">
      <w:lvlJc w:val="left"/>
      <w:lvlText w:val="(%2)"/>
      <w:numFmt w:val="decimal"/>
      <w:start w:val="3"/>
    </w:lvl>
  </w:abstractNum>
  <w:abstractNum w:abstractNumId="10">
    <w:nsid w:val="2817E7EC"/>
    <w:multiLevelType w:val="hybridMultilevel"/>
    <w:lvl w:ilvl="0">
      <w:lvlJc w:val="left"/>
      <w:lvlText w:val="(%1)"/>
      <w:numFmt w:val="lowerRoman"/>
      <w:start w:val="2"/>
    </w:lvl>
    <w:lvl w:ilvl="1">
      <w:lvlJc w:val="left"/>
      <w:lvlText w:val="(%2)"/>
      <w:numFmt w:val="decimal"/>
      <w:start w:val="1"/>
    </w:lvl>
  </w:abstractNum>
  <w:abstractNum w:abstractNumId="11">
    <w:nsid w:val="71482545"/>
    <w:multiLevelType w:val="hybridMultilevel"/>
    <w:lvl w:ilvl="0">
      <w:lvlJc w:val="left"/>
      <w:lvlText w:val="(%1)"/>
      <w:numFmt w:val="lowerRoman"/>
      <w:start w:val="4"/>
    </w:lvl>
  </w:abstractNum>
  <w:abstractNum w:abstractNumId="12">
    <w:nsid w:val="17D78639"/>
    <w:multiLevelType w:val="hybridMultilevel"/>
    <w:lvl w:ilvl="0">
      <w:lvlJc w:val="left"/>
      <w:lvlText w:val="(%1)"/>
      <w:numFmt w:val="lowerRoman"/>
      <w:start w:val="6"/>
    </w:lvl>
    <w:lvl w:ilvl="1">
      <w:lvlJc w:val="left"/>
      <w:lvlText w:val="%2."/>
      <w:numFmt w:val="decimal"/>
      <w:start w:val="6"/>
    </w:lvl>
  </w:abstractNum>
  <w:abstractNum w:abstractNumId="13">
    <w:nsid w:val="141D2302"/>
    <w:multiLevelType w:val="hybridMultilevel"/>
    <w:lvl w:ilvl="0">
      <w:lvlJc w:val="left"/>
      <w:lvlText w:val="%1."/>
      <w:numFmt w:val="decimal"/>
      <w:start w:val="7"/>
    </w:lvl>
  </w:abstractNum>
  <w:abstractNum w:abstractNumId="14">
    <w:nsid w:val="407168D8"/>
    <w:multiLevelType w:val="hybridMultilevel"/>
    <w:lvl w:ilvl="0">
      <w:lvlJc w:val="left"/>
      <w:lvlText w:val="(%1)"/>
      <w:numFmt w:val="lowerRoman"/>
      <w:start w:val="2"/>
    </w:lvl>
  </w:abstractNum>
  <w:abstractNum w:abstractNumId="15">
    <w:nsid w:val="6A1B45E5"/>
    <w:multiLevelType w:val="hybridMultilevel"/>
    <w:lvl w:ilvl="0">
      <w:lvlJc w:val="left"/>
      <w:lvlText w:val="%1."/>
      <w:numFmt w:val="decimal"/>
      <w:start w:val="8"/>
    </w:lvl>
  </w:abstractNum>
  <w:abstractNum w:abstractNumId="16">
    <w:nsid w:val="567BD50A"/>
    <w:multiLevelType w:val="hybridMultilevel"/>
    <w:lvl w:ilvl="0">
      <w:lvlJc w:val="left"/>
      <w:lvlText w:val="(%1)"/>
      <w:numFmt w:val="lowerRoman"/>
      <w:start w:val="1"/>
    </w:lvl>
  </w:abstractNum>
  <w:abstractNum w:abstractNumId="17">
    <w:nsid w:val="73BBD7F8"/>
    <w:multiLevelType w:val="hybridMultilevel"/>
    <w:lvl w:ilvl="0">
      <w:lvlJc w:val="left"/>
      <w:lvlText w:val="(%1)"/>
      <w:numFmt w:val="lowerRoman"/>
      <w:start w:val="1"/>
    </w:lvl>
  </w:abstractNum>
  <w:abstractNum w:abstractNumId="18">
    <w:nsid w:val="1876589D"/>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
    <w:nsid w:val="327FAC77"/>
    <w:multiLevelType w:val="hybridMultilevel"/>
    <w:lvl w:ilvl="0">
      <w:lvlJc w:val="left"/>
      <w:lvlText w:val="(%1)"/>
      <w:numFmt w:val="lowerLetter"/>
      <w:start w:val="1"/>
    </w:lvl>
    <w:lvl w:ilvl="1">
      <w:lvlJc w:val="left"/>
      <w:lvlText w:val="(%2)"/>
      <w:numFmt w:val="lowerLetter"/>
      <w:start w:val="60"/>
    </w:lvl>
    <w:lvl w:ilvl="2">
      <w:lvlJc w:val="left"/>
      <w:lvlText w:val="(%3)"/>
      <w:numFmt w:val="decimal"/>
      <w:start w:val="2"/>
    </w:lvl>
  </w:abstractNum>
  <w:abstractNum w:abstractNumId="20">
    <w:nsid w:val="5A606509"/>
    <w:multiLevelType w:val="hybridMultilevel"/>
    <w:lvl w:ilvl="0">
      <w:lvlJc w:val="left"/>
      <w:lvlText w:val="(%1)"/>
      <w:numFmt w:val="lowerRoman"/>
      <w:start w:val="4"/>
    </w:lvl>
    <w:lvl w:ilvl="1">
      <w:lvlJc w:val="left"/>
      <w:lvlText w:val="(%2)"/>
      <w:numFmt w:val="decimal"/>
      <w:start w:val="1"/>
    </w:lvl>
  </w:abstractNum>
  <w:abstractNum w:abstractNumId="21">
    <w:nsid w:val="6F38E6D1"/>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22">
    <w:nsid w:val="46111BA5"/>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23">
    <w:nsid w:val="5E963896"/>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24">
    <w:nsid w:val="775BA7C1"/>
    <w:multiLevelType w:val="hybridMultilevel"/>
    <w:lvl w:ilvl="0">
      <w:lvlJc w:val="left"/>
      <w:lvlText w:val="(%1)"/>
      <w:numFmt w:val="lowerRoman"/>
      <w:start w:val="1"/>
    </w:lvl>
  </w:abstractNum>
  <w:abstractNum w:abstractNumId="25">
    <w:nsid w:val="1DD6D6F4"/>
    <w:multiLevelType w:val="hybridMultilevel"/>
    <w:lvl w:ilvl="0">
      <w:lvlJc w:val="left"/>
      <w:lvlText w:val="%1"/>
      <w:numFmt w:val="lowerLetter"/>
      <w:start w:val="1"/>
    </w:lvl>
    <w:lvl w:ilvl="1">
      <w:lvlJc w:val="left"/>
      <w:lvlText w:val="(%2)"/>
      <w:numFmt w:val="lowerLetter"/>
      <w:start w:val="61"/>
    </w:lvl>
  </w:abstractNum>
  <w:abstractNum w:abstractNumId="26">
    <w:nsid w:val="769A091F"/>
    <w:multiLevelType w:val="hybridMultilevel"/>
    <w:lvl w:ilvl="0">
      <w:lvlJc w:val="left"/>
      <w:lvlText w:val="(%1)"/>
      <w:numFmt w:val="lowerLetter"/>
      <w:start w:val="2"/>
    </w:lvl>
    <w:lvl w:ilvl="1">
      <w:lvlJc w:val="left"/>
      <w:lvlText w:val="%2"/>
      <w:numFmt w:val="lowerLetter"/>
      <w:start w:val="1"/>
    </w:lvl>
  </w:abstractNum>
  <w:abstractNum w:abstractNumId="27">
    <w:nsid w:val="4695AE95"/>
    <w:multiLevelType w:val="hybridMultilevel"/>
    <w:lvl w:ilvl="0">
      <w:lvlJc w:val="left"/>
      <w:lvlText w:val="(%1)"/>
      <w:numFmt w:val="lowerRoman"/>
      <w:start w:val="4"/>
    </w:lvl>
  </w:abstractNum>
  <w:abstractNum w:abstractNumId="28">
    <w:nsid w:val="777A4EAA"/>
    <w:multiLevelType w:val="hybridMultilevel"/>
    <w:lvl w:ilvl="0">
      <w:lvlJc w:val="left"/>
      <w:lvlText w:val="(%1)"/>
      <w:numFmt w:val="lowerRoman"/>
      <w:start w:val="1"/>
    </w:lvl>
  </w:abstractNum>
  <w:abstractNum w:abstractNumId="29">
    <w:nsid w:val="3F48B982"/>
    <w:multiLevelType w:val="hybridMultilevel"/>
    <w:lvl w:ilvl="0">
      <w:lvlJc w:val="left"/>
      <w:lvlText w:val="%1"/>
      <w:numFmt w:val="decimal"/>
      <w:start w:val="1"/>
    </w:lvl>
    <w:lvl w:ilvl="1">
      <w:lvlJc w:val="left"/>
      <w:lvlText w:val="(%2)"/>
      <w:numFmt w:val="lowerRoman"/>
      <w:start w:val="2"/>
    </w:lvl>
  </w:abstractNum>
  <w:abstractNum w:abstractNumId="30">
    <w:nsid w:val="46BA8FCA"/>
    <w:multiLevelType w:val="hybridMultilevel"/>
    <w:lvl w:ilvl="0">
      <w:lvlJc w:val="left"/>
      <w:lvlText w:val="%1."/>
      <w:numFmt w:val="decimal"/>
      <w:start w:val="10"/>
    </w:lvl>
    <w:lvl w:ilvl="1">
      <w:lvlJc w:val="left"/>
      <w:lvlText w:val="%2"/>
      <w:numFmt w:val="lowerRoman"/>
      <w:start w:val="1"/>
    </w:lvl>
  </w:abstractNum>
  <w:abstractNum w:abstractNumId="31">
    <w:nsid w:val="7835626C"/>
    <w:multiLevelType w:val="hybridMultilevel"/>
    <w:lvl w:ilvl="0">
      <w:lvlJc w:val="left"/>
      <w:lvlText w:val="(%1)"/>
      <w:numFmt w:val="lowerRoman"/>
      <w:start w:val="1"/>
    </w:lvl>
  </w:abstractNum>
  <w:abstractNum w:abstractNumId="32">
    <w:nsid w:val="665ACA49"/>
    <w:multiLevelType w:val="hybridMultilevel"/>
    <w:lvl w:ilvl="0">
      <w:lvlJc w:val="left"/>
      <w:lvlText w:val="(%1)"/>
      <w:numFmt w:val="lowerRoman"/>
      <w:start w:val="1"/>
    </w:lvl>
  </w:abstractNum>
  <w:abstractNum w:abstractNumId="33">
    <w:nsid w:val="6835B2AE"/>
    <w:multiLevelType w:val="hybridMultilevel"/>
    <w:lvl w:ilvl="0">
      <w:lvlJc w:val="left"/>
      <w:lvlText w:val="%1."/>
      <w:numFmt w:val="decimal"/>
      <w:start w:val="11"/>
    </w:lvl>
  </w:abstractNum>
  <w:abstractNum w:abstractNumId="34">
    <w:nsid w:val="4C187C90"/>
    <w:multiLevelType w:val="hybridMultilevel"/>
    <w:lvl w:ilvl="0">
      <w:lvlJc w:val="left"/>
      <w:lvlText w:val="%1."/>
      <w:numFmt w:val="decimal"/>
      <w:start w:val="13"/>
    </w:lvl>
  </w:abstractNum>
  <w:abstractNum w:abstractNumId="35">
    <w:nsid w:val="541F28CD"/>
    <w:multiLevelType w:val="hybridMultilevel"/>
    <w:lvl w:ilvl="0">
      <w:lvlJc w:val="left"/>
      <w:lvlText w:val="(%1)"/>
      <w:numFmt w:val="lowerLetter"/>
      <w:start w:val="2"/>
    </w:lvl>
  </w:abstractNum>
  <w:abstractNum w:abstractNumId="36">
    <w:nsid w:val="7F65FD16"/>
    <w:multiLevelType w:val="hybridMultilevel"/>
    <w:lvl w:ilvl="0">
      <w:lvlJc w:val="left"/>
      <w:lvlText w:val="(%1)"/>
      <w:numFmt w:val="lowerLetter"/>
      <w:start w:val="1"/>
    </w:lvl>
  </w:abstractNum>
  <w:abstractNum w:abstractNumId="37">
    <w:nsid w:val="77C9FD68"/>
    <w:multiLevelType w:val="hybridMultilevel"/>
    <w:lvl w:ilvl="0">
      <w:lvlJc w:val="left"/>
      <w:lvlText w:val="(%1)"/>
      <w:numFmt w:val="lowerLetter"/>
      <w:start w:val="2"/>
    </w:lvl>
  </w:abstractNum>
  <w:abstractNum w:abstractNumId="38">
    <w:nsid w:val="298A92BA"/>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39">
    <w:nsid w:val="6FE95EAC"/>
    <w:multiLevelType w:val="hybridMultilevel"/>
    <w:lvl w:ilvl="0">
      <w:lvlJc w:val="left"/>
      <w:lvlText w:val="(%1)"/>
      <w:numFmt w:val="lowerLetter"/>
      <w:start w:val="2"/>
    </w:lvl>
  </w:abstractNum>
  <w:abstractNum w:abstractNumId="40">
    <w:nsid w:val="4B697C7A"/>
    <w:multiLevelType w:val="hybridMultilevel"/>
    <w:lvl w:ilvl="0">
      <w:lvlJc w:val="left"/>
      <w:lvlText w:val="(%1)"/>
      <w:numFmt w:val="lowerLetter"/>
      <w:start w:val="3"/>
    </w:lvl>
  </w:abstractNum>
  <w:abstractNum w:abstractNumId="41">
    <w:nsid w:val="51A27AA6"/>
    <w:multiLevelType w:val="hybridMultilevel"/>
    <w:lvl w:ilvl="0">
      <w:lvlJc w:val="left"/>
      <w:lvlText w:val="(%1)"/>
      <w:numFmt w:val="lowerLetter"/>
      <w:start w:val="2"/>
    </w:lvl>
  </w:abstractNum>
  <w:abstractNum w:abstractNumId="42">
    <w:nsid w:val="613183F2"/>
    <w:multiLevelType w:val="hybridMultilevel"/>
    <w:lvl w:ilvl="0">
      <w:lvlJc w:val="left"/>
      <w:lvlText w:val="%1"/>
      <w:numFmt w:val="lowerLetter"/>
      <w:start w:val="1"/>
    </w:lvl>
    <w:lvl w:ilvl="1">
      <w:lvlJc w:val="left"/>
      <w:lvlText w:val="(%2)"/>
      <w:numFmt w:val="lowerLetter"/>
      <w:start w:val="4"/>
    </w:lvl>
  </w:abstractNum>
  <w:abstractNum w:abstractNumId="43">
    <w:nsid w:val="634102B4"/>
    <w:multiLevelType w:val="hybridMultilevel"/>
    <w:lvl w:ilvl="0">
      <w:lvlJc w:val="left"/>
      <w:lvlText w:val="(%1)"/>
      <w:numFmt w:val="lowerLetter"/>
      <w:start w:val="9"/>
    </w:lvl>
    <w:lvl w:ilvl="1">
      <w:lvlJc w:val="left"/>
      <w:lvlText w:val="%2"/>
      <w:numFmt w:val="lowerLetter"/>
      <w:start w:val="1"/>
    </w:lvl>
  </w:abstractNum>
  <w:abstractNum w:abstractNumId="44">
    <w:nsid w:val="65BF9DA8"/>
    <w:multiLevelType w:val="hybridMultilevel"/>
    <w:lvl w:ilvl="0">
      <w:lvlJc w:val="left"/>
      <w:lvlText w:val="(%1)"/>
      <w:numFmt w:val="lowerRoman"/>
      <w:start w:val="3"/>
    </w:lvl>
  </w:abstractNum>
  <w:abstractNum w:abstractNumId="45">
    <w:nsid w:val="21A2ECCA"/>
    <w:multiLevelType w:val="hybridMultilevel"/>
    <w:lvl w:ilvl="0">
      <w:lvlJc w:val="left"/>
      <w:lvlText w:val="(%1)"/>
      <w:numFmt w:val="lowerLetter"/>
      <w:start w:val="5"/>
    </w:lvl>
    <w:lvl w:ilvl="1">
      <w:lvlJc w:val="left"/>
      <w:lvlText w:val="(%2)"/>
      <w:numFmt w:val="lowerRoman"/>
      <w:start w:val="1"/>
    </w:lvl>
  </w:abstractNum>
  <w:abstractNum w:abstractNumId="46">
    <w:nsid w:val="4D5C4899"/>
    <w:multiLevelType w:val="hybridMultilevel"/>
    <w:lvl w:ilvl="0">
      <w:lvlJc w:val="left"/>
      <w:lvlText w:val="%1"/>
      <w:numFmt w:val="lowerLetter"/>
      <w:start w:val="1"/>
    </w:lvl>
    <w:lvl w:ilvl="1">
      <w:lvlJc w:val="left"/>
      <w:lvlText w:val="(%2)"/>
      <w:numFmt w:val="lowerRoman"/>
      <w:start w:val="3"/>
    </w:lvl>
  </w:abstractNum>
  <w:abstractNum w:abstractNumId="47">
    <w:nsid w:val="3C3B72B2"/>
    <w:multiLevelType w:val="hybridMultilevel"/>
    <w:lvl w:ilvl="0">
      <w:lvlJc w:val="left"/>
      <w:lvlText w:val="(%1)"/>
      <w:numFmt w:val="lowerLetter"/>
      <w:start w:val="7"/>
    </w:lvl>
    <w:lvl w:ilvl="1">
      <w:lvlJc w:val="left"/>
      <w:lvlText w:val="%2"/>
      <w:numFmt w:val="lowerRoman"/>
      <w:start w:val="1"/>
    </w:lvl>
  </w:abstractNum>
  <w:abstractNum w:abstractNumId="48">
    <w:nsid w:val="155EC4C2"/>
    <w:multiLevelType w:val="hybridMultilevel"/>
    <w:lvl w:ilvl="0">
      <w:lvlJc w:val="left"/>
      <w:lvlText w:val="(%1)"/>
      <w:numFmt w:val="lowerLetter"/>
      <w:start w:val="8"/>
    </w:lvl>
  </w:abstractNum>
  <w:abstractNum w:abstractNumId="49">
    <w:nsid w:val="65D2A137"/>
    <w:multiLevelType w:val="hybridMultilevel"/>
    <w:lvl w:ilvl="0">
      <w:lvlJc w:val="left"/>
      <w:lvlText w:val="(%1)"/>
      <w:numFmt w:val="lowerLetter"/>
      <w:start w:val="2"/>
    </w:lvl>
  </w:abstractNum>
  <w:abstractNum w:abstractNumId="50">
    <w:nsid w:val="6EBB1F2A"/>
    <w:multiLevelType w:val="hybridMultilevel"/>
    <w:lvl w:ilvl="0">
      <w:lvlJc w:val="left"/>
      <w:lvlText w:val="(%1)"/>
      <w:numFmt w:val="lowerLetter"/>
      <w:start w:val="2"/>
    </w:lvl>
  </w:abstractNum>
  <w:abstractNum w:abstractNumId="51">
    <w:nsid w:val="6FBF29CB"/>
    <w:multiLevelType w:val="hybridMultilevel"/>
    <w:lvl w:ilvl="0">
      <w:lvlJc w:val="left"/>
      <w:lvlText w:val="(%1)"/>
      <w:numFmt w:val="lowerRoman"/>
      <w:start w:val="1"/>
    </w:lvl>
  </w:abstractNum>
  <w:abstractNum w:abstractNumId="52">
    <w:nsid w:val="550B8808"/>
    <w:multiLevelType w:val="hybridMultilevel"/>
    <w:lvl w:ilvl="0">
      <w:lvlJc w:val="left"/>
      <w:lvlText w:val="(%1)"/>
      <w:numFmt w:val="lowerRoman"/>
      <w:start w:val="1"/>
    </w:lvl>
  </w:abstractNum>
  <w:abstractNum w:abstractNumId="53">
    <w:nsid w:val="34CC3ACF"/>
    <w:multiLevelType w:val="hybridMultilevel"/>
    <w:lvl w:ilvl="0">
      <w:lvlJc w:val="left"/>
      <w:lvlText w:val="(%1)"/>
      <w:numFmt w:val="lowerRoman"/>
      <w:start w:val="4"/>
    </w:lvl>
  </w:abstractNum>
  <w:abstractNum w:abstractNumId="54">
    <w:nsid w:val="4E556261"/>
    <w:multiLevelType w:val="hybridMultilevel"/>
    <w:lvl w:ilvl="0">
      <w:lvlJc w:val="left"/>
      <w:lvlText w:val="(%1)"/>
      <w:numFmt w:val="lowerRoman"/>
      <w:start w:val="2"/>
    </w:lvl>
  </w:abstractNum>
  <w:abstractNum w:abstractNumId="55">
    <w:nsid w:val="4C672FC9"/>
    <w:multiLevelType w:val="hybridMultilevel"/>
    <w:lvl w:ilvl="0">
      <w:lvlJc w:val="left"/>
      <w:lvlText w:val="(%1)"/>
      <w:numFmt w:val="lowerRoman"/>
      <w:start w:val="1"/>
    </w:lvl>
  </w:abstractNum>
  <w:abstractNum w:abstractNumId="56">
    <w:nsid w:val="52A311C3"/>
    <w:multiLevelType w:val="hybridMultilevel"/>
    <w:lvl w:ilvl="0">
      <w:lvlJc w:val="left"/>
      <w:lvlText w:val="(%1)"/>
      <w:numFmt w:val="lowerRoman"/>
      <w:start w:val="3"/>
    </w:lvl>
  </w:abstractNum>
  <w:abstractNum w:abstractNumId="57">
    <w:nsid w:val="44EF6B80"/>
    <w:multiLevelType w:val="hybridMultilevel"/>
    <w:lvl w:ilvl="0">
      <w:lvlJc w:val="left"/>
      <w:lvlText w:val="(%1)"/>
      <w:numFmt w:val="lowerLetter"/>
      <w:start w:val="1"/>
    </w:lvl>
  </w:abstractNum>
  <w:abstractNum w:abstractNumId="58">
    <w:nsid w:val="12FCDE5E"/>
    <w:multiLevelType w:val="hybridMultilevel"/>
    <w:lvl w:ilvl="0">
      <w:lvlJc w:val="left"/>
      <w:lvlText w:val="(%1)"/>
      <w:numFmt w:val="lowerLetter"/>
      <w:start w:val="2"/>
    </w:lvl>
  </w:abstractNum>
  <w:abstractNum w:abstractNumId="59">
    <w:nsid w:val="4A1D606E"/>
    <w:multiLevelType w:val="hybridMultilevel"/>
    <w:lvl w:ilvl="0">
      <w:lvlJc w:val="left"/>
      <w:lvlText w:val="(%1)"/>
      <w:numFmt w:val="lowerLetter"/>
      <w:start w:val="1"/>
    </w:lvl>
  </w:abstractNum>
  <w:abstractNum w:abstractNumId="60">
    <w:nsid w:val="4382503"/>
    <w:multiLevelType w:val="hybridMultilevel"/>
    <w:lvl w:ilvl="0">
      <w:lvlJc w:val="left"/>
      <w:lvlText w:val="(%1)"/>
      <w:numFmt w:val="lowerLetter"/>
      <w:start w:val="1"/>
    </w:lvl>
  </w:abstractNum>
  <w:abstractNum w:abstractNumId="61">
    <w:nsid w:val="59B76E28"/>
    <w:multiLevelType w:val="hybridMultilevel"/>
    <w:lvl w:ilvl="0">
      <w:lvlJc w:val="left"/>
      <w:lvlText w:val="(%1)"/>
      <w:numFmt w:val="lowerLetter"/>
      <w:start w:val="4"/>
    </w:lvl>
    <w:lvl w:ilvl="1">
      <w:lvlJc w:val="left"/>
      <w:lvlText w:val="(%2)"/>
      <w:numFmt w:val="lowerRoman"/>
      <w:start w:val="1"/>
    </w:lvl>
  </w:abstractNum>
  <w:abstractNum w:abstractNumId="62">
    <w:nsid w:val="4252C2DA"/>
    <w:multiLevelType w:val="hybridMultilevel"/>
    <w:lvl w:ilvl="0">
      <w:lvlJc w:val="left"/>
      <w:lvlText w:val="(%1)"/>
      <w:numFmt w:val="lowerLetter"/>
      <w:start w:val="1"/>
    </w:lvl>
  </w:abstractNum>
  <w:abstractNum w:abstractNumId="63">
    <w:nsid w:val="6A92EF4C"/>
    <w:multiLevelType w:val="hybridMultilevel"/>
    <w:lvl w:ilvl="0">
      <w:lvlJc w:val="left"/>
      <w:lvlText w:val="(%1)"/>
      <w:numFmt w:val="lowerLetter"/>
      <w:start w:val="1"/>
    </w:lvl>
  </w:abstractNum>
  <w:abstractNum w:abstractNumId="64">
    <w:nsid w:val="41ED20D7"/>
    <w:multiLevelType w:val="hybridMultilevel"/>
    <w:lvl w:ilvl="0">
      <w:lvlJc w:val="left"/>
      <w:lvlText w:val="(%1)"/>
      <w:numFmt w:val="lowerLetter"/>
      <w:start w:val="2"/>
    </w:lvl>
  </w:abstractNum>
  <w:abstractNum w:abstractNumId="65">
    <w:nsid w:val="E6B3F6A"/>
    <w:multiLevelType w:val="hybridMultilevel"/>
    <w:lvl w:ilvl="0">
      <w:lvlJc w:val="left"/>
      <w:lvlText w:val="(%1)"/>
      <w:numFmt w:val="lowerLetter"/>
      <w:start w:val="4"/>
    </w:lvl>
    <w:lvl w:ilvl="1">
      <w:lvlJc w:val="left"/>
      <w:lvlText w:val="(%2)"/>
      <w:numFmt w:val="lowerRoman"/>
      <w:start w:val="1"/>
    </w:lvl>
  </w:abstractNum>
  <w:abstractNum w:abstractNumId="66">
    <w:nsid w:val="3EB21819"/>
    <w:multiLevelType w:val="hybridMultilevel"/>
    <w:lvl w:ilvl="0">
      <w:lvlJc w:val="left"/>
      <w:lvlText w:val="(%1)"/>
      <w:numFmt w:val="lowerLetter"/>
      <w:start w:val="1"/>
    </w:lvl>
  </w:abstractNum>
  <w:abstractNum w:abstractNumId="67">
    <w:nsid w:val="41531DED"/>
    <w:multiLevelType w:val="hybridMultilevel"/>
    <w:lvl w:ilvl="0">
      <w:lvlJc w:val="left"/>
      <w:lvlText w:val="(%1)"/>
      <w:numFmt w:val="lowerLetter"/>
      <w:start w:val="1"/>
    </w:lvl>
    <w:lvl w:ilvl="1">
      <w:lvlJc w:val="left"/>
      <w:lvlText w:val="(%2)"/>
      <w:numFmt w:val="lowerRoman"/>
      <w:start w:val="1"/>
    </w:lvl>
  </w:abstractNum>
  <w:abstractNum w:abstractNumId="68">
    <w:nsid w:val="6353CD2"/>
    <w:multiLevelType w:val="hybridMultilevel"/>
    <w:lvl w:ilvl="0">
      <w:lvlJc w:val="left"/>
      <w:lvlText w:val="(%1)"/>
      <w:numFmt w:val="lowerRoman"/>
      <w:start w:val="3"/>
    </w:lvl>
  </w:abstractNum>
  <w:abstractNum w:abstractNumId="69">
    <w:nsid w:val="683CAAD3"/>
    <w:multiLevelType w:val="hybridMultilevel"/>
    <w:lvl w:ilvl="0">
      <w:lvlJc w:val="left"/>
      <w:lvlText w:val="(%1)"/>
      <w:numFmt w:val="lowerLetter"/>
      <w:start w:val="2"/>
    </w:lvl>
  </w:abstractNum>
  <w:abstractNum w:abstractNumId="70">
    <w:nsid w:val="313C7C99"/>
    <w:multiLevelType w:val="hybridMultilevel"/>
    <w:lvl w:ilvl="0">
      <w:lvlJc w:val="left"/>
      <w:lvlText w:val="(%1)"/>
      <w:numFmt w:val="lowerLetter"/>
      <w:start w:val="1"/>
    </w:lvl>
  </w:abstractNum>
  <w:abstractNum w:abstractNumId="71">
    <w:nsid w:val="519EB94C"/>
    <w:multiLevelType w:val="hybridMultilevel"/>
    <w:lvl w:ilvl="0">
      <w:lvlJc w:val="left"/>
      <w:lvlText w:val="(%1)"/>
      <w:numFmt w:val="lowerLetter"/>
      <w:start w:val="6"/>
    </w:lvl>
  </w:abstractNum>
  <w:abstractNum w:abstractNumId="72">
    <w:nsid w:val="39DF25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3">
    <w:nsid w:val="126E008B"/>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74">
    <w:nsid w:val="34DFBC00"/>
    <w:multiLevelType w:val="hybridMultilevel"/>
    <w:lvl w:ilvl="0">
      <w:lvlJc w:val="left"/>
      <w:lvlText w:val="(%1)"/>
      <w:numFmt w:val="lowerRoman"/>
      <w:start w:val="3"/>
    </w:lvl>
  </w:abstractNum>
  <w:abstractNum w:abstractNumId="75">
    <w:nsid w:val="1F9EC322"/>
    <w:multiLevelType w:val="hybridMultilevel"/>
    <w:lvl w:ilvl="0">
      <w:lvlJc w:val="left"/>
      <w:lvlText w:val="(%1)"/>
      <w:numFmt w:val="lowerLetter"/>
      <w:start w:val="3"/>
    </w:lvl>
  </w:abstractNum>
  <w:abstractNum w:abstractNumId="76">
    <w:nsid w:val="3410ED56"/>
    <w:multiLevelType w:val="hybridMultilevel"/>
    <w:lvl w:ilvl="0">
      <w:lvlJc w:val="left"/>
      <w:lvlText w:val="(%1)"/>
      <w:numFmt w:val="lowerLetter"/>
      <w:start w:val="4"/>
    </w:lvl>
  </w:abstractNum>
  <w:abstractNum w:abstractNumId="77">
    <w:nsid w:val="23C049A"/>
    <w:multiLevelType w:val="hybridMultilevel"/>
    <w:lvl w:ilvl="0">
      <w:lvlJc w:val="left"/>
      <w:lvlText w:val="(%1)"/>
      <w:numFmt w:val="lowerLetter"/>
      <w:start w:val="1"/>
    </w:lvl>
  </w:abstractNum>
  <w:abstractNum w:abstractNumId="78">
    <w:nsid w:val="5BDA35D4"/>
    <w:multiLevelType w:val="hybridMultilevel"/>
    <w:lvl w:ilvl="0">
      <w:lvlJc w:val="left"/>
      <w:lvlText w:val="(%1)"/>
      <w:numFmt w:val="lowerLetter"/>
      <w:start w:val="3"/>
    </w:lvl>
  </w:abstractNum>
  <w:abstractNum w:abstractNumId="79">
    <w:nsid w:val="496FB21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80">
    <w:nsid w:val="680EA5D1"/>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81">
    <w:nsid w:val="4A9554FE"/>
    <w:multiLevelType w:val="hybridMultilevel"/>
    <w:lvl w:ilvl="0">
      <w:lvlJc w:val="left"/>
      <w:lvlText w:val="(%1)"/>
      <w:numFmt w:val="lowerLetter"/>
      <w:start w:val="4"/>
    </w:lvl>
  </w:abstractNum>
  <w:abstractNum w:abstractNumId="82">
    <w:nsid w:val="392EDBE4"/>
    <w:multiLevelType w:val="hybridMultilevel"/>
    <w:lvl w:ilvl="0">
      <w:lvlJc w:val="left"/>
      <w:lvlText w:val="(%1)"/>
      <w:numFmt w:val="lowerLetter"/>
      <w:start w:val="1"/>
    </w:lvl>
  </w:abstractNum>
  <w:abstractNum w:abstractNumId="83">
    <w:nsid w:val="3D1A2DD9"/>
    <w:multiLevelType w:val="hybridMultilevel"/>
    <w:lvl w:ilvl="0">
      <w:lvlJc w:val="left"/>
      <w:lvlText w:val="(%1)"/>
      <w:numFmt w:val="lowerLetter"/>
      <w:start w:val="4"/>
    </w:lvl>
  </w:abstractNum>
  <w:abstractNum w:abstractNumId="84">
    <w:nsid w:val="7F618FCD"/>
    <w:multiLevelType w:val="hybridMultilevel"/>
    <w:lvl w:ilvl="0">
      <w:lvlJc w:val="left"/>
      <w:lvlText w:val="(%1)"/>
      <w:numFmt w:val="lowerLetter"/>
      <w:start w:val="1"/>
    </w:lvl>
  </w:abstractNum>
  <w:abstractNum w:abstractNumId="85">
    <w:nsid w:val="7843E45"/>
    <w:multiLevelType w:val="hybridMultilevel"/>
    <w:lvl w:ilvl="0">
      <w:lvlJc w:val="left"/>
      <w:lvlText w:val="(%1)"/>
      <w:numFmt w:val="lowerLetter"/>
      <w:start w:val="1"/>
    </w:lvl>
  </w:abstractNum>
  <w:abstractNum w:abstractNumId="86">
    <w:nsid w:val="9815DA3"/>
    <w:multiLevelType w:val="hybridMultilevel"/>
    <w:lvl w:ilvl="0">
      <w:lvlJc w:val="left"/>
      <w:lvlText w:val="(%1)"/>
      <w:numFmt w:val="lowerLetter"/>
      <w:start w:val="1"/>
    </w:lvl>
  </w:abstractNum>
  <w:abstractNum w:abstractNumId="87">
    <w:nsid w:val="5204A191"/>
    <w:multiLevelType w:val="hybridMultilevel"/>
    <w:lvl w:ilvl="0">
      <w:lvlJc w:val="left"/>
      <w:lvlText w:val="(%1)"/>
      <w:numFmt w:val="lowerLetter"/>
      <w:start w:val="3"/>
    </w:lvl>
  </w:abstractNum>
  <w:abstractNum w:abstractNumId="88">
    <w:nsid w:val="4C73A9C6"/>
    <w:multiLevelType w:val="hybridMultilevel"/>
    <w:lvl w:ilvl="0">
      <w:lvlJc w:val="left"/>
      <w:lvlText w:val="(%1)"/>
      <w:numFmt w:val="lowerLetter"/>
      <w:start w:val="1"/>
    </w:lvl>
    <w:lvl w:ilvl="1">
      <w:lvlJc w:val="left"/>
      <w:lvlText w:val="(%2)"/>
      <w:numFmt w:val="lowerRoman"/>
      <w:start w:val="1"/>
    </w:lvl>
  </w:abstractNum>
  <w:abstractNum w:abstractNumId="89">
    <w:nsid w:val="1C7E3C01"/>
    <w:multiLevelType w:val="hybridMultilevel"/>
    <w:lvl w:ilvl="0">
      <w:lvlJc w:val="left"/>
      <w:lvlText w:val="(%1)"/>
      <w:numFmt w:val="lowerLetter"/>
      <w:start w:val="1"/>
    </w:lvl>
  </w:abstractNum>
  <w:abstractNum w:abstractNumId="90">
    <w:nsid w:val="1C2201FF"/>
    <w:multiLevelType w:val="hybridMultilevel"/>
    <w:lvl w:ilvl="0">
      <w:lvlJc w:val="left"/>
      <w:lvlText w:val="(%1)"/>
      <w:numFmt w:val="lowerLetter"/>
      <w:start w:val="1"/>
    </w:lvl>
  </w:abstractNum>
  <w:abstractNum w:abstractNumId="91">
    <w:nsid w:val="50ABCEC9"/>
    <w:multiLevelType w:val="hybridMultilevel"/>
    <w:lvl w:ilvl="0">
      <w:lvlJc w:val="left"/>
      <w:lvlText w:val="(%1)"/>
      <w:numFmt w:val="lowerLetter"/>
      <w:start w:val="3"/>
    </w:lvl>
  </w:abstractNum>
  <w:abstractNum w:abstractNumId="92">
    <w:nsid w:val="7635AA2A"/>
    <w:multiLevelType w:val="hybridMultilevel"/>
    <w:lvl w:ilvl="0">
      <w:lvlJc w:val="left"/>
      <w:lvlText w:val="(%1)"/>
      <w:numFmt w:val="lowerLetter"/>
      <w:start w:val="1"/>
    </w:lvl>
  </w:abstractNum>
  <w:abstractNum w:abstractNumId="93">
    <w:nsid w:val="5E74C4D9"/>
    <w:multiLevelType w:val="hybridMultilevel"/>
    <w:lvl w:ilvl="0">
      <w:lvlJc w:val="left"/>
      <w:lvlText w:val="(%1)"/>
      <w:numFmt w:val="lowerLetter"/>
      <w:start w:val="2"/>
    </w:lvl>
  </w:abstractNum>
  <w:abstractNum w:abstractNumId="94">
    <w:nsid w:val="3B3EBE15"/>
    <w:multiLevelType w:val="hybridMultilevel"/>
    <w:lvl w:ilvl="0">
      <w:lvlJc w:val="left"/>
      <w:lvlText w:val="(%1)"/>
      <w:numFmt w:val="decimal"/>
      <w:start w:val="3"/>
    </w:lvl>
    <w:lvl w:ilvl="1">
      <w:lvlJc w:val="left"/>
      <w:lvlText w:val="(%2)"/>
      <w:numFmt w:val="lowerLetter"/>
      <w:start w:val="4"/>
    </w:lvl>
  </w:abstractNum>
  <w:abstractNum w:abstractNumId="95">
    <w:nsid w:val="3822CB01"/>
    <w:multiLevelType w:val="hybridMultilevel"/>
    <w:lvl w:ilvl="0">
      <w:lvlJc w:val="left"/>
      <w:lvlText w:val="(%1)"/>
      <w:numFmt w:val="lowerLetter"/>
      <w:start w:val="7"/>
    </w:lvl>
  </w:abstractNum>
  <w:abstractNum w:abstractNumId="96">
    <w:nsid w:val="6CE00443"/>
    <w:multiLevelType w:val="hybridMultilevel"/>
    <w:lvl w:ilvl="0">
      <w:lvlJc w:val="left"/>
      <w:lvlText w:val="(%1)"/>
      <w:numFmt w:val="lowerLetter"/>
      <w:start w:val="1"/>
    </w:lvl>
  </w:abstractNum>
  <w:abstractNum w:abstractNumId="97">
    <w:nsid w:val="79F0D62F"/>
    <w:multiLevelType w:val="hybridMultilevel"/>
    <w:lvl w:ilvl="0">
      <w:lvlJc w:val="left"/>
      <w:lvlText w:val="(%1)"/>
      <w:numFmt w:val="lowerLetter"/>
      <w:start w:val="3"/>
    </w:lvl>
  </w:abstractNum>
  <w:abstractNum w:abstractNumId="98">
    <w:nsid w:val="7975E8EE"/>
    <w:multiLevelType w:val="hybridMultilevel"/>
    <w:lvl w:ilvl="0">
      <w:lvlJc w:val="left"/>
      <w:lvlText w:val="%1"/>
      <w:numFmt w:val="lowerLetter"/>
      <w:start w:val="1"/>
    </w:lvl>
    <w:lvl w:ilvl="1">
      <w:lvlJc w:val="left"/>
      <w:lvlText w:val="(%2)"/>
      <w:numFmt w:val="lowerLetter"/>
      <w:start w:val="1"/>
    </w:lvl>
  </w:abstractNum>
  <w:abstractNum w:abstractNumId="99">
    <w:nsid w:val="73154115"/>
    <w:multiLevelType w:val="hybridMultilevel"/>
    <w:lvl w:ilvl="0">
      <w:lvlJc w:val="left"/>
      <w:lvlText w:val="(%1)"/>
      <w:numFmt w:val="lowerLetter"/>
      <w:start w:val="61"/>
    </w:lvl>
    <w:lvl w:ilvl="1">
      <w:lvlJc w:val="left"/>
      <w:lvlText w:val="%2"/>
      <w:numFmt w:val="lowerLetter"/>
      <w:start w:val="1"/>
    </w:lvl>
  </w:abstractNum>
  <w:abstractNum w:abstractNumId="100">
    <w:nsid w:val="622D8102"/>
    <w:multiLevelType w:val="hybridMultilevel"/>
    <w:lvl w:ilvl="0">
      <w:lvlJc w:val="left"/>
      <w:lvlText w:val="(%1)"/>
      <w:numFmt w:val="lowerLetter"/>
      <w:start w:val="4"/>
    </w:lvl>
  </w:abstractNum>
  <w:abstractNum w:abstractNumId="101">
    <w:nsid w:val="2AB26587"/>
    <w:multiLevelType w:val="hybridMultilevel"/>
    <w:lvl w:ilvl="0">
      <w:lvlJc w:val="left"/>
      <w:lvlText w:val="(%1)"/>
      <w:numFmt w:val="lowerRoman"/>
      <w:start w:val="1"/>
    </w:lvl>
  </w:abstractNum>
  <w:abstractNum w:abstractNumId="102">
    <w:nsid w:val="44B3FA61"/>
    <w:multiLevelType w:val="hybridMultilevel"/>
    <w:lvl w:ilvl="0">
      <w:lvlJc w:val="left"/>
      <w:lvlText w:val="(%1)"/>
      <w:numFmt w:val="lowerLetter"/>
      <w:start w:val="1"/>
    </w:lvl>
  </w:abstractNum>
  <w:abstractNum w:abstractNumId="103">
    <w:nsid w:val="1C0CA67C"/>
    <w:multiLevelType w:val="hybridMultilevel"/>
    <w:lvl w:ilvl="0">
      <w:lvlJc w:val="left"/>
      <w:lvlText w:val="(%1)"/>
      <w:numFmt w:val="lowerLetter"/>
      <w:start w:val="1"/>
    </w:lvl>
  </w:abstractNum>
  <w:abstractNum w:abstractNumId="104">
    <w:nsid w:val="3D206613"/>
    <w:multiLevelType w:val="hybridMultilevel"/>
    <w:lvl w:ilvl="0">
      <w:lvlJc w:val="left"/>
      <w:lvlText w:val="(%1)"/>
      <w:numFmt w:val="lowerLetter"/>
      <w:start w:val="2"/>
    </w:lvl>
    <w:lvl w:ilvl="1">
      <w:lvlJc w:val="left"/>
      <w:lvlText w:val="(%2)"/>
      <w:numFmt w:val="lowerRoman"/>
      <w:start w:val="1"/>
    </w:lvl>
  </w:abstractNum>
  <w:abstractNum w:abstractNumId="105">
    <w:nsid w:val="7993B662"/>
    <w:multiLevelType w:val="hybridMultilevel"/>
    <w:lvl w:ilvl="0">
      <w:lvlJc w:val="left"/>
      <w:lvlText w:val="(%1)"/>
      <w:numFmt w:val="lowerLetter"/>
      <w:start w:val="1"/>
    </w:lvl>
  </w:abstractNum>
  <w:abstractNum w:abstractNumId="106">
    <w:nsid w:val="3BAB699E"/>
    <w:multiLevelType w:val="hybridMultilevel"/>
    <w:lvl w:ilvl="0">
      <w:lvlJc w:val="left"/>
      <w:lvlText w:val="(%1)"/>
      <w:numFmt w:val="lowerLetter"/>
      <w:start w:val="1"/>
    </w:lvl>
  </w:abstractNum>
  <w:abstractNum w:abstractNumId="107">
    <w:nsid w:val="71315369"/>
    <w:multiLevelType w:val="hybridMultilevel"/>
    <w:lvl w:ilvl="0">
      <w:lvlJc w:val="left"/>
      <w:lvlText w:val="(%1)"/>
      <w:numFmt w:val="lowerLetter"/>
      <w:start w:val="1"/>
    </w:lvl>
  </w:abstractNum>
  <w:abstractNum w:abstractNumId="108">
    <w:nsid w:val="7BCFBAFC"/>
    <w:multiLevelType w:val="hybridMultilevel"/>
    <w:lvl w:ilvl="0">
      <w:lvlJc w:val="left"/>
      <w:lvlText w:val="(%1)"/>
      <w:numFmt w:val="lowerLetter"/>
      <w:start w:val="1"/>
    </w:lvl>
    <w:lvl w:ilvl="1">
      <w:lvlJc w:val="left"/>
      <w:lvlText w:val="(%2)"/>
      <w:numFmt w:val="lowerRoman"/>
      <w:start w:val="1"/>
    </w:lvl>
  </w:abstractNum>
  <w:abstractNum w:abstractNumId="109">
    <w:nsid w:val="17859F72"/>
    <w:multiLevelType w:val="hybridMultilevel"/>
    <w:lvl w:ilvl="0">
      <w:lvlJc w:val="left"/>
      <w:lvlText w:val="(%1)"/>
      <w:numFmt w:val="lowerLetter"/>
      <w:start w:val="4"/>
    </w:lvl>
  </w:abstractNum>
  <w:abstractNum w:abstractNumId="110">
    <w:nsid w:val="3AA10581"/>
    <w:multiLevelType w:val="hybridMultilevel"/>
    <w:lvl w:ilvl="0">
      <w:lvlJc w:val="left"/>
      <w:lvlText w:val="%1."/>
      <w:numFmt w:val="upperLetter"/>
      <w:start w:val="1"/>
    </w:lvl>
  </w:abstractNum>
  <w:abstractNum w:abstractNumId="111">
    <w:nsid w:val="63DE60CD"/>
    <w:multiLevelType w:val="hybridMultilevel"/>
    <w:lvl w:ilvl="0">
      <w:lvlJc w:val="left"/>
      <w:lvlText w:val="(%1)"/>
      <w:numFmt w:val="lowerLetter"/>
      <w:start w:val="1"/>
    </w:lvl>
  </w:abstractNum>
  <w:abstractNum w:abstractNumId="112">
    <w:nsid w:val="621AF471"/>
    <w:multiLevelType w:val="hybridMultilevel"/>
    <w:lvl w:ilvl="0">
      <w:lvlJc w:val="left"/>
      <w:lvlText w:val="(%1)"/>
      <w:numFmt w:val="lowerLetter"/>
      <w:start w:val="1"/>
    </w:lvl>
  </w:abstractNum>
  <w:abstractNum w:abstractNumId="113">
    <w:nsid w:val="73CFE165"/>
    <w:multiLevelType w:val="hybridMultilevel"/>
    <w:lvl w:ilvl="0">
      <w:lvlJc w:val="left"/>
      <w:lvlText w:val="(%1)"/>
      <w:numFmt w:val="lowerLetter"/>
      <w:start w:val="1"/>
    </w:lvl>
  </w:abstractNum>
  <w:abstractNum w:abstractNumId="114">
    <w:nsid w:val="20F88EA6"/>
    <w:multiLevelType w:val="hybridMultilevel"/>
    <w:lvl w:ilvl="0">
      <w:lvlJc w:val="left"/>
      <w:lvlText w:val="(%1)"/>
      <w:numFmt w:val="lowerLetter"/>
      <w:start w:val="1"/>
    </w:lvl>
  </w:abstractNum>
  <w:abstractNum w:abstractNumId="115">
    <w:nsid w:val="617C843E"/>
    <w:multiLevelType w:val="hybridMultilevel"/>
    <w:lvl w:ilvl="0">
      <w:lvlJc w:val="left"/>
      <w:lvlText w:val="(%1)"/>
      <w:numFmt w:val="lowerLetter"/>
      <w:start w:val="1"/>
    </w:lvl>
  </w:abstractNum>
  <w:abstractNum w:abstractNumId="116">
    <w:nsid w:val="7B541FAB"/>
    <w:multiLevelType w:val="hybridMultilevel"/>
    <w:lvl w:ilvl="0">
      <w:lvlJc w:val="left"/>
      <w:lvlText w:val="(%1)"/>
      <w:numFmt w:val="lowerLetter"/>
      <w:start w:val="1"/>
    </w:lvl>
  </w:abstractNum>
  <w:abstractNum w:abstractNumId="117">
    <w:nsid w:val="2A79EC49"/>
    <w:multiLevelType w:val="hybridMultilevel"/>
    <w:lvl w:ilvl="0">
      <w:lvlJc w:val="left"/>
      <w:lvlText w:val="(%1)"/>
      <w:numFmt w:val="lowerLetter"/>
      <w:start w:val="2"/>
    </w:lvl>
  </w:abstractNum>
  <w:abstractNum w:abstractNumId="118">
    <w:nsid w:val="338125CF"/>
    <w:multiLevelType w:val="hybridMultilevel"/>
    <w:lvl w:ilvl="0">
      <w:lvlJc w:val="left"/>
      <w:lvlText w:val="(%1)"/>
      <w:numFmt w:val="lowerLetter"/>
      <w:start w:val="1"/>
    </w:lvl>
  </w:abstractNum>
  <w:abstractNum w:abstractNumId="119">
    <w:nsid w:val="47C7C971"/>
    <w:multiLevelType w:val="hybridMultilevel"/>
    <w:lvl w:ilvl="0">
      <w:lvlJc w:val="left"/>
      <w:lvlText w:val="(%1)"/>
      <w:numFmt w:val="lowerLetter"/>
      <w:start w:val="1"/>
    </w:lvl>
  </w:abstractNum>
  <w:abstractNum w:abstractNumId="120">
    <w:nsid w:val="46F8284B"/>
    <w:multiLevelType w:val="hybridMultilevel"/>
    <w:lvl w:ilvl="0">
      <w:lvlJc w:val="left"/>
      <w:lvlText w:val="(%1)"/>
      <w:numFmt w:val="lowerLetter"/>
      <w:start w:val="3"/>
    </w:lvl>
  </w:abstractNum>
  <w:abstractNum w:abstractNumId="121">
    <w:nsid w:val="4FA327CE"/>
    <w:multiLevelType w:val="hybridMultilevel"/>
    <w:lvl w:ilvl="0">
      <w:lvlJc w:val="left"/>
      <w:lvlText w:val="(%1)"/>
      <w:numFmt w:val="lowerRoman"/>
      <w:start w:val="15"/>
    </w:lvl>
  </w:abstractNum>
  <w:abstractNum w:abstractNumId="122">
    <w:nsid w:val="1873983A"/>
    <w:multiLevelType w:val="hybridMultilevel"/>
    <w:lvl w:ilvl="0">
      <w:lvlJc w:val="left"/>
      <w:lvlText w:val="(%1)"/>
      <w:numFmt w:val="lowerLetter"/>
      <w:start w:val="1"/>
    </w:lvl>
  </w:abstractNum>
  <w:abstractNum w:abstractNumId="123">
    <w:nsid w:val="3D2DD275"/>
    <w:multiLevelType w:val="hybridMultilevel"/>
    <w:lvl w:ilvl="0">
      <w:lvlJc w:val="left"/>
      <w:lvlText w:val="(%1)"/>
      <w:numFmt w:val="lowerRoman"/>
      <w:start w:val="1"/>
    </w:lvl>
  </w:abstractNum>
  <w:abstractNum w:abstractNumId="124">
    <w:nsid w:val="2E17ECA7"/>
    <w:multiLevelType w:val="hybridMultilevel"/>
    <w:lvl w:ilvl="0">
      <w:lvlJc w:val="left"/>
      <w:lvlText w:val="(%1)"/>
      <w:numFmt w:val="lowerLetter"/>
      <w:start w:val="2"/>
    </w:lvl>
  </w:abstractNum>
  <w:abstractNum w:abstractNumId="125">
    <w:nsid w:val="53B2564F"/>
    <w:multiLevelType w:val="hybridMultilevel"/>
    <w:lvl w:ilvl="0">
      <w:lvlJc w:val="left"/>
      <w:lvlText w:val="(%1)"/>
      <w:numFmt w:val="lowerLetter"/>
      <w:start w:val="3"/>
    </w:lvl>
    <w:lvl w:ilvl="1">
      <w:lvlJc w:val="left"/>
      <w:lvlText w:val="(%2)"/>
      <w:numFmt w:val="lowerRoman"/>
      <w:start w:val="1"/>
    </w:lvl>
  </w:abstractNum>
  <w:abstractNum w:abstractNumId="126">
    <w:nsid w:val="75509D76"/>
    <w:multiLevelType w:val="hybridMultilevel"/>
    <w:lvl w:ilvl="0">
      <w:lvlJc w:val="left"/>
      <w:lvlText w:val="(%1)"/>
      <w:numFmt w:val="lowerLetter"/>
      <w:start w:val="6"/>
    </w:lvl>
  </w:abstractNum>
  <w:abstractNum w:abstractNumId="127">
    <w:nsid w:val="1AF7F0EA"/>
    <w:multiLevelType w:val="hybridMultilevel"/>
    <w:lvl w:ilvl="0">
      <w:lvlJc w:val="left"/>
      <w:lvlText w:val="(%1)"/>
      <w:numFmt w:val="lowerLetter"/>
      <w:start w:val="1"/>
    </w:lvl>
  </w:abstractNum>
  <w:abstractNum w:abstractNumId="128">
    <w:nsid w:val="4DA32C7E"/>
    <w:multiLevelType w:val="hybridMultilevel"/>
    <w:lvl w:ilvl="0">
      <w:lvlJc w:val="left"/>
      <w:lvlText w:val="(%1)"/>
      <w:numFmt w:val="lowerLetter"/>
      <w:start w:val="3"/>
    </w:lvl>
    <w:lvl w:ilvl="1">
      <w:lvlJc w:val="left"/>
      <w:lvlText w:val="(%2)"/>
      <w:numFmt w:val="lowerRoman"/>
      <w:start w:val="1"/>
    </w:lvl>
  </w:abstractNum>
  <w:abstractNum w:abstractNumId="129">
    <w:nsid w:val="6EC68664"/>
    <w:multiLevelType w:val="hybridMultilevel"/>
    <w:lvl w:ilvl="0">
      <w:lvlJc w:val="left"/>
      <w:lvlText w:val="(%1)"/>
      <w:numFmt w:val="lowerLetter"/>
      <w:start w:val="5"/>
    </w:lvl>
    <w:lvl w:ilvl="1">
      <w:lvlJc w:val="left"/>
      <w:lvlText w:val="(%2)"/>
      <w:numFmt w:val="lowerLetter"/>
      <w:start w:val="9"/>
    </w:lvl>
  </w:abstractNum>
  <w:abstractNum w:abstractNumId="130">
    <w:nsid w:val="E0D31FF"/>
    <w:multiLevelType w:val="hybridMultilevel"/>
    <w:lvl w:ilvl="0">
      <w:lvlJc w:val="left"/>
      <w:lvlText w:val="(%1)"/>
      <w:numFmt w:val="lowerRoman"/>
      <w:start w:val="2"/>
    </w:lvl>
    <w:lvl w:ilvl="1">
      <w:lvlJc w:val="left"/>
      <w:lvlText w:val="(%2)"/>
      <w:numFmt w:val="upperLetter"/>
      <w:start w:val="1"/>
    </w:lvl>
  </w:abstractNum>
  <w:abstractNum w:abstractNumId="131">
    <w:nsid w:val="2FD0AD81"/>
    <w:multiLevelType w:val="hybridMultilevel"/>
    <w:lvl w:ilvl="0">
      <w:lvlJc w:val="left"/>
      <w:lvlText w:val="%1"/>
      <w:numFmt w:val="upperLetter"/>
      <w:start w:val="1"/>
    </w:lvl>
    <w:lvl w:ilvl="1">
      <w:lvlJc w:val="left"/>
      <w:lvlText w:val="(%2)"/>
      <w:numFmt w:val="lowerLetter"/>
      <w:start w:val="1"/>
    </w:lvl>
  </w:abstractNum>
  <w:abstractNum w:abstractNumId="132">
    <w:nsid w:val="1978EBEB"/>
    <w:multiLevelType w:val="hybridMultilevel"/>
    <w:lvl w:ilvl="0">
      <w:lvlJc w:val="left"/>
      <w:lvlText w:val="(%1)"/>
      <w:numFmt w:val="upperLetter"/>
      <w:start w:val="35"/>
    </w:lvl>
    <w:lvl w:ilvl="1">
      <w:lvlJc w:val="left"/>
      <w:lvlText w:val="%2"/>
      <w:numFmt w:val="lowerLetter"/>
      <w:start w:val="1"/>
    </w:lvl>
  </w:abstractNum>
  <w:abstractNum w:abstractNumId="133">
    <w:nsid w:val="52C12C61"/>
    <w:multiLevelType w:val="hybridMultilevel"/>
    <w:lvl w:ilvl="0">
      <w:lvlJc w:val="left"/>
      <w:lvlText w:val="(%1)"/>
      <w:numFmt w:val="lowerLetter"/>
      <w:start w:val="2"/>
    </w:lvl>
  </w:abstractNum>
  <w:abstractNum w:abstractNumId="134">
    <w:nsid w:val="4BDD53FD"/>
    <w:multiLevelType w:val="hybridMultilevel"/>
    <w:lvl w:ilvl="0">
      <w:lvlJc w:val="left"/>
      <w:lvlText w:val="(%1)"/>
      <w:numFmt w:val="lowerLetter"/>
      <w:start w:val="1"/>
    </w:lvl>
  </w:abstractNum>
  <w:abstractNum w:abstractNumId="135">
    <w:nsid w:val="569951FE"/>
    <w:multiLevelType w:val="hybridMultilevel"/>
    <w:lvl w:ilvl="0">
      <w:lvlJc w:val="left"/>
      <w:lvlText w:val="%1"/>
      <w:numFmt w:val="upperLetter"/>
      <w:start w:val="1"/>
    </w:lvl>
    <w:lvl w:ilvl="1">
      <w:lvlJc w:val="left"/>
      <w:lvlText w:val="(%2)"/>
      <w:numFmt w:val="lowerLetter"/>
      <w:start w:val="2"/>
    </w:lvl>
  </w:abstractNum>
  <w:abstractNum w:abstractNumId="136">
    <w:nsid w:val="4C54E2C3"/>
    <w:multiLevelType w:val="hybridMultilevel"/>
    <w:lvl w:ilvl="0">
      <w:lvlJc w:val="left"/>
      <w:lvlText w:val="(%1)"/>
      <w:numFmt w:val="upperLetter"/>
      <w:start w:val="3"/>
    </w:lvl>
    <w:lvl w:ilvl="1">
      <w:lvlJc w:val="left"/>
      <w:lvlText w:val="%2"/>
      <w:numFmt w:val="lowerLetter"/>
      <w:start w:val="1"/>
    </w:lvl>
  </w:abstractNum>
  <w:abstractNum w:abstractNumId="137">
    <w:nsid w:val="788BD9B"/>
    <w:multiLevelType w:val="hybridMultilevel"/>
    <w:lvl w:ilvl="0">
      <w:lvlJc w:val="left"/>
      <w:lvlText w:val="%1"/>
      <w:numFmt w:val="lowerLetter"/>
      <w:start w:val="1"/>
    </w:lvl>
    <w:lvl w:ilvl="1">
      <w:lvlJc w:val="left"/>
      <w:lvlText w:val="(%2)"/>
      <w:numFmt w:val="lowerLetter"/>
      <w:start w:val="5"/>
    </w:lvl>
  </w:abstractNum>
  <w:abstractNum w:abstractNumId="138">
    <w:nsid w:val="47CAA567"/>
    <w:multiLevelType w:val="hybridMultilevel"/>
    <w:lvl w:ilvl="0">
      <w:lvlJc w:val="left"/>
      <w:lvlText w:val="(%1)"/>
      <w:numFmt w:val="lowerLetter"/>
      <w:start w:val="9"/>
    </w:lvl>
    <w:lvl w:ilvl="1">
      <w:lvlJc w:val="left"/>
      <w:lvlText w:val="(%2)"/>
      <w:numFmt w:val="lowerLetter"/>
      <w:start w:val="6"/>
    </w:lvl>
  </w:abstractNum>
  <w:abstractNum w:abstractNumId="139">
    <w:nsid w:val="48249DBF"/>
    <w:multiLevelType w:val="hybridMultilevel"/>
    <w:lvl w:ilvl="0">
      <w:lvlJc w:val="left"/>
      <w:lvlText w:val="%1"/>
      <w:numFmt w:val="lowerLetter"/>
      <w:start w:val="1"/>
    </w:lvl>
    <w:lvl w:ilvl="1">
      <w:lvlJc w:val="left"/>
      <w:lvlText w:val="(%2)"/>
      <w:numFmt w:val="lowerLetter"/>
      <w:start w:val="9"/>
    </w:lvl>
  </w:abstractNum>
  <w:abstractNum w:abstractNumId="140">
    <w:nsid w:val="1F0E5D0D"/>
    <w:multiLevelType w:val="hybridMultilevel"/>
    <w:lvl w:ilvl="0">
      <w:lvlJc w:val="left"/>
      <w:lvlText w:val="(%1)"/>
      <w:numFmt w:val="lowerLetter"/>
      <w:start w:val="9"/>
    </w:lvl>
    <w:lvl w:ilvl="1">
      <w:lvlJc w:val="left"/>
      <w:lvlText w:val="(%2)"/>
      <w:numFmt w:val="lowerLetter"/>
      <w:start w:val="14"/>
    </w:lvl>
  </w:abstractNum>
  <w:abstractNum w:abstractNumId="141">
    <w:nsid w:val="26BAAE9"/>
    <w:multiLevelType w:val="hybridMultilevel"/>
    <w:lvl w:ilvl="0">
      <w:lvlJc w:val="left"/>
      <w:lvlText w:val="(%1)"/>
      <w:numFmt w:val="lowerLetter"/>
      <w:start w:val="16"/>
    </w:lvl>
  </w:abstractNum>
  <w:abstractNum w:abstractNumId="142">
    <w:nsid w:val="2C02FE8C"/>
    <w:multiLevelType w:val="hybridMultilevel"/>
    <w:lvl w:ilvl="0">
      <w:lvlJc w:val="left"/>
      <w:lvlText w:val="(%1)"/>
      <w:numFmt w:val="lowerLetter"/>
      <w:start w:val="1"/>
    </w:lvl>
  </w:abstractNum>
  <w:abstractNum w:abstractNumId="143">
    <w:nsid w:val="129517E"/>
    <w:multiLevelType w:val="hybridMultilevel"/>
    <w:lvl w:ilvl="0">
      <w:lvlJc w:val="left"/>
      <w:lvlText w:val="(%1)"/>
      <w:numFmt w:val="lowerLetter"/>
      <w:start w:val="4"/>
    </w:lvl>
  </w:abstractNum>
  <w:abstractNum w:abstractNumId="144">
    <w:nsid w:val="763B8C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5">
    <w:nsid w:val="4CFB8D32"/>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146">
    <w:nsid w:val="62A5D5BD"/>
    <w:multiLevelType w:val="hybridMultilevel"/>
    <w:lvl w:ilvl="0">
      <w:lvlJc w:val="left"/>
      <w:lvlText w:val="(%1)"/>
      <w:numFmt w:val="lowerLetter"/>
      <w:start w:val="2"/>
    </w:lvl>
    <w:lvl w:ilvl="1">
      <w:lvlJc w:val="left"/>
      <w:lvlText w:val="(%2)"/>
      <w:numFmt w:val="lowerRoman"/>
      <w:start w:val="1"/>
    </w:lvl>
  </w:abstractNum>
  <w:abstractNum w:abstractNumId="147">
    <w:nsid w:val="718FABF9"/>
    <w:multiLevelType w:val="hybridMultilevel"/>
    <w:lvl w:ilvl="0">
      <w:lvlJc w:val="left"/>
      <w:lvlText w:val="(%1)"/>
      <w:numFmt w:val="lowerLetter"/>
      <w:start w:val="3"/>
    </w:lvl>
    <w:lvl w:ilvl="1">
      <w:lvlJc w:val="left"/>
      <w:lvlText w:val="(%2)"/>
      <w:numFmt w:val="lowerRoman"/>
      <w:start w:val="1"/>
    </w:lvl>
  </w:abstractNum>
  <w:abstractNum w:abstractNumId="148">
    <w:nsid w:val="7775797C"/>
    <w:multiLevelType w:val="hybridMultilevel"/>
    <w:lvl w:ilvl="0">
      <w:lvlJc w:val="left"/>
      <w:lvlText w:val="(%1)"/>
      <w:numFmt w:val="lowerLetter"/>
      <w:start w:val="4"/>
    </w:lvl>
  </w:abstractNum>
  <w:abstractNum w:abstractNumId="149">
    <w:nsid w:val="1626FB8C"/>
    <w:multiLevelType w:val="hybridMultilevel"/>
    <w:lvl w:ilvl="0">
      <w:lvlJc w:val="left"/>
      <w:lvlText w:val="(%1)"/>
      <w:numFmt w:val="lowerLetter"/>
      <w:start w:val="1"/>
    </w:lvl>
    <w:lvl w:ilvl="1">
      <w:lvlJc w:val="left"/>
      <w:lvlText w:val="(%2)"/>
      <w:numFmt w:val="lowerLetter"/>
      <w:start w:val="9"/>
    </w:lvl>
  </w:abstractNum>
  <w:abstractNum w:abstractNumId="150">
    <w:nsid w:val="3957756A"/>
    <w:multiLevelType w:val="hybridMultilevel"/>
    <w:lvl w:ilvl="0">
      <w:lvlJc w:val="left"/>
      <w:lvlText w:val="(%1)"/>
      <w:numFmt w:val="lowerRoman"/>
      <w:start w:val="2"/>
    </w:lvl>
  </w:abstractNum>
  <w:abstractNum w:abstractNumId="151">
    <w:nsid w:val="3E6DA1C7"/>
    <w:multiLevelType w:val="hybridMultilevel"/>
    <w:lvl w:ilvl="0">
      <w:lvlJc w:val="left"/>
      <w:lvlText w:val="(%1)"/>
      <w:numFmt w:val="lowerLetter"/>
      <w:start w:val="2"/>
    </w:lvl>
  </w:abstractNum>
  <w:abstractNum w:abstractNumId="152">
    <w:nsid w:val="65CA235B"/>
    <w:multiLevelType w:val="hybridMultilevel"/>
    <w:lvl w:ilvl="0">
      <w:lvlJc w:val="left"/>
      <w:lvlText w:val="(%1)"/>
      <w:numFmt w:val="lowerLetter"/>
      <w:start w:val="1"/>
    </w:lvl>
  </w:abstractNum>
  <w:abstractNum w:abstractNumId="153">
    <w:nsid w:val="51CB0DA4"/>
    <w:multiLevelType w:val="hybridMultilevel"/>
    <w:lvl w:ilvl="0">
      <w:lvlJc w:val="left"/>
      <w:lvlText w:val="(%1)"/>
      <w:numFmt w:val="lowerLetter"/>
      <w:start w:val="1"/>
    </w:lvl>
  </w:abstractNum>
  <w:abstractNum w:abstractNumId="154">
    <w:nsid w:val="7B9B743C"/>
    <w:multiLevelType w:val="hybridMultilevel"/>
    <w:lvl w:ilvl="0">
      <w:lvlJc w:val="left"/>
      <w:lvlText w:val="(%1)"/>
      <w:numFmt w:val="lowerLetter"/>
      <w:start w:val="35"/>
    </w:lvl>
  </w:abstractNum>
  <w:abstractNum w:abstractNumId="155">
    <w:nsid w:val="13E21002"/>
    <w:multiLevelType w:val="hybridMultilevel"/>
    <w:lvl w:ilvl="0">
      <w:lvlJc w:val="left"/>
      <w:lvlText w:val="(%1)"/>
      <w:numFmt w:val="lowerLetter"/>
      <w:start w:val="1"/>
    </w:lvl>
  </w:abstractNum>
  <w:abstractNum w:abstractNumId="156">
    <w:nsid w:val="257D63F4"/>
    <w:multiLevelType w:val="hybridMultilevel"/>
    <w:lvl w:ilvl="0">
      <w:lvlJc w:val="left"/>
      <w:lvlText w:val="(%1)"/>
      <w:numFmt w:val="lowerLetter"/>
      <w:start w:val="2"/>
    </w:lvl>
  </w:abstractNum>
  <w:abstractNum w:abstractNumId="157">
    <w:nsid w:val="70EC11B2"/>
    <w:multiLevelType w:val="hybridMultilevel"/>
    <w:lvl w:ilvl="0">
      <w:lvlJc w:val="left"/>
      <w:lvlText w:val="(%1)"/>
      <w:numFmt w:val="lowerRoman"/>
      <w:start w:val="3"/>
    </w:lvl>
  </w:abstractNum>
  <w:abstractNum w:abstractNumId="158">
    <w:nsid w:val="2EDA00ED"/>
    <w:multiLevelType w:val="hybridMultilevel"/>
    <w:lvl w:ilvl="0">
      <w:lvlJc w:val="left"/>
      <w:lvlText w:val="(%1)"/>
      <w:numFmt w:val="upperLetter"/>
      <w:start w:val="2"/>
    </w:lvl>
  </w:abstractNum>
  <w:abstractNum w:abstractNumId="159">
    <w:nsid w:val="73209072"/>
    <w:multiLevelType w:val="hybridMultilevel"/>
    <w:lvl w:ilvl="0">
      <w:lvlJc w:val="left"/>
      <w:lvlText w:val="(%1)"/>
      <w:numFmt w:val="lowerLetter"/>
      <w:start w:val="1"/>
    </w:lvl>
  </w:abstractNum>
  <w:abstractNum w:abstractNumId="160">
    <w:nsid w:val="5FB29816"/>
    <w:multiLevelType w:val="hybridMultilevel"/>
    <w:lvl w:ilvl="0">
      <w:lvlJc w:val="left"/>
      <w:lvlText w:val="(%1)"/>
      <w:numFmt w:val="lowerLetter"/>
      <w:start w:val="2"/>
    </w:lvl>
  </w:abstractNum>
  <w:abstractNum w:abstractNumId="161">
    <w:nsid w:val="3CE732EC"/>
    <w:multiLevelType w:val="hybridMultilevel"/>
    <w:lvl w:ilvl="0">
      <w:lvlJc w:val="left"/>
      <w:lvlText w:val="%1"/>
      <w:numFmt w:val="lowerLetter"/>
      <w:start w:val="1"/>
    </w:lvl>
    <w:lvl w:ilvl="1">
      <w:lvlJc w:val="left"/>
      <w:lvlText w:val="(%2)"/>
      <w:numFmt w:val="lowerLetter"/>
      <w:start w:val="1"/>
    </w:lvl>
  </w:abstractNum>
  <w:abstractNum w:abstractNumId="162">
    <w:nsid w:val="22F13DF3"/>
    <w:multiLevelType w:val="hybridMultilevel"/>
    <w:lvl w:ilvl="0">
      <w:lvlJc w:val="left"/>
      <w:lvlText w:val="(%1)"/>
      <w:numFmt w:val="lowerLetter"/>
      <w:start w:val="35"/>
    </w:lvl>
    <w:lvl w:ilvl="1">
      <w:lvlJc w:val="left"/>
      <w:lvlText w:val="%2"/>
      <w:numFmt w:val="lowerLetter"/>
      <w:start w:val="1"/>
    </w:lvl>
  </w:abstractNum>
  <w:abstractNum w:abstractNumId="163">
    <w:nsid w:val="792B8401"/>
    <w:multiLevelType w:val="hybridMultilevel"/>
    <w:lvl w:ilvl="0">
      <w:lvlJc w:val="left"/>
      <w:lvlText w:val="(%1)"/>
      <w:numFmt w:val="lowerLetter"/>
      <w:start w:val="1"/>
    </w:lvl>
  </w:abstractNum>
  <w:abstractNum w:abstractNumId="164">
    <w:nsid w:val="FA85F4D"/>
    <w:multiLevelType w:val="hybridMultilevel"/>
    <w:lvl w:ilvl="0">
      <w:lvlJc w:val="left"/>
      <w:lvlText w:val="(%1)"/>
      <w:numFmt w:val="lowerRoman"/>
      <w:start w:val="1"/>
    </w:lvl>
  </w:abstractNum>
  <w:abstractNum w:abstractNumId="165">
    <w:nsid w:val="6ECE91F0"/>
    <w:multiLevelType w:val="hybridMultilevel"/>
    <w:lvl w:ilvl="0">
      <w:lvlJc w:val="left"/>
      <w:lvlText w:val="(%1)"/>
      <w:numFmt w:val="lowerRoman"/>
      <w:start w:val="3"/>
    </w:lvl>
  </w:abstractNum>
  <w:abstractNum w:abstractNumId="166">
    <w:nsid w:val="4FC4D600"/>
    <w:multiLevelType w:val="hybridMultilevel"/>
    <w:lvl w:ilvl="0">
      <w:lvlJc w:val="left"/>
      <w:lvlText w:val="(%1)"/>
      <w:numFmt w:val="lowerLetter"/>
      <w:start w:val="4"/>
    </w:lvl>
  </w:abstractNum>
  <w:abstractNum w:abstractNumId="167">
    <w:nsid w:val="5BFD4210"/>
    <w:multiLevelType w:val="hybridMultilevel"/>
    <w:lvl w:ilvl="0">
      <w:lvlJc w:val="left"/>
      <w:lvlText w:val="(%1)"/>
      <w:numFmt w:val="lowerRoman"/>
      <w:start w:val="1"/>
    </w:lvl>
  </w:abstractNum>
  <w:abstractNum w:abstractNumId="168">
    <w:nsid w:val="76574F8B"/>
    <w:multiLevelType w:val="hybridMultilevel"/>
    <w:lvl w:ilvl="0">
      <w:lvlJc w:val="left"/>
      <w:lvlText w:val="(%1)"/>
      <w:numFmt w:val="lowerRoman"/>
      <w:start w:val="5"/>
    </w:lvl>
  </w:abstractNum>
  <w:abstractNum w:abstractNumId="169">
    <w:nsid w:val="178F7B67"/>
    <w:multiLevelType w:val="hybridMultilevel"/>
    <w:lvl w:ilvl="0">
      <w:lvlJc w:val="left"/>
      <w:lvlText w:val="(%1)"/>
      <w:numFmt w:val="lowerLetter"/>
      <w:start w:val="1"/>
    </w:lvl>
    <w:lvl w:ilvl="1">
      <w:lvlJc w:val="left"/>
      <w:lvlText w:val="(%2)"/>
      <w:numFmt w:val="lowerRoman"/>
      <w:start w:val="1"/>
    </w:lvl>
  </w:abstractNum>
  <w:abstractNum w:abstractNumId="170">
    <w:nsid w:val="2421DFCF"/>
    <w:multiLevelType w:val="hybridMultilevel"/>
    <w:lvl w:ilvl="0">
      <w:lvlJc w:val="left"/>
      <w:lvlText w:val="(%1)"/>
      <w:numFmt w:val="lowerLetter"/>
      <w:start w:val="4"/>
    </w:lvl>
  </w:abstractNum>
  <w:abstractNum w:abstractNumId="171">
    <w:nsid w:val="1565AC99"/>
    <w:multiLevelType w:val="hybridMultilevel"/>
    <w:lvl w:ilvl="0">
      <w:lvlJc w:val="left"/>
      <w:lvlText w:val="(%1)"/>
      <w:numFmt w:val="lowerLetter"/>
      <w:start w:val="1"/>
    </w:lvl>
  </w:abstractNum>
  <w:abstractNum w:abstractNumId="172">
    <w:nsid w:val="19FB2650"/>
    <w:multiLevelType w:val="hybridMultilevel"/>
    <w:lvl w:ilvl="0">
      <w:lvlJc w:val="left"/>
      <w:lvlText w:val="(%1)"/>
      <w:numFmt w:val="lowerLetter"/>
      <w:start w:val="1"/>
    </w:lvl>
  </w:abstractNum>
  <w:abstractNum w:abstractNumId="173">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4">
    <w:nsid w:val="168EFE17"/>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75">
    <w:nsid w:val="1036B29F"/>
    <w:multiLevelType w:val="hybridMultilevel"/>
    <w:lvl w:ilvl="0">
      <w:lvlJc w:val="left"/>
      <w:lvlText w:val="(%1)"/>
      <w:numFmt w:val="lowerLetter"/>
      <w:start w:val="2"/>
    </w:lvl>
  </w:abstractNum>
  <w:abstractNum w:abstractNumId="176">
    <w:nsid w:val="1D206B8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7">
    <w:nsid w:val="7934D3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78">
    <w:nsid w:val="1C65E98"/>
    <w:multiLevelType w:val="hybridMultilevel"/>
    <w:lvl w:ilvl="0">
      <w:lvlJc w:val="left"/>
      <w:lvlText w:val="(%1)"/>
      <w:numFmt w:val="lowerRoman"/>
      <w:start w:val="4"/>
    </w:lvl>
  </w:abstractNum>
  <w:abstractNum w:abstractNumId="179">
    <w:nsid w:val="1495E50A"/>
    <w:multiLevelType w:val="hybridMultilevel"/>
    <w:lvl w:ilvl="0">
      <w:lvlJc w:val="left"/>
      <w:lvlText w:val="%1"/>
      <w:numFmt w:val="lowerLetter"/>
      <w:start w:val="1"/>
    </w:lvl>
    <w:lvl w:ilvl="1">
      <w:lvlJc w:val="left"/>
      <w:lvlText w:val="(%2)"/>
      <w:numFmt w:val="lowerRoman"/>
      <w:start w:val="1"/>
    </w:lvl>
  </w:abstractNum>
  <w:abstractNum w:abstractNumId="180">
    <w:nsid w:val="F5BCF61"/>
    <w:multiLevelType w:val="hybridMultilevel"/>
    <w:lvl w:ilvl="0">
      <w:lvlJc w:val="left"/>
      <w:lvlText w:val="(%1)"/>
      <w:numFmt w:val="lowerLetter"/>
      <w:start w:val="4"/>
    </w:lvl>
    <w:lvl w:ilvl="1">
      <w:lvlJc w:val="left"/>
      <w:lvlText w:val="%2"/>
      <w:numFmt w:val="lowerRoman"/>
      <w:start w:val="1"/>
    </w:lvl>
  </w:abstractNum>
  <w:abstractNum w:abstractNumId="181">
    <w:nsid w:val="3B1DD403"/>
    <w:multiLevelType w:val="hybridMultilevel"/>
    <w:lvl w:ilvl="0">
      <w:lvlJc w:val="left"/>
      <w:lvlText w:val="(%1)"/>
      <w:numFmt w:val="lowerLetter"/>
      <w:start w:val="1"/>
    </w:lvl>
  </w:abstractNum>
  <w:abstractNum w:abstractNumId="182">
    <w:nsid w:val="530386D1"/>
    <w:multiLevelType w:val="hybridMultilevel"/>
    <w:lvl w:ilvl="0">
      <w:lvlJc w:val="left"/>
      <w:lvlText w:val="%1"/>
      <w:numFmt w:val="lowerLetter"/>
      <w:start w:val="1"/>
    </w:lvl>
    <w:lvl w:ilvl="1">
      <w:lvlJc w:val="left"/>
      <w:lvlText w:val="(%2)"/>
      <w:numFmt w:val="lowerLetter"/>
      <w:start w:val="1"/>
    </w:lvl>
  </w:abstractNum>
  <w:abstractNum w:abstractNumId="183">
    <w:nsid w:val="7525F2BC"/>
    <w:multiLevelType w:val="hybridMultilevel"/>
    <w:lvl w:ilvl="0">
      <w:lvlJc w:val="left"/>
      <w:lvlText w:val="(%1)"/>
      <w:numFmt w:val="lowerLetter"/>
      <w:start w:val="35"/>
    </w:lvl>
    <w:lvl w:ilvl="1">
      <w:lvlJc w:val="left"/>
      <w:lvlText w:val="%2"/>
      <w:numFmt w:val="lowerLetter"/>
      <w:start w:val="1"/>
    </w:lvl>
  </w:abstractNum>
  <w:abstractNum w:abstractNumId="184">
    <w:nsid w:val="CE8E1A7"/>
    <w:multiLevelType w:val="hybridMultilevel"/>
    <w:lvl w:ilvl="0">
      <w:lvlJc w:val="left"/>
      <w:lvlText w:val="(%1)"/>
      <w:numFmt w:val="lowerLetter"/>
      <w:start w:val="4"/>
    </w:lvl>
  </w:abstractNum>
  <w:abstractNum w:abstractNumId="185">
    <w:nsid w:val="4E9EFB0D"/>
    <w:multiLevelType w:val="hybridMultilevel"/>
    <w:lvl w:ilvl="0">
      <w:lvlJc w:val="left"/>
      <w:lvlText w:val="(%1)"/>
      <w:numFmt w:val="lowerLetter"/>
      <w:start w:val="1"/>
    </w:lvl>
  </w:abstractNum>
  <w:abstractNum w:abstractNumId="186">
    <w:nsid w:val="90802BE"/>
    <w:multiLevelType w:val="hybridMultilevel"/>
    <w:lvl w:ilvl="0">
      <w:lvlJc w:val="left"/>
      <w:lvlText w:val="%1"/>
      <w:numFmt w:val="lowerLetter"/>
      <w:start w:val="1"/>
    </w:lvl>
    <w:lvl w:ilvl="1">
      <w:lvlJc w:val="left"/>
      <w:lvlText w:val="(%2)"/>
      <w:numFmt w:val="lowerLetter"/>
      <w:start w:val="1"/>
    </w:lvl>
  </w:abstractNum>
  <w:abstractNum w:abstractNumId="187">
    <w:nsid w:val="3266459B"/>
    <w:multiLevelType w:val="hybridMultilevel"/>
    <w:lvl w:ilvl="0">
      <w:lvlJc w:val="left"/>
      <w:lvlText w:val="(%1)"/>
      <w:numFmt w:val="lowerLetter"/>
      <w:start w:val="35"/>
    </w:lvl>
    <w:lvl w:ilvl="1">
      <w:lvlJc w:val="left"/>
      <w:lvlText w:val="%2"/>
      <w:numFmt w:val="lowerLetter"/>
      <w:start w:val="1"/>
    </w:lvl>
  </w:abstractNum>
  <w:abstractNum w:abstractNumId="188">
    <w:nsid w:val="3F8B0CBF"/>
    <w:multiLevelType w:val="hybridMultilevel"/>
    <w:lvl w:ilvl="0">
      <w:lvlJc w:val="left"/>
      <w:lvlText w:val="(%1)"/>
      <w:numFmt w:val="lowerLetter"/>
      <w:start w:val="1"/>
    </w:lvl>
  </w:abstractNum>
  <w:abstractNum w:abstractNumId="189">
    <w:nsid w:val="37E203AB"/>
    <w:multiLevelType w:val="hybridMultilevel"/>
    <w:lvl w:ilvl="0">
      <w:lvlJc w:val="left"/>
      <w:lvlText w:val="(%1)"/>
      <w:numFmt w:val="lowerLetter"/>
      <w:start w:val="2"/>
    </w:lvl>
  </w:abstractNum>
  <w:abstractNum w:abstractNumId="190">
    <w:nsid w:val="2586D60E"/>
    <w:multiLevelType w:val="hybridMultilevel"/>
    <w:lvl w:ilvl="0">
      <w:lvlJc w:val="left"/>
      <w:lvlText w:val="(%1)"/>
      <w:numFmt w:val="lowerLetter"/>
      <w:start w:val="1"/>
    </w:lvl>
  </w:abstractNum>
  <w:abstractNum w:abstractNumId="191">
    <w:nsid w:val="1F3DA4D5"/>
    <w:multiLevelType w:val="hybridMultilevel"/>
    <w:lvl w:ilvl="0">
      <w:lvlJc w:val="left"/>
      <w:lvlText w:val="(%1)"/>
      <w:numFmt w:val="lowerLetter"/>
      <w:start w:val="3"/>
    </w:lvl>
  </w:abstractNum>
  <w:abstractNum w:abstractNumId="192">
    <w:nsid w:val="74C93698"/>
    <w:multiLevelType w:val="hybridMultilevel"/>
    <w:lvl w:ilvl="0">
      <w:lvlJc w:val="left"/>
      <w:lvlText w:val="(%1)"/>
      <w:numFmt w:val="lowerLetter"/>
      <w:start w:val="1"/>
    </w:lvl>
  </w:abstractNum>
  <w:abstractNum w:abstractNumId="193">
    <w:nsid w:val="48781401"/>
    <w:multiLevelType w:val="hybridMultilevel"/>
    <w:lvl w:ilvl="0">
      <w:lvlJc w:val="left"/>
      <w:lvlText w:val="%1."/>
      <w:numFmt w:val="decimal"/>
      <w:start w:val="1"/>
    </w:lvl>
  </w:abstractNum>
  <w:abstractNum w:abstractNumId="194">
    <w:nsid w:val="186928D6"/>
    <w:multiLevelType w:val="hybridMultilevel"/>
    <w:lvl w:ilvl="0">
      <w:lvlJc w:val="left"/>
      <w:lvlText w:val="(%1)"/>
      <w:numFmt w:val="lowerLetter"/>
      <w:start w:val="1"/>
    </w:lvl>
  </w:abstractNum>
  <w:abstractNum w:abstractNumId="195">
    <w:nsid w:val="47195E5"/>
    <w:multiLevelType w:val="hybridMultilevel"/>
    <w:lvl w:ilvl="0">
      <w:lvlJc w:val="left"/>
      <w:lvlText w:val="(%1)"/>
      <w:numFmt w:val="lowerLetter"/>
      <w:start w:val="2"/>
    </w:lvl>
  </w:abstractNum>
  <w:abstractNum w:abstractNumId="196">
    <w:nsid w:val="3746A5F2"/>
    <w:multiLevelType w:val="hybridMultilevel"/>
    <w:lvl w:ilvl="0">
      <w:lvlJc w:val="left"/>
      <w:lvlText w:val="(%1)"/>
      <w:numFmt w:val="lowerLetter"/>
      <w:start w:val="1"/>
    </w:lvl>
  </w:abstractNum>
  <w:abstractNum w:abstractNumId="197">
    <w:nsid w:val="682DFED6"/>
    <w:multiLevelType w:val="hybridMultilevel"/>
    <w:lvl w:ilvl="0">
      <w:lvlJc w:val="left"/>
      <w:lvlText w:val="(%1)"/>
      <w:numFmt w:val="lowerLetter"/>
      <w:start w:val="1"/>
    </w:lvl>
  </w:abstractNum>
  <w:abstractNum w:abstractNumId="198">
    <w:nsid w:val="606ED7F6"/>
    <w:multiLevelType w:val="hybridMultilevel"/>
    <w:lvl w:ilvl="0">
      <w:lvlJc w:val="left"/>
      <w:lvlText w:val="(%1)"/>
      <w:numFmt w:val="lowerLetter"/>
      <w:start w:val="1"/>
    </w:lvl>
  </w:abstractNum>
  <w:abstractNum w:abstractNumId="199">
    <w:nsid w:val="2D9DF57D"/>
    <w:multiLevelType w:val="hybridMultilevel"/>
    <w:lvl w:ilvl="0">
      <w:lvlJc w:val="left"/>
      <w:lvlText w:val="(%1)"/>
      <w:numFmt w:val="lowerLetter"/>
      <w:start w:val="2"/>
    </w:lvl>
  </w:abstractNum>
  <w:abstractNum w:abstractNumId="200">
    <w:nsid w:val="7FBD7A3E"/>
    <w:multiLevelType w:val="hybridMultilevel"/>
    <w:lvl w:ilvl="0">
      <w:lvlJc w:val="left"/>
      <w:lvlText w:val="(%1)"/>
      <w:numFmt w:val="lowerLetter"/>
      <w:start w:val="1"/>
    </w:lvl>
    <w:lvl w:ilvl="1">
      <w:lvlJc w:val="left"/>
      <w:lvlText w:val="(%2)"/>
      <w:numFmt w:val="lowerRoman"/>
      <w:start w:val="1"/>
    </w:lvl>
  </w:abstractNum>
  <w:abstractNum w:abstractNumId="201">
    <w:nsid w:val="490B7C5"/>
    <w:multiLevelType w:val="hybridMultilevel"/>
    <w:lvl w:ilvl="0">
      <w:lvlJc w:val="left"/>
      <w:lvlText w:val="(%1)"/>
      <w:numFmt w:val="lowerRoman"/>
      <w:start w:val="3"/>
    </w:lvl>
  </w:abstractNum>
  <w:abstractNum w:abstractNumId="202">
    <w:nsid w:val="4303A216"/>
    <w:multiLevelType w:val="hybridMultilevel"/>
    <w:lvl w:ilvl="0">
      <w:lvlJc w:val="left"/>
      <w:lvlText w:val="(%1)"/>
      <w:numFmt w:val="upperLetter"/>
      <w:start w:val="24"/>
    </w:lvl>
    <w:lvl w:ilvl="1">
      <w:lvlJc w:val="left"/>
      <w:lvlText w:val="(%2)"/>
      <w:numFmt w:val="lowerLetter"/>
      <w:start w:val="2"/>
    </w:lvl>
  </w:abstractNum>
  <w:abstractNum w:abstractNumId="203">
    <w:nsid w:val="19B8A08E"/>
    <w:multiLevelType w:val="hybridMultilevel"/>
    <w:lvl w:ilvl="0">
      <w:lvlJc w:val="left"/>
      <w:lvlText w:val="(%1)"/>
      <w:numFmt w:val="lowerLetter"/>
      <w:start w:val="2"/>
    </w:lvl>
  </w:abstractNum>
  <w:abstractNum w:abstractNumId="204">
    <w:nsid w:val="54B59621"/>
    <w:multiLevelType w:val="hybridMultilevel"/>
    <w:lvl w:ilvl="0">
      <w:lvlJc w:val="left"/>
      <w:lvlText w:val="(%1)"/>
      <w:numFmt w:val="upperLetter"/>
      <w:start w:val="2"/>
    </w:lvl>
  </w:abstractNum>
  <w:abstractNum w:abstractNumId="205">
    <w:nsid w:val="5992A02E"/>
    <w:multiLevelType w:val="hybridMultilevel"/>
    <w:lvl w:ilvl="0">
      <w:lvlJc w:val="left"/>
      <w:lvlText w:val="(%1)"/>
      <w:numFmt w:val="decimal"/>
      <w:start w:val="60"/>
    </w:lvl>
  </w:abstractNum>
  <w:abstractNum w:abstractNumId="206">
    <w:nsid w:val="29EF532D"/>
    <w:multiLevelType w:val="hybridMultilevel"/>
    <w:lvl w:ilvl="0">
      <w:lvlJc w:val="left"/>
      <w:lvlText w:val="1"/>
      <w:numFmt w:val="bullet"/>
      <w:start w:val="1"/>
    </w:lvl>
  </w:abstractNum>
  <w:abstractNum w:abstractNumId="207">
    <w:nsid w:val="71D601AF"/>
    <w:multiLevelType w:val="hybridMultilevel"/>
    <w:lvl w:ilvl="0">
      <w:lvlJc w:val="left"/>
      <w:lvlText w:val="(%1)"/>
      <w:numFmt w:val="decimal"/>
      <w:start w:val="60"/>
    </w:lvl>
  </w:abstractNum>
  <w:abstractNum w:abstractNumId="208">
    <w:nsid w:val="52C77402"/>
    <w:multiLevelType w:val="hybridMultilevel"/>
    <w:lvl w:ilvl="0">
      <w:lvlJc w:val="left"/>
      <w:lvlText w:val="(%1)"/>
      <w:numFmt w:val="lowerLetter"/>
      <w:start w:val="2"/>
    </w:lvl>
  </w:abstractNum>
  <w:abstractNum w:abstractNumId="209">
    <w:nsid w:val="2BB5B1C6"/>
    <w:multiLevelType w:val="hybridMultilevel"/>
    <w:lvl w:ilvl="0">
      <w:lvlJc w:val="left"/>
      <w:lvlText w:val="(%1)"/>
      <w:numFmt w:val="lowerRoman"/>
      <w:start w:val="2"/>
    </w:lvl>
  </w:abstractNum>
  <w:abstractNum w:abstractNumId="210">
    <w:nsid w:val="66BE6B9"/>
    <w:multiLevelType w:val="hybridMultilevel"/>
    <w:lvl w:ilvl="0">
      <w:lvlJc w:val="left"/>
      <w:lvlText w:val="(%1)"/>
      <w:numFmt w:val="lowerLetter"/>
      <w:start w:val="2"/>
    </w:lvl>
  </w:abstractNum>
  <w:abstractNum w:abstractNumId="211">
    <w:nsid w:val="62234363"/>
    <w:multiLevelType w:val="hybridMultilevel"/>
    <w:lvl w:ilvl="0">
      <w:lvlJc w:val="left"/>
      <w:lvlText w:val="(%1)"/>
      <w:numFmt w:val="lowerLetter"/>
      <w:start w:val="35"/>
    </w:lvl>
  </w:abstractNum>
  <w:abstractNum w:abstractNumId="212">
    <w:nsid w:val="66D385C9"/>
    <w:multiLevelType w:val="hybridMultilevel"/>
    <w:lvl w:ilvl="0">
      <w:lvlJc w:val="left"/>
      <w:lvlText w:val="(%1)"/>
      <w:numFmt w:val="lowerLetter"/>
      <w:start w:val="1"/>
    </w:lvl>
  </w:abstractNum>
  <w:abstractNum w:abstractNumId="213">
    <w:nsid w:val="596F6D8A"/>
    <w:multiLevelType w:val="hybridMultilevel"/>
    <w:lvl w:ilvl="0">
      <w:lvlJc w:val="left"/>
      <w:lvlText w:val="(%1)"/>
      <w:numFmt w:val="lowerLetter"/>
      <w:start w:val="1"/>
    </w:lvl>
  </w:abstractNum>
  <w:abstractNum w:abstractNumId="214">
    <w:nsid w:val="5749361F"/>
    <w:multiLevelType w:val="hybridMultilevel"/>
    <w:lvl w:ilvl="0">
      <w:lvlJc w:val="left"/>
      <w:lvlText w:val="(%1)"/>
      <w:numFmt w:val="lowerLetter"/>
      <w:start w:val="3"/>
    </w:lvl>
  </w:abstractNum>
  <w:abstractNum w:abstractNumId="215">
    <w:nsid w:val="73BC6770"/>
    <w:multiLevelType w:val="hybridMultilevel"/>
    <w:lvl w:ilvl="0">
      <w:lvlJc w:val="left"/>
      <w:lvlText w:val="%1."/>
      <w:numFmt w:val="decimal"/>
      <w:start w:val="1"/>
    </w:lvl>
  </w:abstractNum>
  <w:abstractNum w:abstractNumId="216">
    <w:nsid w:val="280E6897"/>
    <w:multiLevelType w:val="hybridMultilevel"/>
    <w:lvl w:ilvl="0">
      <w:lvlJc w:val="left"/>
      <w:lvlText w:val="(%1)"/>
      <w:numFmt w:val="lowerLetter"/>
      <w:start w:val="1"/>
    </w:lvl>
  </w:abstractNum>
  <w:abstractNum w:abstractNumId="217">
    <w:nsid w:val="605138DE"/>
    <w:multiLevelType w:val="hybridMultilevel"/>
    <w:lvl w:ilvl="0">
      <w:lvlJc w:val="left"/>
      <w:lvlText w:val="%1."/>
      <w:numFmt w:val="decimal"/>
      <w:start w:val="3"/>
    </w:lvl>
    <w:lvl w:ilvl="1">
      <w:lvlJc w:val="left"/>
      <w:lvlText w:val="-"/>
      <w:numFmt w:val="bullet"/>
      <w:start w:val="1"/>
    </w:lvl>
  </w:abstractNum>
  <w:abstractNum w:abstractNumId="218">
    <w:nsid w:val="2622AD0C"/>
    <w:multiLevelType w:val="hybridMultilevel"/>
    <w:lvl w:ilvl="0">
      <w:lvlJc w:val="left"/>
      <w:lvlText w:val="%1."/>
      <w:numFmt w:val="decimal"/>
      <w:start w:val="6"/>
    </w:lvl>
  </w:abstractNum>
  <w:abstractNum w:abstractNumId="219">
    <w:nsid w:val="6799755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0">
    <w:nsid w:val="18333C89"/>
    <w:multiLevelType w:val="hybridMultilevel"/>
    <w:lvl w:ilvl="0">
      <w:lvlJc w:val="left"/>
      <w:lvlText w:val="%1."/>
      <w:numFmt w:val="decimal"/>
      <w:start w:val="7"/>
    </w:lvl>
  </w:abstractNum>
  <w:abstractNum w:abstractNumId="221">
    <w:nsid w:val="4BA9831A"/>
    <w:multiLevelType w:val="hybridMultilevel"/>
    <w:lvl w:ilvl="0">
      <w:lvlJc w:val="left"/>
      <w:lvlText w:val="(%1)"/>
      <w:numFmt w:val="lowerLetter"/>
      <w:start w:val="1"/>
    </w:lvl>
  </w:abstractNum>
  <w:abstractNum w:abstractNumId="222">
    <w:nsid w:val="6D71A2B"/>
    <w:multiLevelType w:val="hybridMultilevel"/>
    <w:lvl w:ilvl="0">
      <w:lvlJc w:val="left"/>
      <w:lvlText w:val="%1."/>
      <w:numFmt w:val="decimal"/>
      <w:start w:val="8"/>
    </w:lvl>
    <w:lvl w:ilvl="1">
      <w:lvlJc w:val="left"/>
      <w:lvlText w:val="-"/>
      <w:numFmt w:val="bullet"/>
      <w:start w:val="1"/>
    </w:lvl>
  </w:abstractNum>
  <w:abstractNum w:abstractNumId="223">
    <w:nsid w:val="CFC732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4">
    <w:nsid w:val="1421971B"/>
    <w:multiLevelType w:val="hybridMultilevel"/>
    <w:lvl w:ilvl="0">
      <w:lvlJc w:val="left"/>
      <w:lvlText w:val="(%1)"/>
      <w:numFmt w:val="lowerLetter"/>
      <w:start w:val="25"/>
    </w:lvl>
    <w:lvl w:ilvl="1">
      <w:lvlJc w:val="left"/>
      <w:lvlText w:val="(%2)"/>
      <w:numFmt w:val="lowerLetter"/>
      <w:start w:val="5"/>
    </w:lvl>
    <w:lvl w:ilvl="2">
      <w:lvlJc w:val="left"/>
      <w:lvlText w:val="-"/>
      <w:numFmt w:val="bullet"/>
      <w:start w:val="1"/>
    </w:lvl>
  </w:abstractNum>
  <w:abstractNum w:abstractNumId="225">
    <w:nsid w:val="1F404301"/>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26">
    <w:nsid w:val="116E0907"/>
    <w:multiLevelType w:val="hybridMultilevel"/>
    <w:lvl w:ilvl="0">
      <w:lvlJc w:val="left"/>
      <w:lvlText w:val="(%1)"/>
      <w:numFmt w:val="lowerRoman"/>
      <w:start w:val="2"/>
    </w:lvl>
  </w:abstractNum>
  <w:abstractNum w:abstractNumId="227">
    <w:nsid w:val="4B683D0D"/>
    <w:multiLevelType w:val="hybridMultilevel"/>
    <w:lvl w:ilvl="0">
      <w:lvlJc w:val="left"/>
      <w:lvlText w:val="%1."/>
      <w:numFmt w:val="decimal"/>
      <w:start w:val="11"/>
    </w:lvl>
  </w:abstractNum>
  <w:abstractNum w:abstractNumId="228">
    <w:nsid w:val="76E41D8"/>
    <w:multiLevelType w:val="hybridMultilevel"/>
    <w:lvl w:ilvl="0">
      <w:lvlJc w:val="left"/>
      <w:lvlText w:val="(%1)"/>
      <w:numFmt w:val="lowerLetter"/>
      <w:start w:val="1"/>
    </w:lvl>
    <w:lvl w:ilvl="1">
      <w:lvlJc w:val="left"/>
      <w:lvlText w:val="-"/>
      <w:numFmt w:val="bullet"/>
      <w:start w:val="1"/>
    </w:lvl>
  </w:abstractNum>
  <w:abstractNum w:abstractNumId="229">
    <w:nsid w:val="71DCE0FD"/>
    <w:multiLevelType w:val="hybridMultilevel"/>
    <w:lvl w:ilvl="0">
      <w:lvlJc w:val="left"/>
      <w:lvlText w:val="(%1)"/>
      <w:numFmt w:val="lowerLetter"/>
      <w:start w:val="3"/>
    </w:lvl>
    <w:lvl w:ilvl="1">
      <w:lvlJc w:val="left"/>
      <w:lvlText w:val="-"/>
      <w:numFmt w:val="bullet"/>
      <w:start w:val="1"/>
    </w:lvl>
  </w:abstractNum>
  <w:abstractNum w:abstractNumId="230">
    <w:nsid w:val="7906328B"/>
    <w:multiLevelType w:val="hybridMultilevel"/>
    <w:lvl w:ilvl="0">
      <w:lvlJc w:val="left"/>
      <w:lvlText w:val="%1."/>
      <w:numFmt w:val="decimal"/>
      <w:start w:val="12"/>
    </w:lvl>
  </w:abstractNum>
  <w:abstractNum w:abstractNumId="231">
    <w:nsid w:val="72BBC16"/>
    <w:multiLevelType w:val="hybridMultilevel"/>
    <w:lvl w:ilvl="0">
      <w:lvlJc w:val="left"/>
      <w:lvlText w:val="(%1)"/>
      <w:numFmt w:val="lowerLetter"/>
      <w:start w:val="1"/>
    </w:lvl>
  </w:abstractNum>
  <w:abstractNum w:abstractNumId="232">
    <w:nsid w:val="766D98C2"/>
    <w:multiLevelType w:val="hybridMultilevel"/>
    <w:lvl w:ilvl="0">
      <w:lvlJc w:val="left"/>
      <w:lvlText w:val="%1"/>
      <w:numFmt w:val="lowerLetter"/>
      <w:start w:val="1"/>
    </w:lvl>
    <w:lvl w:ilvl="1">
      <w:lvlJc w:val="left"/>
      <w:lvlText w:val="%2."/>
      <w:numFmt w:val="decimal"/>
      <w:start w:val="13"/>
    </w:lvl>
    <w:lvl w:ilvl="2">
      <w:lvlJc w:val="left"/>
      <w:lvlText w:val="-"/>
      <w:numFmt w:val="bullet"/>
      <w:start w:val="1"/>
    </w:lvl>
  </w:abstractNum>
  <w:abstractNum w:abstractNumId="233">
    <w:nsid w:val="3C09D4A1"/>
    <w:multiLevelType w:val="hybridMultilevel"/>
    <w:lvl w:ilvl="0">
      <w:lvlJc w:val="left"/>
      <w:lvlText w:val="(%1)"/>
      <w:numFmt w:val="lowerLetter"/>
      <w:start w:val="1"/>
    </w:lvl>
    <w:lvl w:ilvl="1">
      <w:lvlJc w:val="left"/>
      <w:lvlText w:val="%2."/>
      <w:numFmt w:val="decimal"/>
      <w:start w:val="14"/>
    </w:lvl>
    <w:lvl w:ilvl="2">
      <w:lvlJc w:val="left"/>
      <w:lvlText w:val="-"/>
      <w:numFmt w:val="bullet"/>
      <w:start w:val="1"/>
    </w:lvl>
  </w:abstractNum>
  <w:abstractNum w:abstractNumId="234">
    <w:nsid w:val="20E45CA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35">
    <w:nsid w:val="4B232EE3"/>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36">
    <w:nsid w:val="159C74CF"/>
    <w:multiLevelType w:val="hybridMultilevel"/>
    <w:lvl w:ilvl="0">
      <w:lvlJc w:val="left"/>
      <w:lvlText w:val="(%1)"/>
      <w:numFmt w:val="lowerLetter"/>
      <w:start w:val="8"/>
    </w:lvl>
  </w:abstractNum>
  <w:abstractNum w:abstractNumId="237">
    <w:nsid w:val="4AD3AFD2"/>
    <w:multiLevelType w:val="hybridMultilevel"/>
    <w:lvl w:ilvl="0">
      <w:lvlJc w:val="left"/>
      <w:lvlText w:val="%1."/>
      <w:numFmt w:val="decimal"/>
      <w:start w:val="16"/>
    </w:lvl>
  </w:abstractNum>
  <w:abstractNum w:abstractNumId="238">
    <w:nsid w:val="3CF93092"/>
    <w:multiLevelType w:val="hybridMultilevel"/>
    <w:lvl w:ilvl="0">
      <w:lvlJc w:val="left"/>
      <w:lvlText w:val="(%1)"/>
      <w:numFmt w:val="lowerLetter"/>
      <w:start w:val="1"/>
    </w:lvl>
  </w:abstractNum>
  <w:abstractNum w:abstractNumId="239">
    <w:nsid w:val="6863E8D2"/>
    <w:multiLevelType w:val="hybridMultilevel"/>
    <w:lvl w:ilvl="0">
      <w:lvlJc w:val="left"/>
      <w:lvlText w:val="%1."/>
      <w:numFmt w:val="decimal"/>
      <w:start w:val="17"/>
    </w:lvl>
  </w:abstractNum>
  <w:abstractNum w:abstractNumId="240">
    <w:nsid w:val="76896198"/>
    <w:multiLevelType w:val="hybridMultilevel"/>
    <w:lvl w:ilvl="0">
      <w:lvlJc w:val="left"/>
      <w:lvlText w:val="(%1)"/>
      <w:numFmt w:val="lowerLetter"/>
      <w:start w:val="1"/>
    </w:lvl>
  </w:abstractNum>
  <w:abstractNum w:abstractNumId="241">
    <w:nsid w:val="4365174B"/>
    <w:multiLevelType w:val="hybridMultilevel"/>
    <w:lvl w:ilvl="0">
      <w:lvlJc w:val="left"/>
      <w:lvlText w:val="%1."/>
      <w:numFmt w:val="decimal"/>
      <w:start w:val="19"/>
    </w:lvl>
  </w:abstractNum>
  <w:abstractNum w:abstractNumId="242">
    <w:nsid w:val="4A872C35"/>
    <w:multiLevelType w:val="hybridMultilevel"/>
    <w:lvl w:ilvl="0">
      <w:lvlJc w:val="left"/>
      <w:lvlText w:val="(%1)"/>
      <w:numFmt w:val="lowerLetter"/>
      <w:start w:val="1"/>
    </w:lvl>
    <w:lvl w:ilvl="1">
      <w:lvlJc w:val="left"/>
      <w:lvlText w:val="(%2)"/>
      <w:numFmt w:val="decimal"/>
      <w:start w:val="1"/>
    </w:lvl>
  </w:abstractNum>
  <w:abstractNum w:abstractNumId="243">
    <w:nsid w:val="5D5CE761"/>
    <w:multiLevelType w:val="hybridMultilevel"/>
    <w:lvl w:ilvl="0">
      <w:lvlJc w:val="left"/>
      <w:lvlText w:val="%1"/>
      <w:numFmt w:val="lowerLetter"/>
      <w:start w:val="1"/>
    </w:lvl>
    <w:lvl w:ilvl="1">
      <w:lvlJc w:val="left"/>
      <w:lvlText w:val="(%2)"/>
      <w:numFmt w:val="decimal"/>
      <w:start w:val="6"/>
    </w:lvl>
  </w:abstractNum>
  <w:abstractNum w:abstractNumId="244">
    <w:nsid w:val="1CD484D5"/>
    <w:multiLevelType w:val="hybridMultilevel"/>
    <w:lvl w:ilvl="0">
      <w:lvlJc w:val="left"/>
      <w:lvlText w:val="(%1)"/>
      <w:numFmt w:val="lowerLetter"/>
      <w:start w:val="2"/>
    </w:lvl>
    <w:lvl w:ilvl="1">
      <w:lvlJc w:val="left"/>
      <w:lvlText w:val="%2"/>
      <w:numFmt w:val="decimal"/>
      <w:start w:val="1"/>
    </w:lvl>
  </w:abstractNum>
  <w:abstractNum w:abstractNumId="245">
    <w:nsid w:val="21D06255"/>
    <w:multiLevelType w:val="hybridMultilevel"/>
    <w:lvl w:ilvl="0">
      <w:lvlJc w:val="left"/>
      <w:lvlText w:val="(%1)"/>
      <w:numFmt w:val="lowerRoman"/>
      <w:start w:val="1"/>
    </w:lvl>
  </w:abstractNum>
  <w:abstractNum w:abstractNumId="246">
    <w:nsid w:val="51194ED1"/>
    <w:multiLevelType w:val="hybridMultilevel"/>
    <w:lvl w:ilvl="0">
      <w:lvlJc w:val="left"/>
      <w:lvlText w:val="(%1)"/>
      <w:numFmt w:val="decimal"/>
      <w:start w:val="1"/>
    </w:lvl>
  </w:abstractNum>
  <w:abstractNum w:abstractNumId="247">
    <w:nsid w:val="44E2ED6C"/>
    <w:multiLevelType w:val="hybridMultilevel"/>
    <w:lvl w:ilvl="0">
      <w:lvlJc w:val="left"/>
      <w:lvlText w:val="(%1)"/>
      <w:numFmt w:val="lowerLetter"/>
      <w:start w:val="1"/>
    </w:lvl>
  </w:abstractNum>
  <w:abstractNum w:abstractNumId="248">
    <w:nsid w:val="2219B33"/>
    <w:multiLevelType w:val="hybridMultilevel"/>
    <w:lvl w:ilvl="0">
      <w:lvlJc w:val="left"/>
      <w:lvlText w:val="(%1)"/>
      <w:numFmt w:val="lowerLetter"/>
      <w:start w:val="3"/>
    </w:lvl>
  </w:abstractNum>
  <w:abstractNum w:abstractNumId="249">
    <w:nsid w:val="773BFBDD"/>
    <w:multiLevelType w:val="hybridMultilevel"/>
    <w:lvl w:ilvl="0">
      <w:lvlJc w:val="left"/>
      <w:lvlText w:val="(%1)"/>
      <w:numFmt w:val="lowerLetter"/>
      <w:start w:val="1"/>
    </w:lvl>
  </w:abstractNum>
  <w:abstractNum w:abstractNumId="250">
    <w:nsid w:val="2C7C62C2"/>
    <w:multiLevelType w:val="hybridMultilevel"/>
    <w:lvl w:ilvl="0">
      <w:lvlJc w:val="left"/>
      <w:lvlText w:val="(%1)"/>
      <w:numFmt w:val="lowerLetter"/>
      <w:start w:val="1"/>
    </w:lvl>
  </w:abstractNum>
  <w:abstractNum w:abstractNumId="251">
    <w:nsid w:val="1A54D7BC"/>
    <w:multiLevelType w:val="hybridMultilevel"/>
    <w:lvl w:ilvl="0">
      <w:lvlJc w:val="left"/>
      <w:lvlText w:val="(%1)"/>
      <w:numFmt w:val="lowerLetter"/>
      <w:start w:val="7"/>
    </w:lvl>
  </w:abstractNum>
  <w:abstractNum w:abstractNumId="252">
    <w:nsid w:val="42E57EF7"/>
    <w:multiLevelType w:val="hybridMultilevel"/>
    <w:lvl w:ilvl="0">
      <w:lvlJc w:val="left"/>
      <w:lvlText w:val="(%1)"/>
      <w:numFmt w:val="lowerLetter"/>
      <w:start w:val="11"/>
    </w:lvl>
  </w:abstractNum>
  <w:abstractNum w:abstractNumId="253">
    <w:nsid w:val="33537CED"/>
    <w:multiLevelType w:val="hybridMultilevel"/>
    <w:lvl w:ilvl="0">
      <w:lvlJc w:val="left"/>
      <w:lvlText w:val="(%1)"/>
      <w:numFmt w:val="lowerLetter"/>
      <w:start w:val="13"/>
    </w:lvl>
  </w:abstractNum>
  <w:abstractNum w:abstractNumId="254">
    <w:nsid w:val="27514ADE"/>
    <w:multiLevelType w:val="hybridMultilevel"/>
    <w:lvl w:ilvl="0">
      <w:lvlJc w:val="left"/>
      <w:lvlText w:val="(%1)"/>
      <w:numFmt w:val="upperLetter"/>
      <w:start w:val="3"/>
    </w:lvl>
    <w:lvl w:ilvl="1">
      <w:lvlJc w:val="left"/>
      <w:lvlText w:val="(%2)"/>
      <w:numFmt w:val="lowerLetter"/>
      <w:start w:val="16"/>
    </w:lvl>
  </w:abstractNum>
  <w:abstractNum w:abstractNumId="255">
    <w:nsid w:val="57071613"/>
    <w:multiLevelType w:val="hybridMultilevel"/>
    <w:lvl w:ilvl="0">
      <w:lvlJc w:val="left"/>
      <w:lvlText w:val="(%1)"/>
      <w:numFmt w:val="lowerRoman"/>
      <w:start w:val="10"/>
    </w:lvl>
  </w:abstractNum>
  <w:abstractNum w:abstractNumId="256">
    <w:nsid w:val="5293BFEF"/>
    <w:multiLevelType w:val="hybridMultilevel"/>
    <w:lvl w:ilvl="0">
      <w:lvlJc w:val="left"/>
      <w:lvlText w:val="(%1)"/>
      <w:numFmt w:val="lowerLetter"/>
      <w:start w:val="25"/>
    </w:lvl>
  </w:abstractNum>
  <w:abstractNum w:abstractNumId="257">
    <w:nsid w:val="38BF53E5"/>
    <w:multiLevelType w:val="hybridMultilevel"/>
    <w:lvl w:ilvl="0">
      <w:lvlJc w:val="left"/>
      <w:lvlText w:val="(%1)"/>
      <w:numFmt w:val="upperLetter"/>
      <w:start w:val="1"/>
    </w:lvl>
  </w:abstractNum>
  <w:abstractNum w:abstractNumId="258">
    <w:nsid w:val="226F5320"/>
    <w:multiLevelType w:val="hybridMultilevel"/>
    <w:lvl w:ilvl="0">
      <w:lvlJc w:val="left"/>
      <w:lvlText w:val="(%1)"/>
      <w:numFmt w:val="lowerRoman"/>
      <w:start w:val="1"/>
    </w:lvl>
  </w:abstractNum>
  <w:abstractNum w:abstractNumId="259">
    <w:nsid w:val="5A0201C7"/>
    <w:multiLevelType w:val="hybridMultilevel"/>
    <w:lvl w:ilvl="0">
      <w:lvlJc w:val="left"/>
      <w:lvlText w:val="(%1)"/>
      <w:numFmt w:val="lowerLetter"/>
      <w:start w:val="1"/>
    </w:lvl>
  </w:abstractNum>
  <w:abstractNum w:abstractNumId="260">
    <w:nsid w:val="2A9C34E2"/>
    <w:multiLevelType w:val="hybridMultilevel"/>
    <w:lvl w:ilvl="0">
      <w:lvlJc w:val="left"/>
      <w:lvlText w:val="(%1)"/>
      <w:numFmt w:val="lowerLetter"/>
      <w:start w:val="1"/>
    </w:lvl>
  </w:abstractNum>
  <w:abstractNum w:abstractNumId="261">
    <w:nsid w:val="1B7585AB"/>
    <w:multiLevelType w:val="hybridMultilevel"/>
    <w:lvl w:ilvl="0">
      <w:lvlJc w:val="left"/>
      <w:lvlText w:val="(%1)"/>
      <w:numFmt w:val="lowerRoman"/>
      <w:start w:val="2"/>
    </w:lvl>
  </w:abstractNum>
  <w:abstractNum w:abstractNumId="262">
    <w:nsid w:val="612DBDDD"/>
    <w:multiLevelType w:val="hybridMultilevel"/>
    <w:lvl w:ilvl="0">
      <w:lvlJc w:val="left"/>
      <w:lvlText w:val="(%1)"/>
      <w:numFmt w:val="lowerRoman"/>
      <w:start w:val="3"/>
    </w:lvl>
  </w:abstractNum>
  <w:abstractNum w:abstractNumId="263">
    <w:nsid w:val="2109CDA4"/>
    <w:multiLevelType w:val="hybridMultilevel"/>
    <w:lvl w:ilvl="0">
      <w:lvlJc w:val="left"/>
      <w:lvlText w:val="(%1)"/>
      <w:numFmt w:val="lowerRoman"/>
      <w:start w:val="7"/>
    </w:lvl>
  </w:abstractNum>
  <w:abstractNum w:abstractNumId="264">
    <w:nsid w:val="577F5A4D"/>
    <w:multiLevelType w:val="hybridMultilevel"/>
    <w:lvl w:ilvl="0">
      <w:lvlJc w:val="left"/>
      <w:lvlText w:val="(%1)"/>
      <w:numFmt w:val="upperLetter"/>
      <w:start w:val="1"/>
    </w:lvl>
  </w:abstractNum>
  <w:abstractNum w:abstractNumId="265">
    <w:nsid w:val="2121A81"/>
    <w:multiLevelType w:val="hybridMultilevel"/>
    <w:lvl w:ilvl="0">
      <w:lvlJc w:val="left"/>
      <w:lvlText w:val="(%1)"/>
      <w:numFmt w:val="upperLetter"/>
      <w:start w:val="2"/>
    </w:lvl>
  </w:abstractNum>
  <w:abstractNum w:abstractNumId="266">
    <w:nsid w:val="6C2CFC88"/>
    <w:multiLevelType w:val="hybridMultilevel"/>
    <w:lvl w:ilvl="0">
      <w:lvlJc w:val="left"/>
      <w:lvlText w:val="(%1)"/>
      <w:numFmt w:val="lowerLetter"/>
      <w:start w:val="3"/>
    </w:lvl>
  </w:abstractNum>
  <w:abstractNum w:abstractNumId="267">
    <w:nsid w:val="6D1BCF1C"/>
    <w:multiLevelType w:val="hybridMultilevel"/>
    <w:lvl w:ilvl="0">
      <w:lvlJc w:val="left"/>
      <w:lvlText w:val="(%1)"/>
      <w:numFmt w:val="lowerLetter"/>
      <w:start w:val="3"/>
    </w:lvl>
  </w:abstractNum>
  <w:abstractNum w:abstractNumId="268">
    <w:nsid w:val="4CE5CA53"/>
    <w:multiLevelType w:val="hybridMultilevel"/>
    <w:lvl w:ilvl="0">
      <w:lvlJc w:val="left"/>
      <w:lvlText w:val="(%1)"/>
      <w:numFmt w:val="lowerLetter"/>
      <w:start w:val="2"/>
    </w:lvl>
  </w:abstractNum>
  <w:abstractNum w:abstractNumId="269">
    <w:nsid w:val="29262D1A"/>
    <w:multiLevelType w:val="hybridMultilevel"/>
    <w:lvl w:ilvl="0">
      <w:lvlJc w:val="left"/>
      <w:lvlText w:val="(%1)"/>
      <w:numFmt w:val="lowerLetter"/>
      <w:start w:val="2"/>
    </w:lvl>
  </w:abstractNum>
  <w:abstractNum w:abstractNumId="270">
    <w:nsid w:val="557FB7EE"/>
    <w:multiLevelType w:val="hybridMultilevel"/>
    <w:lvl w:ilvl="0">
      <w:lvlJc w:val="left"/>
      <w:lvlText w:val="(%1)"/>
      <w:numFmt w:val="lowerRoman"/>
      <w:start w:val="4"/>
    </w:lvl>
    <w:lvl w:ilvl="1">
      <w:lvlJc w:val="left"/>
      <w:lvlText w:val="(%2)"/>
      <w:numFmt w:val="lowerLetter"/>
      <w:start w:val="3"/>
    </w:lvl>
  </w:abstractNum>
  <w:abstractNum w:abstractNumId="271">
    <w:nsid w:val="436F2BEB"/>
    <w:multiLevelType w:val="hybridMultilevel"/>
    <w:lvl w:ilvl="0">
      <w:lvlJc w:val="left"/>
      <w:lvlText w:val="(%1)"/>
      <w:numFmt w:val="lowerLetter"/>
      <w:start w:val="1"/>
    </w:lvl>
  </w:abstractNum>
  <w:abstractNum w:abstractNumId="272">
    <w:nsid w:val="6C8B4466"/>
    <w:multiLevelType w:val="hybridMultilevel"/>
    <w:lvl w:ilvl="0">
      <w:lvlJc w:val="left"/>
      <w:lvlText w:val="(%1)"/>
      <w:numFmt w:val="lowerLetter"/>
      <w:start w:val="5"/>
    </w:lvl>
  </w:abstractNum>
  <w:abstractNum w:abstractNumId="273">
    <w:nsid w:val="2006E424"/>
    <w:multiLevelType w:val="hybridMultilevel"/>
    <w:lvl w:ilvl="0">
      <w:lvlJc w:val="left"/>
      <w:lvlText w:val="(%1)"/>
      <w:numFmt w:val="lowerLetter"/>
      <w:start w:val="1"/>
    </w:lvl>
  </w:abstractNum>
  <w:abstractNum w:abstractNumId="274">
    <w:nsid w:val="20CC134C"/>
    <w:multiLevelType w:val="hybridMultilevel"/>
    <w:lvl w:ilvl="0">
      <w:lvlJc w:val="left"/>
      <w:lvlText w:val="(%1)"/>
      <w:numFmt w:val="lowerLetter"/>
      <w:start w:val="1"/>
    </w:lvl>
  </w:abstractNum>
  <w:abstractNum w:abstractNumId="275">
    <w:nsid w:val="95FC93B"/>
    <w:multiLevelType w:val="hybridMultilevel"/>
    <w:lvl w:ilvl="0">
      <w:lvlJc w:val="left"/>
      <w:lvlText w:val="(%1)"/>
      <w:numFmt w:val="lowerRoman"/>
      <w:start w:val="2"/>
    </w:lvl>
  </w:abstractNum>
  <w:abstractNum w:abstractNumId="276">
    <w:nsid w:val="41D74679"/>
    <w:multiLevelType w:val="hybridMultilevel"/>
    <w:lvl w:ilvl="0">
      <w:lvlJc w:val="left"/>
      <w:lvlText w:val="(%1)"/>
      <w:numFmt w:val="lowerRoman"/>
      <w:start w:val="4"/>
    </w:lvl>
  </w:abstractNum>
  <w:abstractNum w:abstractNumId="277">
    <w:nsid w:val="71E5621E"/>
    <w:multiLevelType w:val="hybridMultilevel"/>
    <w:lvl w:ilvl="0">
      <w:lvlJc w:val="left"/>
      <w:lvlText w:val="(%1)"/>
      <w:numFmt w:val="lowerLetter"/>
      <w:start w:val="1"/>
    </w:lvl>
  </w:abstractNum>
  <w:abstractNum w:abstractNumId="278">
    <w:nsid w:val="4E42B6A8"/>
    <w:multiLevelType w:val="hybridMultilevel"/>
    <w:lvl w:ilvl="0">
      <w:lvlJc w:val="left"/>
      <w:lvlText w:val="(%1)"/>
      <w:numFmt w:val="lowerLetter"/>
      <w:start w:val="1"/>
    </w:lvl>
  </w:abstractNum>
  <w:abstractNum w:abstractNumId="279">
    <w:nsid w:val="43F8E1AC"/>
    <w:multiLevelType w:val="hybridMultilevel"/>
    <w:lvl w:ilvl="0">
      <w:lvlJc w:val="left"/>
      <w:lvlText w:val="(%1)"/>
      <w:numFmt w:val="lowerLetter"/>
      <w:start w:val="1"/>
    </w:lvl>
  </w:abstractNum>
  <w:abstractNum w:abstractNumId="280">
    <w:nsid w:val="69215DFB"/>
    <w:multiLevelType w:val="hybridMultilevel"/>
    <w:lvl w:ilvl="0">
      <w:lvlJc w:val="left"/>
      <w:lvlText w:val="(%1)"/>
      <w:numFmt w:val="lowerLetter"/>
      <w:start w:val="1"/>
    </w:lvl>
  </w:abstractNum>
  <w:abstractNum w:abstractNumId="281">
    <w:nsid w:val="7ABF196A"/>
    <w:multiLevelType w:val="hybridMultilevel"/>
    <w:lvl w:ilvl="0">
      <w:lvlJc w:val="left"/>
      <w:lvlText w:val="(%1)"/>
      <w:numFmt w:val="lowerLetter"/>
      <w:start w:val="3"/>
    </w:lvl>
  </w:abstractNum>
  <w:abstractNum w:abstractNumId="282">
    <w:nsid w:val="5E4DB968"/>
    <w:multiLevelType w:val="hybridMultilevel"/>
    <w:lvl w:ilvl="0">
      <w:lvlJc w:val="left"/>
      <w:lvlText w:val="(%1)"/>
      <w:numFmt w:val="lowerLetter"/>
      <w:start w:val="1"/>
    </w:lvl>
  </w:abstractNum>
  <w:abstractNum w:abstractNumId="283">
    <w:nsid w:val="2C06DCF3"/>
    <w:multiLevelType w:val="hybridMultilevel"/>
    <w:lvl w:ilvl="0">
      <w:lvlJc w:val="left"/>
      <w:lvlText w:val="(%1)"/>
      <w:numFmt w:val="lowerLetter"/>
      <w:start w:val="1"/>
    </w:lvl>
  </w:abstractNum>
  <w:abstractNum w:abstractNumId="284">
    <w:nsid w:val="2E129658"/>
    <w:multiLevelType w:val="hybridMultilevel"/>
    <w:lvl w:ilvl="0">
      <w:lvlJc w:val="left"/>
      <w:lvlText w:val="(%1)"/>
      <w:numFmt w:val="lowerLetter"/>
      <w:start w:val="2"/>
    </w:lvl>
  </w:abstractNum>
  <w:abstractNum w:abstractNumId="285">
    <w:nsid w:val="59F0446"/>
    <w:multiLevelType w:val="hybridMultilevel"/>
    <w:lvl w:ilvl="0">
      <w:lvlJc w:val="left"/>
      <w:lvlText w:val="(%1)"/>
      <w:numFmt w:val="lowerLetter"/>
      <w:start w:val="1"/>
    </w:lvl>
    <w:lvl w:ilvl="1">
      <w:lvlJc w:val="left"/>
      <w:lvlText w:val="(%2)"/>
      <w:numFmt w:val="lowerLetter"/>
      <w:start w:val="9"/>
    </w:lvl>
  </w:abstractNum>
  <w:abstractNum w:abstractNumId="286">
    <w:nsid w:val="30DF306"/>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287">
    <w:nsid w:val="A656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88">
    <w:nsid w:val="3E5E582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89">
    <w:nsid w:val="257D4626"/>
    <w:multiLevelType w:val="hybridMultilevel"/>
    <w:lvl w:ilvl="0">
      <w:lvlJc w:val="left"/>
      <w:lvlText w:val="(%1)"/>
      <w:numFmt w:val="lowerLetter"/>
      <w:start w:val="4"/>
    </w:lvl>
  </w:abstractNum>
  <w:abstractNum w:abstractNumId="290">
    <w:nsid w:val="5AA8580E"/>
    <w:multiLevelType w:val="hybridMultilevel"/>
    <w:lvl w:ilvl="0">
      <w:lvlJc w:val="left"/>
      <w:lvlText w:val="(%1)"/>
      <w:numFmt w:val="lowerLetter"/>
      <w:start w:val="1"/>
    </w:lvl>
  </w:abstractNum>
  <w:abstractNum w:abstractNumId="291">
    <w:nsid w:val="68FA8D0D"/>
    <w:multiLevelType w:val="hybridMultilevel"/>
    <w:lvl w:ilvl="0">
      <w:lvlJc w:val="left"/>
      <w:lvlText w:val="(%1)"/>
      <w:numFmt w:val="lowerRoman"/>
      <w:start w:val="10"/>
    </w:lvl>
  </w:abstractNum>
  <w:abstractNum w:abstractNumId="292">
    <w:nsid w:val="40F2CBD2"/>
    <w:multiLevelType w:val="hybridMultilevel"/>
    <w:lvl w:ilvl="0">
      <w:lvlJc w:val="left"/>
      <w:lvlText w:val="%1"/>
      <w:numFmt w:val="lowerLetter"/>
      <w:start w:val="1"/>
    </w:lvl>
    <w:lvl w:ilvl="1">
      <w:lvlJc w:val="left"/>
      <w:lvlText w:val="(%2)"/>
      <w:numFmt w:val="lowerLetter"/>
      <w:start w:val="1"/>
    </w:lvl>
  </w:abstractNum>
  <w:abstractNum w:abstractNumId="293">
    <w:nsid w:val="3BD615EB"/>
    <w:multiLevelType w:val="hybridMultilevel"/>
    <w:lvl w:ilvl="0">
      <w:lvlJc w:val="left"/>
      <w:lvlText w:val="(%1)"/>
      <w:numFmt w:val="lowerLetter"/>
      <w:start w:val="35"/>
    </w:lvl>
    <w:lvl w:ilvl="1">
      <w:lvlJc w:val="left"/>
      <w:lvlText w:val="(%2)"/>
      <w:numFmt w:val="lowerLetter"/>
      <w:start w:val="2"/>
    </w:lvl>
  </w:abstractNum>
  <w:abstractNum w:abstractNumId="294">
    <w:nsid w:val="A045AB2"/>
    <w:multiLevelType w:val="hybridMultilevel"/>
    <w:lvl w:ilvl="0">
      <w:lvlJc w:val="left"/>
      <w:lvlText w:val="(%1)"/>
      <w:numFmt w:val="lowerLetter"/>
      <w:start w:val="3"/>
    </w:lvl>
  </w:abstractNum>
  <w:abstractNum w:abstractNumId="295">
    <w:nsid w:val="1872261F"/>
    <w:multiLevelType w:val="hybridMultilevel"/>
    <w:lvl w:ilvl="0">
      <w:lvlJc w:val="left"/>
      <w:lvlText w:val="(%1)"/>
      <w:numFmt w:val="lowerLetter"/>
      <w:start w:val="1"/>
    </w:lvl>
  </w:abstractNum>
  <w:abstractNum w:abstractNumId="296">
    <w:nsid w:val="3DE8306C"/>
    <w:multiLevelType w:val="hybridMultilevel"/>
    <w:lvl w:ilvl="0">
      <w:lvlJc w:val="left"/>
      <w:lvlText w:val="(%1)"/>
      <w:numFmt w:val="lowerRoman"/>
      <w:start w:val="1"/>
    </w:lvl>
    <w:lvl w:ilvl="1">
      <w:lvlJc w:val="left"/>
      <w:lvlText w:val="(%2)"/>
      <w:numFmt w:val="upperLetter"/>
      <w:start w:val="1"/>
    </w:lvl>
  </w:abstractNum>
  <w:abstractNum w:abstractNumId="297">
    <w:nsid w:val="763157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98">
    <w:nsid w:val="58DF53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99">
    <w:nsid w:val="ACDFAC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0">
    <w:nsid w:val="1F578454"/>
    <w:multiLevelType w:val="hybridMultilevel"/>
    <w:lvl w:ilvl="0">
      <w:lvlJc w:val="left"/>
      <w:lvlText w:val="(%1)"/>
      <w:numFmt w:val="upperLetter"/>
      <w:start w:val="4"/>
    </w:lvl>
    <w:lvl w:ilvl="1">
      <w:lvlJc w:val="left"/>
      <w:lvlText w:val="(%2)"/>
      <w:numFmt w:val="lowerRoman"/>
      <w:start w:val="2"/>
    </w:lvl>
  </w:abstractNum>
  <w:abstractNum w:abstractNumId="301">
    <w:nsid w:val="5B0DAD2A"/>
    <w:multiLevelType w:val="hybridMultilevel"/>
    <w:lvl w:ilvl="0">
      <w:lvlJc w:val="left"/>
      <w:lvlText w:val="%1"/>
      <w:numFmt w:val="lowerLetter"/>
      <w:start w:val="1"/>
    </w:lvl>
    <w:lvl w:ilvl="1">
      <w:lvlJc w:val="left"/>
      <w:lvlText w:val="(%2)"/>
      <w:numFmt w:val="lowerRoman"/>
      <w:start w:val="4"/>
    </w:lvl>
  </w:abstractNum>
  <w:abstractNum w:abstractNumId="302">
    <w:nsid w:val="4E3D26AB"/>
    <w:multiLevelType w:val="hybridMultilevel"/>
    <w:lvl w:ilvl="0">
      <w:lvlJc w:val="left"/>
      <w:lvlText w:val="(%1)"/>
      <w:numFmt w:val="lowerLetter"/>
      <w:start w:val="3"/>
    </w:lvl>
    <w:lvl w:ilvl="1">
      <w:lvlJc w:val="left"/>
      <w:lvlText w:val="(%2)"/>
      <w:numFmt w:val="lowerRoman"/>
      <w:start w:val="1"/>
    </w:lvl>
  </w:abstractNum>
  <w:abstractNum w:abstractNumId="303">
    <w:nsid w:val="BE2C8BA"/>
    <w:multiLevelType w:val="hybridMultilevel"/>
    <w:lvl w:ilvl="0">
      <w:lvlJc w:val="left"/>
      <w:lvlText w:val="(%1)"/>
      <w:numFmt w:val="lowerRoman"/>
      <w:start w:val="2"/>
    </w:lvl>
  </w:abstractNum>
  <w:abstractNum w:abstractNumId="304">
    <w:nsid w:val="7B14914E"/>
    <w:multiLevelType w:val="hybridMultilevel"/>
    <w:lvl w:ilvl="0">
      <w:lvlJc w:val="left"/>
      <w:lvlText w:val="%1"/>
      <w:numFmt w:val="lowerLetter"/>
      <w:start w:val="1"/>
    </w:lvl>
    <w:lvl w:ilvl="1">
      <w:lvlJc w:val="left"/>
      <w:lvlText w:val="(%2)"/>
      <w:numFmt w:val="lowerRoman"/>
      <w:start w:val="6"/>
    </w:lvl>
  </w:abstractNum>
  <w:abstractNum w:abstractNumId="305">
    <w:nsid w:val="6F0939F8"/>
    <w:multiLevelType w:val="hybridMultilevel"/>
    <w:lvl w:ilvl="0">
      <w:lvlJc w:val="left"/>
      <w:lvlText w:val="(%1)"/>
      <w:numFmt w:val="lowerLetter"/>
      <w:start w:val="4"/>
    </w:lvl>
    <w:lvl w:ilvl="1">
      <w:lvlJc w:val="left"/>
      <w:lvlText w:val="(%2)"/>
      <w:numFmt w:val="lowerRoman"/>
      <w:start w:val="1"/>
    </w:lvl>
  </w:abstractNum>
  <w:abstractNum w:abstractNumId="306">
    <w:nsid w:val="154291F6"/>
    <w:multiLevelType w:val="hybridMultilevel"/>
    <w:lvl w:ilvl="0">
      <w:lvlJc w:val="left"/>
      <w:lvlText w:val="(%1)"/>
      <w:numFmt w:val="lowerLetter"/>
      <w:start w:val="5"/>
    </w:lvl>
    <w:lvl w:ilvl="1">
      <w:lvlJc w:val="left"/>
      <w:lvlText w:val="(%2)"/>
      <w:numFmt w:val="lowerRoman"/>
      <w:start w:val="1"/>
    </w:lvl>
  </w:abstractNum>
  <w:abstractNum w:abstractNumId="307">
    <w:nsid w:val="3CEBD7C7"/>
    <w:multiLevelType w:val="hybridMultilevel"/>
    <w:lvl w:ilvl="0">
      <w:lvlJc w:val="left"/>
      <w:lvlText w:val="(%1)"/>
      <w:numFmt w:val="lowerLetter"/>
      <w:start w:val="6"/>
    </w:lvl>
  </w:abstractNum>
  <w:abstractNum w:abstractNumId="308">
    <w:nsid w:val="60EE9C16"/>
    <w:multiLevelType w:val="hybridMultilevel"/>
    <w:lvl w:ilvl="0">
      <w:lvlJc w:val="left"/>
      <w:lvlText w:val="(%1)"/>
      <w:numFmt w:val="lowerLetter"/>
      <w:start w:val="9"/>
    </w:lvl>
  </w:abstractNum>
  <w:abstractNum w:abstractNumId="309">
    <w:nsid w:val="6385489E"/>
    <w:multiLevelType w:val="hybridMultilevel"/>
    <w:lvl w:ilvl="0">
      <w:lvlJc w:val="left"/>
      <w:lvlText w:val="(%1)"/>
      <w:numFmt w:val="lowerLetter"/>
      <w:start w:val="12"/>
    </w:lvl>
  </w:abstractNum>
  <w:abstractNum w:abstractNumId="310">
    <w:nsid w:val="E4B973"/>
    <w:multiLevelType w:val="hybridMultilevel"/>
    <w:lvl w:ilvl="0">
      <w:lvlJc w:val="left"/>
      <w:lvlText w:val="(%1)"/>
      <w:numFmt w:val="lowerLetter"/>
      <w:start w:val="1"/>
    </w:lvl>
  </w:abstractNum>
  <w:abstractNum w:abstractNumId="311">
    <w:nsid w:val="4A0FFA11"/>
    <w:multiLevelType w:val="hybridMultilevel"/>
    <w:lvl w:ilvl="0">
      <w:lvlJc w:val="left"/>
      <w:lvlText w:val="(%1)"/>
      <w:numFmt w:val="lowerLetter"/>
      <w:start w:val="2"/>
    </w:lvl>
    <w:lvl w:ilvl="1">
      <w:lvlJc w:val="left"/>
      <w:lvlText w:val="(%2)"/>
      <w:numFmt w:val="lowerRoman"/>
      <w:start w:val="1"/>
    </w:lvl>
  </w:abstractNum>
  <w:abstractNum w:abstractNumId="312">
    <w:nsid w:val="5E446208"/>
    <w:multiLevelType w:val="hybridMultilevel"/>
    <w:lvl w:ilvl="0">
      <w:lvlJc w:val="left"/>
      <w:lvlText w:val="%1"/>
      <w:numFmt w:val="decimal"/>
      <w:start w:val="1"/>
    </w:lvl>
    <w:lvl w:ilvl="1">
      <w:lvlJc w:val="left"/>
      <w:lvlText w:val="(%2)"/>
      <w:numFmt w:val="lowerRoman"/>
      <w:start w:val="3"/>
    </w:lvl>
  </w:abstractNum>
  <w:abstractNum w:abstractNumId="313">
    <w:nsid w:val="5F3272DB"/>
    <w:multiLevelType w:val="hybridMultilevel"/>
    <w:lvl w:ilvl="0">
      <w:lvlJc w:val="left"/>
      <w:lvlText w:val="(%1)"/>
      <w:numFmt w:val="decimal"/>
      <w:start w:val="5"/>
    </w:lvl>
    <w:lvl w:ilvl="1">
      <w:lvlJc w:val="left"/>
      <w:lvlText w:val="(%2)"/>
      <w:numFmt w:val="lowerRoman"/>
      <w:start w:val="4"/>
    </w:lvl>
  </w:abstractNum>
  <w:abstractNum w:abstractNumId="314">
    <w:nsid w:val="7616D704"/>
    <w:multiLevelType w:val="hybridMultilevel"/>
    <w:lvl w:ilvl="0">
      <w:lvlJc w:val="left"/>
      <w:lvlText w:val="%1"/>
      <w:numFmt w:val="lowerRoman"/>
      <w:start w:val="1"/>
    </w:lvl>
    <w:lvl w:ilvl="1">
      <w:lvlJc w:val="left"/>
      <w:lvlText w:val="(%2)"/>
      <w:numFmt w:val="lowerRoman"/>
      <w:start w:val="5"/>
    </w:lvl>
  </w:abstractNum>
  <w:abstractNum w:abstractNumId="315">
    <w:nsid w:val="C56F860"/>
    <w:multiLevelType w:val="hybridMultilevel"/>
    <w:lvl w:ilvl="0">
      <w:lvlJc w:val="left"/>
      <w:lvlText w:val="(%1)"/>
      <w:numFmt w:val="lowerRoman"/>
      <w:start w:val="7"/>
    </w:lvl>
    <w:lvl w:ilvl="1">
      <w:lvlJc w:val="left"/>
      <w:lvlText w:val="(%2)"/>
      <w:numFmt w:val="lowerRoman"/>
      <w:start w:val="6"/>
    </w:lvl>
  </w:abstractNum>
  <w:abstractNum w:abstractNumId="316">
    <w:nsid w:val="64D17722"/>
    <w:multiLevelType w:val="hybridMultilevel"/>
    <w:lvl w:ilvl="0">
      <w:lvlJc w:val="left"/>
      <w:lvlText w:val="%1"/>
      <w:numFmt w:val="lowerRoman"/>
      <w:start w:val="1"/>
    </w:lvl>
    <w:lvl w:ilvl="1">
      <w:lvlJc w:val="left"/>
      <w:lvlText w:val="(%2)"/>
      <w:numFmt w:val="lowerRoman"/>
      <w:start w:val="7"/>
    </w:lvl>
  </w:abstractNum>
  <w:abstractNum w:abstractNumId="317">
    <w:nsid w:val="7924CA0A"/>
    <w:multiLevelType w:val="hybridMultilevel"/>
    <w:lvl w:ilvl="0">
      <w:lvlJc w:val="left"/>
      <w:lvlText w:val="(%1)"/>
      <w:numFmt w:val="lowerRoman"/>
      <w:start w:val="2"/>
    </w:lvl>
    <w:lvl w:ilvl="1">
      <w:lvlJc w:val="left"/>
      <w:lvlText w:val="%2"/>
      <w:numFmt w:val="lowerRoman"/>
      <w:start w:val="1"/>
    </w:lvl>
  </w:abstractNum>
  <w:abstractNum w:abstractNumId="318">
    <w:nsid w:val="CFD4EA7"/>
    <w:multiLevelType w:val="hybridMultilevel"/>
    <w:lvl w:ilvl="0">
      <w:lvlJc w:val="left"/>
      <w:lvlText w:val="(%1)"/>
      <w:numFmt w:val="lowerRoman"/>
      <w:start w:val="10"/>
    </w:lvl>
    <w:lvl w:ilvl="1">
      <w:lvlJc w:val="left"/>
      <w:lvlText w:val="%2"/>
      <w:numFmt w:val="lowerRoman"/>
      <w:start w:val="1"/>
    </w:lvl>
  </w:abstractNum>
  <w:abstractNum w:abstractNumId="319">
    <w:nsid w:val="232FCF4D"/>
    <w:multiLevelType w:val="hybridMultilevel"/>
    <w:lvl w:ilvl="0">
      <w:lvlJc w:val="left"/>
      <w:lvlText w:val="(%1)"/>
      <w:numFmt w:val="lowerLetter"/>
      <w:start w:val="2"/>
    </w:lvl>
    <w:lvl w:ilvl="1">
      <w:lvlJc w:val="left"/>
      <w:lvlText w:val="(%2)"/>
      <w:numFmt w:val="lowerRoman"/>
      <w:start w:val="1"/>
    </w:lvl>
  </w:abstractNum>
  <w:abstractNum w:abstractNumId="320">
    <w:nsid w:val="1EA21031"/>
    <w:multiLevelType w:val="hybridMultilevel"/>
    <w:lvl w:ilvl="0">
      <w:lvlJc w:val="left"/>
      <w:lvlText w:val="(%1)"/>
      <w:numFmt w:val="lowerLetter"/>
      <w:start w:val="1"/>
    </w:lvl>
  </w:abstractNum>
  <w:abstractNum w:abstractNumId="321">
    <w:nsid w:val="67A5A6B5"/>
    <w:multiLevelType w:val="hybridMultilevel"/>
    <w:lvl w:ilvl="0">
      <w:lvlJc w:val="left"/>
      <w:lvlText w:val="(%1)"/>
      <w:numFmt w:val="lowerLetter"/>
      <w:start w:val="2"/>
    </w:lvl>
  </w:abstractNum>
  <w:abstractNum w:abstractNumId="322">
    <w:nsid w:val="C2A5C5B"/>
    <w:multiLevelType w:val="hybridMultilevel"/>
    <w:lvl w:ilvl="0">
      <w:lvlJc w:val="left"/>
      <w:lvlText w:val="(%1)"/>
      <w:numFmt w:val="lowerLetter"/>
      <w:start w:val="1"/>
    </w:lvl>
    <w:lvl w:ilvl="1">
      <w:lvlJc w:val="left"/>
      <w:lvlText w:val="(%2)"/>
      <w:numFmt w:val="lowerLetter"/>
      <w:start w:val="35"/>
    </w:lvl>
  </w:abstractNum>
  <w:abstractNum w:abstractNumId="323">
    <w:nsid w:val="5F94DC03"/>
    <w:multiLevelType w:val="hybridMultilevel"/>
    <w:lvl w:ilvl="0">
      <w:lvlJc w:val="left"/>
      <w:lvlText w:val="(%1)"/>
      <w:numFmt w:val="lowerLetter"/>
      <w:start w:val="1"/>
    </w:lvl>
  </w:abstractNum>
  <w:abstractNum w:abstractNumId="324">
    <w:nsid w:val="237BBCA0"/>
    <w:multiLevelType w:val="hybridMultilevel"/>
    <w:lvl w:ilvl="0">
      <w:lvlJc w:val="left"/>
      <w:lvlText w:val="(%1)"/>
      <w:numFmt w:val="lowerLetter"/>
      <w:start w:val="3"/>
    </w:lvl>
  </w:abstractNum>
  <w:abstractNum w:abstractNumId="325">
    <w:nsid w:val="162EB70D"/>
    <w:multiLevelType w:val="hybridMultilevel"/>
    <w:lvl w:ilvl="0">
      <w:lvlJc w:val="left"/>
      <w:lvlText w:val="(%1)"/>
      <w:numFmt w:val="lowerLetter"/>
      <w:start w:val="1"/>
    </w:lvl>
  </w:abstractNum>
  <w:abstractNum w:abstractNumId="326">
    <w:nsid w:val="78070222"/>
    <w:multiLevelType w:val="hybridMultilevel"/>
    <w:lvl w:ilvl="0">
      <w:lvlJc w:val="left"/>
      <w:lvlText w:val="(%1)"/>
      <w:numFmt w:val="lowerLetter"/>
      <w:start w:val="2"/>
    </w:lvl>
  </w:abstractNum>
  <w:abstractNum w:abstractNumId="327">
    <w:nsid w:val="6163ED0D"/>
    <w:multiLevelType w:val="hybridMultilevel"/>
    <w:lvl w:ilvl="0">
      <w:lvlJc w:val="left"/>
      <w:lvlText w:val="(%1)"/>
      <w:numFmt w:val="lowerLetter"/>
      <w:start w:val="1"/>
    </w:lvl>
  </w:abstractNum>
  <w:abstractNum w:abstractNumId="328">
    <w:nsid w:val="C600E47"/>
    <w:multiLevelType w:val="hybridMultilevel"/>
    <w:lvl w:ilvl="0">
      <w:lvlJc w:val="left"/>
      <w:lvlText w:val="(%1)"/>
      <w:numFmt w:val="lowerLetter"/>
      <w:start w:val="2"/>
    </w:lvl>
  </w:abstractNum>
  <w:abstractNum w:abstractNumId="329">
    <w:nsid w:val="7D94F75D"/>
    <w:multiLevelType w:val="hybridMultilevel"/>
    <w:lvl w:ilvl="0">
      <w:lvlJc w:val="left"/>
      <w:lvlText w:val="(%1)"/>
      <w:numFmt w:val="lowerLetter"/>
      <w:start w:val="3"/>
    </w:lvl>
  </w:abstractNum>
  <w:abstractNum w:abstractNumId="330">
    <w:nsid w:val="6C31E7CD"/>
    <w:multiLevelType w:val="hybridMultilevel"/>
    <w:lvl w:ilvl="0">
      <w:lvlJc w:val="left"/>
      <w:lvlText w:val="(%1)"/>
      <w:numFmt w:val="lowerLetter"/>
      <w:start w:val="4"/>
    </w:lvl>
  </w:abstractNum>
  <w:abstractNum w:abstractNumId="331">
    <w:nsid w:val="2BB7929B"/>
    <w:multiLevelType w:val="hybridMultilevel"/>
    <w:lvl w:ilvl="0">
      <w:lvlJc w:val="left"/>
      <w:lvlText w:val="(%1)"/>
      <w:numFmt w:val="lowerRoman"/>
      <w:start w:val="2"/>
    </w:lvl>
    <w:lvl w:ilvl="1">
      <w:lvlJc w:val="left"/>
      <w:lvlText w:val="(%2)"/>
      <w:numFmt w:val="lowerRoman"/>
      <w:start w:val="1"/>
    </w:lvl>
  </w:abstractNum>
  <w:abstractNum w:abstractNumId="332">
    <w:nsid w:val="58A2A487"/>
    <w:multiLevelType w:val="hybridMultilevel"/>
    <w:lvl w:ilvl="0">
      <w:lvlJc w:val="left"/>
      <w:lvlText w:val="(%1)"/>
      <w:numFmt w:val="lowerRoman"/>
      <w:start w:val="2"/>
    </w:lvl>
  </w:abstractNum>
  <w:abstractNum w:abstractNumId="333">
    <w:nsid w:val="3A6F0E78"/>
    <w:multiLevelType w:val="hybridMultilevel"/>
    <w:lvl w:ilvl="0">
      <w:lvlJc w:val="left"/>
      <w:lvlText w:val="(%1)"/>
      <w:numFmt w:val="lowerLetter"/>
      <w:start w:val="1"/>
    </w:lvl>
  </w:abstractNum>
  <w:abstractNum w:abstractNumId="334">
    <w:nsid w:val="379A5B56"/>
    <w:multiLevelType w:val="hybridMultilevel"/>
    <w:lvl w:ilvl="0">
      <w:lvlJc w:val="left"/>
      <w:lvlText w:val="(%1)"/>
      <w:numFmt w:val="lowerLetter"/>
      <w:start w:val="3"/>
    </w:lvl>
    <w:lvl w:ilvl="1">
      <w:lvlJc w:val="left"/>
      <w:lvlText w:val="(%2)"/>
      <w:numFmt w:val="lowerRoman"/>
      <w:start w:val="1"/>
    </w:lvl>
  </w:abstractNum>
  <w:abstractNum w:abstractNumId="335">
    <w:nsid w:val="53B735D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36">
    <w:nsid w:val="29784870"/>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337">
    <w:nsid w:val="4CDCED4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38">
    <w:nsid w:val="10A30D9C"/>
    <w:multiLevelType w:val="hybridMultilevel"/>
    <w:lvl w:ilvl="0">
      <w:lvlJc w:val="left"/>
      <w:lvlText w:val="(%1)"/>
      <w:numFmt w:val="lowerLetter"/>
      <w:start w:val="6"/>
    </w:lvl>
  </w:abstractNum>
  <w:abstractNum w:abstractNumId="339">
    <w:nsid w:val="A66E486"/>
    <w:multiLevelType w:val="hybridMultilevel"/>
    <w:lvl w:ilvl="0">
      <w:lvlJc w:val="left"/>
      <w:lvlText w:val="(%1)"/>
      <w:numFmt w:val="lowerLetter"/>
      <w:start w:val="10"/>
    </w:lvl>
  </w:abstractNum>
  <w:abstractNum w:abstractNumId="340">
    <w:nsid w:val="306235EA"/>
    <w:multiLevelType w:val="hybridMultilevel"/>
    <w:lvl w:ilvl="0">
      <w:lvlJc w:val="left"/>
      <w:lvlText w:val="(%1)"/>
      <w:numFmt w:val="lowerLetter"/>
      <w:start w:val="1"/>
    </w:lvl>
  </w:abstractNum>
  <w:abstractNum w:abstractNumId="341">
    <w:nsid w:val="1187C70F"/>
    <w:multiLevelType w:val="hybridMultilevel"/>
    <w:lvl w:ilvl="0">
      <w:lvlJc w:val="left"/>
      <w:lvlText w:val="(%1)"/>
      <w:numFmt w:val="lowerLetter"/>
      <w:start w:val="4"/>
    </w:lvl>
  </w:abstractNum>
  <w:abstractNum w:abstractNumId="342">
    <w:nsid w:val="5476DE98"/>
    <w:multiLevelType w:val="hybridMultilevel"/>
    <w:lvl w:ilvl="0">
      <w:lvlJc w:val="left"/>
      <w:lvlText w:val="(%1)"/>
      <w:numFmt w:val="lowerLetter"/>
      <w:start w:val="1"/>
    </w:lvl>
    <w:lvl w:ilvl="1">
      <w:lvlJc w:val="left"/>
      <w:lvlText w:val="(%2)"/>
      <w:numFmt w:val="lowerRoman"/>
      <w:start w:val="1"/>
    </w:lvl>
  </w:abstractNum>
  <w:abstractNum w:abstractNumId="343">
    <w:nsid w:val="EA697F2"/>
    <w:multiLevelType w:val="hybridMultilevel"/>
    <w:lvl w:ilvl="0">
      <w:lvlJc w:val="left"/>
      <w:lvlText w:val="%1"/>
      <w:numFmt w:val="lowerLetter"/>
      <w:start w:val="1"/>
    </w:lvl>
    <w:lvl w:ilvl="1">
      <w:lvlJc w:val="left"/>
      <w:lvlText w:val="(%2)"/>
      <w:numFmt w:val="lowerRoman"/>
      <w:start w:val="3"/>
    </w:lvl>
  </w:abstractNum>
  <w:abstractNum w:abstractNumId="344">
    <w:nsid w:val="70BA39EB"/>
    <w:multiLevelType w:val="hybridMultilevel"/>
    <w:lvl w:ilvl="0">
      <w:lvlJc w:val="left"/>
      <w:lvlText w:val="(%1)"/>
      <w:numFmt w:val="lowerLetter"/>
      <w:start w:val="2"/>
    </w:lvl>
    <w:lvl w:ilvl="1">
      <w:lvlJc w:val="left"/>
      <w:lvlText w:val="%2"/>
      <w:numFmt w:val="lowerRoman"/>
      <w:start w:val="1"/>
    </w:lvl>
  </w:abstractNum>
  <w:abstractNum w:abstractNumId="345">
    <w:nsid w:val="4A8DB59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6">
    <w:nsid w:val="1AFD905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7">
    <w:nsid w:val="558BB1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348">
    <w:nsid w:val="43B27FA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49">
    <w:nsid w:val="27FADEFA"/>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350">
    <w:nsid w:val="78BB805A"/>
    <w:multiLevelType w:val="hybridMultilevel"/>
    <w:lvl w:ilvl="0">
      <w:lvlJc w:val="left"/>
      <w:lvlText w:val="(%1)"/>
      <w:numFmt w:val="lowerLetter"/>
      <w:start w:val="1"/>
    </w:lvl>
    <w:lvl w:ilvl="1">
      <w:lvlJc w:val="left"/>
      <w:lvlText w:val="(%2)"/>
      <w:numFmt w:val="lowerLetter"/>
      <w:start w:val="9"/>
    </w:lvl>
  </w:abstractNum>
  <w:abstractNum w:abstractNumId="351">
    <w:nsid w:val="62548FD8"/>
    <w:multiLevelType w:val="hybridMultilevel"/>
    <w:lvl w:ilvl="0">
      <w:lvlJc w:val="left"/>
      <w:lvlText w:val="(%1)"/>
      <w:numFmt w:val="lowerLetter"/>
      <w:start w:val="35"/>
    </w:lvl>
    <w:lvl w:ilvl="1">
      <w:lvlJc w:val="left"/>
      <w:lvlText w:val="(%2)"/>
      <w:numFmt w:val="lowerLetter"/>
      <w:start w:val="24"/>
    </w:lvl>
    <w:lvl w:ilvl="2">
      <w:lvlJc w:val="left"/>
      <w:lvlText w:val="(%3)"/>
      <w:numFmt w:val="upperLetter"/>
      <w:start w:val="1"/>
    </w:lvl>
  </w:abstractNum>
  <w:abstractNum w:abstractNumId="352">
    <w:nsid w:val="FA085B0"/>
    <w:multiLevelType w:val="hybridMultilevel"/>
    <w:lvl w:ilvl="0">
      <w:lvlJc w:val="left"/>
      <w:lvlText w:val="%1"/>
      <w:numFmt w:val="lowerLetter"/>
      <w:start w:val="1"/>
    </w:lvl>
    <w:lvl w:ilvl="1">
      <w:lvlJc w:val="left"/>
      <w:lvlText w:val="(%2)"/>
      <w:numFmt w:val="lowerLetter"/>
      <w:start w:val="61"/>
    </w:lvl>
  </w:abstractNum>
  <w:abstractNum w:abstractNumId="353">
    <w:nsid w:val="4E5DCB5"/>
    <w:multiLevelType w:val="hybridMultilevel"/>
    <w:lvl w:ilvl="0">
      <w:lvlJc w:val="left"/>
      <w:lvlText w:val="(%1)"/>
      <w:numFmt w:val="lowerLetter"/>
      <w:start w:val="4"/>
    </w:lvl>
    <w:lvl w:ilvl="1">
      <w:lvlJc w:val="left"/>
      <w:lvlText w:val="%2"/>
      <w:numFmt w:val="lowerLetter"/>
      <w:start w:val="1"/>
    </w:lvl>
  </w:abstractNum>
  <w:abstractNum w:abstractNumId="354">
    <w:nsid w:val="41E96BDB"/>
    <w:multiLevelType w:val="hybridMultilevel"/>
    <w:lvl w:ilvl="0">
      <w:lvlJc w:val="left"/>
      <w:lvlText w:val="(%1)"/>
      <w:numFmt w:val="lowerLetter"/>
      <w:start w:val="5"/>
    </w:lvl>
    <w:lvl w:ilvl="1">
      <w:lvlJc w:val="left"/>
      <w:lvlText w:val="(%2)"/>
      <w:numFmt w:val="lowerRoman"/>
      <w:start w:val="1"/>
    </w:lvl>
    <w:lvl w:ilvl="2">
      <w:lvlJc w:val="left"/>
      <w:lvlText w:val="(%3)"/>
      <w:numFmt w:val="decimal"/>
    </w:lvl>
    <w:lvl w:ilvl="3">
      <w:lvlJc w:val="left"/>
      <w:lvlText w:val="(%4)"/>
      <w:numFmt w:val="upperLetter"/>
      <w:start w:val="1"/>
    </w:lvl>
  </w:abstractNum>
  <w:abstractNum w:abstractNumId="355">
    <w:nsid w:val="331C4250"/>
    <w:multiLevelType w:val="hybridMultilevel"/>
    <w:lvl w:ilvl="0">
      <w:lvlJc w:val="left"/>
      <w:lvlText w:val="(%1)"/>
      <w:numFmt w:val="decimal"/>
      <w:start w:val="2"/>
    </w:lvl>
    <w:lvl w:ilvl="1">
      <w:lvlJc w:val="left"/>
      <w:lvlText w:val="(%2)"/>
      <w:numFmt w:val="upperLetter"/>
      <w:start w:val="3"/>
    </w:lvl>
    <w:lvl w:ilvl="2">
      <w:lvlJc w:val="left"/>
      <w:lvlText w:val="(%3)"/>
      <w:numFmt w:val="lowerLetter"/>
      <w:start w:val="24"/>
    </w:lvl>
  </w:abstractNum>
  <w:abstractNum w:abstractNumId="356">
    <w:nsid w:val="1B1493C2"/>
    <w:multiLevelType w:val="hybridMultilevel"/>
    <w:lvl w:ilvl="0">
      <w:lvlJc w:val="left"/>
      <w:lvlText w:val="(%1)"/>
      <w:numFmt w:val="lowerRoman"/>
      <w:start w:val="3"/>
    </w:lvl>
  </w:abstractNum>
  <w:abstractNum w:abstractNumId="357">
    <w:nsid w:val="39F06DFD"/>
    <w:multiLevelType w:val="hybridMultilevel"/>
    <w:lvl w:ilvl="0">
      <w:lvlJc w:val="left"/>
      <w:lvlText w:val="(%1)"/>
      <w:numFmt w:val="lowerRoman"/>
      <w:start w:val="4"/>
    </w:lvl>
  </w:abstractNum>
  <w:abstractNum w:abstractNumId="358">
    <w:nsid w:val="14802F5D"/>
    <w:multiLevelType w:val="hybridMultilevel"/>
    <w:lvl w:ilvl="0">
      <w:lvlJc w:val="left"/>
      <w:lvlText w:val="(%1)"/>
      <w:numFmt w:val="lowerLetter"/>
      <w:start w:val="6"/>
    </w:lvl>
  </w:abstractNum>
  <w:abstractNum w:abstractNumId="359">
    <w:nsid w:val="2774A209"/>
    <w:multiLevelType w:val="hybridMultilevel"/>
    <w:lvl w:ilvl="0">
      <w:lvlJc w:val="left"/>
      <w:lvlText w:val="(%1)"/>
      <w:numFmt w:val="lowerLetter"/>
      <w:start w:val="1"/>
    </w:lvl>
  </w:abstractNum>
  <w:abstractNum w:abstractNumId="360">
    <w:nsid w:val="3785655A"/>
    <w:multiLevelType w:val="hybridMultilevel"/>
    <w:lvl w:ilvl="0">
      <w:lvlJc w:val="left"/>
      <w:lvlText w:val="(%1)"/>
      <w:numFmt w:val="lowerLetter"/>
      <w:start w:val="1"/>
    </w:lvl>
    <w:lvl w:ilvl="1">
      <w:lvlJc w:val="left"/>
      <w:lvlText w:val="(%2)"/>
      <w:numFmt w:val="lowerRoman"/>
      <w:start w:val="1"/>
    </w:lvl>
  </w:abstractNum>
  <w:abstractNum w:abstractNumId="361">
    <w:nsid w:val="B2172A"/>
    <w:multiLevelType w:val="hybridMultilevel"/>
    <w:lvl w:ilvl="0">
      <w:lvlJc w:val="left"/>
      <w:lvlText w:val="(%1)"/>
      <w:numFmt w:val="lowerLetter"/>
      <w:start w:val="2"/>
    </w:lvl>
  </w:abstractNum>
  <w:abstractNum w:abstractNumId="362">
    <w:nsid w:val="532C34A5"/>
    <w:multiLevelType w:val="hybridMultilevel"/>
    <w:lvl w:ilvl="0">
      <w:lvlJc w:val="left"/>
      <w:lvlText w:val="(%1)"/>
      <w:numFmt w:val="lowerLetter"/>
      <w:start w:val="1"/>
    </w:lvl>
  </w:abstractNum>
  <w:abstractNum w:abstractNumId="363">
    <w:nsid w:val="102809E2"/>
    <w:multiLevelType w:val="hybridMultilevel"/>
    <w:lvl w:ilvl="0">
      <w:lvlJc w:val="left"/>
      <w:lvlText w:val="(%1)"/>
      <w:numFmt w:val="lowerLetter"/>
      <w:start w:val="1"/>
    </w:lvl>
  </w:abstractNum>
  <w:abstractNum w:abstractNumId="364">
    <w:nsid w:val="3B2125A3"/>
    <w:multiLevelType w:val="hybridMultilevel"/>
    <w:lvl w:ilvl="0">
      <w:lvlJc w:val="left"/>
      <w:lvlText w:val="(%1)"/>
      <w:numFmt w:val="lowerLetter"/>
      <w:start w:val="2"/>
    </w:lvl>
  </w:abstractNum>
  <w:abstractNum w:abstractNumId="365">
    <w:nsid w:val="AC68FFB"/>
    <w:multiLevelType w:val="hybridMultilevel"/>
    <w:lvl w:ilvl="0">
      <w:lvlJc w:val="left"/>
      <w:lvlText w:val="(%1)"/>
      <w:numFmt w:val="lowerLetter"/>
      <w:start w:val="1"/>
    </w:lvl>
  </w:abstractNum>
  <w:abstractNum w:abstractNumId="366">
    <w:nsid w:val="63DF3FB7"/>
    <w:multiLevelType w:val="hybridMultilevel"/>
    <w:lvl w:ilvl="0">
      <w:lvlJc w:val="left"/>
      <w:lvlText w:val="%1"/>
      <w:numFmt w:val="lowerLetter"/>
      <w:start w:val="1"/>
    </w:lvl>
    <w:lvl w:ilvl="1">
      <w:lvlJc w:val="left"/>
      <w:lvlText w:val="(%2)"/>
      <w:numFmt w:val="lowerLetter"/>
      <w:start w:val="3"/>
    </w:lvl>
  </w:abstractNum>
  <w:abstractNum w:abstractNumId="367">
    <w:nsid w:val="64996E13"/>
    <w:multiLevelType w:val="hybridMultilevel"/>
    <w:lvl w:ilvl="0">
      <w:lvlJc w:val="left"/>
      <w:lvlText w:val="(%1)"/>
      <w:numFmt w:val="lowerLetter"/>
      <w:start w:val="9"/>
    </w:lvl>
    <w:lvl w:ilvl="1">
      <w:lvlJc w:val="left"/>
      <w:lvlText w:val="(%2)"/>
      <w:numFmt w:val="lowerLetter"/>
      <w:start w:val="4"/>
    </w:lvl>
  </w:abstractNum>
  <w:abstractNum w:abstractNumId="368">
    <w:nsid w:val="57A37D47"/>
    <w:multiLevelType w:val="hybridMultilevel"/>
    <w:lvl w:ilvl="0">
      <w:lvlJc w:val="left"/>
      <w:lvlText w:val="(%1)"/>
      <w:numFmt w:val="lowerLetter"/>
      <w:start w:val="1"/>
    </w:lvl>
    <w:lvl w:ilvl="1">
      <w:lvlJc w:val="left"/>
      <w:lvlText w:val="(%2)"/>
      <w:numFmt w:val="lowerLetter"/>
      <w:start w:val="9"/>
    </w:lvl>
  </w:abstractNum>
  <w:abstractNum w:abstractNumId="369">
    <w:nsid w:val="74824D5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70">
    <w:nsid w:val="6F00529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1">
    <w:nsid w:val="805B331"/>
    <w:multiLevelType w:val="hybridMultilevel"/>
    <w:lvl w:ilvl="0">
      <w:lvlJc w:val="left"/>
      <w:lvlText w:val="(%1)"/>
      <w:numFmt w:val="lowerLetter"/>
      <w:start w:val="3"/>
    </w:lvl>
  </w:abstractNum>
  <w:abstractNum w:abstractNumId="372">
    <w:nsid w:val="60A1463"/>
    <w:multiLevelType w:val="hybridMultilevel"/>
    <w:lvl w:ilvl="0">
      <w:lvlJc w:val="left"/>
      <w:lvlText w:val="(%1)"/>
      <w:numFmt w:val="lowerLetter"/>
      <w:start w:val="11"/>
    </w:lvl>
  </w:abstractNum>
  <w:abstractNum w:abstractNumId="373">
    <w:nsid w:val="43773132"/>
    <w:multiLevelType w:val="hybridMultilevel"/>
    <w:lvl w:ilvl="0">
      <w:lvlJc w:val="left"/>
      <w:lvlText w:val="(%1)"/>
      <w:numFmt w:val="lowerLetter"/>
      <w:start w:val="1"/>
    </w:lvl>
  </w:abstractNum>
  <w:abstractNum w:abstractNumId="374">
    <w:nsid w:val="16AC4B23"/>
    <w:multiLevelType w:val="hybridMultilevel"/>
    <w:lvl w:ilvl="0">
      <w:lvlJc w:val="left"/>
      <w:lvlText w:val="(%1)"/>
      <w:numFmt w:val="lowerLetter"/>
      <w:start w:val="1"/>
    </w:lvl>
  </w:abstractNum>
  <w:abstractNum w:abstractNumId="375">
    <w:nsid w:val="76C44E4E"/>
    <w:multiLevelType w:val="hybridMultilevel"/>
    <w:lvl w:ilvl="0">
      <w:lvlJc w:val="left"/>
      <w:lvlText w:val="%1"/>
      <w:numFmt w:val="lowerLetter"/>
      <w:start w:val="1"/>
    </w:lvl>
    <w:lvl w:ilvl="1">
      <w:lvlJc w:val="left"/>
      <w:lvlText w:val="(%2)"/>
      <w:numFmt w:val="lowerLetter"/>
      <w:start w:val="1"/>
    </w:lvl>
  </w:abstractNum>
  <w:abstractNum w:abstractNumId="376">
    <w:nsid w:val="E04E6CE"/>
    <w:multiLevelType w:val="hybridMultilevel"/>
    <w:lvl w:ilvl="0">
      <w:lvlJc w:val="left"/>
      <w:lvlText w:val="(%1)"/>
      <w:numFmt w:val="lowerLetter"/>
      <w:start w:val="24"/>
    </w:lvl>
    <w:lvl w:ilvl="1">
      <w:lvlJc w:val="left"/>
      <w:lvlText w:val="%2"/>
      <w:numFmt w:val="lowerLetter"/>
      <w:start w:val="1"/>
    </w:lvl>
  </w:abstractNum>
  <w:abstractNum w:abstractNumId="377">
    <w:nsid w:val="31A9DB76"/>
    <w:multiLevelType w:val="hybridMultilevel"/>
    <w:lvl w:ilvl="0">
      <w:lvlJc w:val="left"/>
      <w:lvlText w:val="(%1)"/>
      <w:numFmt w:val="lowerLetter"/>
      <w:start w:val="4"/>
    </w:lvl>
  </w:abstractNum>
  <w:abstractNum w:abstractNumId="378">
    <w:nsid w:val="4C4FFF5B"/>
    <w:multiLevelType w:val="hybridMultilevel"/>
    <w:lvl w:ilvl="0">
      <w:lvlJc w:val="left"/>
      <w:lvlText w:val="(%1)"/>
      <w:numFmt w:val="lowerLetter"/>
      <w:start w:val="1"/>
    </w:lvl>
  </w:abstractNum>
  <w:abstractNum w:abstractNumId="379">
    <w:nsid w:val="51B76675"/>
    <w:multiLevelType w:val="hybridMultilevel"/>
    <w:lvl w:ilvl="0">
      <w:lvlJc w:val="left"/>
      <w:lvlText w:val="(%1)"/>
      <w:numFmt w:val="lowerLetter"/>
      <w:start w:val="2"/>
    </w:lvl>
  </w:abstractNum>
  <w:abstractNum w:abstractNumId="380">
    <w:nsid w:val="59A4BA71"/>
    <w:multiLevelType w:val="hybridMultilevel"/>
    <w:lvl w:ilvl="0">
      <w:lvlJc w:val="left"/>
      <w:lvlText w:val="(%1)"/>
      <w:numFmt w:val="lowerLetter"/>
      <w:start w:val="1"/>
    </w:lvl>
    <w:lvl w:ilvl="1">
      <w:lvlJc w:val="left"/>
      <w:lvlText w:val="(%2)"/>
      <w:numFmt w:val="lowerLetter"/>
      <w:start w:val="9"/>
    </w:lvl>
  </w:abstractNum>
  <w:abstractNum w:abstractNumId="381">
    <w:nsid w:val="450B7FB6"/>
    <w:multiLevelType w:val="hybridMultilevel"/>
    <w:lvl w:ilvl="0">
      <w:lvlJc w:val="left"/>
      <w:lvlText w:val="(%1)"/>
      <w:numFmt w:val="lowerRoman"/>
      <w:start w:val="2"/>
    </w:lvl>
  </w:abstractNum>
  <w:abstractNum w:abstractNumId="382">
    <w:nsid w:val="340BF64D"/>
    <w:multiLevelType w:val="hybridMultilevel"/>
    <w:lvl w:ilvl="0">
      <w:lvlJc w:val="left"/>
      <w:lvlText w:val="(%1)"/>
      <w:numFmt w:val="lowerRoman"/>
      <w:start w:val="1"/>
    </w:lvl>
  </w:abstractNum>
  <w:abstractNum w:abstractNumId="383">
    <w:nsid w:val="69454021"/>
    <w:multiLevelType w:val="hybridMultilevel"/>
    <w:lvl w:ilvl="0">
      <w:lvlJc w:val="left"/>
      <w:lvlText w:val="(%1)"/>
      <w:numFmt w:val="lowerLetter"/>
      <w:start w:val="1"/>
    </w:lvl>
  </w:abstractNum>
  <w:abstractNum w:abstractNumId="384">
    <w:nsid w:val="49F15C6B"/>
    <w:multiLevelType w:val="hybridMultilevel"/>
    <w:lvl w:ilvl="0">
      <w:lvlJc w:val="left"/>
      <w:lvlText w:val="(%1)"/>
      <w:numFmt w:val="lowerLetter"/>
      <w:start w:val="1"/>
    </w:lvl>
  </w:abstractNum>
  <w:abstractNum w:abstractNumId="385">
    <w:nsid w:val="75F56228"/>
    <w:multiLevelType w:val="hybridMultilevel"/>
    <w:lvl w:ilvl="0">
      <w:lvlJc w:val="left"/>
      <w:lvlText w:val="(%1)"/>
      <w:numFmt w:val="lowerLetter"/>
      <w:start w:val="1"/>
    </w:lvl>
  </w:abstractNum>
  <w:abstractNum w:abstractNumId="386">
    <w:nsid w:val="1C618271"/>
    <w:multiLevelType w:val="hybridMultilevel"/>
    <w:lvl w:ilvl="0">
      <w:lvlJc w:val="left"/>
      <w:lvlText w:val="(%1)"/>
      <w:numFmt w:val="upperLetter"/>
      <w:start w:val="35"/>
    </w:lvl>
  </w:abstractNum>
  <w:abstractNum w:abstractNumId="387">
    <w:nsid w:val="6505F02E"/>
    <w:multiLevelType w:val="hybridMultilevel"/>
    <w:lvl w:ilvl="0">
      <w:lvlJc w:val="left"/>
      <w:lvlText w:val="(%1)"/>
      <w:numFmt w:val="lowerLetter"/>
      <w:start w:val="2"/>
    </w:lvl>
  </w:abstractNum>
  <w:abstractNum w:abstractNumId="388">
    <w:nsid w:val="2FE5D025"/>
    <w:multiLevelType w:val="hybridMultilevel"/>
    <w:lvl w:ilvl="0">
      <w:lvlJc w:val="left"/>
      <w:lvlText w:val="(%1)"/>
      <w:numFmt w:val="lowerLetter"/>
      <w:start w:val="3"/>
    </w:lvl>
  </w:abstractNum>
  <w:abstractNum w:abstractNumId="389">
    <w:nsid w:val="30E1B1CF"/>
    <w:multiLevelType w:val="hybridMultilevel"/>
    <w:lvl w:ilvl="0">
      <w:lvlJc w:val="left"/>
      <w:lvlText w:val="(%1)"/>
      <w:numFmt w:val="lowerLetter"/>
      <w:start w:val="1"/>
    </w:lvl>
  </w:abstractNum>
  <w:abstractNum w:abstractNumId="390">
    <w:nsid w:val="C7A9237"/>
    <w:multiLevelType w:val="hybridMultilevel"/>
    <w:lvl w:ilvl="0">
      <w:lvlJc w:val="left"/>
      <w:lvlText w:val="(%1)"/>
      <w:numFmt w:val="lowerLetter"/>
      <w:start w:val="4"/>
    </w:lvl>
  </w:abstractNum>
  <w:abstractNum w:abstractNumId="391">
    <w:nsid w:val="676B3580"/>
    <w:multiLevelType w:val="hybridMultilevel"/>
    <w:lvl w:ilvl="0">
      <w:lvlJc w:val="left"/>
      <w:lvlText w:val="(%1)"/>
      <w:numFmt w:val="lowerLetter"/>
      <w:start w:val="1"/>
    </w:lvl>
  </w:abstractNum>
  <w:abstractNum w:abstractNumId="392">
    <w:nsid w:val="3193C8F9"/>
    <w:multiLevelType w:val="hybridMultilevel"/>
    <w:lvl w:ilvl="0">
      <w:lvlJc w:val="left"/>
      <w:lvlText w:val="(%1)"/>
      <w:numFmt w:val="lowerLetter"/>
      <w:start w:val="3"/>
    </w:lvl>
  </w:abstractNum>
  <w:abstractNum w:abstractNumId="393">
    <w:nsid w:val="5FA6C6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4">
    <w:nsid w:val="77933F62"/>
    <w:multiLevelType w:val="hybridMultilevel"/>
    <w:lvl w:ilvl="0">
      <w:lvlJc w:val="left"/>
      <w:lvlText w:val="%1"/>
      <w:numFmt w:val="lowerLetter"/>
      <w:start w:val="1"/>
    </w:lvl>
    <w:lvl w:ilvl="1">
      <w:lvlJc w:val="left"/>
      <w:lvlText w:val="(%2)"/>
      <w:numFmt w:val="lowerLetter"/>
      <w:start w:val="61"/>
    </w:lvl>
  </w:abstractNum>
  <w:abstractNum w:abstractNumId="395">
    <w:nsid w:val="6CB4EE9C"/>
    <w:multiLevelType w:val="hybridMultilevel"/>
    <w:lvl w:ilvl="0">
      <w:lvlJc w:val="left"/>
      <w:lvlText w:val="(%1)"/>
      <w:numFmt w:val="lowerLetter"/>
      <w:start w:val="2"/>
    </w:lvl>
    <w:lvl w:ilvl="1">
      <w:lvlJc w:val="left"/>
      <w:lvlText w:val="%2"/>
      <w:numFmt w:val="lowerLetter"/>
      <w:start w:val="1"/>
    </w:lvl>
  </w:abstractNum>
  <w:abstractNum w:abstractNumId="396">
    <w:nsid w:val="6A6D56D7"/>
    <w:multiLevelType w:val="hybridMultilevel"/>
    <w:lvl w:ilvl="0">
      <w:lvlJc w:val="left"/>
      <w:lvlText w:val="(%1)"/>
      <w:numFmt w:val="lowerLetter"/>
      <w:start w:val="1"/>
    </w:lvl>
  </w:abstractNum>
  <w:abstractNum w:abstractNumId="397">
    <w:nsid w:val="5B727F19"/>
    <w:multiLevelType w:val="hybridMultilevel"/>
    <w:lvl w:ilvl="0">
      <w:lvlJc w:val="left"/>
      <w:lvlText w:val="(%1)"/>
      <w:numFmt w:val="lowerLetter"/>
      <w:start w:val="3"/>
    </w:lvl>
  </w:abstractNum>
  <w:abstractNum w:abstractNumId="398">
    <w:nsid w:val="514E5CB0"/>
    <w:multiLevelType w:val="hybridMultilevel"/>
    <w:lvl w:ilvl="0">
      <w:lvlJc w:val="left"/>
      <w:lvlText w:val="(%1)"/>
      <w:numFmt w:val="lowerLetter"/>
      <w:start w:val="1"/>
    </w:lvl>
  </w:abstractNum>
  <w:abstractNum w:abstractNumId="399">
    <w:nsid w:val="4210D41E"/>
    <w:multiLevelType w:val="hybridMultilevel"/>
    <w:lvl w:ilvl="0">
      <w:lvlJc w:val="left"/>
      <w:lvlText w:val="(%1)"/>
      <w:numFmt w:val="lowerLetter"/>
      <w:start w:val="1"/>
    </w:lvl>
  </w:abstractNum>
  <w:abstractNum w:abstractNumId="400">
    <w:nsid w:val="4FF4CC6D"/>
    <w:multiLevelType w:val="hybridMultilevel"/>
    <w:lvl w:ilvl="0">
      <w:lvlJc w:val="left"/>
      <w:lvlText w:val="(%1)"/>
      <w:numFmt w:val="lowerLetter"/>
      <w:start w:val="3"/>
    </w:lvl>
  </w:abstractNum>
  <w:abstractNum w:abstractNumId="401">
    <w:nsid w:val="404EAF4A"/>
    <w:multiLevelType w:val="hybridMultilevel"/>
    <w:lvl w:ilvl="0">
      <w:lvlJc w:val="left"/>
      <w:lvlText w:val="(%1)"/>
      <w:numFmt w:val="lowerLetter"/>
      <w:start w:val="10"/>
    </w:lvl>
  </w:abstractNum>
  <w:abstractNum w:abstractNumId="402">
    <w:nsid w:val="4A16874F"/>
    <w:multiLevelType w:val="hybridMultilevel"/>
    <w:lvl w:ilvl="0">
      <w:lvlJc w:val="left"/>
      <w:lvlText w:val="(%1)"/>
      <w:numFmt w:val="lowerLetter"/>
      <w:start w:val="18"/>
    </w:lvl>
  </w:abstractNum>
  <w:abstractNum w:abstractNumId="403">
    <w:nsid w:val="55FEE0D1"/>
    <w:multiLevelType w:val="hybridMultilevel"/>
    <w:lvl w:ilvl="0">
      <w:lvlJc w:val="left"/>
      <w:lvlText w:val="(%1)"/>
      <w:numFmt w:val="lowerLetter"/>
      <w:start w:val="27"/>
    </w:lvl>
  </w:abstractNum>
  <w:abstractNum w:abstractNumId="404">
    <w:nsid w:val="3C5E07C"/>
    <w:multiLevelType w:val="hybridMultilevel"/>
    <w:lvl w:ilvl="0">
      <w:lvlJc w:val="left"/>
      <w:lvlText w:val="%1"/>
      <w:numFmt w:val="lowerLetter"/>
      <w:start w:val="1"/>
    </w:lvl>
    <w:lvl w:ilvl="1">
      <w:lvlJc w:val="left"/>
      <w:lvlText w:val="(%2)"/>
      <w:numFmt w:val="lowerLetter"/>
      <w:start w:val="1"/>
    </w:lvl>
  </w:abstractNum>
  <w:abstractNum w:abstractNumId="405">
    <w:nsid w:val="60C2D273"/>
    <w:multiLevelType w:val="hybridMultilevel"/>
    <w:lvl w:ilvl="0">
      <w:lvlJc w:val="left"/>
      <w:lvlText w:val="(%1)"/>
      <w:numFmt w:val="lowerLetter"/>
      <w:start w:val="35"/>
    </w:lvl>
    <w:lvl w:ilvl="1">
      <w:lvlJc w:val="left"/>
      <w:lvlText w:val="(%2)"/>
      <w:numFmt w:val="lowerLetter"/>
      <w:start w:val="3"/>
    </w:lvl>
  </w:abstractNum>
  <w:abstractNum w:abstractNumId="406">
    <w:nsid w:val="4CC32F1F"/>
    <w:multiLevelType w:val="hybridMultilevel"/>
    <w:lvl w:ilvl="0">
      <w:lvlJc w:val="left"/>
      <w:lvlText w:val="(%1)"/>
      <w:numFmt w:val="lowerLetter"/>
      <w:start w:val="24"/>
    </w:lvl>
    <w:lvl w:ilvl="1">
      <w:lvlJc w:val="left"/>
      <w:lvlText w:val="(%2)"/>
      <w:numFmt w:val="lowerLetter"/>
      <w:start w:val="4"/>
    </w:lvl>
  </w:abstractNum>
  <w:abstractNum w:abstractNumId="407">
    <w:nsid w:val="11CAC74A"/>
    <w:multiLevelType w:val="hybridMultilevel"/>
    <w:lvl w:ilvl="0">
      <w:lvlJc w:val="left"/>
      <w:lvlText w:val="(%1)"/>
      <w:numFmt w:val="lowerLetter"/>
      <w:start w:val="6"/>
    </w:lvl>
  </w:abstractNum>
  <w:abstractNum w:abstractNumId="408">
    <w:nsid w:val="126CADE9"/>
    <w:multiLevelType w:val="hybridMultilevel"/>
    <w:lvl w:ilvl="0">
      <w:lvlJc w:val="left"/>
      <w:lvlText w:val="(%1)"/>
      <w:numFmt w:val="lowerLetter"/>
      <w:start w:val="13"/>
    </w:lvl>
  </w:abstractNum>
  <w:abstractNum w:abstractNumId="409">
    <w:nsid w:val="19132E7B"/>
    <w:multiLevelType w:val="hybridMultilevel"/>
    <w:lvl w:ilvl="0">
      <w:lvlJc w:val="left"/>
      <w:lvlText w:val="(%1)"/>
      <w:numFmt w:val="lowerLetter"/>
      <w:start w:val="23"/>
    </w:lvl>
  </w:abstractNum>
  <w:abstractNum w:abstractNumId="410">
    <w:nsid w:val="63822DC0"/>
    <w:multiLevelType w:val="hybridMultilevel"/>
    <w:lvl w:ilvl="0">
      <w:lvlJc w:val="left"/>
      <w:lvlText w:val="(%1)"/>
      <w:numFmt w:val="lowerLetter"/>
      <w:start w:val="1"/>
    </w:lvl>
  </w:abstractNum>
  <w:abstractNum w:abstractNumId="411">
    <w:nsid w:val="6C11685A"/>
    <w:multiLevelType w:val="hybridMultilevel"/>
    <w:lvl w:ilvl="0">
      <w:lvlJc w:val="left"/>
      <w:lvlText w:val="(%1)"/>
      <w:numFmt w:val="lowerLetter"/>
      <w:start w:val="5"/>
    </w:lvl>
  </w:abstractNum>
  <w:abstractNum w:abstractNumId="412">
    <w:nsid w:val="5E1EAE31"/>
    <w:multiLevelType w:val="hybridMultilevel"/>
    <w:lvl w:ilvl="0">
      <w:lvlJc w:val="left"/>
      <w:lvlText w:val="(%1)"/>
      <w:numFmt w:val="lowerLetter"/>
      <w:start w:val="10"/>
    </w:lvl>
  </w:abstractNum>
  <w:abstractNum w:abstractNumId="413">
    <w:nsid w:val="178E240D"/>
    <w:multiLevelType w:val="hybridMultilevel"/>
    <w:lvl w:ilvl="0">
      <w:lvlJc w:val="left"/>
      <w:lvlText w:val="(%1)"/>
      <w:numFmt w:val="lowerLetter"/>
      <w:start w:val="14"/>
    </w:lvl>
    <w:lvl w:ilvl="1">
      <w:lvlJc w:val="left"/>
      <w:lvlText w:val="(%2)"/>
      <w:numFmt w:val="lowerRoman"/>
      <w:start w:val="1"/>
    </w:lvl>
  </w:abstractNum>
  <w:abstractNum w:abstractNumId="414">
    <w:nsid w:val="5556A87B"/>
    <w:multiLevelType w:val="hybridMultilevel"/>
    <w:lvl w:ilvl="0">
      <w:lvlJc w:val="left"/>
      <w:lvlText w:val="(%1)"/>
      <w:numFmt w:val="lowerRoman"/>
      <w:start w:val="4"/>
    </w:lvl>
  </w:abstractNum>
  <w:abstractNum w:abstractNumId="415">
    <w:nsid w:val="28100A9C"/>
    <w:multiLevelType w:val="hybridMultilevel"/>
    <w:lvl w:ilvl="0">
      <w:lvlJc w:val="left"/>
      <w:lvlText w:val="(%1)"/>
      <w:numFmt w:val="upperLetter"/>
      <w:start w:val="2"/>
    </w:lvl>
  </w:abstractNum>
  <w:abstractNum w:abstractNumId="416">
    <w:nsid w:val="D838636"/>
    <w:multiLevelType w:val="hybridMultilevel"/>
    <w:lvl w:ilvl="0">
      <w:lvlJc w:val="left"/>
      <w:lvlText w:val="%1"/>
      <w:numFmt w:val="lowerLetter"/>
      <w:start w:val="1"/>
    </w:lvl>
    <w:lvl w:ilvl="1">
      <w:lvlJc w:val="left"/>
      <w:lvlText w:val="(%2)"/>
      <w:numFmt w:val="lowerLetter"/>
      <w:start w:val="20"/>
    </w:lvl>
  </w:abstractNum>
  <w:abstractNum w:abstractNumId="417">
    <w:nsid w:val="71B82AED"/>
    <w:multiLevelType w:val="hybridMultilevel"/>
    <w:lvl w:ilvl="0">
      <w:lvlJc w:val="left"/>
      <w:lvlText w:val="(%1)"/>
      <w:numFmt w:val="lowerLetter"/>
      <w:start w:val="9"/>
    </w:lvl>
    <w:lvl w:ilvl="1">
      <w:lvlJc w:val="left"/>
      <w:lvlText w:val="(%2)"/>
      <w:numFmt w:val="lowerLetter"/>
      <w:start w:val="21"/>
    </w:lvl>
  </w:abstractNum>
  <w:abstractNum w:abstractNumId="418">
    <w:nsid w:val="D15FACA"/>
    <w:multiLevelType w:val="hybridMultilevel"/>
    <w:lvl w:ilvl="0">
      <w:lvlJc w:val="left"/>
      <w:lvlText w:val="(%1)"/>
      <w:numFmt w:val="lowerLetter"/>
      <w:start w:val="1"/>
    </w:lvl>
  </w:abstractNum>
  <w:abstractNum w:abstractNumId="419">
    <w:nsid w:val="3D69565B"/>
    <w:multiLevelType w:val="hybridMultilevel"/>
    <w:lvl w:ilvl="0">
      <w:lvlJc w:val="left"/>
      <w:lvlText w:val="(%1)"/>
      <w:numFmt w:val="lowerLetter"/>
      <w:start w:val="4"/>
    </w:lvl>
  </w:abstractNum>
  <w:abstractNum w:abstractNumId="420">
    <w:nsid w:val="2299DCBC"/>
    <w:multiLevelType w:val="hybridMultilevel"/>
    <w:lvl w:ilvl="0">
      <w:lvlJc w:val="left"/>
      <w:lvlText w:val="%1"/>
      <w:numFmt w:val="lowerLetter"/>
      <w:start w:val="1"/>
    </w:lvl>
    <w:lvl w:ilvl="1">
      <w:lvlJc w:val="left"/>
      <w:lvlText w:val="(%2)"/>
      <w:numFmt w:val="lowerLetter"/>
      <w:start w:val="1"/>
    </w:lvl>
  </w:abstractNum>
  <w:abstractNum w:abstractNumId="421">
    <w:nsid w:val="19908D02"/>
    <w:multiLevelType w:val="hybridMultilevel"/>
    <w:lvl w:ilvl="0">
      <w:lvlJc w:val="left"/>
      <w:lvlText w:val="(%1)"/>
      <w:numFmt w:val="lowerLetter"/>
      <w:start w:val="35"/>
    </w:lvl>
    <w:lvl w:ilvl="1">
      <w:lvlJc w:val="left"/>
      <w:lvlText w:val="(%2)"/>
      <w:numFmt w:val="lowerLetter"/>
      <w:start w:val="4"/>
    </w:lvl>
  </w:abstractNum>
  <w:abstractNum w:abstractNumId="422">
    <w:nsid w:val="24D48BDB"/>
    <w:multiLevelType w:val="hybridMultilevel"/>
    <w:lvl w:ilvl="0">
      <w:lvlJc w:val="left"/>
      <w:lvlText w:val="(%1)"/>
      <w:numFmt w:val="lowerLetter"/>
      <w:start w:val="35"/>
    </w:lvl>
    <w:lvl w:ilvl="1">
      <w:lvlJc w:val="left"/>
      <w:lvlText w:val="%2"/>
      <w:numFmt w:val="lowerLetter"/>
      <w:start w:val="1"/>
    </w:lvl>
  </w:abstractNum>
  <w:abstractNum w:abstractNumId="423">
    <w:nsid w:val="542DA5B5"/>
    <w:multiLevelType w:val="hybridMultilevel"/>
    <w:lvl w:ilvl="0">
      <w:lvlJc w:val="left"/>
      <w:lvlText w:val="%1"/>
      <w:numFmt w:val="lowerLetter"/>
      <w:start w:val="1"/>
    </w:lvl>
    <w:lvl w:ilvl="1">
      <w:lvlJc w:val="left"/>
      <w:lvlText w:val="(%2)"/>
      <w:numFmt w:val="lowerLetter"/>
      <w:start w:val="9"/>
    </w:lvl>
  </w:abstractNum>
  <w:abstractNum w:abstractNumId="424">
    <w:nsid w:val="793753DE"/>
    <w:multiLevelType w:val="hybridMultilevel"/>
    <w:lvl w:ilvl="0">
      <w:lvlJc w:val="left"/>
      <w:lvlText w:val="(%1)"/>
      <w:numFmt w:val="lowerLetter"/>
      <w:start w:val="61"/>
    </w:lvl>
    <w:lvl w:ilvl="1">
      <w:lvlJc w:val="left"/>
      <w:lvlText w:val="(%2)"/>
      <w:numFmt w:val="lowerLetter"/>
      <w:start w:val="11"/>
    </w:lvl>
  </w:abstractNum>
  <w:abstractNum w:abstractNumId="425">
    <w:nsid w:val="1C67CB3D"/>
    <w:multiLevelType w:val="hybridMultilevel"/>
    <w:lvl w:ilvl="0">
      <w:lvlJc w:val="left"/>
      <w:lvlText w:val="(%1)"/>
      <w:numFmt w:val="lowerLetter"/>
      <w:start w:val="12"/>
    </w:lvl>
  </w:abstractNum>
  <w:abstractNum w:abstractNumId="426">
    <w:nsid w:val="40E29452"/>
    <w:multiLevelType w:val="hybridMultilevel"/>
    <w:lvl w:ilvl="0">
      <w:lvlJc w:val="left"/>
      <w:lvlText w:val="%1"/>
      <w:numFmt w:val="lowerLetter"/>
      <w:start w:val="1"/>
    </w:lvl>
    <w:lvl w:ilvl="1">
      <w:lvlJc w:val="left"/>
      <w:lvlText w:val="(%2)"/>
      <w:numFmt w:val="lowerLetter"/>
      <w:start w:val="1"/>
    </w:lvl>
  </w:abstractNum>
  <w:abstractNum w:abstractNumId="427">
    <w:nsid w:val="63A4AAB6"/>
    <w:multiLevelType w:val="hybridMultilevel"/>
    <w:lvl w:ilvl="0">
      <w:lvlJc w:val="left"/>
      <w:lvlText w:val="(%1)"/>
      <w:numFmt w:val="lowerLetter"/>
      <w:start w:val="9"/>
    </w:lvl>
    <w:lvl w:ilvl="1">
      <w:lvlJc w:val="left"/>
      <w:lvlText w:val="%2"/>
      <w:numFmt w:val="lowerLetter"/>
      <w:start w:val="1"/>
    </w:lvl>
  </w:abstractNum>
  <w:abstractNum w:abstractNumId="428">
    <w:nsid w:val="77DA4A57"/>
    <w:multiLevelType w:val="hybridMultilevel"/>
    <w:lvl w:ilvl="0">
      <w:lvlJc w:val="left"/>
      <w:lvlText w:val="(%1)"/>
      <w:numFmt w:val="lowerLetter"/>
      <w:start w:val="6"/>
    </w:lvl>
  </w:abstractNum>
  <w:abstractNum w:abstractNumId="429">
    <w:nsid w:val="1230F102"/>
    <w:multiLevelType w:val="hybridMultilevel"/>
    <w:lvl w:ilvl="0">
      <w:lvlJc w:val="left"/>
      <w:lvlText w:val="(%1)"/>
      <w:numFmt w:val="lowerLetter"/>
      <w:start w:val="15"/>
    </w:lvl>
  </w:abstractNum>
  <w:abstractNum w:abstractNumId="430">
    <w:nsid w:val="25B57ED4"/>
    <w:multiLevelType w:val="hybridMultilevel"/>
    <w:lvl w:ilvl="0">
      <w:lvlJc w:val="left"/>
      <w:lvlText w:val="(%1)"/>
      <w:numFmt w:val="lowerLetter"/>
      <w:start w:val="19"/>
    </w:lvl>
  </w:abstractNum>
  <w:abstractNum w:abstractNumId="431">
    <w:nsid w:val="47CF16C4"/>
    <w:multiLevelType w:val="hybridMultilevel"/>
    <w:lvl w:ilvl="0">
      <w:lvlJc w:val="left"/>
      <w:lvlText w:val="(%1)"/>
      <w:numFmt w:val="lowerLetter"/>
      <w:start w:val="1"/>
    </w:lvl>
  </w:abstractNum>
  <w:abstractNum w:abstractNumId="432">
    <w:nsid w:val="527FA04C"/>
    <w:multiLevelType w:val="hybridMultilevel"/>
    <w:lvl w:ilvl="0">
      <w:lvlJc w:val="left"/>
      <w:lvlText w:val="(%1)"/>
      <w:numFmt w:val="lowerLetter"/>
      <w:start w:val="5"/>
    </w:lvl>
  </w:abstractNum>
  <w:abstractNum w:abstractNumId="433">
    <w:nsid w:val="6FCC0624"/>
    <w:multiLevelType w:val="hybridMultilevel"/>
    <w:lvl w:ilvl="0">
      <w:lvlJc w:val="left"/>
      <w:lvlText w:val="(%1)"/>
      <w:numFmt w:val="lowerLetter"/>
      <w:start w:val="15"/>
    </w:lvl>
  </w:abstractNum>
  <w:abstractNum w:abstractNumId="434">
    <w:nsid w:val="1DCDF795"/>
    <w:multiLevelType w:val="hybridMultilevel"/>
    <w:lvl w:ilvl="0">
      <w:lvlJc w:val="left"/>
      <w:lvlText w:val="(%1)"/>
      <w:numFmt w:val="decimal"/>
      <w:start w:val="1"/>
    </w:lvl>
  </w:abstractNum>
  <w:abstractNum w:abstractNumId="435">
    <w:nsid w:val="564580C8"/>
    <w:multiLevelType w:val="hybridMultilevel"/>
    <w:lvl w:ilvl="0">
      <w:lvlJc w:val="left"/>
      <w:lvlText w:val="(%1)"/>
      <w:numFmt w:val="decimal"/>
      <w:start w:val="7"/>
    </w:lvl>
  </w:abstractNum>
  <w:abstractNum w:abstractNumId="436">
    <w:nsid w:val="508ED897"/>
    <w:multiLevelType w:val="hybridMultilevel"/>
    <w:lvl w:ilvl="0">
      <w:lvlJc w:val="left"/>
      <w:lvlText w:val="(%1)"/>
      <w:numFmt w:val="lowerLetter"/>
      <w:start w:val="1"/>
    </w:lvl>
  </w:abstractNum>
  <w:abstractNum w:abstractNumId="437">
    <w:nsid w:val="6A9126B5"/>
    <w:multiLevelType w:val="hybridMultilevel"/>
    <w:lvl w:ilvl="0">
      <w:lvlJc w:val="left"/>
      <w:lvlText w:val="(%1)"/>
      <w:numFmt w:val="lowerLetter"/>
      <w:start w:val="2"/>
    </w:lvl>
  </w:abstractNum>
  <w:abstractNum w:abstractNumId="438">
    <w:nsid w:val="68104812"/>
    <w:multiLevelType w:val="hybridMultilevel"/>
    <w:lvl w:ilvl="0">
      <w:lvlJc w:val="left"/>
      <w:lvlText w:val="(%1)"/>
      <w:numFmt w:val="lowerLetter"/>
      <w:start w:val="1"/>
    </w:lvl>
  </w:abstractNum>
  <w:abstractNum w:abstractNumId="439">
    <w:nsid w:val="62FB8680"/>
    <w:multiLevelType w:val="hybridMultilevel"/>
    <w:lvl w:ilvl="0">
      <w:lvlJc w:val="left"/>
      <w:lvlText w:val="%1"/>
      <w:numFmt w:val="upperLetter"/>
      <w:start w:val="1"/>
    </w:lvl>
    <w:lvl w:ilvl="1">
      <w:lvlJc w:val="left"/>
      <w:lvlText w:val="(%2)"/>
      <w:numFmt w:val="lowerLetter"/>
      <w:start w:val="6"/>
    </w:lvl>
  </w:abstractNum>
  <w:abstractNum w:abstractNumId="440">
    <w:nsid w:val="3A45530"/>
    <w:multiLevelType w:val="hybridMultilevel"/>
    <w:lvl w:ilvl="0">
      <w:lvlJc w:val="left"/>
      <w:lvlText w:val="(%1)"/>
      <w:numFmt w:val="upperLetter"/>
      <w:start w:val="1"/>
    </w:lvl>
    <w:lvl w:ilvl="1">
      <w:lvlJc w:val="left"/>
      <w:lvlText w:val="%2"/>
      <w:numFmt w:val="lowerLetter"/>
      <w:start w:val="1"/>
    </w:lvl>
  </w:abstractNum>
  <w:abstractNum w:abstractNumId="441">
    <w:nsid w:val="4B9275D2"/>
    <w:multiLevelType w:val="hybridMultilevel"/>
    <w:lvl w:ilvl="0">
      <w:lvlJc w:val="left"/>
      <w:lvlText w:val="(%1)"/>
      <w:numFmt w:val="lowerLetter"/>
      <w:start w:val="9"/>
    </w:lvl>
  </w:abstractNum>
  <w:abstractNum w:abstractNumId="442">
    <w:nsid w:val="4F0CEEDB"/>
    <w:multiLevelType w:val="hybridMultilevel"/>
    <w:lvl w:ilvl="0">
      <w:lvlJc w:val="left"/>
      <w:lvlText w:val="(%1)"/>
      <w:numFmt w:val="lowerLetter"/>
      <w:start w:val="1"/>
    </w:lvl>
  </w:abstractNum>
  <w:abstractNum w:abstractNumId="443">
    <w:nsid w:val="61C30361"/>
    <w:multiLevelType w:val="hybridMultilevel"/>
    <w:lvl w:ilvl="0">
      <w:lvlJc w:val="left"/>
      <w:lvlText w:val="(%1)"/>
      <w:numFmt w:val="lowerLetter"/>
      <w:start w:val="1"/>
    </w:lvl>
  </w:abstractNum>
  <w:abstractNum w:abstractNumId="444">
    <w:nsid w:val="632099E0"/>
    <w:multiLevelType w:val="hybridMultilevel"/>
    <w:lvl w:ilvl="0">
      <w:lvlJc w:val="left"/>
      <w:lvlText w:val="(%1)"/>
      <w:numFmt w:val="lowerLetter"/>
      <w:start w:val="1"/>
    </w:lvl>
  </w:abstractNum>
  <w:abstractNum w:abstractNumId="445">
    <w:nsid w:val="24639756"/>
    <w:multiLevelType w:val="hybridMultilevel"/>
    <w:lvl w:ilvl="0">
      <w:lvlJc w:val="left"/>
      <w:lvlText w:val="(%1)"/>
      <w:numFmt w:val="lowerLetter"/>
      <w:start w:val="1"/>
    </w:lvl>
  </w:abstractNum>
  <w:abstractNum w:abstractNumId="446">
    <w:nsid w:val="9D30DFD"/>
    <w:multiLevelType w:val="hybridMultilevel"/>
    <w:lvl w:ilvl="0">
      <w:lvlJc w:val="left"/>
      <w:lvlText w:val="%1"/>
      <w:numFmt w:val="upperLetter"/>
      <w:start w:val="1"/>
    </w:lvl>
    <w:lvl w:ilvl="1">
      <w:lvlJc w:val="left"/>
      <w:lvlText w:val="(%2)"/>
      <w:numFmt w:val="lowerLetter"/>
      <w:start w:val="1"/>
    </w:lvl>
  </w:abstractNum>
  <w:abstractNum w:abstractNumId="447">
    <w:nsid w:val="70A42016"/>
    <w:multiLevelType w:val="hybridMultilevel"/>
    <w:lvl w:ilvl="0">
      <w:lvlJc w:val="left"/>
      <w:lvlText w:val="(%1)"/>
      <w:numFmt w:val="upperLetter"/>
      <w:start w:val="2"/>
    </w:lvl>
    <w:lvl w:ilvl="1">
      <w:lvlJc w:val="left"/>
      <w:lvlText w:val="%2"/>
      <w:numFmt w:val="lowerLetter"/>
      <w:start w:val="1"/>
    </w:lvl>
  </w:abstractNum>
  <w:abstractNum w:abstractNumId="448">
    <w:nsid w:val="161BC243"/>
    <w:multiLevelType w:val="hybridMultilevel"/>
    <w:lvl w:ilvl="0">
      <w:lvlJc w:val="left"/>
      <w:lvlText w:val="(%1)"/>
      <w:numFmt w:val="lowerLetter"/>
      <w:start w:val="3"/>
    </w:lvl>
  </w:abstractNum>
  <w:abstractNum w:abstractNumId="449">
    <w:nsid w:val="16E908C8"/>
    <w:multiLevelType w:val="hybridMultilevel"/>
    <w:lvl w:ilvl="0">
      <w:lvlJc w:val="left"/>
      <w:lvlText w:val="(%1)"/>
      <w:numFmt w:val="lowerLetter"/>
      <w:start w:val="1"/>
    </w:lvl>
    <w:lvl w:ilvl="1">
      <w:lvlJc w:val="left"/>
      <w:lvlText w:val="(%2)"/>
      <w:numFmt w:val="lowerRoman"/>
      <w:start w:val="1"/>
    </w:lvl>
  </w:abstractNum>
  <w:abstractNum w:abstractNumId="450">
    <w:nsid w:val="2E0D767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51">
    <w:nsid w:val="38B59EF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52">
    <w:nsid w:val="307995CA"/>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453">
    <w:nsid w:val="52E2024D"/>
    <w:multiLevelType w:val="hybridMultilevel"/>
    <w:lvl w:ilvl="0">
      <w:lvlJc w:val="left"/>
      <w:lvlText w:val="%1"/>
      <w:numFmt w:val="lowerLetter"/>
      <w:start w:val="1"/>
    </w:lvl>
    <w:lvl w:ilvl="1">
      <w:lvlJc w:val="left"/>
      <w:lvlText w:val="(%2)"/>
      <w:numFmt w:val="lowerLetter"/>
      <w:start w:val="1"/>
    </w:lvl>
  </w:abstractNum>
  <w:abstractNum w:abstractNumId="454">
    <w:nsid w:val="CE344B5"/>
    <w:multiLevelType w:val="hybridMultilevel"/>
    <w:lvl w:ilvl="0">
      <w:lvlJc w:val="left"/>
      <w:lvlText w:val="(%1)"/>
      <w:numFmt w:val="lowerLetter"/>
      <w:start w:val="24"/>
    </w:lvl>
    <w:lvl w:ilvl="1">
      <w:lvlJc w:val="left"/>
      <w:lvlText w:val="(%2)"/>
      <w:numFmt w:val="lowerLetter"/>
      <w:start w:val="6"/>
    </w:lvl>
  </w:abstractNum>
  <w:abstractNum w:abstractNumId="455">
    <w:nsid w:val="29B0E9A8"/>
    <w:multiLevelType w:val="hybridMultilevel"/>
    <w:lvl w:ilvl="0">
      <w:lvlJc w:val="left"/>
      <w:lvlText w:val="(%1)"/>
      <w:numFmt w:val="lowerLetter"/>
      <w:start w:val="8"/>
    </w:lvl>
  </w:abstractNum>
  <w:abstractNum w:abstractNumId="456">
    <w:nsid w:val="6F49CD8A"/>
    <w:multiLevelType w:val="hybridMultilevel"/>
    <w:lvl w:ilvl="0">
      <w:lvlJc w:val="left"/>
      <w:lvlText w:val="(%1)"/>
      <w:numFmt w:val="lowerLetter"/>
      <w:start w:val="1"/>
    </w:lvl>
    <w:lvl w:ilvl="1">
      <w:lvlJc w:val="left"/>
      <w:lvlText w:val="(%2)"/>
      <w:numFmt w:val="lowerRoman"/>
      <w:start w:val="1"/>
    </w:lvl>
  </w:abstractNum>
  <w:abstractNum w:abstractNumId="457">
    <w:nsid w:val="4DC5D907"/>
    <w:multiLevelType w:val="hybridMultilevel"/>
    <w:lvl w:ilvl="0">
      <w:lvlJc w:val="left"/>
      <w:lvlText w:val="(%1)"/>
      <w:numFmt w:val="lowerLetter"/>
      <w:start w:val="2"/>
    </w:lvl>
  </w:abstractNum>
  <w:abstractNum w:abstractNumId="458">
    <w:nsid w:val="D55945E"/>
    <w:multiLevelType w:val="hybridMultilevel"/>
    <w:lvl w:ilvl="0">
      <w:lvlJc w:val="left"/>
      <w:lvlText w:val="(%1)"/>
      <w:numFmt w:val="lowerRoman"/>
      <w:start w:val="2"/>
    </w:lvl>
  </w:abstractNum>
  <w:abstractNum w:abstractNumId="459">
    <w:nsid w:val="672417E1"/>
    <w:multiLevelType w:val="hybridMultilevel"/>
    <w:lvl w:ilvl="0">
      <w:lvlJc w:val="left"/>
      <w:lvlText w:val="(%1)"/>
      <w:numFmt w:val="lowerLetter"/>
      <w:start w:val="3"/>
    </w:lvl>
  </w:abstractNum>
  <w:abstractNum w:abstractNumId="460">
    <w:nsid w:val="5FF6CA09"/>
    <w:multiLevelType w:val="hybridMultilevel"/>
    <w:lvl w:ilvl="0">
      <w:lvlJc w:val="left"/>
      <w:lvlText w:val="(%1)"/>
      <w:numFmt w:val="lowerLetter"/>
      <w:start w:val="1"/>
    </w:lvl>
  </w:abstractNum>
  <w:abstractNum w:abstractNumId="461">
    <w:nsid w:val="330B1333"/>
    <w:multiLevelType w:val="hybridMultilevel"/>
    <w:lvl w:ilvl="0">
      <w:lvlJc w:val="left"/>
      <w:lvlText w:val="(%1)"/>
      <w:numFmt w:val="lowerLetter"/>
      <w:start w:val="2"/>
    </w:lvl>
  </w:abstractNum>
  <w:abstractNum w:abstractNumId="462">
    <w:nsid w:val="2EF32EA6"/>
    <w:multiLevelType w:val="hybridMultilevel"/>
    <w:lvl w:ilvl="0">
      <w:lvlJc w:val="left"/>
      <w:lvlText w:val="(%1)"/>
      <w:numFmt w:val="lowerLetter"/>
      <w:start w:val="3"/>
    </w:lvl>
  </w:abstractNum>
  <w:abstractNum w:abstractNumId="463">
    <w:nsid w:val="32766A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4">
    <w:nsid w:val="22D71957"/>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65">
    <w:nsid w:val="4CC1263B"/>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66">
    <w:nsid w:val="8BBEB1D"/>
    <w:multiLevelType w:val="hybridMultilevel"/>
    <w:lvl w:ilvl="0">
      <w:lvlJc w:val="left"/>
      <w:lvlText w:val="(%1)"/>
      <w:numFmt w:val="lowerRoman"/>
      <w:start w:val="4"/>
    </w:lvl>
    <w:lvl w:ilvl="1">
      <w:lvlJc w:val="left"/>
      <w:lvlText w:val="(%2)"/>
      <w:numFmt w:val="upperLetter"/>
      <w:start w:val="1"/>
    </w:lvl>
  </w:abstractNum>
  <w:abstractNum w:abstractNumId="467">
    <w:nsid w:val="7365F1EE"/>
    <w:multiLevelType w:val="hybridMultilevel"/>
    <w:lvl w:ilvl="0">
      <w:lvlJc w:val="left"/>
      <w:lvlText w:val="%1"/>
      <w:numFmt w:val="lowerRoman"/>
      <w:start w:val="1"/>
    </w:lvl>
    <w:lvl w:ilvl="1">
      <w:lvlJc w:val="left"/>
      <w:lvlText w:val="(%2)"/>
      <w:numFmt w:val="upperLetter"/>
      <w:start w:val="2"/>
    </w:lvl>
  </w:abstractNum>
  <w:abstractNum w:abstractNumId="468">
    <w:nsid w:val="37524CF0"/>
    <w:multiLevelType w:val="hybridMultilevel"/>
    <w:lvl w:ilvl="0">
      <w:lvlJc w:val="left"/>
      <w:lvlText w:val="(%1)"/>
      <w:numFmt w:val="lowerRoman"/>
      <w:start w:val="8"/>
    </w:lvl>
    <w:lvl w:ilvl="1">
      <w:lvlJc w:val="left"/>
      <w:lvlText w:val="%2"/>
      <w:numFmt w:val="upperLetter"/>
      <w:start w:val="1"/>
    </w:lvl>
  </w:abstractNum>
  <w:abstractNum w:abstractNumId="469">
    <w:nsid w:val="70CC332F"/>
    <w:multiLevelType w:val="hybridMultilevel"/>
    <w:lvl w:ilvl="0">
      <w:lvlJc w:val="left"/>
      <w:lvlText w:val="(%1)"/>
      <w:numFmt w:val="lowerLetter"/>
      <w:start w:val="4"/>
    </w:lvl>
    <w:lvl w:ilvl="1">
      <w:lvlJc w:val="left"/>
      <w:lvlText w:val="(%2)"/>
      <w:numFmt w:val="lowerLetter"/>
      <w:start w:val="3"/>
    </w:lvl>
  </w:abstractNum>
  <w:abstractNum w:abstractNumId="470">
    <w:nsid w:val="5661786E"/>
    <w:multiLevelType w:val="hybridMultilevel"/>
    <w:lvl w:ilvl="0">
      <w:lvlJc w:val="left"/>
      <w:lvlText w:val="(%1)"/>
      <w:numFmt w:val="lowerLetter"/>
      <w:start w:val="5"/>
    </w:lvl>
  </w:abstractNum>
  <w:abstractNum w:abstractNumId="471">
    <w:nsid w:val="3AF6A220"/>
    <w:multiLevelType w:val="hybridMultilevel"/>
    <w:lvl w:ilvl="0">
      <w:lvlJc w:val="left"/>
      <w:lvlText w:val="(%1)"/>
      <w:numFmt w:val="lowerLetter"/>
      <w:start w:val="7"/>
    </w:lvl>
    <w:lvl w:ilvl="1">
      <w:lvlJc w:val="left"/>
      <w:lvlText w:val="(%2)"/>
      <w:numFmt w:val="lowerRoman"/>
      <w:start w:val="1"/>
    </w:lvl>
  </w:abstractNum>
  <w:abstractNum w:abstractNumId="472">
    <w:nsid w:val="3C5EA902"/>
    <w:multiLevelType w:val="hybridMultilevel"/>
    <w:lvl w:ilvl="0">
      <w:lvlJc w:val="left"/>
      <w:lvlText w:val="%1"/>
      <w:numFmt w:val="lowerLetter"/>
      <w:start w:val="1"/>
    </w:lvl>
    <w:lvl w:ilvl="1">
      <w:lvlJc w:val="left"/>
      <w:lvlText w:val="(%2)"/>
      <w:numFmt w:val="lowerRoman"/>
      <w:start w:val="3"/>
    </w:lvl>
  </w:abstractNum>
  <w:abstractNum w:abstractNumId="473">
    <w:nsid w:val="256E6749"/>
    <w:multiLevelType w:val="hybridMultilevel"/>
    <w:lvl w:ilvl="0">
      <w:lvlJc w:val="left"/>
      <w:lvlText w:val="(%1)"/>
      <w:numFmt w:val="lowerLetter"/>
      <w:start w:val="24"/>
    </w:lvl>
    <w:lvl w:ilvl="1">
      <w:lvlJc w:val="left"/>
      <w:lvlText w:val="%2"/>
      <w:numFmt w:val="lowerRoman"/>
      <w:start w:val="1"/>
    </w:lvl>
  </w:abstractNum>
  <w:abstractNum w:abstractNumId="474">
    <w:nsid w:val="1CB9A581"/>
    <w:multiLevelType w:val="hybridMultilevel"/>
    <w:lvl w:ilvl="0">
      <w:lvlJc w:val="left"/>
      <w:lvlText w:val="(%1)"/>
      <w:numFmt w:val="lowerRoman"/>
      <w:start w:val="5"/>
    </w:lvl>
  </w:abstractNum>
  <w:abstractNum w:abstractNumId="475">
    <w:nsid w:val="1F7F42E2"/>
    <w:multiLevelType w:val="hybridMultilevel"/>
    <w:lvl w:ilvl="0">
      <w:lvlJc w:val="left"/>
      <w:lvlText w:val="(%1)"/>
      <w:numFmt w:val="lowerLetter"/>
      <w:start w:val="1"/>
    </w:lvl>
  </w:abstractNum>
  <w:abstractNum w:abstractNumId="476">
    <w:nsid w:val="49D1FEA0"/>
    <w:multiLevelType w:val="hybridMultilevel"/>
    <w:lvl w:ilvl="0">
      <w:lvlJc w:val="left"/>
      <w:lvlText w:val="(%1)"/>
      <w:numFmt w:val="lowerLetter"/>
      <w:start w:val="1"/>
    </w:lvl>
  </w:abstractNum>
  <w:abstractNum w:abstractNumId="477">
    <w:nsid w:val="268CB37F"/>
    <w:multiLevelType w:val="hybridMultilevel"/>
    <w:lvl w:ilvl="0">
      <w:lvlJc w:val="left"/>
      <w:lvlText w:val="(%1)"/>
      <w:numFmt w:val="lowerLetter"/>
      <w:start w:val="4"/>
    </w:lvl>
  </w:abstractNum>
  <w:abstractNum w:abstractNumId="478">
    <w:nsid w:val="102362F8"/>
    <w:multiLevelType w:val="hybridMultilevel"/>
    <w:lvl w:ilvl="0">
      <w:lvlJc w:val="left"/>
      <w:lvlText w:val="(%1)"/>
      <w:numFmt w:val="upperLetter"/>
      <w:start w:val="1"/>
    </w:lvl>
  </w:abstractNum>
  <w:abstractNum w:abstractNumId="479">
    <w:nsid w:val="5FEDC0E3"/>
    <w:multiLevelType w:val="hybridMultilevel"/>
    <w:lvl w:ilvl="0">
      <w:lvlJc w:val="left"/>
      <w:lvlText w:val="(%1)"/>
      <w:numFmt w:val="lowerRoman"/>
      <w:start w:val="1"/>
    </w:lvl>
  </w:abstractNum>
  <w:abstractNum w:abstractNumId="480">
    <w:nsid w:val="3D75BC47"/>
    <w:multiLevelType w:val="hybridMultilevel"/>
    <w:lvl w:ilvl="0">
      <w:lvlJc w:val="left"/>
      <w:lvlText w:val="(%1)"/>
      <w:numFmt w:val="lowerRoman"/>
      <w:start w:val="1"/>
    </w:lvl>
  </w:abstractNum>
  <w:abstractNum w:abstractNumId="481">
    <w:nsid w:val="3E30D969"/>
    <w:multiLevelType w:val="hybridMultilevel"/>
    <w:lvl w:ilvl="0">
      <w:lvlJc w:val="left"/>
      <w:lvlText w:val="(%1)"/>
      <w:numFmt w:val="lowerLetter"/>
      <w:start w:val="1"/>
    </w:lvl>
    <w:lvl w:ilvl="1">
      <w:lvlJc w:val="left"/>
      <w:lvlText w:val="(%2)"/>
      <w:numFmt w:val="lowerRoman"/>
      <w:start w:val="1"/>
    </w:lvl>
  </w:abstractNum>
  <w:abstractNum w:abstractNumId="482">
    <w:nsid w:val="18A35FE3"/>
    <w:multiLevelType w:val="hybridMultilevel"/>
    <w:lvl w:ilvl="0">
      <w:lvlJc w:val="left"/>
      <w:lvlText w:val="(%1)"/>
      <w:numFmt w:val="lowerRoman"/>
      <w:start w:val="3"/>
    </w:lvl>
  </w:abstractNum>
  <w:abstractNum w:abstractNumId="483">
    <w:nsid w:val="6DEF5211"/>
    <w:multiLevelType w:val="hybridMultilevel"/>
    <w:lvl w:ilvl="0">
      <w:lvlJc w:val="left"/>
      <w:lvlText w:val="(%1)"/>
      <w:numFmt w:val="lowerLetter"/>
      <w:start w:val="1"/>
    </w:lvl>
  </w:abstractNum>
  <w:abstractNum w:abstractNumId="484">
    <w:nsid w:val="1112DBB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2019-12-28T05:21:23Z</dcterms:created>
  <dcterms:modified xsi:type="dcterms:W3CDTF">2019-12-28T05:21:23Z</dcterms:modified>
</cp:coreProperties>
</file>