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October 11, 2019.</w:t>
      </w:r>
    </w:p>
    <w:p>
      <w:pPr>
        <w:spacing w:after="0" w:line="1"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333-233867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69215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2</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jc w:val="center"/>
        <w:ind w:right="-17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17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BellRing Brands,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640" w:type="dxa"/>
            <w:vAlign w:val="bottom"/>
          </w:tcPr>
          <w:p>
            <w:pPr>
              <w:jc w:val="center"/>
              <w:ind w:right="1079"/>
              <w:spacing w:after="0"/>
              <w:rPr>
                <w:sz w:val="20"/>
                <w:szCs w:val="20"/>
                <w:color w:val="auto"/>
              </w:rPr>
            </w:pPr>
            <w:r>
              <w:rPr>
                <w:rFonts w:ascii="Arial" w:cs="Arial" w:eastAsia="Arial" w:hAnsi="Arial"/>
                <w:sz w:val="14"/>
                <w:szCs w:val="14"/>
                <w:b w:val="1"/>
                <w:bCs w:val="1"/>
                <w:color w:val="auto"/>
                <w:w w:val="87"/>
              </w:rPr>
              <w:t>Delaware</w:t>
            </w:r>
          </w:p>
        </w:tc>
        <w:tc>
          <w:tcPr>
            <w:tcW w:w="382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2000</w:t>
            </w:r>
          </w:p>
        </w:tc>
        <w:tc>
          <w:tcPr>
            <w:tcW w:w="2140" w:type="dxa"/>
            <w:vAlign w:val="bottom"/>
          </w:tcPr>
          <w:p>
            <w:pPr>
              <w:jc w:val="center"/>
              <w:ind w:left="1159"/>
              <w:spacing w:after="0"/>
              <w:rPr>
                <w:sz w:val="20"/>
                <w:szCs w:val="20"/>
                <w:color w:val="auto"/>
              </w:rPr>
            </w:pPr>
            <w:r>
              <w:rPr>
                <w:rFonts w:ascii="Arial" w:cs="Arial" w:eastAsia="Arial" w:hAnsi="Arial"/>
                <w:sz w:val="14"/>
                <w:szCs w:val="14"/>
                <w:b w:val="1"/>
                <w:bCs w:val="1"/>
                <w:color w:val="auto"/>
                <w:w w:val="85"/>
              </w:rPr>
              <w:t>83-4096323</w:t>
            </w:r>
          </w:p>
        </w:tc>
      </w:tr>
      <w:tr>
        <w:trPr>
          <w:trHeight w:val="135"/>
        </w:trPr>
        <w:tc>
          <w:tcPr>
            <w:tcW w:w="2640" w:type="dxa"/>
            <w:vAlign w:val="bottom"/>
          </w:tcPr>
          <w:p>
            <w:pPr>
              <w:jc w:val="center"/>
              <w:ind w:right="107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2"/>
              </w:rPr>
              <w:t>(Primary Standard Industrial</w:t>
            </w:r>
          </w:p>
        </w:tc>
        <w:tc>
          <w:tcPr>
            <w:tcW w:w="214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2640" w:type="dxa"/>
            <w:vAlign w:val="bottom"/>
          </w:tcPr>
          <w:p>
            <w:pPr>
              <w:jc w:val="center"/>
              <w:ind w:right="105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Classification Code Number)</w:t>
            </w:r>
          </w:p>
        </w:tc>
        <w:tc>
          <w:tcPr>
            <w:tcW w:w="2140" w:type="dxa"/>
            <w:vAlign w:val="bottom"/>
          </w:tcPr>
          <w:p>
            <w:pPr>
              <w:jc w:val="center"/>
              <w:ind w:left="1159"/>
              <w:spacing w:after="0"/>
              <w:rPr>
                <w:sz w:val="20"/>
                <w:szCs w:val="20"/>
                <w:color w:val="auto"/>
              </w:rPr>
            </w:pPr>
            <w:r>
              <w:rPr>
                <w:rFonts w:ascii="Arial" w:cs="Arial" w:eastAsia="Arial" w:hAnsi="Arial"/>
                <w:sz w:val="12"/>
                <w:szCs w:val="12"/>
                <w:b w:val="1"/>
                <w:bCs w:val="1"/>
                <w:color w:val="auto"/>
                <w:w w:val="90"/>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2503 S. Hanley Road</w:t>
      </w:r>
    </w:p>
    <w:p>
      <w:pPr>
        <w:jc w:val="center"/>
        <w:ind w:right="-179"/>
        <w:spacing w:after="0" w:line="223"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6" w:lineRule="auto"/>
        <w:rPr>
          <w:sz w:val="20"/>
          <w:szCs w:val="20"/>
          <w:color w:val="auto"/>
        </w:rPr>
      </w:pPr>
      <w:r>
        <w:rPr>
          <w:rFonts w:ascii="Arial" w:cs="Arial" w:eastAsia="Arial" w:hAnsi="Arial"/>
          <w:sz w:val="14"/>
          <w:szCs w:val="14"/>
          <w:b w:val="1"/>
          <w:bCs w:val="1"/>
          <w:color w:val="auto"/>
        </w:rPr>
        <w:t>(314) 644-7600</w:t>
      </w:r>
    </w:p>
    <w:p>
      <w:pPr>
        <w:jc w:val="center"/>
        <w:ind w:right="-17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Darcy Horn Davenport</w:t>
      </w:r>
    </w:p>
    <w:p>
      <w:pPr>
        <w:jc w:val="center"/>
        <w:ind w:right="-17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BellRing Brands, Inc.</w:t>
      </w:r>
    </w:p>
    <w:p>
      <w:pPr>
        <w:jc w:val="center"/>
        <w:ind w:right="-179"/>
        <w:spacing w:after="0" w:line="221" w:lineRule="auto"/>
        <w:rPr>
          <w:sz w:val="20"/>
          <w:szCs w:val="20"/>
          <w:color w:val="auto"/>
        </w:rPr>
      </w:pPr>
      <w:r>
        <w:rPr>
          <w:rFonts w:ascii="Arial" w:cs="Arial" w:eastAsia="Arial" w:hAnsi="Arial"/>
          <w:sz w:val="14"/>
          <w:szCs w:val="14"/>
          <w:b w:val="1"/>
          <w:bCs w:val="1"/>
          <w:color w:val="auto"/>
        </w:rPr>
        <w:t>2503 S. Hanley Road</w:t>
      </w:r>
    </w:p>
    <w:p>
      <w:pPr>
        <w:jc w:val="center"/>
        <w:ind w:right="-179"/>
        <w:spacing w:after="0" w:line="222"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5" w:lineRule="auto"/>
        <w:rPr>
          <w:sz w:val="20"/>
          <w:szCs w:val="20"/>
          <w:color w:val="auto"/>
        </w:rPr>
      </w:pPr>
      <w:r>
        <w:rPr>
          <w:rFonts w:ascii="Arial" w:cs="Arial" w:eastAsia="Arial" w:hAnsi="Arial"/>
          <w:sz w:val="14"/>
          <w:szCs w:val="14"/>
          <w:b w:val="1"/>
          <w:bCs w:val="1"/>
          <w:color w:val="auto"/>
        </w:rPr>
        <w:t>Telephone: (314) 644-7600</w:t>
      </w:r>
    </w:p>
    <w:p>
      <w:pPr>
        <w:jc w:val="center"/>
        <w:ind w:right="-17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346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Copies to:</w:t>
            </w:r>
          </w:p>
        </w:tc>
        <w:tc>
          <w:tcPr>
            <w:tcW w:w="2880" w:type="dxa"/>
            <w:vAlign w:val="bottom"/>
          </w:tcPr>
          <w:p>
            <w:pPr>
              <w:spacing w:after="0"/>
              <w:rPr>
                <w:sz w:val="14"/>
                <w:szCs w:val="14"/>
                <w:color w:val="auto"/>
              </w:rPr>
            </w:pPr>
          </w:p>
        </w:tc>
      </w:tr>
      <w:tr>
        <w:trPr>
          <w:trHeight w:val="190"/>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Tom W. Zook</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0"/>
              </w:rPr>
              <w:t>Diedre J. Gray</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Ian D. Schuman</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Lewis Rice LLC</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Post Holdings, Inc.</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Benjamin D. Stern</w:t>
            </w:r>
          </w:p>
        </w:tc>
      </w:tr>
      <w:tr>
        <w:trPr>
          <w:trHeight w:val="149"/>
        </w:trPr>
        <w:tc>
          <w:tcPr>
            <w:tcW w:w="3020" w:type="dxa"/>
            <w:vAlign w:val="bottom"/>
          </w:tcPr>
          <w:p>
            <w:pPr>
              <w:jc w:val="center"/>
              <w:ind w:right="912"/>
              <w:spacing w:after="0" w:line="149" w:lineRule="exact"/>
              <w:rPr>
                <w:sz w:val="20"/>
                <w:szCs w:val="20"/>
                <w:color w:val="auto"/>
              </w:rPr>
            </w:pPr>
            <w:r>
              <w:rPr>
                <w:rFonts w:ascii="Arial" w:cs="Arial" w:eastAsia="Arial" w:hAnsi="Arial"/>
                <w:sz w:val="14"/>
                <w:szCs w:val="14"/>
                <w:b w:val="1"/>
                <w:bCs w:val="1"/>
                <w:color w:val="auto"/>
                <w:w w:val="85"/>
              </w:rPr>
              <w:t>600 Washington Avenue, Suite 2500</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2503 S. Hanley Road</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7"/>
              </w:rPr>
              <w:t>St. Louis, Missouri 63101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 Louis, Missouri 63144</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6"/>
              </w:rPr>
              <w:t>Telephone: (314) 444-7671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Telephone: (314) 644-7600</w:t>
            </w:r>
          </w:p>
        </w:tc>
        <w:tc>
          <w:tcPr>
            <w:tcW w:w="2880" w:type="dxa"/>
            <w:vAlign w:val="bottom"/>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New York, New York 10022-4834</w:t>
            </w:r>
          </w:p>
        </w:tc>
      </w:tr>
      <w:tr>
        <w:trPr>
          <w:trHeight w:val="174"/>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Fax: (314) 612-7671</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8"/>
              </w:rPr>
              <w:t>Fax: (314) 646-3367</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19"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90" w:lineRule="exact"/>
        <w:rPr>
          <w:sz w:val="24"/>
          <w:szCs w:val="24"/>
          <w:color w:val="auto"/>
        </w:rPr>
      </w:pPr>
    </w:p>
    <w:p>
      <w:pPr>
        <w:ind w:left="200" w:right="120" w:firstLine="331"/>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600" w:firstLine="331"/>
        <w:spacing w:after="0" w:line="29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58"/>
        </w:trPr>
        <w:tc>
          <w:tcPr>
            <w:tcW w:w="1560" w:type="dxa"/>
            <w:vAlign w:val="bottom"/>
          </w:tcPr>
          <w:p>
            <w:pPr>
              <w:spacing w:after="0" w:line="158" w:lineRule="exact"/>
              <w:rPr>
                <w:sz w:val="20"/>
                <w:szCs w:val="20"/>
                <w:color w:val="auto"/>
              </w:rPr>
            </w:pPr>
            <w:r>
              <w:rPr>
                <w:rFonts w:ascii="Arial" w:cs="Arial" w:eastAsia="Arial" w:hAnsi="Arial"/>
                <w:sz w:val="14"/>
                <w:szCs w:val="14"/>
                <w:color w:val="auto"/>
              </w:rPr>
              <w:t>Large 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58" w:lineRule="exact"/>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49" w:lineRule="exact"/>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80" w:type="dxa"/>
            <w:vAlign w:val="bottom"/>
          </w:tcPr>
          <w:p>
            <w:pPr>
              <w:ind w:left="33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 w:lineRule="exact"/>
        <w:rPr>
          <w:sz w:val="24"/>
          <w:szCs w:val="24"/>
          <w:color w:val="auto"/>
        </w:rPr>
      </w:pPr>
    </w:p>
    <w:p>
      <w:pPr>
        <w:ind w:left="200" w:right="160" w:firstLine="331"/>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69215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4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7"/>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86"/>
              </w:rPr>
              <w:t>Proposed</w:t>
            </w:r>
          </w:p>
        </w:tc>
        <w:tc>
          <w:tcPr>
            <w:tcW w:w="18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354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Proposed Maximum</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3"/>
              </w:rPr>
              <w:t>Maximum</w:t>
            </w:r>
          </w:p>
        </w:tc>
        <w:tc>
          <w:tcPr>
            <w:tcW w:w="18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Amount to be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0"/>
              </w:rPr>
              <w:t>Offering Price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Aggregate</w:t>
            </w:r>
          </w:p>
        </w:tc>
        <w:tc>
          <w:tcPr>
            <w:tcW w:w="186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9"/>
              </w:rPr>
              <w:t>Amount of</w:t>
            </w:r>
          </w:p>
        </w:tc>
      </w:tr>
      <w:tr>
        <w:trPr>
          <w:trHeight w:val="157"/>
        </w:trPr>
        <w:tc>
          <w:tcPr>
            <w:tcW w:w="20" w:type="dxa"/>
            <w:vAlign w:val="bottom"/>
          </w:tcPr>
          <w:p>
            <w:pPr>
              <w:spacing w:after="0"/>
              <w:rPr>
                <w:sz w:val="13"/>
                <w:szCs w:val="13"/>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9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90"/>
              </w:rPr>
              <w:t>Registered</w:t>
            </w:r>
            <w:r>
              <w:rPr>
                <w:rFonts w:ascii="Arial" w:cs="Arial" w:eastAsia="Arial" w:hAnsi="Arial"/>
                <w:sz w:val="9"/>
                <w:szCs w:val="9"/>
                <w:b w:val="1"/>
                <w:bCs w:val="1"/>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Per Share</w:t>
            </w:r>
            <w:r>
              <w:rPr>
                <w:rFonts w:ascii="Arial" w:cs="Arial" w:eastAsia="Arial" w:hAnsi="Arial"/>
                <w:sz w:val="9"/>
                <w:szCs w:val="9"/>
                <w:b w:val="1"/>
                <w:bCs w:val="1"/>
                <w:color w:val="auto"/>
                <w:w w:val="89"/>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Offering Price</w:t>
            </w:r>
            <w:r>
              <w:rPr>
                <w:rFonts w:ascii="Arial" w:cs="Arial" w:eastAsia="Arial" w:hAnsi="Arial"/>
                <w:sz w:val="9"/>
                <w:szCs w:val="9"/>
                <w:b w:val="1"/>
                <w:bCs w:val="1"/>
                <w:color w:val="auto"/>
                <w:w w:val="92"/>
              </w:rPr>
              <w:t>(2)</w:t>
            </w:r>
          </w:p>
        </w:tc>
        <w:tc>
          <w:tcPr>
            <w:tcW w:w="186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Registration Fee</w:t>
            </w:r>
            <w:r>
              <w:rPr>
                <w:rFonts w:ascii="Arial" w:cs="Arial" w:eastAsia="Arial" w:hAnsi="Arial"/>
                <w:sz w:val="9"/>
                <w:szCs w:val="9"/>
                <w:b w:val="1"/>
                <w:bCs w:val="1"/>
                <w:color w:val="auto"/>
                <w:w w:val="89"/>
              </w:rPr>
              <w:t>(3)</w:t>
            </w:r>
          </w:p>
        </w:tc>
      </w:tr>
      <w:tr>
        <w:trPr>
          <w:trHeight w:val="142"/>
        </w:trPr>
        <w:tc>
          <w:tcPr>
            <w:tcW w:w="2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$0.01 per share</w:t>
            </w:r>
          </w:p>
        </w:tc>
        <w:tc>
          <w:tcPr>
            <w:tcW w:w="1900" w:type="dxa"/>
            <w:vAlign w:val="bottom"/>
            <w:tcBorders>
              <w:bottom w:val="single" w:sz="8" w:color="auto"/>
              <w:right w:val="single" w:sz="8" w:color="auto"/>
            </w:tcBorders>
          </w:tcPr>
          <w:p>
            <w:pPr>
              <w:jc w:val="center"/>
              <w:ind w:left="19"/>
              <w:spacing w:after="0" w:line="142" w:lineRule="exact"/>
              <w:rPr>
                <w:sz w:val="20"/>
                <w:szCs w:val="20"/>
                <w:color w:val="auto"/>
              </w:rPr>
            </w:pPr>
            <w:r>
              <w:rPr>
                <w:rFonts w:ascii="Arial" w:cs="Arial" w:eastAsia="Arial" w:hAnsi="Arial"/>
                <w:sz w:val="14"/>
                <w:szCs w:val="14"/>
                <w:color w:val="auto"/>
                <w:w w:val="88"/>
              </w:rPr>
              <w:t>34,500,000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19.00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$655,500,000.00</w:t>
            </w:r>
          </w:p>
        </w:tc>
        <w:tc>
          <w:tcPr>
            <w:tcW w:w="1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$85,084</w:t>
            </w: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520" w:right="40" w:hanging="316"/>
        <w:spacing w:after="0" w:line="230"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4,500,000 shares of Class A common stock that may be sold if the underwriters’ option to purchase additional shares granted by the Registrant is exercised. See “Underwriting (Conflicts of Interest).”</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76835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ind w:left="200" w:right="100" w:firstLine="33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20"/>
          <w:szCs w:val="20"/>
          <w:i w:val="1"/>
          <w:iCs w:val="1"/>
          <w:color w:val="auto"/>
        </w:rPr>
        <w:t>Subject to completion, dated October 11, 2019</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9"/>
          <w:szCs w:val="29"/>
          <w:i w:val="1"/>
          <w:iCs w:val="1"/>
          <w:color w:val="auto"/>
        </w:rPr>
        <w:t>30,000,000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17780</wp:posOffset>
            </wp:positionV>
            <wp:extent cx="167259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This is the initial public offering of shares of our Class A common stock. We are offering 30,000,000 shares of our Class A common stock.</w:t>
      </w:r>
    </w:p>
    <w:p>
      <w:pPr>
        <w:spacing w:after="0" w:line="100" w:lineRule="exact"/>
        <w:rPr>
          <w:sz w:val="20"/>
          <w:szCs w:val="20"/>
          <w:color w:val="auto"/>
        </w:rPr>
      </w:pPr>
    </w:p>
    <w:p>
      <w:pPr>
        <w:ind w:left="200" w:right="60"/>
        <w:spacing w:after="0" w:line="278" w:lineRule="auto"/>
        <w:rPr>
          <w:sz w:val="20"/>
          <w:szCs w:val="20"/>
          <w:color w:val="auto"/>
        </w:rPr>
      </w:pPr>
      <w:r>
        <w:rPr>
          <w:rFonts w:ascii="Arial" w:cs="Arial" w:eastAsia="Arial" w:hAnsi="Arial"/>
          <w:sz w:val="16"/>
          <w:szCs w:val="16"/>
          <w:b w:val="1"/>
          <w:bCs w:val="1"/>
          <w:i w:val="1"/>
          <w:iCs w:val="1"/>
          <w:color w:val="auto"/>
        </w:rPr>
        <w:t>Before this offering, there has been no public market for our Class A common stock. We estimate the initial public offering price for our Class A common stock will be between $16.00 and $19.00 per share. We have received approval to list our Class A common stock on the New York Stock Exchange (the “NYSE”), under the symbol “BRBR”.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0"/>
          <w:szCs w:val="20"/>
          <w:color w:val="auto"/>
        </w:rPr>
      </w:pPr>
    </w:p>
    <w:p>
      <w:pPr>
        <w:ind w:left="200" w:right="120"/>
        <w:spacing w:after="0" w:line="313" w:lineRule="auto"/>
        <w:rPr>
          <w:sz w:val="20"/>
          <w:szCs w:val="20"/>
          <w:color w:val="auto"/>
        </w:rPr>
      </w:pPr>
      <w:r>
        <w:rPr>
          <w:rFonts w:ascii="Arial" w:cs="Arial" w:eastAsia="Arial" w:hAnsi="Arial"/>
          <w:sz w:val="14"/>
          <w:szCs w:val="14"/>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On matters presented to our stockholders, each share of our Class A common stock entitles its holder to one vote. For so long as Post Holdings, Inc. (“Post”) or its affiliates (other than us) directly own more than 50% of the BellRing Brands, LLC Units as described in this prospectus, the share of Class B common stock entitles its holder to a number of votes equal to 67% of the combined voting power of our common stock and, in the aggregate, the holders of our Class A common stock will have 33% of the combined voting power of our common stock. Holders of our shares of Class A common stock will be eligible for dividends and distributions upon liquidation. The holder of our share of Class B common stock will have no economic rights, including no rights to dividends or distributions upon liquidation. See “Description of Capital Stock.”</w:t>
      </w:r>
    </w:p>
    <w:p>
      <w:pPr>
        <w:spacing w:after="0" w:line="29" w:lineRule="exact"/>
        <w:rPr>
          <w:sz w:val="20"/>
          <w:szCs w:val="20"/>
          <w:color w:val="auto"/>
        </w:rPr>
      </w:pPr>
    </w:p>
    <w:p>
      <w:pPr>
        <w:ind w:left="200" w:right="220"/>
        <w:spacing w:after="0" w:line="278" w:lineRule="auto"/>
        <w:rPr>
          <w:sz w:val="20"/>
          <w:szCs w:val="20"/>
          <w:color w:val="auto"/>
        </w:rPr>
      </w:pPr>
      <w:r>
        <w:rPr>
          <w:rFonts w:ascii="Arial" w:cs="Arial" w:eastAsia="Arial" w:hAnsi="Arial"/>
          <w:sz w:val="16"/>
          <w:szCs w:val="16"/>
          <w:b w:val="1"/>
          <w:bCs w:val="1"/>
          <w:i w:val="1"/>
          <w:iCs w:val="1"/>
          <w:color w:val="auto"/>
        </w:rPr>
        <w:t>Following this offering,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0"/>
          <w:szCs w:val="20"/>
          <w:color w:val="auto"/>
        </w:rPr>
      </w:pPr>
    </w:p>
    <w:p>
      <w:pPr>
        <w:ind w:left="200" w:right="100"/>
        <w:spacing w:after="0" w:line="359" w:lineRule="auto"/>
        <w:rPr>
          <w:sz w:val="20"/>
          <w:szCs w:val="20"/>
          <w:color w:val="auto"/>
        </w:rPr>
      </w:pPr>
      <w:r>
        <w:rPr>
          <w:rFonts w:ascii="Arial" w:cs="Arial" w:eastAsia="Arial" w:hAnsi="Arial"/>
          <w:sz w:val="14"/>
          <w:szCs w:val="14"/>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“Business—Emerging Growth Company Status.”</w:t>
      </w:r>
    </w:p>
    <w:p>
      <w:pPr>
        <w:ind w:left="20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See “</w:t>
      </w:r>
      <w:hyperlink w:anchor="page40">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28,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4"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106680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Underwriting</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Brands, Inc.</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440" w:type="dxa"/>
            <w:vAlign w:val="bottom"/>
            <w:gridSpan w:val="2"/>
          </w:tcPr>
          <w:p>
            <w:pPr>
              <w:ind w:left="2980"/>
              <w:spacing w:after="0" w:line="149" w:lineRule="exact"/>
              <w:rPr>
                <w:sz w:val="20"/>
                <w:szCs w:val="20"/>
                <w:color w:val="auto"/>
              </w:rPr>
            </w:pPr>
            <w:r>
              <w:rPr>
                <w:rFonts w:ascii="Arial" w:cs="Arial" w:eastAsia="Arial" w:hAnsi="Arial"/>
                <w:sz w:val="14"/>
                <w:szCs w:val="14"/>
                <w:b w:val="1"/>
                <w:bCs w:val="1"/>
                <w:i w:val="1"/>
                <w:iCs w:val="1"/>
                <w:color w:val="auto"/>
                <w:w w:val="85"/>
              </w:rPr>
              <w:t>Price to</w:t>
            </w: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Before</w:t>
            </w:r>
          </w:p>
        </w:tc>
        <w:tc>
          <w:tcPr>
            <w:tcW w:w="0" w:type="dxa"/>
            <w:vAlign w:val="bottom"/>
          </w:tcPr>
          <w:p>
            <w:pPr>
              <w:spacing w:after="0"/>
              <w:rPr>
                <w:sz w:val="1"/>
                <w:szCs w:val="1"/>
                <w:color w:val="auto"/>
              </w:rPr>
            </w:pPr>
          </w:p>
        </w:tc>
      </w:tr>
      <w:tr>
        <w:trPr>
          <w:trHeight w:val="167"/>
        </w:trPr>
        <w:tc>
          <w:tcPr>
            <w:tcW w:w="3600" w:type="dxa"/>
            <w:vAlign w:val="bottom"/>
            <w:vMerge w:val="restart"/>
          </w:tcPr>
          <w:p>
            <w:pPr>
              <w:spacing w:after="0"/>
              <w:rPr>
                <w:sz w:val="20"/>
                <w:szCs w:val="20"/>
                <w:color w:val="auto"/>
              </w:rPr>
            </w:pPr>
            <w:r>
              <w:rPr>
                <w:rFonts w:ascii="Arial" w:cs="Arial" w:eastAsia="Arial" w:hAnsi="Arial"/>
                <w:sz w:val="16"/>
                <w:szCs w:val="16"/>
                <w:i w:val="1"/>
                <w:iCs w:val="1"/>
                <w:color w:val="auto"/>
              </w:rPr>
              <w:t>Per share</w:t>
            </w:r>
          </w:p>
        </w:tc>
        <w:tc>
          <w:tcPr>
            <w:tcW w:w="29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w w:val="95"/>
              </w:rPr>
              <w:t>Public</w:t>
            </w:r>
          </w:p>
        </w:tc>
        <w:tc>
          <w:tcPr>
            <w:tcW w:w="10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0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Expenses</w:t>
            </w:r>
          </w:p>
        </w:tc>
        <w:tc>
          <w:tcPr>
            <w:tcW w:w="0" w:type="dxa"/>
            <w:vAlign w:val="bottom"/>
          </w:tcPr>
          <w:p>
            <w:pPr>
              <w:spacing w:after="0"/>
              <w:rPr>
                <w:sz w:val="1"/>
                <w:szCs w:val="1"/>
                <w:color w:val="auto"/>
              </w:rPr>
            </w:pPr>
          </w:p>
        </w:tc>
      </w:tr>
      <w:tr>
        <w:trPr>
          <w:trHeight w:val="186"/>
        </w:trPr>
        <w:tc>
          <w:tcPr>
            <w:tcW w:w="3600" w:type="dxa"/>
            <w:vAlign w:val="bottom"/>
            <w:vMerge w:val="continue"/>
          </w:tcPr>
          <w:p>
            <w:pPr>
              <w:spacing w:after="0"/>
              <w:rPr>
                <w:sz w:val="16"/>
                <w:szCs w:val="16"/>
                <w:color w:val="auto"/>
              </w:rPr>
            </w:pPr>
          </w:p>
        </w:tc>
        <w:tc>
          <w:tcPr>
            <w:tcW w:w="298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6"/>
                <w:szCs w:val="16"/>
                <w:i w:val="1"/>
                <w:iCs w:val="1"/>
                <w:color w:val="auto"/>
              </w:rPr>
              <w:t>$</w:t>
            </w:r>
          </w:p>
        </w:tc>
        <w:tc>
          <w:tcPr>
            <w:tcW w:w="1000" w:type="dxa"/>
            <w:vAlign w:val="bottom"/>
          </w:tcPr>
          <w:p>
            <w:pPr>
              <w:spacing w:after="0"/>
              <w:rPr>
                <w:sz w:val="16"/>
                <w:szCs w:val="16"/>
                <w:color w:val="auto"/>
              </w:rPr>
            </w:pPr>
          </w:p>
        </w:tc>
        <w:tc>
          <w:tcPr>
            <w:tcW w:w="940" w:type="dxa"/>
            <w:vAlign w:val="bottom"/>
          </w:tcPr>
          <w:p>
            <w:pPr>
              <w:jc w:val="right"/>
              <w:ind w:right="626"/>
              <w:spacing w:after="0"/>
              <w:rPr>
                <w:sz w:val="20"/>
                <w:szCs w:val="20"/>
                <w:color w:val="auto"/>
              </w:rPr>
            </w:pPr>
            <w:r>
              <w:rPr>
                <w:rFonts w:ascii="Arial" w:cs="Arial" w:eastAsia="Arial" w:hAnsi="Arial"/>
                <w:sz w:val="16"/>
                <w:szCs w:val="16"/>
                <w:i w:val="1"/>
                <w:iCs w:val="1"/>
                <w:color w:val="auto"/>
              </w:rPr>
              <w:t>$</w:t>
            </w:r>
          </w:p>
        </w:tc>
        <w:tc>
          <w:tcPr>
            <w:tcW w:w="1020" w:type="dxa"/>
            <w:vAlign w:val="bottom"/>
          </w:tcPr>
          <w:p>
            <w:pPr>
              <w:spacing w:after="0"/>
              <w:rPr>
                <w:sz w:val="16"/>
                <w:szCs w:val="16"/>
                <w:color w:val="auto"/>
              </w:rPr>
            </w:pPr>
          </w:p>
        </w:tc>
        <w:tc>
          <w:tcPr>
            <w:tcW w:w="740" w:type="dxa"/>
            <w:vAlign w:val="bottom"/>
          </w:tcPr>
          <w:p>
            <w:pPr>
              <w:jc w:val="right"/>
              <w:ind w:right="507"/>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i w:val="1"/>
                <w:iCs w:val="1"/>
                <w:color w:val="auto"/>
              </w:rPr>
              <w:t>Total</w:t>
            </w:r>
          </w:p>
        </w:tc>
        <w:tc>
          <w:tcPr>
            <w:tcW w:w="3440" w:type="dxa"/>
            <w:vAlign w:val="bottom"/>
            <w:gridSpan w:val="2"/>
          </w:tcPr>
          <w:p>
            <w:pPr>
              <w:ind w:left="2980"/>
              <w:spacing w:after="0"/>
              <w:rPr>
                <w:sz w:val="20"/>
                <w:szCs w:val="20"/>
                <w:color w:val="auto"/>
              </w:rPr>
            </w:pPr>
            <w:r>
              <w:rPr>
                <w:rFonts w:ascii="Arial" w:cs="Arial" w:eastAsia="Arial" w:hAnsi="Arial"/>
                <w:sz w:val="16"/>
                <w:szCs w:val="16"/>
                <w:i w:val="1"/>
                <w:iCs w:val="1"/>
                <w:color w:val="auto"/>
              </w:rPr>
              <w:t>$</w:t>
            </w:r>
          </w:p>
        </w:tc>
        <w:tc>
          <w:tcPr>
            <w:tcW w:w="1940" w:type="dxa"/>
            <w:vAlign w:val="bottom"/>
            <w:gridSpan w:val="2"/>
          </w:tcPr>
          <w:p>
            <w:pPr>
              <w:jc w:val="right"/>
              <w:ind w:right="626"/>
              <w:spacing w:after="0"/>
              <w:rPr>
                <w:sz w:val="20"/>
                <w:szCs w:val="20"/>
                <w:color w:val="auto"/>
              </w:rPr>
            </w:pPr>
            <w:r>
              <w:rPr>
                <w:rFonts w:ascii="Arial" w:cs="Arial" w:eastAsia="Arial" w:hAnsi="Arial"/>
                <w:sz w:val="16"/>
                <w:szCs w:val="16"/>
                <w:i w:val="1"/>
                <w:iCs w:val="1"/>
                <w:color w:val="auto"/>
              </w:rPr>
              <w:t>$</w:t>
            </w:r>
          </w:p>
        </w:tc>
        <w:tc>
          <w:tcPr>
            <w:tcW w:w="1760" w:type="dxa"/>
            <w:vAlign w:val="bottom"/>
            <w:gridSpan w:val="2"/>
          </w:tcPr>
          <w:p>
            <w:pPr>
              <w:jc w:val="right"/>
              <w:ind w:right="507"/>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763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8"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“Underwriting (Conflicts of Interest)” for a description of the compensation payable to the underwriters.</w:t>
      </w:r>
    </w:p>
    <w:p>
      <w:pPr>
        <w:spacing w:after="0" w:line="86" w:lineRule="exact"/>
        <w:rPr>
          <w:sz w:val="20"/>
          <w:szCs w:val="20"/>
          <w:color w:val="auto"/>
        </w:rPr>
      </w:pPr>
    </w:p>
    <w:p>
      <w:pPr>
        <w:ind w:left="200" w:right="580"/>
        <w:spacing w:after="0" w:line="278" w:lineRule="auto"/>
        <w:rPr>
          <w:sz w:val="20"/>
          <w:szCs w:val="20"/>
          <w:color w:val="auto"/>
        </w:rPr>
      </w:pPr>
      <w:r>
        <w:rPr>
          <w:rFonts w:ascii="Arial" w:cs="Arial" w:eastAsia="Arial" w:hAnsi="Arial"/>
          <w:sz w:val="16"/>
          <w:szCs w:val="16"/>
          <w:i w:val="1"/>
          <w:iCs w:val="1"/>
          <w:color w:val="auto"/>
        </w:rPr>
        <w:t>To the extent that the underwriters sell more than 30,000,000 shares of Class A common stock, the underwriters have the option to purchase up to an additional 4,500,000 shares of Class A common stock from us at the initial public offering price less the underwriting discount. See “Underwriting (Conflicts of Interest).”</w:t>
      </w:r>
    </w:p>
    <w:p>
      <w:pPr>
        <w:spacing w:after="0" w:line="49"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6120" w:type="dxa"/>
            <w:vAlign w:val="bottom"/>
          </w:tcPr>
          <w:p>
            <w:pPr>
              <w:spacing w:after="0"/>
              <w:rPr>
                <w:sz w:val="20"/>
                <w:szCs w:val="20"/>
                <w:color w:val="auto"/>
              </w:rPr>
            </w:pPr>
            <w:r>
              <w:rPr>
                <w:rFonts w:ascii="Arial" w:cs="Arial" w:eastAsia="Arial" w:hAnsi="Arial"/>
                <w:sz w:val="16"/>
                <w:szCs w:val="16"/>
                <w:i w:val="1"/>
                <w:iCs w:val="1"/>
                <w:color w:val="auto"/>
                <w:w w:val="96"/>
              </w:rPr>
              <w:t>The underwriters expect to deliver the shares against payment in New York, New York on</w:t>
            </w: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123825</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0"/>
          <w:szCs w:val="20"/>
          <w:color w:val="auto"/>
        </w:rPr>
      </w:pPr>
    </w:p>
    <w:p>
      <w:pPr>
        <w:ind w:left="200"/>
        <w:spacing w:after="0"/>
        <w:tabs>
          <w:tab w:leader="none" w:pos="3180" w:val="left"/>
          <w:tab w:leader="none" w:pos="5780" w:val="left"/>
          <w:tab w:leader="none" w:pos="8560" w:val="left"/>
        </w:tabs>
        <w:rPr>
          <w:sz w:val="20"/>
          <w:szCs w:val="20"/>
          <w:color w:val="auto"/>
        </w:rPr>
      </w:pPr>
      <w:r>
        <w:rPr>
          <w:rFonts w:ascii="Arial" w:cs="Arial" w:eastAsia="Arial" w:hAnsi="Arial"/>
          <w:sz w:val="23"/>
          <w:szCs w:val="23"/>
          <w:i w:val="1"/>
          <w:iCs w:val="1"/>
          <w:color w:val="auto"/>
        </w:rPr>
        <w:t>Morgan Stanley</w:t>
      </w:r>
      <w:r>
        <w:rPr>
          <w:sz w:val="20"/>
          <w:szCs w:val="20"/>
          <w:color w:val="auto"/>
        </w:rPr>
        <w:tab/>
      </w:r>
      <w:r>
        <w:rPr>
          <w:rFonts w:ascii="Arial" w:cs="Arial" w:eastAsia="Arial" w:hAnsi="Arial"/>
          <w:sz w:val="23"/>
          <w:szCs w:val="23"/>
          <w:i w:val="1"/>
          <w:iCs w:val="1"/>
          <w:color w:val="auto"/>
        </w:rPr>
        <w:t>Citigroup</w:t>
      </w:r>
      <w:r>
        <w:rPr>
          <w:sz w:val="20"/>
          <w:szCs w:val="20"/>
          <w:color w:val="auto"/>
        </w:rPr>
        <w:tab/>
      </w:r>
      <w:r>
        <w:rPr>
          <w:rFonts w:ascii="Arial" w:cs="Arial" w:eastAsia="Arial" w:hAnsi="Arial"/>
          <w:sz w:val="23"/>
          <w:szCs w:val="23"/>
          <w:i w:val="1"/>
          <w:iCs w:val="1"/>
          <w:color w:val="auto"/>
        </w:rPr>
        <w:t>J.P. Morgan</w:t>
      </w:r>
      <w:r>
        <w:rPr>
          <w:sz w:val="20"/>
          <w:szCs w:val="20"/>
          <w:color w:val="auto"/>
        </w:rPr>
        <w:tab/>
      </w:r>
      <w:r>
        <w:rPr>
          <w:rFonts w:ascii="Arial" w:cs="Arial" w:eastAsia="Arial" w:hAnsi="Arial"/>
          <w:sz w:val="21"/>
          <w:szCs w:val="21"/>
          <w:i w:val="1"/>
          <w:iCs w:val="1"/>
          <w:color w:val="auto"/>
        </w:rPr>
        <w:t>Goldman Sachs &amp; Co. LLC</w:t>
      </w:r>
    </w:p>
    <w:p>
      <w:pPr>
        <w:spacing w:after="0" w:line="89" w:lineRule="exact"/>
        <w:rPr>
          <w:sz w:val="20"/>
          <w:szCs w:val="20"/>
          <w:color w:val="auto"/>
        </w:rPr>
      </w:pPr>
    </w:p>
    <w:p>
      <w:pPr>
        <w:ind w:left="480"/>
        <w:spacing w:after="0"/>
        <w:tabs>
          <w:tab w:leader="none" w:pos="1880" w:val="left"/>
          <w:tab w:leader="none" w:pos="3060" w:val="left"/>
          <w:tab w:leader="none" w:pos="4620" w:val="left"/>
          <w:tab w:leader="none" w:pos="6100" w:val="left"/>
          <w:tab w:leader="none" w:pos="7100" w:val="left"/>
          <w:tab w:leader="none" w:pos="8100" w:val="left"/>
          <w:tab w:leader="none" w:pos="10140" w:val="left"/>
        </w:tabs>
        <w:rPr>
          <w:sz w:val="20"/>
          <w:szCs w:val="20"/>
          <w:color w:val="auto"/>
        </w:rPr>
      </w:pPr>
      <w:r>
        <w:rPr>
          <w:rFonts w:ascii="Arial" w:cs="Arial" w:eastAsia="Arial" w:hAnsi="Arial"/>
          <w:sz w:val="16"/>
          <w:szCs w:val="16"/>
          <w:i w:val="1"/>
          <w:iCs w:val="1"/>
          <w:color w:val="auto"/>
        </w:rPr>
        <w:t>BofA Merrill</w:t>
      </w:r>
      <w:r>
        <w:rPr>
          <w:sz w:val="20"/>
          <w:szCs w:val="20"/>
          <w:color w:val="auto"/>
        </w:rPr>
        <w:tab/>
      </w:r>
      <w:r>
        <w:rPr>
          <w:rFonts w:ascii="Arial" w:cs="Arial" w:eastAsia="Arial" w:hAnsi="Arial"/>
          <w:sz w:val="16"/>
          <w:szCs w:val="16"/>
          <w:i w:val="1"/>
          <w:iCs w:val="1"/>
          <w:color w:val="auto"/>
        </w:rPr>
        <w:t>Barclays</w:t>
      </w:r>
      <w:r>
        <w:rPr>
          <w:sz w:val="20"/>
          <w:szCs w:val="20"/>
          <w:color w:val="auto"/>
        </w:rPr>
        <w:tab/>
      </w:r>
      <w:r>
        <w:rPr>
          <w:rFonts w:ascii="Arial" w:cs="Arial" w:eastAsia="Arial" w:hAnsi="Arial"/>
          <w:sz w:val="16"/>
          <w:szCs w:val="16"/>
          <w:i w:val="1"/>
          <w:iCs w:val="1"/>
          <w:color w:val="auto"/>
        </w:rPr>
        <w:t>BMO Capital</w:t>
      </w:r>
      <w:r>
        <w:rPr>
          <w:sz w:val="20"/>
          <w:szCs w:val="20"/>
          <w:color w:val="auto"/>
        </w:rPr>
        <w:tab/>
      </w:r>
      <w:r>
        <w:rPr>
          <w:rFonts w:ascii="Arial" w:cs="Arial" w:eastAsia="Arial" w:hAnsi="Arial"/>
          <w:sz w:val="16"/>
          <w:szCs w:val="16"/>
          <w:i w:val="1"/>
          <w:iCs w:val="1"/>
          <w:color w:val="auto"/>
        </w:rPr>
        <w:t>Credit Suisse</w:t>
      </w:r>
      <w:r>
        <w:rPr>
          <w:sz w:val="20"/>
          <w:szCs w:val="20"/>
          <w:color w:val="auto"/>
        </w:rPr>
        <w:tab/>
      </w:r>
      <w:r>
        <w:rPr>
          <w:rFonts w:ascii="Arial" w:cs="Arial" w:eastAsia="Arial" w:hAnsi="Arial"/>
          <w:sz w:val="16"/>
          <w:szCs w:val="16"/>
          <w:i w:val="1"/>
          <w:iCs w:val="1"/>
          <w:color w:val="auto"/>
        </w:rPr>
        <w:t>Evercore</w:t>
      </w:r>
      <w:r>
        <w:rPr>
          <w:sz w:val="20"/>
          <w:szCs w:val="20"/>
          <w:color w:val="auto"/>
        </w:rPr>
        <w:tab/>
      </w:r>
      <w:r>
        <w:rPr>
          <w:rFonts w:ascii="Arial" w:cs="Arial" w:eastAsia="Arial" w:hAnsi="Arial"/>
          <w:sz w:val="16"/>
          <w:szCs w:val="16"/>
          <w:i w:val="1"/>
          <w:iCs w:val="1"/>
          <w:color w:val="auto"/>
        </w:rPr>
        <w:t>Stifel</w:t>
      </w:r>
      <w:r>
        <w:rPr>
          <w:sz w:val="20"/>
          <w:szCs w:val="20"/>
          <w:color w:val="auto"/>
        </w:rPr>
        <w:tab/>
      </w:r>
      <w:r>
        <w:rPr>
          <w:rFonts w:ascii="Arial" w:cs="Arial" w:eastAsia="Arial" w:hAnsi="Arial"/>
          <w:sz w:val="16"/>
          <w:szCs w:val="16"/>
          <w:i w:val="1"/>
          <w:iCs w:val="1"/>
          <w:color w:val="auto"/>
        </w:rPr>
        <w:t>SunTrust Robinson</w:t>
      </w:r>
      <w:r>
        <w:rPr>
          <w:sz w:val="20"/>
          <w:szCs w:val="20"/>
          <w:color w:val="auto"/>
        </w:rPr>
        <w:tab/>
      </w:r>
      <w:r>
        <w:rPr>
          <w:rFonts w:ascii="Arial" w:cs="Arial" w:eastAsia="Arial" w:hAnsi="Arial"/>
          <w:sz w:val="14"/>
          <w:szCs w:val="14"/>
          <w:i w:val="1"/>
          <w:iCs w:val="1"/>
          <w:color w:val="auto"/>
        </w:rPr>
        <w:t>Wells Fargo</w:t>
      </w:r>
    </w:p>
    <w:p>
      <w:pPr>
        <w:spacing w:after="0" w:line="22" w:lineRule="exact"/>
        <w:rPr>
          <w:sz w:val="20"/>
          <w:szCs w:val="20"/>
          <w:color w:val="auto"/>
        </w:rPr>
      </w:pPr>
    </w:p>
    <w:p>
      <w:pPr>
        <w:ind w:left="700"/>
        <w:spacing w:after="0"/>
        <w:tabs>
          <w:tab w:leader="none" w:pos="3220" w:val="left"/>
          <w:tab w:leader="none" w:pos="6280" w:val="left"/>
          <w:tab w:leader="none" w:pos="8360" w:val="left"/>
          <w:tab w:leader="none" w:pos="10200" w:val="left"/>
        </w:tabs>
        <w:rPr>
          <w:sz w:val="20"/>
          <w:szCs w:val="20"/>
          <w:color w:val="auto"/>
        </w:rPr>
      </w:pPr>
      <w:r>
        <w:rPr>
          <w:rFonts w:ascii="Arial" w:cs="Arial" w:eastAsia="Arial" w:hAnsi="Arial"/>
          <w:sz w:val="16"/>
          <w:szCs w:val="16"/>
          <w:i w:val="1"/>
          <w:iCs w:val="1"/>
          <w:color w:val="auto"/>
        </w:rPr>
        <w:t>Lynch</w:t>
      </w:r>
      <w:r>
        <w:rPr>
          <w:sz w:val="20"/>
          <w:szCs w:val="20"/>
          <w:color w:val="auto"/>
        </w:rPr>
        <w:tab/>
      </w:r>
      <w:r>
        <w:rPr>
          <w:rFonts w:ascii="Arial" w:cs="Arial" w:eastAsia="Arial" w:hAnsi="Arial"/>
          <w:sz w:val="16"/>
          <w:szCs w:val="16"/>
          <w:i w:val="1"/>
          <w:iCs w:val="1"/>
          <w:color w:val="auto"/>
        </w:rPr>
        <w:t>Markets</w:t>
      </w:r>
      <w:r>
        <w:rPr>
          <w:sz w:val="20"/>
          <w:szCs w:val="20"/>
          <w:color w:val="auto"/>
        </w:rPr>
        <w:tab/>
      </w:r>
      <w:r>
        <w:rPr>
          <w:rFonts w:ascii="Arial" w:cs="Arial" w:eastAsia="Arial" w:hAnsi="Arial"/>
          <w:sz w:val="16"/>
          <w:szCs w:val="16"/>
          <w:i w:val="1"/>
          <w:iCs w:val="1"/>
          <w:color w:val="auto"/>
        </w:rPr>
        <w:t>ISI</w:t>
      </w:r>
      <w:r>
        <w:rPr>
          <w:sz w:val="20"/>
          <w:szCs w:val="20"/>
          <w:color w:val="auto"/>
        </w:rPr>
        <w:tab/>
      </w:r>
      <w:r>
        <w:rPr>
          <w:rFonts w:ascii="Arial" w:cs="Arial" w:eastAsia="Arial" w:hAnsi="Arial"/>
          <w:sz w:val="16"/>
          <w:szCs w:val="16"/>
          <w:i w:val="1"/>
          <w:iCs w:val="1"/>
          <w:color w:val="auto"/>
        </w:rPr>
        <w:t>Humphrey</w:t>
      </w:r>
      <w:r>
        <w:rPr>
          <w:sz w:val="20"/>
          <w:szCs w:val="20"/>
          <w:color w:val="auto"/>
        </w:rPr>
        <w:tab/>
      </w:r>
      <w:r>
        <w:rPr>
          <w:rFonts w:ascii="Arial" w:cs="Arial" w:eastAsia="Arial" w:hAnsi="Arial"/>
          <w:sz w:val="14"/>
          <w:szCs w:val="14"/>
          <w:i w:val="1"/>
          <w:iCs w:val="1"/>
          <w:color w:val="auto"/>
        </w:rPr>
        <w:t>Securities</w:t>
      </w:r>
    </w:p>
    <w:p>
      <w:pPr>
        <w:spacing w:after="0" w:line="73" w:lineRule="exact"/>
        <w:rPr>
          <w:sz w:val="20"/>
          <w:szCs w:val="20"/>
          <w:color w:val="auto"/>
        </w:rPr>
      </w:pPr>
    </w:p>
    <w:p>
      <w:pPr>
        <w:ind w:left="480"/>
        <w:spacing w:after="0"/>
        <w:tabs>
          <w:tab w:leader="none" w:pos="2120" w:val="left"/>
          <w:tab w:leader="none" w:pos="4180" w:val="left"/>
          <w:tab w:leader="none" w:pos="7020" w:val="left"/>
          <w:tab w:leader="none" w:pos="9360" w:val="left"/>
        </w:tabs>
        <w:rPr>
          <w:sz w:val="20"/>
          <w:szCs w:val="20"/>
          <w:color w:val="auto"/>
        </w:rPr>
      </w:pPr>
      <w:r>
        <w:rPr>
          <w:rFonts w:ascii="Arial" w:cs="Arial" w:eastAsia="Arial" w:hAnsi="Arial"/>
          <w:sz w:val="14"/>
          <w:szCs w:val="14"/>
          <w:i w:val="1"/>
          <w:iCs w:val="1"/>
          <w:color w:val="auto"/>
        </w:rPr>
        <w:t>HSBC</w:t>
      </w:r>
      <w:r>
        <w:rPr>
          <w:sz w:val="20"/>
          <w:szCs w:val="20"/>
          <w:color w:val="auto"/>
        </w:rPr>
        <w:tab/>
      </w:r>
      <w:r>
        <w:rPr>
          <w:rFonts w:ascii="Arial" w:cs="Arial" w:eastAsia="Arial" w:hAnsi="Arial"/>
          <w:sz w:val="14"/>
          <w:szCs w:val="14"/>
          <w:i w:val="1"/>
          <w:iCs w:val="1"/>
          <w:color w:val="auto"/>
        </w:rPr>
        <w:t>Nomura</w:t>
      </w:r>
      <w:r>
        <w:rPr>
          <w:sz w:val="20"/>
          <w:szCs w:val="20"/>
          <w:color w:val="auto"/>
        </w:rPr>
        <w:tab/>
      </w:r>
      <w:r>
        <w:rPr>
          <w:rFonts w:ascii="Arial" w:cs="Arial" w:eastAsia="Arial" w:hAnsi="Arial"/>
          <w:sz w:val="14"/>
          <w:szCs w:val="14"/>
          <w:i w:val="1"/>
          <w:iCs w:val="1"/>
          <w:color w:val="auto"/>
        </w:rPr>
        <w:t>PNC Capital Markets LLC</w:t>
      </w:r>
      <w:r>
        <w:rPr>
          <w:sz w:val="20"/>
          <w:szCs w:val="20"/>
          <w:color w:val="auto"/>
        </w:rPr>
        <w:tab/>
      </w:r>
      <w:r>
        <w:rPr>
          <w:rFonts w:ascii="Arial" w:cs="Arial" w:eastAsia="Arial" w:hAnsi="Arial"/>
          <w:sz w:val="14"/>
          <w:szCs w:val="14"/>
          <w:i w:val="1"/>
          <w:iCs w:val="1"/>
          <w:color w:val="auto"/>
        </w:rPr>
        <w:t>Rabo Securities</w:t>
      </w:r>
      <w:r>
        <w:rPr>
          <w:sz w:val="20"/>
          <w:szCs w:val="20"/>
          <w:color w:val="auto"/>
        </w:rPr>
        <w:tab/>
      </w:r>
      <w:r>
        <w:rPr>
          <w:rFonts w:ascii="Arial" w:cs="Arial" w:eastAsia="Arial" w:hAnsi="Arial"/>
          <w:sz w:val="12"/>
          <w:szCs w:val="12"/>
          <w:i w:val="1"/>
          <w:i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132715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80" w:lineRule="exact"/>
        <w:rPr>
          <w:sz w:val="20"/>
          <w:szCs w:val="20"/>
          <w:color w:val="auto"/>
        </w:rPr>
      </w:pPr>
    </w:p>
    <w:p>
      <w:pPr>
        <w:ind w:left="200"/>
        <w:spacing w:after="0"/>
        <w:tabs>
          <w:tab w:leader="none" w:pos="1980" w:val="left"/>
        </w:tabs>
        <w:rPr>
          <w:sz w:val="20"/>
          <w:szCs w:val="20"/>
          <w:color w:val="auto"/>
        </w:rPr>
      </w:pPr>
      <w:r>
        <w:rPr>
          <w:rFonts w:ascii="Arial" w:cs="Arial" w:eastAsia="Arial" w:hAnsi="Arial"/>
          <w:sz w:val="16"/>
          <w:szCs w:val="16"/>
          <w:i w:val="1"/>
          <w:iCs w:val="1"/>
          <w:color w:val="auto"/>
        </w:rPr>
        <w:t>Prospectus dated</w:t>
      </w:r>
      <w:r>
        <w:rPr>
          <w:sz w:val="20"/>
          <w:szCs w:val="20"/>
          <w:color w:val="auto"/>
        </w:rPr>
        <w:tab/>
      </w:r>
      <w:r>
        <w:rPr>
          <w:rFonts w:ascii="Arial" w:cs="Arial" w:eastAsia="Arial" w:hAnsi="Arial"/>
          <w:sz w:val="15"/>
          <w:szCs w:val="15"/>
          <w:i w:val="1"/>
          <w:iCs w:val="1"/>
          <w:color w:val="auto"/>
        </w:rPr>
        <w:t>, 2019.</w:t>
      </w:r>
    </w:p>
    <w:p>
      <w:pPr>
        <w:sectPr>
          <w:pgSz w:w="11900" w:h="16838" w:orient="portrait"/>
          <w:cols w:equalWidth="0" w:num="1">
            <w:col w:w="11160"/>
          </w:cols>
          <w:pgMar w:left="240" w:top="459" w:right="49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720" w:type="dxa"/>
            <w:vAlign w:val="bottom"/>
            <w:gridSpan w:val="2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PROSPECTUS SUMMARY</w:t>
              </w:r>
            </w:hyperlink>
          </w:p>
        </w:tc>
        <w:tc>
          <w:tcPr>
            <w:tcW w:w="2420" w:type="dxa"/>
            <w:vAlign w:val="bottom"/>
            <w:gridSpan w:val="11"/>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BUSINESS</w:t>
              </w:r>
            </w:hyperlink>
          </w:p>
        </w:tc>
        <w:tc>
          <w:tcPr>
            <w:tcW w:w="372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2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RISK FACTORS</w:t>
              </w:r>
            </w:hyperlink>
          </w:p>
        </w:tc>
        <w:tc>
          <w:tcPr>
            <w:tcW w:w="3260" w:type="dxa"/>
            <w:vAlign w:val="bottom"/>
            <w:gridSpan w:val="1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CAUTIONARY STATEMENT REGARDING FORWARD-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LOOKING STATEMENTS</w:t>
              </w:r>
            </w:hyperlink>
          </w:p>
        </w:tc>
        <w:tc>
          <w:tcPr>
            <w:tcW w:w="180" w:type="dxa"/>
            <w:vAlign w:val="bottom"/>
            <w:gridSpan w:val="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246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56">
              <w:r>
                <w:rPr>
                  <w:rFonts w:ascii="Arial" w:cs="Arial" w:eastAsia="Arial" w:hAnsi="Arial"/>
                  <w:sz w:val="18"/>
                  <w:szCs w:val="18"/>
                  <w:color w:val="0000EE"/>
                  <w:w w:val="97"/>
                </w:rPr>
                <w:t>PRINCIPAL STOCKHOLDERS</w:t>
              </w:r>
            </w:hyperlink>
          </w:p>
        </w:tc>
        <w:tc>
          <w:tcPr>
            <w:tcW w:w="212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USE OF PROCEEDS</w:t>
              </w:r>
            </w:hyperlink>
          </w:p>
        </w:tc>
        <w:tc>
          <w:tcPr>
            <w:tcW w:w="2920" w:type="dxa"/>
            <w:vAlign w:val="bottom"/>
            <w:gridSpan w:val="1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DESCRIPTION OF CERTAIN INDEBTEDNESS</w:t>
              </w:r>
            </w:hyperlink>
          </w:p>
        </w:tc>
        <w:tc>
          <w:tcPr>
            <w:tcW w:w="94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DIVIDEND POLICY</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62</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CAPITAL STOCK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CAPITALIZATION</w:t>
              </w:r>
            </w:hyperlink>
          </w:p>
        </w:tc>
        <w:tc>
          <w:tcPr>
            <w:tcW w:w="2940" w:type="dxa"/>
            <w:vAlign w:val="bottom"/>
            <w:gridSpan w:val="13"/>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SHARES ELIGIBLE FOR FUTURE SALE</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DILUTION</w:t>
              </w:r>
            </w:hyperlink>
          </w:p>
        </w:tc>
        <w:tc>
          <w:tcPr>
            <w:tcW w:w="3100" w:type="dxa"/>
            <w:vAlign w:val="bottom"/>
            <w:gridSpan w:val="1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CERTAIN RELATIONSHIPS AND RELATED PARTY</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SELECTED HISTORICAL CONDENSED COMBINED</w:t>
              </w:r>
            </w:hyperlink>
          </w:p>
        </w:tc>
        <w:tc>
          <w:tcPr>
            <w:tcW w:w="3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TRANSACTIONS</w:t>
              </w:r>
            </w:hyperlink>
          </w:p>
        </w:tc>
        <w:tc>
          <w:tcPr>
            <w:tcW w:w="302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FINANCIAL AND OTHER INFORMATION</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68</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UNAUDITED QUARTERLY FINANCIAL</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ind w:left="18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INFORMATION</w:t>
              </w:r>
            </w:hyperlink>
          </w:p>
        </w:tc>
        <w:tc>
          <w:tcPr>
            <w:tcW w:w="1340" w:type="dxa"/>
            <w:vAlign w:val="bottom"/>
            <w:gridSpan w:val="9"/>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70</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UNDERWRITING (CONFLICTS OF INTEREST)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EXPLANATION AND RECONCILIATION OF NON-GAAP</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LEGAL MATTERS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MEASURES</w:t>
              </w:r>
            </w:hyperlink>
          </w:p>
        </w:tc>
        <w:tc>
          <w:tcPr>
            <w:tcW w:w="20" w:type="dxa"/>
            <w:vAlign w:val="bottom"/>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71</w:t>
            </w:r>
          </w:p>
        </w:tc>
        <w:tc>
          <w:tcPr>
            <w:tcW w:w="200" w:type="dxa"/>
            <w:vAlign w:val="bottom"/>
          </w:tcPr>
          <w:p>
            <w:pPr>
              <w:spacing w:after="0"/>
              <w:rPr>
                <w:sz w:val="17"/>
                <w:szCs w:val="17"/>
                <w:color w:val="auto"/>
              </w:rPr>
            </w:pPr>
          </w:p>
        </w:tc>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EXPERTS</w:t>
              </w:r>
            </w:hyperlink>
          </w:p>
        </w:tc>
        <w:tc>
          <w:tcPr>
            <w:tcW w:w="3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UNAUDITED PRO FORMA CONDENSED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WHERE YOU CAN FIND MORE INFORMATION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4"/>
          </w:tcPr>
          <w:p>
            <w:pPr>
              <w:spacing w:after="0" w:line="196" w:lineRule="exact"/>
              <w:rPr>
                <w:rFonts w:ascii="Arial" w:cs="Arial" w:eastAsia="Arial" w:hAnsi="Arial"/>
                <w:sz w:val="18"/>
                <w:szCs w:val="18"/>
                <w:color w:val="0000EE"/>
                <w:w w:val="98"/>
              </w:rPr>
            </w:pPr>
            <w:hyperlink w:anchor="page86">
              <w:r>
                <w:rPr>
                  <w:rFonts w:ascii="Arial" w:cs="Arial" w:eastAsia="Arial" w:hAnsi="Arial"/>
                  <w:sz w:val="18"/>
                  <w:szCs w:val="18"/>
                  <w:color w:val="0000EE"/>
                  <w:w w:val="98"/>
                </w:rPr>
                <w:t>CONSOLIDATED FINANCIAL INFORMATION</w:t>
              </w:r>
            </w:hyperlink>
          </w:p>
        </w:tc>
        <w:tc>
          <w:tcPr>
            <w:tcW w:w="660" w:type="dxa"/>
            <w:vAlign w:val="bottom"/>
            <w:gridSpan w:val="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INDEX TO FINANCIAL STATEMENTS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460" w:type="dxa"/>
            <w:vAlign w:val="bottom"/>
            <w:tcBorders>
              <w:lef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MANAGEMENT’S DISCUSSION AND ANALYSIS OF</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FINANCIAL CONDITION AND RESULTS OF</w:t>
              </w:r>
            </w:hyperlink>
          </w:p>
        </w:tc>
        <w:tc>
          <w:tcPr>
            <w:tcW w:w="3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OPERATIONS</w:t>
              </w:r>
            </w:hyperlink>
          </w:p>
        </w:tc>
        <w:tc>
          <w:tcPr>
            <w:tcW w:w="800" w:type="dxa"/>
            <w:vAlign w:val="bottom"/>
            <w:gridSpan w:val="6"/>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1180" w:right="12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Blocker” refers to TA/DEI-A Acquisition Corp., a Delaware corporation, which, prior to the completion of the formation transactions, is an indirect wholly-owned subsidiary of Post and, after completion of the formation transactions, will be a direct wholly-owned subsidiary of BellRing Brands, LLC.</w:t>
      </w:r>
    </w:p>
    <w:p>
      <w:pPr>
        <w:spacing w:after="0" w:line="86" w:lineRule="exact"/>
        <w:rPr>
          <w:rFonts w:ascii="Arial" w:cs="Arial" w:eastAsia="Arial" w:hAnsi="Arial"/>
          <w:sz w:val="18"/>
          <w:szCs w:val="18"/>
          <w:color w:val="auto"/>
        </w:rPr>
      </w:pPr>
    </w:p>
    <w:p>
      <w:pPr>
        <w:jc w:val="both"/>
        <w:ind w:left="1180" w:right="6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the completion of the formation transactions, will be an indirect wholly-owned subsidiary of BellRing Brands, LLC.</w:t>
      </w:r>
    </w:p>
    <w:p>
      <w:pPr>
        <w:spacing w:after="0" w:line="131" w:lineRule="exact"/>
        <w:rPr>
          <w:sz w:val="20"/>
          <w:szCs w:val="20"/>
          <w:color w:val="auto"/>
        </w:rPr>
      </w:pPr>
    </w:p>
    <w:p>
      <w:pPr>
        <w:ind w:left="1180" w:right="4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 Brands, LLC, BellRing Brands, Inc. and Post in connection with the formation transactions and this offering.</w:t>
      </w:r>
    </w:p>
    <w:p>
      <w:pPr>
        <w:spacing w:after="0" w:line="86" w:lineRule="exact"/>
        <w:rPr>
          <w:rFonts w:ascii="Arial" w:cs="Arial" w:eastAsia="Arial" w:hAnsi="Arial"/>
          <w:sz w:val="18"/>
          <w:szCs w:val="18"/>
          <w:color w:val="auto"/>
        </w:rPr>
      </w:pPr>
    </w:p>
    <w:p>
      <w:pPr>
        <w:ind w:left="1180" w:right="1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 Blockers” refers to, collectively, (i) TA/DEI-B1 Acquisition Corp., a Delaware corporation, (ii) TA/DEI-B2 Acquisition Corp., a Delaware corporation and (iii) TA/DEI-B3 Acquisition Corp., a Delaware corporation, each of which, prior to the completion of the formation transactions, is an indirect wholly-owned subsidiary of Post and, as part of the formation transactions, will be merged with and into the A Blocker.</w:t>
      </w:r>
    </w:p>
    <w:p>
      <w:pPr>
        <w:spacing w:after="0" w:line="92" w:lineRule="exact"/>
        <w:rPr>
          <w:rFonts w:ascii="Arial" w:cs="Arial" w:eastAsia="Arial" w:hAnsi="Arial"/>
          <w:sz w:val="18"/>
          <w:szCs w:val="18"/>
          <w:color w:val="auto"/>
        </w:rPr>
      </w:pPr>
    </w:p>
    <w:p>
      <w:pPr>
        <w:ind w:left="1180" w:right="2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investor rights agreement, the amended and restated limited liability company agreement, the tax matters agreement, the tax receivable agreement and the master services agreement.</w:t>
      </w:r>
    </w:p>
    <w:p>
      <w:pPr>
        <w:spacing w:after="0" w:line="92" w:lineRule="exact"/>
        <w:rPr>
          <w:rFonts w:ascii="Arial" w:cs="Arial" w:eastAsia="Arial" w:hAnsi="Arial"/>
          <w:sz w:val="18"/>
          <w:szCs w:val="18"/>
          <w:color w:val="auto"/>
        </w:rPr>
      </w:pPr>
    </w:p>
    <w:p>
      <w:pPr>
        <w:ind w:left="1180" w:right="44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29" w:lineRule="exact"/>
        <w:rPr>
          <w:rFonts w:ascii="Arial" w:cs="Arial" w:eastAsia="Arial" w:hAnsi="Arial"/>
          <w:sz w:val="16"/>
          <w:szCs w:val="16"/>
          <w:color w:val="auto"/>
        </w:rPr>
      </w:pPr>
    </w:p>
    <w:p>
      <w:pPr>
        <w:jc w:val="both"/>
        <w:ind w:left="1180" w:right="12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6"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Inc.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6"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2013” refers to the fiscal year ended September 30, 2013; “fiscal 2014” refers to the fiscal year ended September 30, 2014; “fiscal 2015” refers to the fiscal year ended September 30, 2015; “fiscal 2016” refers to the fiscal year ended September 30, 2016; “fiscal 2017” refers to the fiscal year ended September 30, 2017; “fiscal 2018” refers to the fiscal year ended September 30, 2018; “fiscal 2019” refers to the fiscal year ending September 30, 2019; and “fiscal 2019, 2020, 2021, 2022 and 2023” refers to the fiscal years ending September 30 for each of 2019, 2020, 2021, 2022 and 2023, respectively.</w:t>
      </w:r>
    </w:p>
    <w:p>
      <w:pPr>
        <w:spacing w:after="0" w:line="93"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2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U.S. households that purchased a specified item at least once during a specified time period.</w:t>
      </w:r>
    </w:p>
    <w:p>
      <w:pPr>
        <w:spacing w:after="0" w:line="75" w:lineRule="exact"/>
        <w:rPr>
          <w:rFonts w:ascii="Arial" w:cs="Arial" w:eastAsia="Arial" w:hAnsi="Arial"/>
          <w:sz w:val="18"/>
          <w:szCs w:val="18"/>
          <w:color w:val="auto"/>
        </w:rPr>
      </w:pPr>
    </w:p>
    <w:p>
      <w:pPr>
        <w:ind w:left="1180" w:right="5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services agreement” refers to the master services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1180" w:right="24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6" w:lineRule="exact"/>
        <w:rPr>
          <w:rFonts w:ascii="Arial" w:cs="Arial" w:eastAsia="Arial" w:hAnsi="Arial"/>
          <w:sz w:val="18"/>
          <w:szCs w:val="18"/>
          <w:color w:val="auto"/>
        </w:rPr>
      </w:pPr>
    </w:p>
    <w:p>
      <w:pPr>
        <w:ind w:left="1180" w:right="20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$1,225.0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118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Company, LLC, a Delaware limited liability company and wholly-owned subsidiary of Dymatize Enterprises, LLC.</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2" w:lineRule="exact"/>
        <w:rPr>
          <w:rFonts w:ascii="Arial" w:cs="Arial" w:eastAsia="Arial" w:hAnsi="Arial"/>
          <w:sz w:val="17"/>
          <w:szCs w:val="17"/>
          <w:color w:val="auto"/>
        </w:rPr>
      </w:pPr>
    </w:p>
    <w:p>
      <w:pPr>
        <w:ind w:left="1180" w:right="3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 rate” refers to the percentage of buyers of a particular product who purchase that product at least twice during a specified time period.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2" w:lineRule="exact"/>
        <w:rPr>
          <w:rFonts w:ascii="Arial" w:cs="Arial" w:eastAsia="Arial" w:hAnsi="Arial"/>
          <w:sz w:val="17"/>
          <w:szCs w:val="17"/>
          <w:color w:val="auto"/>
        </w:rPr>
      </w:pPr>
    </w:p>
    <w:p>
      <w:pPr>
        <w:ind w:left="5640" w:right="120" w:hanging="5004"/>
        <w:spacing w:after="0" w:line="449" w:lineRule="auto"/>
        <w:tabs>
          <w:tab w:leader="none" w:pos="1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US xAOC including Convenience” refers to data from Nielsen tracked channels for Total US xAOC plus the convenience channel. iii</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6" w:lineRule="exact"/>
        <w:rPr>
          <w:rFonts w:ascii="Arial" w:cs="Arial" w:eastAsia="Arial" w:hAnsi="Arial"/>
          <w:sz w:val="18"/>
          <w:szCs w:val="18"/>
          <w:color w:val="auto"/>
        </w:rPr>
      </w:pPr>
    </w:p>
    <w:p>
      <w:pPr>
        <w:ind w:left="1180" w:right="160" w:hanging="544"/>
        <w:spacing w:after="0" w:line="31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69"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8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8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4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89"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95" w:lineRule="exact"/>
        <w:rPr>
          <w:sz w:val="20"/>
          <w:szCs w:val="20"/>
          <w:color w:val="auto"/>
        </w:rPr>
      </w:pPr>
    </w:p>
    <w:p>
      <w:pPr>
        <w:ind w:left="1320" w:right="68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320" w:right="200" w:hanging="515"/>
        <w:spacing w:after="0" w:line="26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320" w:right="140" w:hanging="515"/>
        <w:spacing w:after="0" w:line="308"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320" w:right="10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 xml:space="preserve">We believe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grew at a CAGR of 42% from fiscal 2016 to fiscal 2018.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is a market leader targeting fitness enthusiasts, who value the brand for its science-based product development and athletic performance focus.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58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558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920"/>
        <w:spacing w:after="0"/>
        <w:tabs>
          <w:tab w:leader="none" w:pos="68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Fiscal 2018 Net Sales By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are primarily focused on the sports nutrition need state.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24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380" w:right="80" w:firstLine="426"/>
        <w:spacing w:after="0" w:line="290" w:lineRule="auto"/>
        <w:rPr>
          <w:sz w:val="20"/>
          <w:szCs w:val="20"/>
          <w:color w:val="auto"/>
        </w:rPr>
      </w:pPr>
      <w:r>
        <w:rPr>
          <w:rFonts w:ascii="Arial" w:cs="Arial" w:eastAsia="Arial" w:hAnsi="Arial"/>
          <w:sz w:val="16"/>
          <w:szCs w:val="16"/>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60"/>
        <w:spacing w:after="0" w:line="342" w:lineRule="auto"/>
        <w:rPr>
          <w:sz w:val="20"/>
          <w:szCs w:val="20"/>
          <w:color w:val="auto"/>
        </w:rPr>
      </w:pPr>
      <w:r>
        <w:rPr>
          <w:rFonts w:ascii="Arial" w:cs="Arial" w:eastAsia="Arial" w:hAnsi="Arial"/>
          <w:sz w:val="16"/>
          <w:szCs w:val="16"/>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24"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flagship brand and is supported by a portfolio of other well-recognized brands with growth potential.</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 xml:space="preserve">is positioned to appeal to mainstream consumers seeking convenient, delicious protein products they can enjoy throughout the day. Our 11 ounce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 epitomizes this brand commitment, providing a great-tasting, on-the-go beverage with 30 grams of protein and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category and the convenient nutrition RTD category based on Nielsen household panel data for all outlets for the 52 week period ended July 27, 2019.</w:t>
      </w:r>
    </w:p>
    <w:p>
      <w:pPr>
        <w:spacing w:after="0" w:line="175"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development, 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89"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June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delivers products with high protein and superior taste. The brand’s RTD protein shakes are formulated to deliver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protein while maintaining one of the leanest nutritional profiles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 xml:space="preserve">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to include new flavors, powders and nutrition bars.</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has expanded its product portfolio to include a natural vegan protein bar and protein bars fortified with calcium and magnesium.</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3"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24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648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ind w:left="380" w:right="260" w:firstLine="426"/>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73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6873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380" w:firstLine="426"/>
        <w:spacing w:after="0" w:line="290"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brand through new category buyers and incremental consumption by existing buyers. We</w:t>
      </w: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85" w:lineRule="auto"/>
        <w:rPr>
          <w:sz w:val="20"/>
          <w:szCs w:val="20"/>
          <w:color w:val="auto"/>
        </w:rPr>
      </w:pPr>
      <w:r>
        <w:rPr>
          <w:rFonts w:ascii="Arial" w:cs="Arial" w:eastAsia="Arial" w:hAnsi="Arial"/>
          <w:sz w:val="16"/>
          <w:szCs w:val="16"/>
          <w:color w:val="auto"/>
        </w:rPr>
        <w:t xml:space="preserve">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can play in healthy and active lifestyles. We plan to continue investing in comprehensive marketing plans that include national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w:t>
      </w:r>
    </w:p>
    <w:p>
      <w:pPr>
        <w:spacing w:after="0" w:line="2" w:lineRule="exact"/>
        <w:rPr>
          <w:sz w:val="20"/>
          <w:szCs w:val="20"/>
          <w:color w:val="auto"/>
        </w:rPr>
      </w:pPr>
    </w:p>
    <w:p>
      <w:pPr>
        <w:ind w:left="380" w:right="240"/>
        <w:spacing w:after="0" w:line="255" w:lineRule="auto"/>
        <w:rPr>
          <w:sz w:val="20"/>
          <w:szCs w:val="20"/>
          <w:color w:val="auto"/>
        </w:rPr>
      </w:pPr>
      <w:r>
        <w:rPr>
          <w:rFonts w:ascii="Arial" w:cs="Arial" w:eastAsia="Arial" w:hAnsi="Arial"/>
          <w:sz w:val="18"/>
          <w:szCs w:val="18"/>
          <w:color w:val="auto"/>
        </w:rPr>
        <w:t xml:space="preserve">We believe this marketing approach increases relevance, credibility and memorability among our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90"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69" w:lineRule="auto"/>
        <w:rPr>
          <w:sz w:val="20"/>
          <w:szCs w:val="20"/>
          <w:color w:val="auto"/>
        </w:rPr>
      </w:pP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shakes. We expect to introduce two additional flavors in the fall of 2019. We also have improved the taste of our</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 xml:space="preserve">powder and nutrition bar formulations to ensure we continue to delight consumers. We believe our new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offering has achieved top 10% category velocities in FDM since its launch in December 2017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Clear </w:t>
      </w:r>
      <w:r>
        <w:rPr>
          <w:rFonts w:ascii="Arial" w:cs="Arial" w:eastAsia="Arial" w:hAnsi="Arial"/>
          <w:sz w:val="17"/>
          <w:szCs w:val="17"/>
          <w:color w:val="auto"/>
        </w:rPr>
        <w:t>RTD product is now distributed nationwide in Costco and other key retailers.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continues to be a leader in disruptive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3"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380" w:right="10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United Kingdom (the “U.K.”), Japan and Australia.</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80" w:right="380" w:firstLine="426"/>
        <w:spacing w:after="0" w:line="264"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78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214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20"/>
        <w:spacing w:after="0" w:line="259" w:lineRule="auto"/>
        <w:rPr>
          <w:sz w:val="20"/>
          <w:szCs w:val="20"/>
          <w:color w:val="auto"/>
        </w:rPr>
      </w:pPr>
      <w:r>
        <w:rPr>
          <w:rFonts w:ascii="Arial" w:cs="Arial" w:eastAsia="Arial" w:hAnsi="Arial"/>
          <w:sz w:val="18"/>
          <w:szCs w:val="18"/>
          <w:color w:val="auto"/>
        </w:rPr>
        <w:t>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320" w:right="18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320" w:hanging="515"/>
        <w:spacing w:after="0" w:line="290"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w:t>
      </w:r>
    </w:p>
    <w:p>
      <w:pPr>
        <w:spacing w:after="0" w:line="71" w:lineRule="exact"/>
        <w:rPr>
          <w:rFonts w:ascii="Arial" w:cs="Arial" w:eastAsia="Arial" w:hAnsi="Arial"/>
          <w:sz w:val="16"/>
          <w:szCs w:val="16"/>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320" w:right="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320" w:right="20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develop and offer products to meet these preferences.</w:t>
      </w:r>
    </w:p>
    <w:p>
      <w:pPr>
        <w:spacing w:after="0" w:line="142" w:lineRule="exact"/>
        <w:rPr>
          <w:rFonts w:ascii="Arial" w:cs="Arial" w:eastAsia="Arial" w:hAnsi="Arial"/>
          <w:sz w:val="17"/>
          <w:szCs w:val="17"/>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142" w:lineRule="exact"/>
        <w:rPr>
          <w:rFonts w:ascii="Arial" w:cs="Arial" w:eastAsia="Arial" w:hAnsi="Arial"/>
          <w:sz w:val="17"/>
          <w:szCs w:val="17"/>
          <w:color w:val="auto"/>
        </w:rPr>
      </w:pPr>
    </w:p>
    <w:p>
      <w:pPr>
        <w:ind w:left="1320" w:right="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320" w:right="300" w:hanging="515"/>
        <w:spacing w:after="0" w:line="308"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200" w:lineRule="exact"/>
        <w:rPr>
          <w:sz w:val="20"/>
          <w:szCs w:val="20"/>
          <w:color w:val="auto"/>
        </w:rPr>
      </w:pPr>
    </w:p>
    <w:p>
      <w:pPr>
        <w:spacing w:after="0" w:line="3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8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6838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80" w:hanging="515"/>
        <w:spacing w:after="0" w:line="264"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1"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320" w:right="140" w:hanging="515"/>
        <w:spacing w:after="0" w:line="264"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 Blockers merged with and into the A Blocker, with the A Blocker as the sole surviving corporation;</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Premier Nutrition converted from a Delaware corporation to a Delaware limited liability company;</w:t>
      </w:r>
    </w:p>
    <w:p>
      <w:pPr>
        <w:spacing w:after="0" w:line="130" w:lineRule="exact"/>
        <w:rPr>
          <w:rFonts w:ascii="Arial" w:cs="Arial" w:eastAsia="Arial" w:hAnsi="Arial"/>
          <w:sz w:val="18"/>
          <w:szCs w:val="18"/>
          <w:color w:val="auto"/>
        </w:rPr>
      </w:pPr>
    </w:p>
    <w:p>
      <w:pPr>
        <w:ind w:left="1740" w:right="4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distributed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740" w:right="14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Acquisition Sub IV, LLC merged with and into BellRing Brands, LLC, with BellRing Brands, LLC as the surviving entity and, as a result, Active Nutrition International is a direct subsidiary of BellRing Brands, LLC;</w:t>
      </w:r>
    </w:p>
    <w:p>
      <w:pPr>
        <w:spacing w:after="0" w:line="75" w:lineRule="exact"/>
        <w:rPr>
          <w:rFonts w:ascii="Arial" w:cs="Arial" w:eastAsia="Arial" w:hAnsi="Arial"/>
          <w:sz w:val="18"/>
          <w:szCs w:val="18"/>
          <w:color w:val="auto"/>
        </w:rPr>
      </w:pPr>
    </w:p>
    <w:p>
      <w:pPr>
        <w:ind w:left="1740" w:right="6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contributed all of the equity interests in Premier Nutrition to BellRing Brands, LLC, such that BellRing Brands, LLC is the direct holder of such equity interests; and</w:t>
      </w:r>
    </w:p>
    <w:p>
      <w:pPr>
        <w:spacing w:after="0" w:line="75" w:lineRule="exact"/>
        <w:rPr>
          <w:rFonts w:ascii="Arial" w:cs="Arial" w:eastAsia="Arial" w:hAnsi="Arial"/>
          <w:sz w:val="18"/>
          <w:szCs w:val="18"/>
          <w:color w:val="auto"/>
        </w:rPr>
      </w:pPr>
    </w:p>
    <w:p>
      <w:pPr>
        <w:ind w:left="1740" w:right="60" w:hanging="408"/>
        <w:spacing w:after="0" w:line="259"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borrow $1,225.0 million under the Post bridge loan, and certain of its subsidiaries will be guarantors of the Post bridge loan (other than BellRing Brands, Inc., but including BellRing Brands, LLC and its domestic subsidiaries) as described under “—Debt Financing Arrangements—Post Bridge Loan” and “Description of Certain Indebtedness.” We will not receive any of the proceeds of the Post bridge loan.</w:t>
      </w:r>
    </w:p>
    <w:p>
      <w:pPr>
        <w:spacing w:after="0" w:line="92"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same day this offering is completed, but prior to the completion of this offering:</w:t>
      </w:r>
    </w:p>
    <w:p>
      <w:pPr>
        <w:spacing w:after="0" w:line="130" w:lineRule="exact"/>
        <w:rPr>
          <w:rFonts w:ascii="Arial" w:cs="Arial" w:eastAsia="Arial" w:hAnsi="Arial"/>
          <w:sz w:val="18"/>
          <w:szCs w:val="18"/>
          <w:color w:val="auto"/>
        </w:rPr>
      </w:pPr>
    </w:p>
    <w:p>
      <w:pPr>
        <w:ind w:left="1740" w:right="24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380" w:hanging="616"/>
        <w:spacing w:after="0" w:line="25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 so long as Post or its affiliates (other than us) directly own more than 50% of the BellRing Brands, LLC Units, will, in the aggregate, represent 33% of the combined voting power of the common stock of BellRing Brands, Inc., as described under “Description of Capital Stock;” and</w:t>
      </w:r>
    </w:p>
    <w:p>
      <w:pPr>
        <w:spacing w:after="0" w:line="93" w:lineRule="exact"/>
        <w:rPr>
          <w:rFonts w:ascii="Arial" w:cs="Arial" w:eastAsia="Arial" w:hAnsi="Arial"/>
          <w:sz w:val="18"/>
          <w:szCs w:val="18"/>
          <w:color w:val="auto"/>
        </w:rPr>
      </w:pPr>
    </w:p>
    <w:p>
      <w:pPr>
        <w:ind w:left="2380" w:right="340" w:hanging="616"/>
        <w:spacing w:after="0" w:line="27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so long as Post or its affiliates (other than us) directly own more than 50%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03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300" w:right="520"/>
        <w:spacing w:after="0" w:line="277" w:lineRule="auto"/>
        <w:rPr>
          <w:sz w:val="20"/>
          <w:szCs w:val="20"/>
          <w:color w:val="auto"/>
        </w:rPr>
      </w:pPr>
      <w:r>
        <w:rPr>
          <w:rFonts w:ascii="Arial" w:cs="Arial" w:eastAsia="Arial" w:hAnsi="Arial"/>
          <w:sz w:val="18"/>
          <w:szCs w:val="18"/>
          <w:color w:val="auto"/>
        </w:rPr>
        <w:t>BellRing Brands, LLC Units, will represent 67% of the combined voting power of the common stock of BellRing Brands, Inc., as described under “Description of Capital Stock;”</w:t>
      </w:r>
    </w:p>
    <w:p>
      <w:pPr>
        <w:spacing w:after="0" w:line="76" w:lineRule="exact"/>
        <w:rPr>
          <w:sz w:val="20"/>
          <w:szCs w:val="20"/>
          <w:color w:val="auto"/>
        </w:rPr>
      </w:pPr>
    </w:p>
    <w:p>
      <w:pPr>
        <w:jc w:val="both"/>
        <w:ind w:left="1740" w:right="40" w:hanging="408"/>
        <w:spacing w:after="0" w:line="286"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Inc. will issue to Post (in exchange for the 1,000 shares of common stock initially issued to Post in connection with its incorporation, which shares will be cancelled as part of the exchange) one share of Class B common stock, which share of Class B common stock cannot be transferred by Post except to its affiliates (other than us).</w:t>
      </w:r>
    </w:p>
    <w:p>
      <w:pPr>
        <w:spacing w:after="0" w:line="70" w:lineRule="exact"/>
        <w:rPr>
          <w:rFonts w:ascii="Arial" w:cs="Arial" w:eastAsia="Arial" w:hAnsi="Arial"/>
          <w:sz w:val="17"/>
          <w:szCs w:val="17"/>
          <w:color w:val="auto"/>
        </w:rPr>
      </w:pPr>
    </w:p>
    <w:p>
      <w:pPr>
        <w:ind w:left="1320" w:hanging="51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740" w:right="140" w:hanging="408"/>
        <w:spacing w:after="0" w:line="257"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740" w:right="60" w:hanging="408"/>
        <w:spacing w:after="0" w:line="264"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w:t>
      </w:r>
    </w:p>
    <w:p>
      <w:pPr>
        <w:spacing w:after="0" w:line="86" w:lineRule="exact"/>
        <w:rPr>
          <w:rFonts w:ascii="Arial" w:cs="Arial" w:eastAsia="Arial" w:hAnsi="Arial"/>
          <w:sz w:val="18"/>
          <w:szCs w:val="18"/>
          <w:color w:val="auto"/>
        </w:rPr>
      </w:pPr>
    </w:p>
    <w:p>
      <w:pPr>
        <w:ind w:left="1740" w:right="240" w:hanging="408"/>
        <w:spacing w:after="0" w:line="264"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6" w:lineRule="exact"/>
        <w:rPr>
          <w:rFonts w:ascii="Arial" w:cs="Arial" w:eastAsia="Arial" w:hAnsi="Arial"/>
          <w:sz w:val="18"/>
          <w:szCs w:val="18"/>
          <w:color w:val="auto"/>
        </w:rPr>
      </w:pPr>
    </w:p>
    <w:p>
      <w:pPr>
        <w:ind w:left="2380" w:right="360" w:hanging="616"/>
        <w:spacing w:after="0" w:line="277" w:lineRule="auto"/>
        <w:tabs>
          <w:tab w:leader="none" w:pos="2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380" w:right="100" w:hanging="616"/>
        <w:spacing w:after="0" w:line="277" w:lineRule="auto"/>
        <w:tabs>
          <w:tab w:leader="none" w:pos="2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w:t>
      </w:r>
    </w:p>
    <w:p>
      <w:pPr>
        <w:spacing w:after="0" w:line="75" w:lineRule="exact"/>
        <w:rPr>
          <w:rFonts w:ascii="Arial" w:cs="Arial" w:eastAsia="Arial" w:hAnsi="Arial"/>
          <w:sz w:val="18"/>
          <w:szCs w:val="18"/>
          <w:color w:val="auto"/>
        </w:rPr>
      </w:pPr>
    </w:p>
    <w:p>
      <w:pPr>
        <w:ind w:left="1740" w:hanging="408"/>
        <w:spacing w:after="0"/>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Post’s membership interests in BellRing Brands, LLC will be reclassified as 97,474,179 BellRing Brands, LLC Units;</w:t>
      </w:r>
    </w:p>
    <w:p>
      <w:pPr>
        <w:spacing w:after="0" w:line="130" w:lineRule="exact"/>
        <w:rPr>
          <w:rFonts w:ascii="Arial" w:cs="Arial" w:eastAsia="Arial" w:hAnsi="Arial"/>
          <w:sz w:val="18"/>
          <w:szCs w:val="18"/>
          <w:color w:val="auto"/>
        </w:rPr>
      </w:pPr>
    </w:p>
    <w:p>
      <w:pPr>
        <w:ind w:left="1740" w:right="200" w:hanging="408"/>
        <w:spacing w:after="0" w:line="277"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5" w:lineRule="exact"/>
        <w:rPr>
          <w:rFonts w:ascii="Arial" w:cs="Arial" w:eastAsia="Arial" w:hAnsi="Arial"/>
          <w:sz w:val="18"/>
          <w:szCs w:val="18"/>
          <w:color w:val="auto"/>
        </w:rPr>
      </w:pPr>
    </w:p>
    <w:p>
      <w:pPr>
        <w:ind w:left="1740" w:right="100" w:hanging="408"/>
        <w:spacing w:after="0" w:line="286"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Inc. will contribute the net proceeds it receives in this offering to BellRing Brands, LLC, in exchange for 30,000,000 BellRing Brands, LLC Units (which is equal to the number of shares of Class A common stock sold in this offering or 34,500,000 BellRing Brands, LLC Units if the underwriters exercise their over-allotment option in full);</w:t>
      </w:r>
    </w:p>
    <w:p>
      <w:pPr>
        <w:spacing w:after="0" w:line="70" w:lineRule="exact"/>
        <w:rPr>
          <w:rFonts w:ascii="Arial" w:cs="Arial" w:eastAsia="Arial" w:hAnsi="Arial"/>
          <w:sz w:val="17"/>
          <w:szCs w:val="17"/>
          <w:color w:val="auto"/>
        </w:rPr>
      </w:pPr>
    </w:p>
    <w:p>
      <w:pPr>
        <w:ind w:left="1740" w:hanging="408"/>
        <w:spacing w:after="0" w:line="259"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investor rights agreement, (iii) the tax matters agreement, (iv) the tax receivable agreement and (v) the master services agreement, each as described under “Certain Relationships and Related Party Transactions—Post-Offering Relationship with Post;” and</w:t>
      </w:r>
    </w:p>
    <w:p>
      <w:pPr>
        <w:spacing w:after="0" w:line="92" w:lineRule="exact"/>
        <w:rPr>
          <w:rFonts w:ascii="Arial" w:cs="Arial" w:eastAsia="Arial" w:hAnsi="Arial"/>
          <w:sz w:val="18"/>
          <w:szCs w:val="18"/>
          <w:color w:val="auto"/>
        </w:rPr>
      </w:pPr>
    </w:p>
    <w:p>
      <w:pPr>
        <w:ind w:left="1740" w:right="520" w:hanging="408"/>
        <w:spacing w:after="0" w:line="308"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LLC will contribute all of the equity interests in Active Nutrition International and Premier Nutrition to Dymatize Enterprises, such that Dymatize Enterprises will be the direct holder of such equity interests.</w:t>
      </w:r>
    </w:p>
    <w:p>
      <w:pPr>
        <w:spacing w:after="0" w:line="147"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In this offering, BellRing Brands, Inc. will issue 30,000,000 shares of Class A common stock (or 34,500,000 shares if the underwriters exercise their over-allotment option in full) in exchange for net proceeds of approximately $486.8 million (or approximately $561.0 million if the underwriters exercise their over-allotment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04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59042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spacing w:after="0" w:line="259" w:lineRule="auto"/>
        <w:rPr>
          <w:sz w:val="20"/>
          <w:szCs w:val="20"/>
          <w:color w:val="auto"/>
        </w:rPr>
      </w:pPr>
      <w:r>
        <w:rPr>
          <w:rFonts w:ascii="Arial" w:cs="Arial" w:eastAsia="Arial" w:hAnsi="Arial"/>
          <w:sz w:val="18"/>
          <w:szCs w:val="18"/>
          <w:color w:val="auto"/>
        </w:rPr>
        <w:t>option in full), assuming the shares are offered at $17.50 per share (the midpoint of the price range set forth on the cover page of this prospectus),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95" w:lineRule="exact"/>
        <w:rPr>
          <w:sz w:val="20"/>
          <w:szCs w:val="20"/>
          <w:color w:val="auto"/>
        </w:rPr>
      </w:pPr>
    </w:p>
    <w:p>
      <w:pPr>
        <w:ind w:left="820" w:right="378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320" w:hanging="51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entities comprising Post’s Active Nutrition business will be direct or indirect subsidiaries of BellRing Brands, LLC.</w:t>
      </w:r>
    </w:p>
    <w:p>
      <w:pPr>
        <w:spacing w:after="0" w:line="130" w:lineRule="exact"/>
        <w:rPr>
          <w:rFonts w:ascii="Arial" w:cs="Arial" w:eastAsia="Arial" w:hAnsi="Arial"/>
          <w:sz w:val="18"/>
          <w:szCs w:val="18"/>
          <w:color w:val="auto"/>
        </w:rPr>
      </w:pPr>
    </w:p>
    <w:p>
      <w:pPr>
        <w:ind w:left="1320" w:right="480" w:hanging="515"/>
        <w:spacing w:after="0" w:line="264"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its indirect interests in the subsidiaries of BellRing Brands, LLC and will have no independent means of generating revenue or cash flow.</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320" w:right="80" w:hanging="515"/>
        <w:spacing w:after="0" w:line="30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BellRing Brands, LLC will be treated as a partnership for U.S. federal income tax purposes immediately after BellRing Brands, Inc.’s purchase of BellRing Brands, LLC Units in connection with this offering and, as such, will not itself generally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59" w:lineRule="exact"/>
        <w:rPr>
          <w:rFonts w:ascii="Arial" w:cs="Arial" w:eastAsia="Arial" w:hAnsi="Arial"/>
          <w:sz w:val="16"/>
          <w:szCs w:val="16"/>
          <w:color w:val="auto"/>
        </w:rPr>
      </w:pPr>
    </w:p>
    <w:p>
      <w:pPr>
        <w:ind w:left="1320" w:hanging="515"/>
        <w:spacing w:after="0" w:line="287"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Post will hold 97,474,179 BellRing Brands, LLC Units, equal to 76.5% of the economic interest in BellRing Brands, LLC (or 73.9% if the underwriters exercise their over-allotment option in full) and one share of BellRing Brands, Inc. Class B common stock, which, for so long as Post or its affiliates (other than us) directly own more than 50% of the BellRing Brands, LLC Units, will represent 67% of the combined voting power of the common stock of BellRing Brands, Inc. as described in this prospectus. Subject to the terms of the amended and restated limited liability company agreement, Post may redeem BellRing Brands, LLC Units for, at BellRing Brands, LLC’s option (as determined by its Board of Managers), (i) shares of BellRing Brands, Inc. Class A common stock or (ii) cash (based on the market price of the shares of BellRing Brands, Inc.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The share of BellRing Brands, Inc. Class B common stock will be initially owned by Post and cannot be transferred except to affiliates of Post (other than us). We do not intend to list our Class B common stock on any stock exchange. See “Certain Relationships and Related Party Transactions—Post-Offering Relationship with Post—Amended and Restated Limited Liability Company Agreement.”</w:t>
      </w:r>
    </w:p>
    <w:p>
      <w:pPr>
        <w:spacing w:after="0" w:line="74" w:lineRule="exact"/>
        <w:rPr>
          <w:rFonts w:ascii="Arial" w:cs="Arial" w:eastAsia="Arial" w:hAnsi="Arial"/>
          <w:sz w:val="16"/>
          <w:szCs w:val="16"/>
          <w:color w:val="auto"/>
        </w:rPr>
      </w:pPr>
    </w:p>
    <w:p>
      <w:pPr>
        <w:ind w:left="1320" w:right="100" w:hanging="515"/>
        <w:spacing w:after="0" w:line="255"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purchasers in this offering (i) will own 30,000,000 shares of our Class A common stock (or 34,500,000 shares if the underwriters exercise their over-allotment option in full), which, for so long as Post or its affiliates (other than us) directly own more than 50% of the BellRing Brands, LLC Units, will represent 33% of the combined voting power of our common stock and 100% of the economic interest in BellRing Brands, Inc., and (ii) through BellRing Brands, Inc.’s ownership of BellRing Brands, LLC Units, indirectly will hold 23.5% of the economic interest in BellRing Brands, LLC (or 26.1% if the underwriters exercise their over-allotment option in full).</w:t>
      </w:r>
    </w:p>
    <w:p>
      <w:pPr>
        <w:spacing w:after="0" w:line="98"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499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2499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40" w:right="180"/>
        <w:spacing w:after="0" w:line="264" w:lineRule="auto"/>
        <w:rPr>
          <w:sz w:val="20"/>
          <w:szCs w:val="20"/>
          <w:color w:val="auto"/>
        </w:rPr>
      </w:pPr>
      <w:r>
        <w:rPr>
          <w:rFonts w:ascii="Arial" w:cs="Arial" w:eastAsia="Arial" w:hAnsi="Arial"/>
          <w:sz w:val="18"/>
          <w:szCs w:val="18"/>
          <w:color w:val="auto"/>
        </w:rPr>
        <w:t>BellRing Brands, Inc. and the number of BellRing Brands, LLC Units owned by BellRing Brands, Inc. See “Certain Relationships and Related Party Transactions—Post-Offering Relationship with Post—Amended and Restated Limited Liability Company Agreement.”</w:t>
      </w:r>
    </w:p>
    <w:p>
      <w:pPr>
        <w:spacing w:after="0" w:line="87" w:lineRule="exact"/>
        <w:rPr>
          <w:sz w:val="20"/>
          <w:szCs w:val="20"/>
          <w:color w:val="auto"/>
        </w:rPr>
      </w:pPr>
    </w:p>
    <w:p>
      <w:pPr>
        <w:ind w:left="1320" w:hanging="515"/>
        <w:spacing w:after="0" w:line="253"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the Class B common stock of BellRing Brands, Inc.</w:t>
      </w:r>
    </w:p>
    <w:p>
      <w:pPr>
        <w:spacing w:after="0" w:line="102" w:lineRule="exact"/>
        <w:rPr>
          <w:rFonts w:ascii="Arial" w:cs="Arial" w:eastAsia="Arial" w:hAnsi="Arial"/>
          <w:sz w:val="18"/>
          <w:szCs w:val="18"/>
          <w:color w:val="auto"/>
        </w:rPr>
      </w:pPr>
    </w:p>
    <w:p>
      <w:pPr>
        <w:jc w:val="both"/>
        <w:ind w:left="1320" w:right="60" w:hanging="515"/>
        <w:spacing w:after="0" w:line="286" w:lineRule="auto"/>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240" w:top="459" w:right="7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198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2145" cy="7198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The following diagram shows our corporate structure immediately after completion of the formation transactions, this offering and the expected borrowings under the debt facilities described under “—Debt Financing Arrangements—Debt Facilities” and the application of the net proceeds of the offering and the debt facilities for the purposes described under “Use of Proceeds” (assuming an initial public offering price at the midpoint of the estimated offering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240" w:top="459" w:right="7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20"/>
        <w:spacing w:after="0" w:line="286" w:lineRule="auto"/>
        <w:rPr>
          <w:sz w:val="20"/>
          <w:szCs w:val="20"/>
          <w:color w:val="auto"/>
        </w:rPr>
      </w:pPr>
      <w:r>
        <w:rPr>
          <w:rFonts w:ascii="Arial" w:cs="Arial" w:eastAsia="Arial" w:hAnsi="Arial"/>
          <w:sz w:val="17"/>
          <w:szCs w:val="17"/>
          <w:color w:val="auto"/>
        </w:rPr>
        <w:t>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ind w:left="380" w:right="20" w:firstLine="426"/>
        <w:spacing w:after="0" w:line="289" w:lineRule="auto"/>
        <w:rPr>
          <w:sz w:val="20"/>
          <w:szCs w:val="20"/>
          <w:color w:val="auto"/>
        </w:rPr>
      </w:pPr>
      <w:r>
        <w:rPr>
          <w:rFonts w:ascii="Arial" w:cs="Arial" w:eastAsia="Arial" w:hAnsi="Arial"/>
          <w:sz w:val="16"/>
          <w:szCs w:val="16"/>
          <w:color w:val="auto"/>
        </w:rPr>
        <w:t>Prior to the completion of this offering, Post will borrow $1,225.0 million under an unsecured bridge loan (which we refer to as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 rate per annum equal to (i) for the period from and including October 11, 2019 to but excluding October 21, 2019, the Eurodollar Rate (as such term is defined in the bridge facility agreement) plus 450 basis points, (ii) for the period from and including October 21, 2019 to but excluding October 25, 2019, the Eurodollar Rate plus 500 basis points, (iii) for the period from and including October 25, 2019 to but excluding February 8, 2020, 12.00% and (iv) for the period from and including February 8, 2020 to but excluding the maturity date, 12.25%. Payments of interest on the Post bridge loan are due on October 21, 2019, October 25, 2019, December 31, 2019 and the last day of each quarter thereafter. The Post bridge loan will mature on August 23, 2024.</w:t>
      </w:r>
    </w:p>
    <w:p>
      <w:pPr>
        <w:spacing w:after="0" w:line="167"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 See “Description of Certain Indebtedness.”</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380" w:right="20" w:firstLine="426"/>
        <w:spacing w:after="0" w:line="287"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(which we refer to collectively as the “debt facilities”),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the full amount available under the term loan facility and approximately $73.0 million under the revolving credit facility (based upon the midpoint of the estimated offering price range set forth on the cover page of this prospectus), resulting in net proceeds to BellRing Brands, LLC of approximately $6.1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1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214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 See “Description of Certain Indebtedness.”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 Post will own one share of our Class B common stock and, for so long as Post or its affiliates (other than us) directly own more than 50% of the BellRing Brands, LLC Units as described in this prospectus, will control 67% of the combined voting power of our outstanding common stock.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65"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Post will receive the net proceeds of the Post bridge loan, estimated to be approximately $1,221.9 million after deducting fees and expenses, which it expects to use to repay a portion of its existing debt. Neither BellRing Brands, Inc. nor BellRing Brands, LLC will receive any of the proceeds of the Post bridge loan.</w:t>
      </w:r>
    </w:p>
    <w:p>
      <w:pPr>
        <w:spacing w:after="0" w:line="181" w:lineRule="exact"/>
        <w:rPr>
          <w:sz w:val="20"/>
          <w:szCs w:val="20"/>
          <w:color w:val="auto"/>
        </w:rPr>
      </w:pPr>
    </w:p>
    <w:p>
      <w:pPr>
        <w:jc w:val="both"/>
        <w:ind w:left="380" w:right="10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investor rights agreement, (iii) the tax receivable agreement, (iv) the tax matters agreement,</w:t>
      </w:r>
    </w:p>
    <w:p>
      <w:pPr>
        <w:ind w:left="380" w:right="620" w:firstLine="6"/>
        <w:spacing w:after="0" w:line="26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and (vi) the master services agreement, each as described under “Certain Relationships and Related Party Transactions—Post-Offering Relationship with Post.”</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Developments—Preliminary Fourth Quarter Net Sales</w:t>
      </w:r>
    </w:p>
    <w:p>
      <w:pPr>
        <w:spacing w:after="0" w:line="121"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auto"/>
        </w:rPr>
        <w:t>Our preliminary estimate of net sales for our fiscal quarter and fiscal year ended September 30, 2019 is between $211.0 million and $217.0 million and between $850.9 million and $856.9 million, respectively.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Net sales trends for the quarter ended September 30, 2019 are expected to be impacted by the following:</w:t>
      </w:r>
    </w:p>
    <w:p>
      <w:pPr>
        <w:spacing w:after="0" w:line="131" w:lineRule="exact"/>
        <w:rPr>
          <w:sz w:val="20"/>
          <w:szCs w:val="20"/>
          <w:color w:val="auto"/>
        </w:rPr>
      </w:pPr>
    </w:p>
    <w:p>
      <w:pPr>
        <w:ind w:left="1320" w:right="140" w:hanging="515"/>
        <w:spacing w:after="0" w:line="264"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fourth quarter of fiscal 2019 was negatively impacted by approximately $15 million of net sales associated with the request for early delivery of product made by a large customer to support promotional activity in the third quarter of fiscal 2019, as compared to comparable delivery in the fourth quarter of fiscal 2018.</w:t>
      </w:r>
    </w:p>
    <w:p>
      <w:pPr>
        <w:spacing w:after="0" w:line="86" w:lineRule="exact"/>
        <w:rPr>
          <w:rFonts w:ascii="Arial" w:cs="Arial" w:eastAsia="Arial" w:hAnsi="Arial"/>
          <w:sz w:val="18"/>
          <w:szCs w:val="18"/>
          <w:color w:val="auto"/>
        </w:rPr>
      </w:pPr>
    </w:p>
    <w:p>
      <w:pPr>
        <w:ind w:left="1320" w:right="520" w:hanging="515"/>
        <w:spacing w:after="0" w:line="277"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of nutrition bars in North America are estimated to be lower primarily driven by distribution losses and strategic sales reductions of low performing products within our portfolio.</w:t>
      </w:r>
    </w:p>
    <w:p>
      <w:pPr>
        <w:spacing w:after="0" w:line="75" w:lineRule="exact"/>
        <w:rPr>
          <w:rFonts w:ascii="Arial" w:cs="Arial" w:eastAsia="Arial" w:hAnsi="Arial"/>
          <w:sz w:val="18"/>
          <w:szCs w:val="18"/>
          <w:color w:val="auto"/>
        </w:rPr>
      </w:pPr>
    </w:p>
    <w:p>
      <w:pPr>
        <w:ind w:left="1320" w:right="140" w:hanging="515"/>
        <w:spacing w:after="0" w:line="264"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from selling expenses to net sales in the three months ended September 30, 2019, in connection with the adoption of Accounting Standards Update (“ASU”) 2014-09, “Revenue from Contracts with Customers (Topic 606).”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 xml:space="preserve">Based on Nielsen Total US xAOC including Convenience data for the 13 week period ended August 24, 2019, dollar consumption of our </w:t>
      </w: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RTD shakes increased 13% compared to the same period a year ago.</w:t>
      </w:r>
    </w:p>
    <w:p>
      <w:pPr>
        <w:spacing w:after="0" w:line="170"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We have provided a range for our current preliminary unaudited estimates of net sales because they are subject to the completion of financial closing procedures, final adjustments and other developments that may arise between now and the time the financial results for our fiscal quarter and fiscal year ended September 30, 2019 are finalized. Actual net sales may differ materially from these estimates, and the preliminary estimates are subject to change. While we are currently unaware of any items that would require us to make adjustments to the ranges of net sales set forth above, it is possible that we or our independent registered public accounting firm may identify such items as we complete our financial statements for our fiscal quarter and fiscal year ended September 30, 2019. In addition, the presentation of our preliminary unaudited estimates set forth above is not intended to imply that actual results could not fall outside of the estimated ranges, and our preliminary unaudited estimates of net sales are not necessarily indicative of similar operating results for any future periods. Further, our preliminary unaudited estimates of net sales for our fiscal quarter and fiscal year ended September 30, 2019 have been prepared by our management based only upon information available to them as of the date hereof.</w:t>
      </w:r>
    </w:p>
    <w:p>
      <w:pPr>
        <w:spacing w:after="0" w:line="178" w:lineRule="exact"/>
        <w:rPr>
          <w:sz w:val="20"/>
          <w:szCs w:val="20"/>
          <w:color w:val="auto"/>
        </w:rPr>
      </w:pPr>
    </w:p>
    <w:p>
      <w:pPr>
        <w:ind w:left="380" w:right="320" w:firstLine="426"/>
        <w:spacing w:after="0" w:line="259" w:lineRule="auto"/>
        <w:rPr>
          <w:sz w:val="20"/>
          <w:szCs w:val="20"/>
          <w:color w:val="auto"/>
        </w:rPr>
      </w:pPr>
      <w:r>
        <w:rPr>
          <w:rFonts w:ascii="Arial" w:cs="Arial" w:eastAsia="Arial" w:hAnsi="Arial"/>
          <w:sz w:val="18"/>
          <w:szCs w:val="18"/>
          <w:color w:val="auto"/>
        </w:rPr>
        <w:t>The preliminary financial data included in this registration statement has been prepared by, and is the responsibility of, BellRing Brands, Inc.’s management. PricewaterhouseCoopers LLP has not audited, reviewed, compiled or applied agreed-upon procedures with respect to the preliminary financial data. Accordingly, PricewaterhouseCoopers LLP does not express an opinion or any other form of assurance with respect thereto.</w:t>
      </w:r>
    </w:p>
    <w:p>
      <w:pPr>
        <w:spacing w:after="0" w:line="79"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Accordingly, undue reliance should not be placed on the preliminary estimates set forth above. The preliminary estimates set forth above should be read together with “Risk Factors,” “Cautionary Statement Regarding Forward-Looking Statements,” “Selected Financial Data,” “Management’s Discussion and Analysis of Financial Condition and Results of Operations” and our financial statements and related notes included elsewhere in this prospectus.</w:t>
      </w: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80" w:right="460" w:firstLine="426"/>
        <w:spacing w:after="0" w:line="264"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7" w:lineRule="exact"/>
        <w:rPr>
          <w:sz w:val="20"/>
          <w:szCs w:val="20"/>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320" w:right="20" w:hanging="515"/>
        <w:spacing w:after="0" w:line="312"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2" w:lineRule="exact"/>
        <w:rPr>
          <w:rFonts w:ascii="Arial" w:cs="Arial" w:eastAsia="Arial" w:hAnsi="Arial"/>
          <w:sz w:val="16"/>
          <w:szCs w:val="16"/>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80" w:right="60" w:firstLine="426"/>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320" w:hanging="51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34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2145" cy="4634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480" w:hanging="515"/>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320" w:right="240" w:hanging="515"/>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320" w:right="60" w:hanging="515"/>
        <w:spacing w:after="0" w:line="264"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320" w:right="40" w:hanging="515"/>
        <w:spacing w:after="0" w:line="277" w:lineRule="auto"/>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 Louis, Missouri 63144, and its telephone number is (314) 644-7600. BellRing Brands, Inc.’s website is www.bellring.com.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638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Issuer</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Class A common stock to be outstanding after this offering</w:t>
      </w: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Class B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BellRing Brands, Inc.</w:t>
      </w:r>
    </w:p>
    <w:p>
      <w:pPr>
        <w:spacing w:after="0" w:line="77" w:lineRule="exact"/>
        <w:rPr>
          <w:sz w:val="20"/>
          <w:szCs w:val="20"/>
          <w:color w:val="auto"/>
        </w:rPr>
      </w:pPr>
    </w:p>
    <w:p>
      <w:pPr>
        <w:ind w:left="1080" w:right="60" w:hanging="179"/>
        <w:spacing w:after="0" w:line="259" w:lineRule="auto"/>
        <w:rPr>
          <w:sz w:val="20"/>
          <w:szCs w:val="20"/>
          <w:color w:val="auto"/>
        </w:rPr>
      </w:pPr>
      <w:r>
        <w:rPr>
          <w:rFonts w:ascii="Arial" w:cs="Arial" w:eastAsia="Arial" w:hAnsi="Arial"/>
          <w:sz w:val="18"/>
          <w:szCs w:val="18"/>
          <w:color w:val="auto"/>
        </w:rPr>
        <w:t>30,000,000 shares (or 34,500,000 shares if the underwriters exercise their over-allotment option in full). Each share of our Class A common stock will be eligible for dividends and distributions upon liquidation.</w:t>
      </w:r>
    </w:p>
    <w:p>
      <w:pPr>
        <w:spacing w:after="0" w:line="254" w:lineRule="exact"/>
        <w:rPr>
          <w:sz w:val="20"/>
          <w:szCs w:val="20"/>
          <w:color w:val="auto"/>
        </w:rPr>
      </w:pPr>
    </w:p>
    <w:p>
      <w:pPr>
        <w:ind w:left="1080" w:right="160" w:hanging="179"/>
        <w:spacing w:after="0" w:line="277" w:lineRule="auto"/>
        <w:rPr>
          <w:sz w:val="20"/>
          <w:szCs w:val="20"/>
          <w:color w:val="auto"/>
        </w:rPr>
      </w:pPr>
      <w:r>
        <w:rPr>
          <w:rFonts w:ascii="Arial" w:cs="Arial" w:eastAsia="Arial" w:hAnsi="Arial"/>
          <w:sz w:val="18"/>
          <w:szCs w:val="18"/>
          <w:color w:val="auto"/>
        </w:rPr>
        <w:t>30,000,000 shares (or 34,500,000 shares if the underwriters exercise their over-allotment option in full).</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have granted to the underwriters an option to purchase up</w:t>
      </w:r>
    </w:p>
    <w:p>
      <w:pPr>
        <w:spacing w:after="0" w:line="23" w:lineRule="exact"/>
        <w:rPr>
          <w:sz w:val="20"/>
          <w:szCs w:val="20"/>
          <w:color w:val="auto"/>
        </w:rPr>
      </w:pPr>
    </w:p>
    <w:p>
      <w:pPr>
        <w:jc w:val="both"/>
        <w:ind w:left="1080" w:right="160"/>
        <w:spacing w:after="0" w:line="273" w:lineRule="auto"/>
        <w:rPr>
          <w:sz w:val="20"/>
          <w:szCs w:val="20"/>
          <w:color w:val="auto"/>
        </w:rPr>
      </w:pPr>
      <w:r>
        <w:rPr>
          <w:rFonts w:ascii="Arial" w:cs="Arial" w:eastAsia="Arial" w:hAnsi="Arial"/>
          <w:sz w:val="17"/>
          <w:szCs w:val="17"/>
          <w:color w:val="auto"/>
        </w:rPr>
        <w:t>to 4,500,000 additional shares of our Class A common stock from us at the initial public offering price (less underwriting discounts and commissions) to cover over-allotments, if any, for a period of thirty days from the date of this prospectus.</w:t>
      </w:r>
    </w:p>
    <w:p>
      <w:pPr>
        <w:spacing w:after="0" w:line="244" w:lineRule="exact"/>
        <w:rPr>
          <w:sz w:val="20"/>
          <w:szCs w:val="20"/>
          <w:color w:val="auto"/>
        </w:rPr>
      </w:pPr>
    </w:p>
    <w:p>
      <w:pPr>
        <w:ind w:left="1080" w:right="360" w:hanging="179"/>
        <w:spacing w:after="0" w:line="311" w:lineRule="auto"/>
        <w:rPr>
          <w:sz w:val="20"/>
          <w:szCs w:val="20"/>
          <w:color w:val="auto"/>
        </w:rPr>
      </w:pPr>
      <w:r>
        <w:rPr>
          <w:rFonts w:ascii="Arial" w:cs="Arial" w:eastAsia="Arial" w:hAnsi="Arial"/>
          <w:sz w:val="16"/>
          <w:szCs w:val="16"/>
          <w:color w:val="auto"/>
        </w:rPr>
        <w:t>One share, which will be issued to Post. The share of our Class B common stock will have no economic rights and cannot be transferred by Post except to its affiliates (other than us).</w:t>
      </w:r>
    </w:p>
    <w:p>
      <w:pPr>
        <w:spacing w:after="0" w:line="1" w:lineRule="exact"/>
        <w:rPr>
          <w:sz w:val="20"/>
          <w:szCs w:val="20"/>
          <w:color w:val="auto"/>
        </w:rPr>
      </w:pPr>
    </w:p>
    <w:p>
      <w:pPr>
        <w:ind w:left="1080" w:hanging="179"/>
        <w:spacing w:after="0" w:line="285" w:lineRule="auto"/>
        <w:rPr>
          <w:sz w:val="20"/>
          <w:szCs w:val="20"/>
          <w:color w:val="auto"/>
        </w:rPr>
      </w:pPr>
      <w:r>
        <w:rPr>
          <w:rFonts w:ascii="Arial" w:cs="Arial" w:eastAsia="Arial" w:hAnsi="Arial"/>
          <w:sz w:val="16"/>
          <w:szCs w:val="16"/>
          <w:color w:val="auto"/>
        </w:rPr>
        <w:t>One vote per share for Class A common stock; Class A common stock and Class B common stock vote together as a single class on all matters submitted to a vote of stockholders. See “Description of Capital Stock.”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w:t>
      </w:r>
    </w:p>
    <w:p>
      <w:pPr>
        <w:spacing w:after="0" w:line="200" w:lineRule="exact"/>
        <w:rPr>
          <w:sz w:val="20"/>
          <w:szCs w:val="20"/>
          <w:color w:val="auto"/>
        </w:rPr>
      </w:pPr>
    </w:p>
    <w:p>
      <w:pPr>
        <w:sectPr>
          <w:pgSz w:w="11900" w:h="16838" w:orient="portrait"/>
          <w:cols w:equalWidth="0" w:num="2">
            <w:col w:w="4640" w:space="380"/>
            <w:col w:w="5980"/>
          </w:cols>
          <w:pgMar w:left="240" w:top="459" w:right="6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00"/>
          </w:cols>
          <w:pgMar w:left="240" w:top="459" w:right="6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80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9"/>
              </w:rPr>
              <w:t>Units held by Post and its affiliates (other than us), and (ii) in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event that any BellRing Brands, LLC Units are held by persons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other than us or Post and its affiliates, then Post, or its applicable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affiliate, as the holder of the share of our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will cast the remainder of the votes to which the share of our Class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B common stock is entitled only in accordance with instructions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and directions from such other holders of the BellRing Brands, LLC</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in accordance with proxies granted by Post to, or voting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agreements or other voting arrangements entered into by Post with,</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such other holders pursuant to the amended and restated limited</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liability company agreement.</w:t>
            </w:r>
          </w:p>
        </w:tc>
        <w:tc>
          <w:tcPr>
            <w:tcW w:w="0" w:type="dxa"/>
            <w:vAlign w:val="bottom"/>
          </w:tcPr>
          <w:p>
            <w:pPr>
              <w:spacing w:after="0"/>
              <w:rPr>
                <w:sz w:val="1"/>
                <w:szCs w:val="1"/>
                <w:color w:val="auto"/>
              </w:rPr>
            </w:pPr>
          </w:p>
        </w:tc>
      </w:tr>
      <w:tr>
        <w:trPr>
          <w:trHeight w:val="284"/>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Rights of the BellRing Brands, LLC Units</w:t>
            </w:r>
          </w:p>
        </w:tc>
        <w:tc>
          <w:tcPr>
            <w:tcW w:w="6240" w:type="dxa"/>
            <w:vAlign w:val="bottom"/>
            <w:tcBorders>
              <w:right w:val="single" w:sz="8" w:color="auto"/>
            </w:tcBorders>
            <w:vMerge w:val="restart"/>
          </w:tcPr>
          <w:p>
            <w:pPr>
              <w:ind w:left="920"/>
              <w:spacing w:after="0"/>
              <w:rPr>
                <w:sz w:val="20"/>
                <w:szCs w:val="20"/>
                <w:color w:val="auto"/>
              </w:rPr>
            </w:pPr>
            <w:r>
              <w:rPr>
                <w:rFonts w:ascii="Arial" w:cs="Arial" w:eastAsia="Arial" w:hAnsi="Arial"/>
                <w:sz w:val="18"/>
                <w:szCs w:val="18"/>
                <w:color w:val="auto"/>
              </w:rPr>
              <w:t>Subject to the terms of the amended and restated limited liability</w:t>
            </w: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company agreement, BellRing Brands, LLC Units may be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redeemed at any time for, at BellRing Brands, LLC’s option (as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determined by its Board of Managers), (i) shares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common stock or (ii) cash (based on the market price of the shares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of our Class A common stock). The redemption of BellRing Brands,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LLC Units for shares of Class A common stock will be at an initial</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redemption rate of one share of Class A common stock for one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BellRing Brands, LLC Unit, subject to customary redemption rate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adjustments for stock splits, stock dividends and reclassifications.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We have received approval to list our Class A common stock on the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NYSE under the trading symbol “BRBR”.</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As a result of Post’s ownership of our share of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following this offering, Post will beneficially own more than 50%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of the combined voting power of our outstanding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we will be a “controlled company” within the meaning of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NYSE corporate governance standards; however, we do not</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currently expect to rely on the “controlled company” exemptions.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We estimate that the net proceeds from the sale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common stock in this offering, after deducting the underwriting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discount and expenses of this offering, will be approximately</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$486.8 million (or $561.0 million if the underwriters exercise their</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over-allotment option in full) based on an assumed initial public</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offering price of $17.50 per share (the midpoint of the estimated</w:t>
            </w:r>
          </w:p>
        </w:tc>
        <w:tc>
          <w:tcPr>
            <w:tcW w:w="0" w:type="dxa"/>
            <w:vAlign w:val="bottom"/>
          </w:tcPr>
          <w:p>
            <w:pPr>
              <w:spacing w:after="0"/>
              <w:rPr>
                <w:sz w:val="1"/>
                <w:szCs w:val="1"/>
                <w:color w:val="auto"/>
              </w:rPr>
            </w:pPr>
          </w:p>
        </w:tc>
      </w:tr>
      <w:tr>
        <w:trPr>
          <w:trHeight w:val="240"/>
        </w:trPr>
        <w:tc>
          <w:tcPr>
            <w:tcW w:w="4800" w:type="dxa"/>
            <w:vAlign w:val="bottom"/>
            <w:tcBorders>
              <w:left w:val="single" w:sz="8" w:color="auto"/>
              <w:bottom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00" w:type="dxa"/>
            <w:vAlign w:val="bottom"/>
          </w:tcPr>
          <w:p>
            <w:pPr>
              <w:spacing w:after="0"/>
              <w:rPr>
                <w:sz w:val="24"/>
                <w:szCs w:val="24"/>
                <w:color w:val="auto"/>
              </w:rPr>
            </w:pPr>
          </w:p>
        </w:tc>
        <w:tc>
          <w:tcPr>
            <w:tcW w:w="6240" w:type="dxa"/>
            <w:vAlign w:val="bottom"/>
          </w:tcPr>
          <w:p>
            <w:pPr>
              <w:ind w:left="6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52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2380"/>
              <w:spacing w:after="0"/>
              <w:rPr>
                <w:sz w:val="20"/>
                <w:szCs w:val="20"/>
                <w:color w:val="auto"/>
              </w:rPr>
            </w:pPr>
            <w:r>
              <w:rPr>
                <w:rFonts w:ascii="Arial" w:cs="Arial" w:eastAsia="Arial" w:hAnsi="Arial"/>
                <w:sz w:val="18"/>
                <w:szCs w:val="18"/>
                <w:color w:val="auto"/>
                <w:w w:val="95"/>
              </w:rPr>
              <w:t>offering price range set forth on the cover page of this prospectus).</w:t>
            </w:r>
          </w:p>
        </w:tc>
      </w:tr>
      <w:tr>
        <w:trPr>
          <w:trHeight w:val="283"/>
        </w:trPr>
        <w:tc>
          <w:tcPr>
            <w:tcW w:w="352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BellRing Brands, Inc. will contribute the net proceeds of this offering</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to BellRing Brands, LLC in exchange for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Units as described under “Prospectus Summary—Formation</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Transactions.” BellRing Brands, LLC, in turn, will use the net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proceeds of this offering that it receives from BellRing Brands, Inc.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to repay a portion of the Post bridge loan and related interest.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Immediately after the completion of the formation transactions and</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the completion of this offering, BellRing Brands, LLC expects to</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4"/>
              </w:rPr>
              <w:t>enter into the debt facilities and use the proceeds of such borrowing</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under the term loan facility and the revolving credit facility (i) to</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repay the remaining balance of the Post bridge loan and all interest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thereunder, (ii) to pay directly, or reimburse Post for, as applicable,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all fees and expenses incurred by us or Post in connection with this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offering and the formation transactions (including the debt facilities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9"/>
              </w:rPr>
              <w:t>but excluding the Post bridge loan), (iii) to reimburse Post for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amount of cash on our balance sheet immediately prior to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completion of this offering, and (iv) to the extent there are any</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remaining proceeds, for general corporate purposes, including, for</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8"/>
              </w:rPr>
              <w:t>example, to redeem for cash any BellRing Brands, LLC Units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Post may elect in the future to redeem. Post has advised us that it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may determine to redeem a portion of its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Units in the event the proceeds of this offering together with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proceeds of the borrowings under the debt facilities as described in</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this prospectus result in net proceeds to BellRing Brands, LLC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exceed the amount of funds required to satisfy the uses described</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under clauses (i) through (iii) above. See “Use of Proceeds” and</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“Description of Certain Indebtedness—Debt Facilities.”</w:t>
            </w:r>
          </w:p>
        </w:tc>
      </w:tr>
      <w:tr>
        <w:trPr>
          <w:trHeight w:val="283"/>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75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Affiliates of Morgan Stanley &amp; Co. LLC, Citigroup Global Markets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Inc., J.P. Morgan Securities LLC, Goldman Sachs &amp; Co.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BofA Securities, Inc. and Credit Suisse Securities (USA) LLC, each</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of which is an underwriter in this offering, are lenders under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Post bridge loan. The proceeds received by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from its sale of BellRing Brands, LLC Units will be used to repay a</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portion of the Post bridge loan and related interest. Because of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manner in which the proceeds will be used, this offering will be</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conducted in accordance with</w:t>
            </w:r>
          </w:p>
        </w:tc>
      </w:tr>
      <w:tr>
        <w:trPr>
          <w:trHeight w:val="240"/>
        </w:trPr>
        <w:tc>
          <w:tcPr>
            <w:tcW w:w="352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2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color w:val="auto"/>
              </w:rPr>
              <w:t>Financial Industry Regulatory Authority, Inc., or FINRA, Rule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5121. This rule requires, among other things, that a qualified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independent underwriter has participated in the preparation of,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has exercised the usual standards of ‘‘due diligence’’ with respect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to, this prospectus and the registration statement of which this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prospectus forms a part. Barclays Capital Inc. has agreed to act as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qualified independent underwriter for the offering and to undertake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the legal responsibilities and liabilities of an underwriter under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Securities Act, specifically including those inherent in Section 11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the Securities Act. We will agree to indemnify Barclays Capital Inc.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against liabilities incurred in connection with acting as qualified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independent underwriter, including liabilities under the Securities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Act. Moreover, none of Morgan Stanley &amp; Co. LLC, Citigroup</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Global Markets Inc., J.P. Morgan Securities LLC, Goldman Sachs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&amp; Co. LLC, BofA Securities, Inc. and Credit Suisse Securities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(USA) LLC, is permitted to sell Class A common stock in this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offering to an account over which it exercises discretionary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authority without the prior specific written approval of the account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holder. See “Underwriting (Conflicts of Interest).”</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4"/>
              </w:rPr>
              <w:t>We do not intend to pay dividends on our Class A common stock or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cause BellRing Brands, LLC to make distributions to its members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3"/>
              </w:rPr>
              <w:t>(other than to make certain distributions as described under “Certain</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Relationships and Related Party Transactions—Post-Offering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Relationship with Post—Amended and Restated Limited Liability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Company Agreement”). We anticipate that we will retain all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available funds and any future earnings to support our operations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and to finance the growth and development of our business. Any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future determination to pay dividends on our Class A common stock</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will be made by our Board of Directors.</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 Receivable Agreement</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We intend to enter into a tax receivable agreement with Post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LLC that will provide for the payment by us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Post (or certain of its transferees or other assignees) of 85% of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amount of cash savings, if any, in U.S. federal income tax, as well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as state and local income tax and franchise tax (using an assumed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tax rate on a base equal to the U.S. federal taxable income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Inc.), that we actually realize (or, in some</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circumstances, we are deemed to realize)</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75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214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as a result of (a) the increase in the tax basis of assets of BellRing</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Brands, LLC attributable to (i) the redemption of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LLC Units by Post (or certain of its transferees or assignees)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pursuant to the amended and restated limited liability company</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agreement, (ii) deemed sales by Post (or certain of its transferees or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assignees) of BellRing Brands, LLC Units or assets to BellRing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Brands, Inc., (iii) certain actual or deemed distributions from</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BellRing Brands, LLC to Post (or certain of its transferees or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assignees) and (iv) certain formation transactions,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 disproportionate allocations of tax benefits to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Inc. as a result of Section 704(c) of the Internal Revenue Code of</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1986, as amended (the “Code”) and (c) certain tax benefits (e.g.,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basis adjustments, deductions, etc.) attributable to payments under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the tax receivable agreement. See “Certain Relationships and</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Related Party Transactions—Post-Offering Relationship with Post</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—Tax Receivable Agreement.”</w:t>
      </w:r>
    </w:p>
    <w:p>
      <w:pPr>
        <w:spacing w:after="0" w:line="21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(the “2019 LTIP”), which was adopted prior to this offering. We have reserved 2,000,000 shares of our Class A common stock for issuance under the 2019 LTIP. See “Executive Compensation—BellRing Brands, Inc. 2019 Long-Term Incentive Plan” for additional information regarding our equity incentive plan.</w:t>
      </w:r>
    </w:p>
    <w:p>
      <w:pPr>
        <w:spacing w:after="0" w:line="154"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320" w:hanging="515"/>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completion of the formation transactions as described elsewhere in this prospectus;</w:t>
      </w:r>
    </w:p>
    <w:p>
      <w:pPr>
        <w:spacing w:after="0" w:line="130" w:lineRule="exact"/>
        <w:rPr>
          <w:rFonts w:ascii="Arial" w:cs="Arial" w:eastAsia="Arial" w:hAnsi="Arial"/>
          <w:sz w:val="18"/>
          <w:szCs w:val="18"/>
          <w:color w:val="auto"/>
        </w:rPr>
      </w:pPr>
    </w:p>
    <w:p>
      <w:pPr>
        <w:ind w:left="1320" w:right="18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initial public offering price of $17.50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color w:val="auto"/>
        </w:rPr>
        <w:t>The following tables set forth certain summary historical condensed combined financial data for Post’s Active Nutrition business as of September 30, 2018 and 2017 and for each of the fiscal years in the three-year period ended September 30, 2018, and as of June 30, 2019 and for the nine months ended June 30, 2019 and 2018.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9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September 30, 2018 and 2017 and as of each of the fiscal years in the three-year period ended September 30, 2018 have been derived from the audited combined financial statements of Post’s Active Nutrition business. The summary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98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2145" cy="53981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Active Nutrition</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tcPr>
          <w:p>
            <w:pPr>
              <w:jc w:val="center"/>
              <w:ind w:right="150"/>
              <w:spacing w:after="0" w:line="119"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left="254"/>
              <w:spacing w:after="0" w:line="14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639.9</w:t>
            </w: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$ 607.6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827.5</w:t>
            </w:r>
          </w:p>
        </w:tc>
        <w:tc>
          <w:tcPr>
            <w:tcW w:w="1040" w:type="dxa"/>
            <w:vAlign w:val="bottom"/>
            <w:gridSpan w:val="6"/>
          </w:tcPr>
          <w:p>
            <w:pPr>
              <w:jc w:val="right"/>
              <w:ind w:right="300"/>
              <w:spacing w:after="0"/>
              <w:rPr>
                <w:sz w:val="20"/>
                <w:szCs w:val="20"/>
                <w:color w:val="auto"/>
              </w:rPr>
            </w:pPr>
            <w:r>
              <w:rPr>
                <w:rFonts w:ascii="Arial" w:cs="Arial" w:eastAsia="Arial" w:hAnsi="Arial"/>
                <w:sz w:val="18"/>
                <w:szCs w:val="18"/>
                <w:color w:val="auto"/>
              </w:rPr>
              <w:t>$713.2</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403.6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549.8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467.4</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235.1</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277.7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3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131.0</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96.1</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141.2</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(84.0)</w:t>
            </w:r>
          </w:p>
        </w:tc>
        <w:tc>
          <w:tcPr>
            <w:tcW w:w="60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112.5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156.5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7"/>
              </w:rPr>
              <w:t>Active Nutrition</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6"/>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(unaudited)</w:t>
            </w:r>
          </w:p>
        </w:tc>
        <w:tc>
          <w:tcPr>
            <w:tcW w:w="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3.4</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560.4</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583.2</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parent company equity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491.0</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484.4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60" w:hanging="414"/>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24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7"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For the last twelve months ended June 30, 2019,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supplier and approximately 57%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color w:val="auto"/>
        </w:rPr>
        <w:t>with one of our former third party contract manufacturers, which we had expected to produce less than 10% of our RTD protein shakes for fiscal year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93"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convenient nutrition category, which we believe includes the everyday nutrition, adult nutrition, sports nutrition and weight management consumer need states, is highly competitive. We compete with other brands in the convenient nutrition category and with many nutritional food and beverage players, as well as manufacturers of private label products.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9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 xml:space="preserve">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the last twelve months ended June 30, 2019, approximately 84%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 supply came from our largest contract manufacturer, Stremick’s Heritage Foods, LLC, from its three manufacturing facilities located in Riverside and Santa Ana, California and Joplin, Missouri, with approximately 57% of such supply manufactured at the Joplin, Missouri facility. In 2011, a major tornado struck Joplin, Missouri, but our supply of product from the Joplin, Missouri facility was not impacted. In addition, production</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 comes primarily from its locations in Mexicali, Baja California, Mexico and Denton, Texas. Competitors can be affected differently by weather conditions and natural disasters depending on the location of their suppliers and operations.</w:t>
      </w:r>
    </w:p>
    <w:p>
      <w:pPr>
        <w:spacing w:after="0" w:line="154"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must identify changing consumer and customer preferences and develop and offer products to meet these preferences.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or effectively introduce new products in response, to such changes could negatively impact our business, financial condition, results of operations and cash flows.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7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266"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8"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8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289"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7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September 1, 2019, we had approximately 380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6" w:lineRule="exact"/>
        <w:rPr>
          <w:sz w:val="20"/>
          <w:szCs w:val="20"/>
          <w:color w:val="auto"/>
        </w:rPr>
      </w:pPr>
    </w:p>
    <w:p>
      <w:pPr>
        <w:ind w:left="640" w:right="90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With respect to acquisitions, we may not be able to identify suitable candidates, consummate a transaction on terms that are favorable to us or achieve expected returns and other benefits as a result of integration challenges.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7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280"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9"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1" w:lineRule="exact"/>
        <w:rPr>
          <w:sz w:val="20"/>
          <w:szCs w:val="20"/>
          <w:color w:val="auto"/>
        </w:rPr>
      </w:pPr>
    </w:p>
    <w:p>
      <w:pPr>
        <w:ind w:left="640" w:right="14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and the foreign tax credit, among others. 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200" w:right="180" w:firstLine="441"/>
        <w:spacing w:after="0" w:line="297"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With approximately 380 employees as of September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281"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275"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3"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287" w:lineRule="exact"/>
        <w:rPr>
          <w:sz w:val="20"/>
          <w:szCs w:val="20"/>
          <w:color w:val="auto"/>
        </w:rPr>
      </w:pPr>
    </w:p>
    <w:p>
      <w:pPr>
        <w:ind w:left="64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86"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200" w:right="660" w:firstLine="441"/>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6"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1180" w:right="1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 As long as Post or its affiliates (other than us) owns more than 50% of the BellRing Brands, LLC Units as described in this prospectus, it will be able to control nearly all corporate actions that require a vote of the stockholders of BellRing Brands, Inc., as well as have the right under the investor rights agreement to designate a majority of the directors of BellRing Brands, Inc. In order to preserve its intended tax treatment in connection with the formation transactions, we expect that, so long as Post has the ability to control us, Post will require that BellRing Brands, LLC maintain a minimum level of outstanding indebtedness equal to $800.0 million less the amount of undistributed taxable income of BellRing Brands, LLC and its subsidiaries allocable to Post following the consummation of the formation transactions.</w:t>
      </w:r>
    </w:p>
    <w:p>
      <w:pPr>
        <w:spacing w:after="0" w:line="286" w:lineRule="exact"/>
        <w:rPr>
          <w:sz w:val="20"/>
          <w:szCs w:val="20"/>
          <w:color w:val="auto"/>
        </w:rPr>
      </w:pPr>
    </w:p>
    <w:p>
      <w:pPr>
        <w:ind w:left="640" w:right="34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29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After the completion of this offering, Post will own the share of our Class B common stock, which, for so long as Post or its affiliates (other than us) directly own more than 50% of the BellRing Brands, LLC Units as described in this prospectus, will represent 67% of the total voting power of both classes of our common stock outstanding after this offering.</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long as Post or its affiliates (other than us) owns more than 50% of the BellRing Brands, LLC Units as described in this prospectus, it will be able to control nearly all corporate actions that require a stockholder vote, regardless of the vote of any other stockholder. As a result, Post will have the ability to control significant matters involving us, including:</w:t>
      </w:r>
    </w:p>
    <w:p>
      <w:pPr>
        <w:spacing w:after="0" w:line="87"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as described in this prospectus, Post will have the ability to substantially influence these matters for as long as it owns a significant portion of the voting power.</w:t>
      </w:r>
    </w:p>
    <w:p>
      <w:pPr>
        <w:spacing w:after="0" w:line="17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273" w:lineRule="exact"/>
        <w:rPr>
          <w:sz w:val="20"/>
          <w:szCs w:val="20"/>
          <w:color w:val="auto"/>
        </w:rPr>
      </w:pPr>
    </w:p>
    <w:p>
      <w:pPr>
        <w:ind w:left="64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as described in this prospectus.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spin-off to its shareholders. See “Shares Eligible for Future Sale.”</w:t>
      </w:r>
    </w:p>
    <w:p>
      <w:pPr>
        <w:spacing w:after="0" w:line="16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affiliates (except that we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79"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BellRing Brands, Inc. and BellRing Brands, LLC will enter into a tax matters agreement with Post. 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91"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Brands, LLC will require us to make cash payments to Post for certain tax benefits we may realize in the future, and these payments could be substantial.</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See “Certain Relationships and Related Party Transactions—Post-Offering Relationship with Post—Amended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pre-existing, contributed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73"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Payments under the tax receivable agreement are not conditioned on Post’s continued ownership of BellRing Brands, LLC Units or our Class A common stock or Class B common stock after this offering. The payment obligation is a payment obligation of ours and not of BellRing Brands, LLC.</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Post (or its transferees or assignees) may nevertheless determine to engage in redemptions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not be reimbursed for any payments made to Post under the tax receivable agreement in the event that any tax benefits are disallowed.</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29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Such obligations under the tax receivable agreement, however, would not arise if Post distributes its beneficial retained interest in BellRing Brands, LLC by means of a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277" w:lineRule="exact"/>
        <w:rPr>
          <w:sz w:val="20"/>
          <w:szCs w:val="20"/>
          <w:color w:val="auto"/>
        </w:rPr>
      </w:pPr>
    </w:p>
    <w:p>
      <w:pPr>
        <w:ind w:left="640" w:right="38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of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6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28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Subject to the terms of the amended and restated limited liability company agreement, BellRing Brands, LLC Units may be redeemed at any time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75"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After this offering, and subject to the lock-up period described below under “Shares Eligible for Future Sale—Lock-up Agreements,”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 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as described in this prospectus, will provide for the right of such transferee to direct Post or its applicable affiliate, as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holder of the share of our Class B common stock, to cast a number of votes to which such share of Class B common stock is entitled on all matters in which our stockholders generally are entitled to vote equal to the number of BellRing Brands, LLC Units held by such third party. See “Certain Relationships and Related Party Transactions—Post-Offering Relationship with Post—Amended and Restated Limited Liability Company Agreement— Transfer of BellRing Brands, LLC Units.” In addition, Post may determine to distribute its beneficial retained interest in BellRing Brands, LLC by means of a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95"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completion of this offering, Post has provided us with various services including finance, information technology, legal, human resources, quality, supply chain and purchasing functions. Following this offering, we expect Post to continue to provide many of these services to us for a fee provided for in the master services agreement described in “Certain Relationships and Related Party Transactions—Post-Offering Relationship with Post —Master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40" w:right="26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supply chain and purchasing functions. Following this offering, Post will continue to provide some of these services to us pursuant to a master services agreement. For more information regarding the master services agreement, see “Certain Relationships and Related Party Transactions—Post-Offering Relationship with Post—Master Services Agreement.” However, we cannot assure you that all of these functions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master services agreement, we will need to perform these functions ourselves or hire third parties to perform these functions on our behalf.</w:t>
      </w:r>
    </w:p>
    <w:p>
      <w:pPr>
        <w:spacing w:after="0" w:line="281" w:lineRule="exact"/>
        <w:rPr>
          <w:sz w:val="20"/>
          <w:szCs w:val="20"/>
          <w:color w:val="auto"/>
        </w:rPr>
      </w:pPr>
    </w:p>
    <w:p>
      <w:pPr>
        <w:ind w:left="640" w:right="36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 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7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7"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 substantial dilution of $22.65 per share, the difference between the price per share you paid for a share of Class A common stock (based on the midpoint of the estimated offering price range set forth on the cover page of this prospectus) and the as adjusted net tangible book value per share of our Class A common stock calculated as of June 30, 2019, after giving effect to the issuance of shares of our Class A common stock in this offering. For additional information about the dilution that you will experience immediately after this offering, see “Dilution.”</w:t>
      </w:r>
    </w:p>
    <w:p>
      <w:pPr>
        <w:spacing w:after="0" w:line="287"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Prior to this offering, there has been no public market for shares of our Class A common stock. The initial public offering price of our Class A common stock was determined through negotiation among us, Post and the 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93"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We have received approval to list our Class A common stock on the NYSE under the symbol “BRBR”.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86" w:lineRule="exact"/>
        <w:rPr>
          <w:sz w:val="20"/>
          <w:szCs w:val="20"/>
          <w:color w:val="auto"/>
        </w:rPr>
      </w:pPr>
    </w:p>
    <w:p>
      <w:pPr>
        <w:ind w:left="640" w:right="44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 have 127,474,179 shares of outstanding Class A common stock on a fully diluted basis, assuming that all of the BellRing Brands, LLC Units outstanding after giving effect to the formation transactions and this offering described under “Prospectus Summary—Formation Transactions,” excluding those held by us, are redeemed for shares of our Class A common stock and assuming no exercise of the underwriters’ over-allotment option. Also, in the future, we may issue shares of our Class A common stock or securities convertible into shares of our Class A common stock in connection with investments or acquisitions. The number of shares of our Class A common stock issued in connection with an investment or acquisition could constitute a material portion of our then outstanding shares of common stock.</w:t>
      </w:r>
    </w:p>
    <w:p>
      <w:pPr>
        <w:spacing w:after="0" w:line="178"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 and Post, which will hold 97,474,179 BellRing Brands, LLC Units (equal to 76.5% of the economic interest in BellRing Brands, LLC) (or 73.9%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Subject to the terms of the amended and restated limited liability company agreement, BellRing Brands, LLC Units will be redeemable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Shares of our Class A common stock issuable upon a redemption of BellRing Brands, LLC Units as described above would be considered “restricted securities,” as that term is defined in Rule 144 under the Securities Act, unless the issuance is registered under the Securities Act. We, our executive officers and directors and Post also will agree with the underwriters not to</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redemption of BellRing Brands, LLC Units will be eligible for resale from time to time, subject to certain contractual restrictions and the requirements of the Securities Act.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file a registration statement under the Securities Act as soon as practicable after the closing of this offering</w:t>
      </w:r>
    </w:p>
    <w:p>
      <w:pPr>
        <w:spacing w:after="0" w:line="23" w:lineRule="exact"/>
        <w:rPr>
          <w:sz w:val="20"/>
          <w:szCs w:val="20"/>
          <w:color w:val="auto"/>
        </w:rPr>
      </w:pPr>
    </w:p>
    <w:p>
      <w:pPr>
        <w:ind w:left="200" w:right="100"/>
        <w:spacing w:after="0" w:line="252" w:lineRule="auto"/>
        <w:rPr>
          <w:sz w:val="20"/>
          <w:szCs w:val="20"/>
          <w:color w:val="auto"/>
        </w:rPr>
      </w:pPr>
      <w:r>
        <w:rPr>
          <w:rFonts w:ascii="Arial" w:cs="Arial" w:eastAsia="Arial" w:hAnsi="Arial"/>
          <w:sz w:val="18"/>
          <w:szCs w:val="18"/>
          <w:color w:val="auto"/>
        </w:rPr>
        <w:t>registering 2,000,000 shares of our Class A common stock reserved for issuance under the 2019 LTIP,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301"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authorize us to issue up to 500,000,000 shares of Class A common stock, one share of Class B common stock and up to 50,000,000 shares of preferred stock with such rights and preferences as may be determined by our Board of Directors. Subject to compliance with applicable law and various ancillary agreements we intend to enter into with Post and its affiliates (other than us)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and related interest. Immediately after the completion of the formation transactions and the completion of this offering, BellRing Brands, LLC expects to enter into the debt facilities and use the proceeds of such borrowing to repay the remaining balance of the Post bridge loan and all interest thereunder, and for the other purposes described under “Use of Proceeds.” See “Use of Proceeds” and Description of Certain Indebtedness—Debt Facilities.” Our management will not have any discretion over the specific use of such proceeds.</w:t>
      </w:r>
    </w:p>
    <w:p>
      <w:pPr>
        <w:spacing w:after="0" w:line="301" w:lineRule="exact"/>
        <w:rPr>
          <w:sz w:val="20"/>
          <w:szCs w:val="20"/>
          <w:color w:val="auto"/>
        </w:rPr>
      </w:pPr>
    </w:p>
    <w:p>
      <w:pPr>
        <w:ind w:left="640" w:right="32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4" w:lineRule="exact"/>
        <w:rPr>
          <w:sz w:val="20"/>
          <w:szCs w:val="20"/>
          <w:color w:val="auto"/>
        </w:rPr>
      </w:pPr>
    </w:p>
    <w:p>
      <w:pPr>
        <w:ind w:left="1180" w:right="32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Brands, LLC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certain transferees of any of them designated in writing by Post) will not be deemed to be “interested stockholders,” regardless of the percentage of our stock owned by them, and accordingly will not be subject to such restrictions.</w:t>
      </w:r>
    </w:p>
    <w:p>
      <w:pPr>
        <w:spacing w:after="0" w:line="179"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200" w:right="560" w:firstLine="441"/>
        <w:spacing w:after="0" w:line="312"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2"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289"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7" w:lineRule="exact"/>
        <w:rPr>
          <w:sz w:val="20"/>
          <w:szCs w:val="20"/>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2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89"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89"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Brands, LLC may elect out of the application of these rules (but certain of its subsidiaries will likely not), but there can be no assurance that it will be eligible to do so in each tax year or that such election will be made. BellRing Brands, LLC (or its subsidiaries that are partnerships) may be subject to material liabilities pursuant to this legislation and related guidance if, for example, its calculations of taxable income are incorrect. Its members may be required to reimburse BellRing Brands, LLC for taxes, interest, and penalties resulting from an audit.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in the case of BellRing Brands, Inc., in an amount sufficient to allow BellRing Brands, Inc. to pay its tax obligations in respect of taxable income allocated to it from BellRing Brands, LLC and to make any payments required under the tax receivable agreement. In addition to tax expenses, and expenses under the tax receivable agreement, which could be significant, BellRing Brands, Inc. also will incur expenses related to its operations. See “Certain Relationships and Related Party Transactions—Post-Offering Relationship with Post—Tax Receivable Agreement.” We expect that BellRing Brands, LLC will make distributions pro rata to holders of the BellRing Brands, LLC Units in an amount sufficient to allow BellRing Brands, Inc. to pay its operating expenses.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9" w:lineRule="exact"/>
        <w:rPr>
          <w:sz w:val="20"/>
          <w:szCs w:val="20"/>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1180" w:right="380" w:hanging="544"/>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1180" w:right="30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180" w:hanging="544"/>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240" w:top="459" w:right="6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discounts and commissions and expenses of this offering, will be approximately $486.8 million ($561.0 million if the underwriters exercise their over-allotment option in full) based on an assumed initial public offering price of $17.50 per share (the midpoint of the estimated offering price range set forth on the cover page of this prospectus).</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and related interest. Immediately after the completion of the formation transactions and the completion of this offering, BellRing Brands, LLC expects to enter into the debt facilities and use the proceeds of such borrowing under the term loan facility and the revolving credit facility (i) to repay the remaining balance of the Post bridge loan and all interest thereunder, (ii) to pay directly, or reimburse Post for, as applicable, all fees and expenses incurred by us or Post in connection with this offering and the formation transactions (including the debt facilities but excluding the Post bridge loan), (iii) to reimburse Post for the amount of cash on our balance sheet immediately prior to the completion of this offering, and (iv) to the extent there are any remaining proceeds, for general corporate purposes, including, for example, to redeem for cash any BellRing Brands, LLC Units that Post may elect in the future to redeem. Post has advised us that it may determine to redeem a portion of its BellRing Brands, LLC Units in the event the proceeds of this offering together with the proceeds of the borrowings under the debt facilities as described in this prospectus result in net proceeds to BellRing Brands, LLC that exceed the amount of funds required to satisfy the uses described under clauses (i) through (iii) above. See “Description of Certain Indebtedness—Debt Facilities.” The Post bridge loan bears an initial interest rate equal to the Eurodollar Rate (as such term is defined in the bridge facility agreement) plus 450 basis points and thereafter as described under “Description of Certain Indebtedness—Post Bridge Loan” and matures on August 23, 2024.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Each $1.00 increase or decrease in the assumed initial public offering price of $17.50 per share would increase or decrease the net proceeds to us from this offering by $28.3 million, assuming that the number of shares offered by us, as set forth on the cover page of this prospectus, remains the same and after deducting the estimated underwriting discounts and commissions and expenses of this offering. Similarly, each increase or decrease of</w:t>
      </w:r>
    </w:p>
    <w:p>
      <w:pPr>
        <w:jc w:val="both"/>
        <w:ind w:left="200" w:right="200"/>
        <w:spacing w:after="0" w:line="255" w:lineRule="auto"/>
        <w:rPr>
          <w:sz w:val="20"/>
          <w:szCs w:val="20"/>
          <w:color w:val="auto"/>
        </w:rPr>
      </w:pPr>
      <w:r>
        <w:rPr>
          <w:rFonts w:ascii="Arial" w:cs="Arial" w:eastAsia="Arial" w:hAnsi="Arial"/>
          <w:sz w:val="18"/>
          <w:szCs w:val="18"/>
          <w:color w:val="auto"/>
        </w:rPr>
        <w:t>1.0 million in the number of shares we are offering would increase or decrease the net proceeds to us from this offering by $16.7 million, assuming no change in the assumed initial public offering price of $17.50 per share and after deducting the estimated underwriting discounts and commissions and expenses of this offering.</w:t>
      </w:r>
    </w:p>
    <w:p>
      <w:pPr>
        <w:spacing w:after="0" w:line="19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Barclays Capital Inc. has agreed to act as qualified independent underwriter for the offering and to undertake the legal responsibilities and liabilities of an underwriter under the Securities Act, specifically including those inherent in Section 11 of the Securities Act. We will agree to indemnify Barclays Capital Inc. against liabilities incurred in connection with acting as qualified independent underwriter, including liabilities under the Securities Act. Moreover, none of Morgan Stanley &amp; Co. LLC, Citigroup Global Markets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 See “Underwriting (Conflicts of Interest).”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may be distributed from time to time at the discretion of the Board of Managers pro rata to its members, currently us and Post, according to the number of BellRing Brands, LLC Units held by each of us, except that the Board of Managers may cause BellRing Brands, LLC to make non-proportionate distributions to BellRing Brands, Inc. in connection with any cash redemption of BellRing Brands, Inc.’s Class A common stock. The amended and restated limited liability company agreement provides, to the extent cash is available, for distributions pro rata to the holders of BellRing Brands, LLC Units such that members receive an amount of cash sufficient to cover the estimated taxes payable by them and to cover obligations of BellRing Brands, Inc. under the tax receivable agreement as described under “Certain Relationships and Related Party Transactions— Post-Offering Relationship with Post—Amended and Restated Limited Liability Company Agreement—Distributions and Allocations.” Future agreements governing our indebtedness may also limit our ability to pay dividends. We expect that the debt facilities that BellRing Brands, LLC expects to enter into after completion of this offering will include restrictions on its ability to make distributions and will thus restrict our ability to pay dividends. See “Description of Certain Indebtedness.”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our cash and cash equivalents and capitalization as of June 30, 2019:</w:t>
      </w:r>
    </w:p>
    <w:p>
      <w:pPr>
        <w:spacing w:after="0" w:line="131"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180" w:right="80" w:hanging="544"/>
        <w:spacing w:after="0" w:line="255"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as adjusted basis after giving effect to: (i) this offering, at an assumed initial public offering price of $17.50 per share (which is the midpoint of the estimated offering price range set forth on the cover page of this prospectus), (ii) the entry of BellRing Brands, LLC into the debt facilities, the borrowing by BellRing Brands, LLC under the term loan facility and the revolving credit facility and the application of the net proceeds of this offering and the debt facilities to repay in full the Post bridge loan and all interest thereunder and for the other purposes described under “Use of Proceeds” and (iii) the formation transactions, and assuming no exercise of the underwriters’ over-allotment option.</w:t>
      </w:r>
    </w:p>
    <w:p>
      <w:pPr>
        <w:spacing w:after="0" w:line="193"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business’s audited combined financial statements and the notes thereto as of September 30, 2018 and 2017 and for the three fiscal years ended September 30, 2018 and Post’s Active Nutrition business’s unaudited condensed combined financial statements and the notes thereto for the nine months ended June 30, 2019 and 2018, each appearing elsewhere in this prospectus.</w:t>
      </w:r>
    </w:p>
    <w:p>
      <w:pPr>
        <w:spacing w:after="0" w:line="19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As of June 30, 2019</w:t>
      </w:r>
    </w:p>
    <w:p>
      <w:pPr>
        <w:jc w:val="center"/>
        <w:ind w:left="8820"/>
        <w:spacing w:after="0" w:line="23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Active</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w w:val="98"/>
              </w:rPr>
              <w:t>BellRing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Nutrition</w:t>
            </w:r>
          </w:p>
        </w:tc>
        <w:tc>
          <w:tcPr>
            <w:tcW w:w="11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Brands, Inc.</w:t>
            </w:r>
          </w:p>
        </w:tc>
        <w:tc>
          <w:tcPr>
            <w:tcW w:w="0" w:type="dxa"/>
            <w:vAlign w:val="bottom"/>
          </w:tcPr>
          <w:p>
            <w:pPr>
              <w:spacing w:after="0"/>
              <w:rPr>
                <w:sz w:val="1"/>
                <w:szCs w:val="1"/>
                <w:color w:val="auto"/>
              </w:rPr>
            </w:pPr>
          </w:p>
        </w:tc>
      </w:tr>
      <w:tr>
        <w:trPr>
          <w:trHeight w:val="171"/>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Historical</w:t>
            </w: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8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debt</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Debt issuance costs</w:t>
            </w:r>
            <w:r>
              <w:rPr>
                <w:rFonts w:ascii="Arial" w:cs="Arial" w:eastAsia="Arial" w:hAnsi="Arial"/>
                <w:sz w:val="15"/>
                <w:szCs w:val="15"/>
                <w:color w:val="auto"/>
              </w:rPr>
              <w:t>(a)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discount</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1"/>
              </w:rPr>
              <w:t>Class A, par value $0.01 per share; actual: No shares authorized, issued and outstanding as of June 30, 2019; as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adjusted: 500,000,000 shares authorized, 30,000,000 shares issued and outstanding</w:t>
            </w:r>
            <w:r>
              <w:rPr>
                <w:rFonts w:ascii="Arial" w:cs="Arial" w:eastAsia="Arial" w:hAnsi="Arial"/>
                <w:sz w:val="15"/>
                <w:szCs w:val="15"/>
                <w:color w:val="auto"/>
              </w:rPr>
              <w:t>(b)</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Class B, par value $0.01 per share; actual: No shares authorized, issued and outstanding as of June 30, 2019; as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 one share authorized, issued and outstanding</w:t>
            </w:r>
            <w:r>
              <w:rPr>
                <w:rFonts w:ascii="Arial" w:cs="Arial" w:eastAsia="Arial" w:hAnsi="Arial"/>
                <w:sz w:val="15"/>
                <w:szCs w:val="15"/>
                <w:color w:val="auto"/>
              </w:rPr>
              <w:t>(b)</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5"/>
              </w:rPr>
              <w:t>Preferred stock, par value $0.01 per share; 50,000,000 shares authorized, no shares issued and outstanding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actual and as adjusted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1060"/>
              <w:spacing w:after="0"/>
              <w:rPr>
                <w:sz w:val="20"/>
                <w:szCs w:val="20"/>
                <w:color w:val="auto"/>
              </w:rPr>
            </w:pPr>
            <w:r>
              <w:rPr>
                <w:rFonts w:ascii="Arial" w:cs="Arial" w:eastAsia="Arial" w:hAnsi="Arial"/>
                <w:sz w:val="18"/>
                <w:szCs w:val="18"/>
                <w:color w:val="auto"/>
              </w:rPr>
              <w:t>Total Capitalization</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97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55"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completion of this offering, Post will borrow $1,225.0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assume all interest of $2.2 million thereunder, and Post and its subsidiary guarantors (which will not include BellRing Brands, LLC or its domestic subsidiaries) will be released from all of their obligations under the Post bridge loan and all interest thereunder. We will not receive any of the proceeds of the Post bridge loan.</w:t>
      </w:r>
    </w:p>
    <w:p>
      <w:pPr>
        <w:spacing w:after="0" w:line="94" w:lineRule="exact"/>
        <w:rPr>
          <w:rFonts w:ascii="Arial" w:cs="Arial" w:eastAsia="Arial" w:hAnsi="Arial"/>
          <w:sz w:val="18"/>
          <w:szCs w:val="18"/>
          <w:color w:val="auto"/>
        </w:rPr>
      </w:pPr>
    </w:p>
    <w:p>
      <w:pPr>
        <w:ind w:left="640" w:right="40"/>
        <w:spacing w:after="0" w:line="270" w:lineRule="auto"/>
        <w:rPr>
          <w:rFonts w:ascii="Arial" w:cs="Arial" w:eastAsia="Arial" w:hAnsi="Arial"/>
          <w:sz w:val="18"/>
          <w:szCs w:val="18"/>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6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purposes of the table above, we have assumed:</w:t>
      </w:r>
    </w:p>
    <w:p>
      <w:pPr>
        <w:spacing w:after="0" w:line="130" w:lineRule="exact"/>
        <w:rPr>
          <w:rFonts w:ascii="Arial" w:cs="Arial" w:eastAsia="Arial" w:hAnsi="Arial"/>
          <w:sz w:val="18"/>
          <w:szCs w:val="18"/>
          <w:color w:val="auto"/>
        </w:rPr>
      </w:pPr>
    </w:p>
    <w:p>
      <w:pPr>
        <w:ind w:left="1180" w:right="180" w:hanging="544"/>
        <w:spacing w:after="0" w:line="259"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approximately $73.0 million of borrowings under the revolving credit facility will be incurred concurrently with the completion of this offering (based upon the midpoint of the estimated offering price range set forth on the cover page of this prospectus; the amount of such borrowing is expected to be up to $30.0 million if the offering price is at the high end of the price range and up to $100.0 million if the offering price is at the low end of the price range);</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the full amount available under the term loan facility will be incurred concurrently with the completion of this offering; and</w:t>
      </w:r>
    </w:p>
    <w:p>
      <w:pPr>
        <w:spacing w:after="0" w:line="130" w:lineRule="exact"/>
        <w:rPr>
          <w:rFonts w:ascii="Arial" w:cs="Arial" w:eastAsia="Arial" w:hAnsi="Arial"/>
          <w:sz w:val="18"/>
          <w:szCs w:val="18"/>
          <w:color w:val="auto"/>
        </w:rPr>
      </w:pPr>
    </w:p>
    <w:p>
      <w:pPr>
        <w:ind w:left="1180" w:hanging="544"/>
        <w:spacing w:after="0" w:line="259" w:lineRule="auto"/>
        <w:tabs>
          <w:tab w:leader="none" w:pos="11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$6.1 million, after deducting fees and expenses (including original issue discount with respect to the term loan facility) of $23.1 million ($2.0 million related to the revolving credit facility and $21.1 million related to the term loan facility), repayment of the remaining portion of the Post bridge loan and related interest and repayment of cash and cash equivalents. See footnote (d) below.</w:t>
      </w:r>
    </w:p>
    <w:p>
      <w:pPr>
        <w:spacing w:after="0" w:line="92" w:lineRule="exact"/>
        <w:rPr>
          <w:rFonts w:ascii="Arial" w:cs="Arial" w:eastAsia="Arial" w:hAnsi="Arial"/>
          <w:sz w:val="18"/>
          <w:szCs w:val="18"/>
          <w:color w:val="auto"/>
        </w:rPr>
      </w:pPr>
    </w:p>
    <w:p>
      <w:pPr>
        <w:ind w:left="640" w:hanging="436"/>
        <w:spacing w:after="0" w:line="34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 Post in connection with its incorporation, which shares will be cancelled as part of the exchange) one share of its Class B common stock.</w:t>
      </w:r>
    </w:p>
    <w:p>
      <w:pPr>
        <w:spacing w:after="0" w:line="29" w:lineRule="exact"/>
        <w:rPr>
          <w:rFonts w:ascii="Arial" w:cs="Arial" w:eastAsia="Arial" w:hAnsi="Arial"/>
          <w:sz w:val="16"/>
          <w:szCs w:val="16"/>
          <w:color w:val="auto"/>
        </w:rPr>
      </w:pPr>
    </w:p>
    <w:p>
      <w:pPr>
        <w:ind w:left="640" w:right="240"/>
        <w:spacing w:after="0" w:line="277" w:lineRule="auto"/>
        <w:rPr>
          <w:rFonts w:ascii="Arial" w:cs="Arial" w:eastAsia="Arial" w:hAnsi="Arial"/>
          <w:sz w:val="16"/>
          <w:szCs w:val="16"/>
          <w:color w:val="auto"/>
        </w:rPr>
      </w:pPr>
      <w:r>
        <w:rPr>
          <w:rFonts w:ascii="Arial" w:cs="Arial" w:eastAsia="Arial" w:hAnsi="Arial"/>
          <w:sz w:val="18"/>
          <w:szCs w:val="18"/>
          <w:color w:val="auto"/>
        </w:rPr>
        <w:t>In this offering, BellRing Brands, Inc. expects to issue 30,000,000 shares of its Class A common stock (or 34,500,000 shares if the underwriters exercise their over-allotment option in full).</w:t>
      </w:r>
    </w:p>
    <w:p>
      <w:pPr>
        <w:spacing w:after="0" w:line="75" w:lineRule="exact"/>
        <w:rPr>
          <w:rFonts w:ascii="Arial" w:cs="Arial" w:eastAsia="Arial" w:hAnsi="Arial"/>
          <w:sz w:val="16"/>
          <w:szCs w:val="16"/>
          <w:color w:val="auto"/>
        </w:rPr>
      </w:pPr>
    </w:p>
    <w:p>
      <w:pPr>
        <w:ind w:left="640" w:right="20"/>
        <w:spacing w:after="0" w:line="255" w:lineRule="auto"/>
        <w:rPr>
          <w:rFonts w:ascii="Arial" w:cs="Arial" w:eastAsia="Arial" w:hAnsi="Arial"/>
          <w:sz w:val="16"/>
          <w:szCs w:val="16"/>
          <w:color w:val="auto"/>
        </w:rPr>
      </w:pPr>
      <w:r>
        <w:rPr>
          <w:rFonts w:ascii="Arial" w:cs="Arial" w:eastAsia="Arial" w:hAnsi="Arial"/>
          <w:sz w:val="18"/>
          <w:szCs w:val="18"/>
          <w:color w:val="auto"/>
        </w:rPr>
        <w:t>Post will hold 97,474,179 BellRing Brands, LLC Units, which will represent 76.5% of the economic interest in BellRing Brands, LLC (or 73.9%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Managers), the noncontrolling interest in BellRing Brands, LLC represented by these BellRing Brands, LLC Units will be classified as temporary equity. The noncontrolling interest balance is determined based on the fair value of Post’s BellRing Brands, LLC Units if they were to be converted to shares of BellRing Brands, Inc. Class A common stock, assuming the shares are offered at $17.50 per share (the midpoint of the estimated offering price range set forth on the cover page of this prospectus).</w:t>
      </w:r>
    </w:p>
    <w:p>
      <w:pPr>
        <w:spacing w:after="0" w:line="92" w:lineRule="exact"/>
        <w:rPr>
          <w:sz w:val="20"/>
          <w:szCs w:val="20"/>
          <w:color w:val="auto"/>
        </w:rPr>
      </w:pPr>
    </w:p>
    <w:p>
      <w:pPr>
        <w:ind w:left="640" w:hanging="436"/>
        <w:spacing w:after="0" w:line="293"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price range listed 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 and related interest.</w:t>
      </w:r>
    </w:p>
    <w:p>
      <w:pPr>
        <w:spacing w:after="0" w:line="70" w:lineRule="exact"/>
        <w:rPr>
          <w:rFonts w:ascii="Arial" w:cs="Arial" w:eastAsia="Arial" w:hAnsi="Arial"/>
          <w:sz w:val="16"/>
          <w:szCs w:val="16"/>
          <w:color w:val="auto"/>
        </w:rPr>
      </w:pPr>
    </w:p>
    <w:p>
      <w:pPr>
        <w:ind w:left="640" w:right="120" w:hanging="436"/>
        <w:spacing w:after="0" w:line="259"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term loan and revolving credit facility </w:t>
            </w:r>
            <w:r>
              <w:rPr>
                <w:rFonts w:ascii="Arial" w:cs="Arial" w:eastAsia="Arial" w:hAnsi="Arial"/>
                <w:sz w:val="15"/>
                <w:szCs w:val="15"/>
                <w:color w:val="auto"/>
              </w:rPr>
              <w:t>(a)</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 xml:space="preserve">Net proceeds from offering </w:t>
            </w:r>
            <w:r>
              <w:rPr>
                <w:rFonts w:ascii="Arial" w:cs="Arial" w:eastAsia="Arial" w:hAnsi="Arial"/>
                <w:sz w:val="15"/>
                <w:szCs w:val="15"/>
                <w:color w:val="auto"/>
              </w:rPr>
              <w:t>(c)</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Payment of Post bridge loan and interest </w:t>
            </w:r>
            <w:r>
              <w:rPr>
                <w:rFonts w:ascii="Arial" w:cs="Arial" w:eastAsia="Arial" w:hAnsi="Arial"/>
                <w:sz w:val="15"/>
                <w:szCs w:val="15"/>
                <w:color w:val="auto"/>
              </w:rPr>
              <w:t>(a)</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20" w:type="dxa"/>
            <w:vAlign w:val="bottom"/>
          </w:tcPr>
          <w:p>
            <w:pPr>
              <w:jc w:val="right"/>
              <w:ind w:right="36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Because Post will not own any Class A common stock after this offering, we have presented dilution in pro forma net tangible book value per share both before and after this offering assuming that Post has all of its BellRing Brands, LLC Units redeemed for newly issued shares of Class A common stock on a one-to-one basis (rather than for cash) and the cancellation for no consideration of all of its share of Class B common stock (which is not entitled to receive distributions or dividends, whether cash or stock, from BellRing Brands, Inc.) in order to more meaningfully present the potential dilutive impact on the investors in this offering. We refer to the assumed redemption of all BellRing Brands, LLC Units for shares of Class A common stock as described in the previous sentence as the “assumed redemption.”</w:t>
      </w:r>
    </w:p>
    <w:p>
      <w:pPr>
        <w:spacing w:after="0" w:line="17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Pro forma net tangible book value per share of Class A common stock of BellRing Brands, Inc. is determined by dividing our total tangible assets (total assets less goodwill, other intangible assets, net and deferred financing fees) less our total liabilities (excluding debt issuance cost and unamortized discount) by the number of shares of our Class A common stock outstanding. As of June 30, 2019, after giving effect to the formation transactions (including the assumption by BellRing Brands, LLC of the Post bridge loan and related interest) and the assumed redemption, but not this offering, the use of the proceeds of this offering or the expected borrowing under the debt facilities for the purposes described under “Use of Proceeds,” we had a pro forma net tangible book value of $(1,117.4) million, or $(11.46) per share of Class A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After giving further effect to receipt of the net proceeds from our issuance and the sale of 30,000,000 shares of Class A common stock in this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 at an assumed initial public offering price of $17.50 per share of Class A common stock, which is the midpoint of the estimated offering price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range set forth on the cover page of this prospectus, and after deducting the estimated underwriting discounts and commissions and offering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payable by us and the use of the proceeds of this offering and the expected borrowing under the debt facilities for the purposes described under “Use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Proceeds,” our pro forma as adjusted net tangible book value as of June 30, 2019 would have been approximately $(657.1) million, or approximately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$(5.15) per share. This amount represents an immediate increase in pro forma net tangible book value of $6.31 per share to our existing stockholder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 immediate dilution of approximately $22.65 per share to new investors participating in this offering. We determine dilution by subtracting the pro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forma as adjusted net tangible book value per share after this offering from the amount of cash that a new investor paid for a share of Class A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tcPr>
          <w:p>
            <w:pPr>
              <w:ind w:left="340"/>
              <w:spacing w:after="0" w:line="201" w:lineRule="exact"/>
              <w:rPr>
                <w:sz w:val="20"/>
                <w:szCs w:val="20"/>
                <w:color w:val="auto"/>
              </w:rPr>
            </w:pPr>
            <w:r>
              <w:rPr>
                <w:rFonts w:ascii="Arial" w:cs="Arial" w:eastAsia="Arial" w:hAnsi="Arial"/>
                <w:sz w:val="18"/>
                <w:szCs w:val="18"/>
                <w:color w:val="auto"/>
                <w:w w:val="93"/>
              </w:rPr>
              <w:t>Pro forma net tangible book value per share as of June 30, 2019, giving effect to the formation transactions (including the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4"/>
              </w:rPr>
              <w:t>assumption by BellRing Brands, LLC of the Post bridge loan) and the assumed redemption, but not this offering or the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1"/>
              </w:rPr>
              <w:t>use of the proceeds of this offering and the expected borrowing under the debt facilities for the purposes described under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“Use of Proceeds”</w:t>
            </w:r>
            <w:r>
              <w:rPr>
                <w:rFonts w:ascii="Arial" w:cs="Arial" w:eastAsia="Arial" w:hAnsi="Arial"/>
                <w:sz w:val="15"/>
                <w:szCs w:val="15"/>
                <w:color w:val="auto"/>
              </w:rPr>
              <w:t>(a)</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$(11.46)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0" w:type="dxa"/>
            <w:vAlign w:val="bottom"/>
            <w:gridSpan w:val="2"/>
          </w:tcPr>
          <w:p>
            <w:pPr>
              <w:spacing w:after="0"/>
              <w:rPr>
                <w:sz w:val="20"/>
                <w:szCs w:val="20"/>
                <w:color w:val="auto"/>
              </w:rPr>
            </w:pPr>
            <w:r>
              <w:rPr>
                <w:rFonts w:ascii="Arial" w:cs="Arial" w:eastAsia="Arial" w:hAnsi="Arial"/>
                <w:sz w:val="18"/>
                <w:szCs w:val="18"/>
                <w:color w:val="auto"/>
                <w:w w:val="91"/>
              </w:rPr>
              <w:t>Less: Pro forma as adjusted net tangible book value per share of Class A common stock upon completion of this offering and the</w:t>
            </w: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1"/>
              </w:rPr>
              <w:t>use of the proceeds of this offering and the expected borrowing under the debt facilities for the purposes described under “Use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of Proceeds”</w:t>
            </w:r>
            <w:r>
              <w:rPr>
                <w:rFonts w:ascii="Arial" w:cs="Arial" w:eastAsia="Arial" w:hAnsi="Arial"/>
                <w:sz w:val="15"/>
                <w:szCs w:val="15"/>
                <w:color w:val="auto"/>
              </w:rPr>
              <w:t>(b)</w:t>
            </w:r>
          </w:p>
        </w:tc>
        <w:tc>
          <w:tcPr>
            <w:tcW w:w="1020" w:type="dxa"/>
            <w:vAlign w:val="bottom"/>
            <w:gridSpan w:val="3"/>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from this offering</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jc w:val="right"/>
              <w:ind w:right="371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above discussion and table exclude an aggregate of 2,000,000 additional shares of our Class A common stock reserved for future awards pursuant to the 2019 LTIP.</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$1.00 increase or decrease in the assumed initial public offering price of $17.50 per share (the midpoint of the estimated offering price range set forth on the cover page of this prospectus) would increase or decrease the as adjusted net tangible book value per share after this offering by $0.22 per share and increase or decrease the dilution to new investors in this offering by $0.78 per share, in each case assuming the number of shares of Class A 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 in full, the as adjusted net tangible book value per share of our common stock would be $(3.98) per share, and the dilution in net tangible book value per share to investors in this offering would be $21.48 per share of Class A common stock.</w:t>
      </w:r>
    </w:p>
    <w:p>
      <w:pPr>
        <w:spacing w:after="0" w:line="19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(a)</w:t>
        <w:tab/>
        <w:t>Pro forma net tangible book value per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80" w:type="dxa"/>
            <w:vAlign w:val="bottom"/>
            <w:gridSpan w:val="2"/>
          </w:tcPr>
          <w:p>
            <w:pPr>
              <w:ind w:left="8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3"/>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Total tangible assets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Post bridge loan and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 forma net tangible book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(1,117.4)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BellRing Brands, LLC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97,474,179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 forma net tangible book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445"/>
        </w:trPr>
        <w:tc>
          <w:tcPr>
            <w:tcW w:w="9080" w:type="dxa"/>
            <w:vAlign w:val="bottom"/>
            <w:gridSpan w:val="2"/>
          </w:tcPr>
          <w:p>
            <w:pPr>
              <w:spacing w:after="0"/>
              <w:rPr>
                <w:sz w:val="20"/>
                <w:szCs w:val="20"/>
                <w:color w:val="auto"/>
              </w:rPr>
            </w:pPr>
            <w:r>
              <w:rPr>
                <w:rFonts w:ascii="Arial" w:cs="Arial" w:eastAsia="Arial" w:hAnsi="Arial"/>
                <w:sz w:val="18"/>
                <w:szCs w:val="18"/>
                <w:color w:val="auto"/>
              </w:rPr>
              <w:t>(b)   Pro forma adjusted net tangible book value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80" w:type="dxa"/>
            <w:vAlign w:val="bottom"/>
            <w:gridSpan w:val="2"/>
          </w:tcPr>
          <w:p>
            <w:pPr>
              <w:ind w:left="8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ind w:left="360"/>
              <w:spacing w:after="0"/>
              <w:rPr>
                <w:sz w:val="20"/>
                <w:szCs w:val="20"/>
                <w:color w:val="auto"/>
              </w:rPr>
            </w:pPr>
            <w:r>
              <w:rPr>
                <w:rFonts w:ascii="Arial" w:cs="Arial" w:eastAsia="Arial" w:hAnsi="Arial"/>
                <w:sz w:val="18"/>
                <w:szCs w:val="18"/>
                <w:color w:val="auto"/>
              </w:rPr>
              <w:t>Deferred financing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term loan and revolving credit facility (excluding debt issuance costs and unamortized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23"/>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Total Pro Forma Liabilities (excluding debt issuance costs and unamortized discount)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Class A common stock</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127,474,179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365"/>
        </w:trPr>
        <w:tc>
          <w:tcPr>
            <w:tcW w:w="9080" w:type="dxa"/>
            <w:vAlign w:val="bottom"/>
            <w:gridSpan w:val="2"/>
          </w:tcPr>
          <w:p>
            <w:pPr>
              <w:ind w:left="54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September 30, 2018 and 2017 and for each of the fiscal years in the three-year period ended September 30, 2018 and as of June 30, 2019 and for the nine months ended June 30, 2019 and 2018.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selected historical condensed combined financial data as of September 30, 2018 and 2017 and as of each of the fiscal years in the three-year period ended September 30, 2018 have been derived from the audited combined financial statements of Post’s Active Nutrition business. The selected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78"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Active Nutrition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6"/>
          </w:tcPr>
          <w:p>
            <w:pPr>
              <w:jc w:val="right"/>
              <w:ind w:right="158"/>
              <w:spacing w:after="0" w:line="119" w:lineRule="exact"/>
              <w:rPr>
                <w:sz w:val="20"/>
                <w:szCs w:val="20"/>
                <w:color w:val="auto"/>
              </w:rPr>
            </w:pPr>
            <w:r>
              <w:rPr>
                <w:rFonts w:ascii="Arial" w:cs="Arial" w:eastAsia="Arial" w:hAnsi="Arial"/>
                <w:sz w:val="13"/>
                <w:szCs w:val="13"/>
                <w:b w:val="1"/>
                <w:bCs w:val="1"/>
                <w:color w:val="auto"/>
              </w:rPr>
              <w:t>Nine Months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2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left="32"/>
              <w:spacing w:after="0"/>
              <w:rPr>
                <w:sz w:val="20"/>
                <w:szCs w:val="20"/>
                <w:color w:val="auto"/>
              </w:rPr>
            </w:pPr>
            <w:r>
              <w:rPr>
                <w:rFonts w:ascii="Arial" w:cs="Arial" w:eastAsia="Arial" w:hAnsi="Arial"/>
                <w:sz w:val="14"/>
                <w:szCs w:val="14"/>
                <w:b w:val="1"/>
                <w:bCs w:val="1"/>
                <w:color w:val="auto"/>
                <w:w w:val="95"/>
              </w:rPr>
              <w:t>Active Nutrition</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3"/>
            <w:vMerge w:val="restart"/>
          </w:tcPr>
          <w:p>
            <w:pPr>
              <w:jc w:val="center"/>
              <w:ind w:left="253"/>
              <w:spacing w:after="0" w:line="14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6"/>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3"/>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597.6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491.0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QUARTERLY FINANCIAL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Active Nutrition</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Fiscal 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Fiscal 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0"/>
                <w:szCs w:val="10"/>
                <w:color w:val="auto"/>
              </w:rPr>
            </w:pPr>
          </w:p>
        </w:tc>
        <w:tc>
          <w:tcPr>
            <w:tcW w:w="6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Second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Second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0"/>
                <w:szCs w:val="10"/>
                <w:color w:val="auto"/>
              </w:rPr>
            </w:pPr>
          </w:p>
        </w:tc>
      </w:tr>
      <w:tr>
        <w:trPr>
          <w:trHeight w:val="171"/>
        </w:trPr>
        <w:tc>
          <w:tcPr>
            <w:tcW w:w="446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1760" w:type="dxa"/>
            <w:vAlign w:val="bottom"/>
            <w:gridSpan w:val="3"/>
          </w:tcPr>
          <w:p>
            <w:pPr>
              <w:ind w:left="124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8"/>
              </w:rPr>
              <w:t>Quarter</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Quarter</w:t>
            </w:r>
          </w:p>
        </w:tc>
        <w:tc>
          <w:tcPr>
            <w:tcW w:w="900" w:type="dxa"/>
            <w:vAlign w:val="bottom"/>
            <w:gridSpan w:val="4"/>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237.6</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legal settlement</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620" w:right="960" w:hanging="5416"/>
        <w:spacing w:after="0" w:line="44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the definition and explanation of usefulness of Adjusted EBITDA. 70</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1060" w:right="80" w:hanging="333"/>
        <w:spacing w:after="0" w:line="31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2" w:lineRule="exact"/>
        <w:rPr>
          <w:rFonts w:ascii="Arial" w:cs="Arial" w:eastAsia="Arial" w:hAnsi="Arial"/>
          <w:sz w:val="16"/>
          <w:szCs w:val="16"/>
          <w:color w:val="auto"/>
        </w:rPr>
      </w:pPr>
    </w:p>
    <w:p>
      <w:pPr>
        <w:ind w:left="1060" w:right="60" w:hanging="343"/>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Restructuring and plant closure costs</w:t>
      </w:r>
      <w:r>
        <w:rPr>
          <w:rFonts w:ascii="Arial" w:cs="Arial" w:eastAsia="Arial" w:hAnsi="Arial"/>
          <w:sz w:val="18"/>
          <w:szCs w:val="18"/>
          <w:color w:val="auto"/>
        </w:rPr>
        <w:t>: We have excluded certain costs associated with facility closures as the amount and frequency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hanging="333"/>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right="20" w:hanging="343"/>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6" w:lineRule="exact"/>
        <w:rPr>
          <w:rFonts w:ascii="Arial" w:cs="Arial" w:eastAsia="Arial" w:hAnsi="Arial"/>
          <w:sz w:val="18"/>
          <w:szCs w:val="18"/>
          <w:color w:val="auto"/>
        </w:rPr>
      </w:pPr>
    </w:p>
    <w:p>
      <w:pPr>
        <w:ind w:left="1060" w:right="160" w:hanging="333"/>
        <w:spacing w:after="0" w:line="30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59" w:lineRule="exact"/>
        <w:rPr>
          <w:rFonts w:ascii="Arial" w:cs="Arial" w:eastAsia="Arial" w:hAnsi="Arial"/>
          <w:sz w:val="16"/>
          <w:szCs w:val="16"/>
          <w:color w:val="auto"/>
        </w:rPr>
      </w:pPr>
    </w:p>
    <w:p>
      <w:pPr>
        <w:ind w:left="1060" w:right="560" w:hanging="313"/>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tables below, as we believe that our GAAP effective income tax rate as reported is not representative of the income tax expense impact of the adjustments.</w:t>
      </w:r>
    </w:p>
    <w:p>
      <w:pPr>
        <w:spacing w:after="0" w:line="86" w:lineRule="exact"/>
        <w:rPr>
          <w:rFonts w:ascii="Arial" w:cs="Arial" w:eastAsia="Arial" w:hAnsi="Arial"/>
          <w:sz w:val="18"/>
          <w:szCs w:val="18"/>
          <w:color w:val="auto"/>
        </w:rPr>
      </w:pPr>
    </w:p>
    <w:p>
      <w:pPr>
        <w:ind w:left="1060" w:right="80" w:hanging="343"/>
        <w:spacing w:after="0" w:line="31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2"/>
        <w:spacing w:after="0" w:line="264" w:lineRule="auto"/>
        <w:tabs>
          <w:tab w:leader="none" w:pos="13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our operating performance to other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7" w:lineRule="exact"/>
        <w:rPr>
          <w:sz w:val="20"/>
          <w:szCs w:val="20"/>
          <w:color w:val="auto"/>
        </w:rPr>
      </w:pPr>
    </w:p>
    <w:p>
      <w:pPr>
        <w:ind w:left="1060" w:right="60" w:hanging="343"/>
        <w:spacing w:after="0" w:line="27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Non-cash stock-based compensation</w:t>
      </w:r>
      <w:r>
        <w:rPr>
          <w:rFonts w:ascii="Arial" w:cs="Arial" w:eastAsia="Arial" w:hAnsi="Arial"/>
          <w:sz w:val="17"/>
          <w:szCs w:val="17"/>
          <w:color w:val="auto"/>
        </w:rPr>
        <w:t>: Our compensation strategy has included the use of Post stock-based compensation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our operating performance to other periods.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Active Nutrition</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6"/>
          </w:tcPr>
          <w:p>
            <w:pPr>
              <w:jc w:val="center"/>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left="253"/>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53"/>
              <w:spacing w:after="0"/>
              <w:rPr>
                <w:sz w:val="20"/>
                <w:szCs w:val="20"/>
                <w:color w:val="auto"/>
              </w:rPr>
            </w:pPr>
            <w:r>
              <w:rPr>
                <w:rFonts w:ascii="Arial" w:cs="Arial" w:eastAsia="Arial" w:hAnsi="Arial"/>
                <w:sz w:val="14"/>
                <w:szCs w:val="14"/>
                <w:b w:val="1"/>
                <w:bCs w:val="1"/>
                <w:color w:val="auto"/>
                <w:w w:val="94"/>
              </w:rPr>
              <w:t>(unaudited)</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Separation costs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Provision for legal settlement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Net Adjustments</w:t>
            </w:r>
          </w:p>
        </w:tc>
        <w:tc>
          <w:tcPr>
            <w:tcW w:w="2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4"/>
                <w:szCs w:val="24"/>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Separation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Assets held for sale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91"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nine months ended June 30, 2019, income tax effect on adjustments was calculated using a rate of 23.8%, the sum of the Company’s fiscal 2019 U.S. federal corporate income tax rate plus its blended state income tax rate net of federal deductions. For the nine months ended June 30, 2018 and the year ended September 30, 2018, income tax effect on adjustments was calculated using a rate of 27.2%, the sum of the Company’s fiscal 2018 blended U.S. federal corporate income tax rate plus its blended state income tax rate. For the year ended September 30, 2017, income tax effect on adjustments was calculated using a rate of 37.7%, the sum of the Company’s fiscal 2017 U.S. federal corporate income tax rate plus its blended state income tax rate. For the year ended September 30, 2016, income tax effect on adjustments was calculated using a rate of 37.3%, the sum of the Company’s fiscal 2016 U.S. federal corporate income tax rate plus its blended state income tax rate.</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24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following unaudited pro forma condensed consolidated balance sheet and statements of operations have been prepared to reflect (i) the formation transactions described in “Prospectus Summary—Formation Transactions,” including the issuance of one share of our Class B common stock and 97,474,179 BellRing Brands, LLC Units to Post; (ii) the sale of 30,000,000 shares of our Class A common stock in this offering, at an assumed initial public offering price of $17.50 per share (which is the midpoint of the estimated offering price range set forth on the cover page of this prospectus) and assuming no exercise by the underwriters of their over-allotment option to purchase additional shares of our Class A common stock; and</w:t>
      </w:r>
    </w:p>
    <w:p>
      <w:pPr>
        <w:spacing w:after="0" w:line="2" w:lineRule="exact"/>
        <w:rPr>
          <w:sz w:val="20"/>
          <w:szCs w:val="20"/>
          <w:color w:val="auto"/>
        </w:rPr>
      </w:pPr>
    </w:p>
    <w:p>
      <w:pPr>
        <w:ind w:left="200" w:right="240" w:firstLine="4"/>
        <w:spacing w:after="0" w:line="292"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entry of BellRing Brands, LLC into the debt facilities, its borrowing under the term loan facility and the revolving credit facility and the application of the net proceeds of this offering and the debt facilities to repay the remaining balance of the Post bridge loan and all interest thereunder and for the other purposes described under “Use of Proceeds.” The unaudited pro forma condensed consolidated balance sheet at June 30, 2019 is presented as if each of these events had occurred at June 30, 2019. The unaudited pro forma condensed consolidated statements of operations for the year ended September 30, 2018 and the nine months ended June 30, 2019 are presented as if each of these events had occurred on October 1, 2017.</w:t>
      </w:r>
    </w:p>
    <w:p>
      <w:pPr>
        <w:spacing w:after="0" w:line="16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June 30,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Post has advised us that, except under the circumstances described under “Use of Proceeds,” it has no definitive plans to exit its interests in BellRing Brands, Inc. or BellRing Brands, LLC, and it does not currently expect that any such exit would include the redemption of its BellRing</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3" w:lineRule="auto"/>
        <w:rPr>
          <w:sz w:val="20"/>
          <w:szCs w:val="20"/>
          <w:color w:val="auto"/>
        </w:rPr>
      </w:pPr>
      <w:r>
        <w:rPr>
          <w:rFonts w:ascii="Arial" w:cs="Arial" w:eastAsia="Arial" w:hAnsi="Arial"/>
          <w:sz w:val="16"/>
          <w:szCs w:val="16"/>
          <w:color w:val="auto"/>
        </w:rPr>
        <w:t>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 recognize a deferred tax asset of approximately $838.7 million and a liability of approximately $712.9 million, assuming (i) all redemptions occurred immediately after this offering; (ii) a price of $17.50 per share (the midpoint of the estimated offering price range set forth on the cover page of this prospectus); (iii) a constant corporate tax rate of 25.0%; (iv) we will have sufficient taxable income to fully utilize the tax benefits; and (v) no material changes in tax law. For each 5% increase (decrease) in the amount of BellRing Brands, LLC Units redeemed by Post (and its transferees and assignees), our deferred tax asset would increase (decrease) by approximately</w:t>
      </w:r>
    </w:p>
    <w:p>
      <w:pPr>
        <w:spacing w:after="0" w:line="6"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$41.9 million and the related liability would increase (decrease) by approximately $35.6 million, assuming that the price per share and corporate tax rate remain the same. For each $1.00 increase (decrease) in the assumed share price of $17.50 per share (the midpoint of the estimated offering price range set forth on the cover page of this prospectus), our deferred tax asset would increase (decrease) by approximately $31.5 million and the related liability would increase (decrease) by approximately $26.8 million, assuming that the number of BellRing Brands, LLC Units redeemed by Post (and its transferees and assignees) and the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6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spin-off to its shareholders),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The present value of such tax benefit payments are discounted at a rate equal to the lesser of (i)</w:t>
      </w:r>
    </w:p>
    <w:p>
      <w:pPr>
        <w:spacing w:after="0" w:line="1" w:lineRule="exact"/>
        <w:rPr>
          <w:sz w:val="20"/>
          <w:szCs w:val="20"/>
          <w:color w:val="auto"/>
        </w:rPr>
      </w:pPr>
    </w:p>
    <w:p>
      <w:pPr>
        <w:ind w:left="200" w:right="80"/>
        <w:spacing w:after="0" w:line="265" w:lineRule="auto"/>
        <w:rPr>
          <w:sz w:val="20"/>
          <w:szCs w:val="20"/>
          <w:color w:val="auto"/>
        </w:rPr>
      </w:pPr>
      <w:r>
        <w:rPr>
          <w:rFonts w:ascii="Arial" w:cs="Arial" w:eastAsia="Arial" w:hAnsi="Arial"/>
          <w:sz w:val="17"/>
          <w:szCs w:val="17"/>
          <w:color w:val="auto"/>
        </w:rPr>
        <w:t>6.50% per annum, compounded annually and (ii) LIBOR plus 300 basis points. If we were to elect to terminate the tax receivable agreement immediately after this offering, based on the assumed initial public offering price of $17.50 per share of our Class A common stock (the midpoint of the estimated offering price range set forth on the cover page of this prospectus), we estimate that we would be required to pay approximately</w:t>
      </w:r>
    </w:p>
    <w:p>
      <w:pPr>
        <w:spacing w:after="0" w:line="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$546.6 million in the aggregate 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9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Following this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1180" w:right="140" w:hanging="419"/>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audited combined financial statements and the notes thereto of Post’s Active Nutrition business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1180" w:hanging="430"/>
        <w:spacing w:after="0" w:line="308"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unaudited condensed combined financial statements and the notes thereto of Post’s Active Nutrition business as of June 30, 2019 and September 30, 2018 and for the nine months ended June 30, 2019 and 2018 included in this prospectus; and</w:t>
      </w:r>
    </w:p>
    <w:p>
      <w:pPr>
        <w:spacing w:after="0" w:line="51" w:lineRule="exact"/>
        <w:rPr>
          <w:rFonts w:ascii="Arial" w:cs="Arial" w:eastAsia="Arial" w:hAnsi="Arial"/>
          <w:sz w:val="17"/>
          <w:szCs w:val="17"/>
          <w:color w:val="auto"/>
        </w:rPr>
      </w:pPr>
    </w:p>
    <w:p>
      <w:pPr>
        <w:ind w:left="1180" w:hanging="419"/>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240" w:top="459" w:right="5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52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Historical</w:t>
            </w: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6.1</w:t>
            </w:r>
            <w:r>
              <w:rPr>
                <w:rFonts w:ascii="Arial" w:cs="Arial" w:eastAsia="Arial" w:hAnsi="Arial"/>
                <w:sz w:val="15"/>
                <w:szCs w:val="15"/>
                <w:color w:val="auto"/>
              </w:rPr>
              <w:t>(b)(c)(d)(g)</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(b)</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35.0</w:t>
            </w:r>
            <w:r>
              <w:rPr>
                <w:rFonts w:ascii="Arial" w:cs="Arial" w:eastAsia="Arial" w:hAnsi="Arial"/>
                <w:sz w:val="15"/>
                <w:szCs w:val="15"/>
                <w:color w:val="auto"/>
              </w:rPr>
              <w:t>(b)</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716.9</w:t>
            </w: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0.7</w:t>
            </w:r>
            <w:r>
              <w:rPr>
                <w:rFonts w:ascii="Arial" w:cs="Arial" w:eastAsia="Arial" w:hAnsi="Arial"/>
                <w:sz w:val="15"/>
                <w:szCs w:val="15"/>
                <w:color w:val="auto"/>
              </w:rPr>
              <w: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12.5</w:t>
            </w:r>
            <w:r>
              <w:rPr>
                <w:rFonts w:ascii="Arial" w:cs="Arial" w:eastAsia="Arial" w:hAnsi="Arial"/>
                <w:sz w:val="15"/>
                <w:szCs w:val="15"/>
                <w:color w:val="auto"/>
              </w:rPr>
              <w:t>(f)</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765.1</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8"/>
                <w:szCs w:val="18"/>
                <w:color w:val="auto"/>
              </w:rPr>
              <w:t>1,705.8</w:t>
            </w:r>
            <w:r>
              <w:rPr>
                <w:rFonts w:ascii="Arial" w:cs="Arial" w:eastAsia="Arial" w:hAnsi="Arial"/>
                <w:sz w:val="15"/>
                <w:szCs w:val="15"/>
                <w:color w:val="auto"/>
              </w:rPr>
              <w:t>(a)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Class A, par value $0.01 per share; actual: No shares authorized,</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issued and outstanding as of June 30, 2019; as adjusted: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500,000,000 shares authorized, 30,000,000 shares issued and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0.3</w:t>
            </w:r>
            <w:r>
              <w:rPr>
                <w:rFonts w:ascii="Arial" w:cs="Arial" w:eastAsia="Arial" w:hAnsi="Arial"/>
                <w:sz w:val="15"/>
                <w:szCs w:val="15"/>
                <w:color w:val="auto"/>
              </w:rPr>
              <w:t>(a)(c)</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700"/>
              <w:spacing w:after="0" w:line="201" w:lineRule="exact"/>
              <w:rPr>
                <w:sz w:val="20"/>
                <w:szCs w:val="20"/>
                <w:color w:val="auto"/>
              </w:rPr>
            </w:pPr>
            <w:r>
              <w:rPr>
                <w:rFonts w:ascii="Arial" w:cs="Arial" w:eastAsia="Arial" w:hAnsi="Arial"/>
                <w:sz w:val="18"/>
                <w:szCs w:val="18"/>
                <w:color w:val="auto"/>
                <w:w w:val="95"/>
              </w:rPr>
              <w:t>Class B, par value $0.01 per share; actual: No shares authorized,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80"/>
              <w:spacing w:after="0"/>
              <w:rPr>
                <w:sz w:val="20"/>
                <w:szCs w:val="20"/>
                <w:color w:val="auto"/>
              </w:rPr>
            </w:pPr>
            <w:r>
              <w:rPr>
                <w:rFonts w:ascii="Arial" w:cs="Arial" w:eastAsia="Arial" w:hAnsi="Arial"/>
                <w:sz w:val="18"/>
                <w:szCs w:val="18"/>
                <w:color w:val="auto"/>
                <w:w w:val="98"/>
              </w:rPr>
              <w:t>issued and outstanding as of June 30, 2019; as adjusted: one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880"/>
              <w:spacing w:after="0"/>
              <w:rPr>
                <w:sz w:val="20"/>
                <w:szCs w:val="20"/>
                <w:color w:val="auto"/>
              </w:rPr>
            </w:pPr>
            <w:r>
              <w:rPr>
                <w:rFonts w:ascii="Arial" w:cs="Arial" w:eastAsia="Arial" w:hAnsi="Arial"/>
                <w:sz w:val="18"/>
                <w:szCs w:val="18"/>
                <w:color w:val="auto"/>
              </w:rPr>
              <w:t>share authorized, issued and outstanding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par value $0.01 per share; 50,000,000 shares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authorized, no shares issued and outstanding actual and pro forma</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(492.8)</w:t>
            </w: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(1,970.3)</w:t>
            </w:r>
            <w:r>
              <w:rPr>
                <w:rFonts w:ascii="Arial" w:cs="Arial" w:eastAsia="Arial" w:hAnsi="Arial"/>
                <w:sz w:val="15"/>
                <w:szCs w:val="15"/>
                <w:color w:val="auto"/>
              </w:rPr>
              <w:t>(b)(c)(d)(f)</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(2,462.8)</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NINE MONTHS ENDED 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6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w w:val="93"/>
              </w:rPr>
              <w:t>Active Nutrition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Historical</w:t>
            </w: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43.0</w:t>
            </w:r>
            <w:r>
              <w:rPr>
                <w:rFonts w:ascii="Arial" w:cs="Arial" w:eastAsia="Arial" w:hAnsi="Arial"/>
                <w:sz w:val="15"/>
                <w:szCs w:val="15"/>
                <w:color w:val="auto"/>
                <w:w w:val="93"/>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4"/>
              </w:rPr>
              <w:t>(25.2)</w:t>
            </w:r>
            <w:r>
              <w:rPr>
                <w:rFonts w:ascii="Arial" w:cs="Arial" w:eastAsia="Arial" w:hAnsi="Arial"/>
                <w:sz w:val="15"/>
                <w:szCs w:val="15"/>
                <w:color w:val="auto"/>
                <w:w w:val="94"/>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66.9</w:t>
            </w:r>
            <w:r>
              <w:rPr>
                <w:rFonts w:ascii="Arial" w:cs="Arial" w:eastAsia="Arial" w:hAnsi="Arial"/>
                <w:sz w:val="15"/>
                <w:szCs w:val="15"/>
                <w:color w:val="auto"/>
                <w:w w:val="93"/>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0.52</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0.52</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8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w w:val="95"/>
              </w:rPr>
              <w:t>Active Nutrition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Historical</w:t>
            </w: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57.3</w:t>
            </w:r>
            <w:r>
              <w:rPr>
                <w:rFonts w:ascii="Arial" w:cs="Arial" w:eastAsia="Arial" w:hAnsi="Arial"/>
                <w:sz w:val="15"/>
                <w:szCs w:val="15"/>
                <w:color w:val="auto"/>
                <w:w w:val="93"/>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4"/>
              </w:rPr>
              <w:t>(21.8)</w:t>
            </w:r>
            <w:r>
              <w:rPr>
                <w:rFonts w:ascii="Arial" w:cs="Arial" w:eastAsia="Arial" w:hAnsi="Arial"/>
                <w:sz w:val="15"/>
                <w:szCs w:val="15"/>
                <w:color w:val="auto"/>
                <w:w w:val="94"/>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47.8</w:t>
            </w:r>
            <w:r>
              <w:rPr>
                <w:rFonts w:ascii="Arial" w:cs="Arial" w:eastAsia="Arial" w:hAnsi="Arial"/>
                <w:sz w:val="15"/>
                <w:szCs w:val="15"/>
                <w:color w:val="auto"/>
                <w:w w:val="93"/>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0.43</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0.43</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8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1180" w:hanging="544"/>
        <w:spacing w:after="0"/>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2" w:lineRule="exact"/>
        <w:rPr>
          <w:rFonts w:ascii="Arial" w:cs="Arial" w:eastAsia="Arial" w:hAnsi="Arial"/>
          <w:sz w:val="17"/>
          <w:szCs w:val="17"/>
          <w:color w:val="auto"/>
        </w:rPr>
      </w:pPr>
    </w:p>
    <w:p>
      <w:pPr>
        <w:ind w:left="1180" w:right="320" w:hanging="544"/>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180" w:right="20" w:hanging="544"/>
        <w:spacing w:after="0" w:line="289" w:lineRule="auto"/>
        <w:tabs>
          <w:tab w:leader="none" w:pos="1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Post will hold 97,474,179 BellRing Brands, LLC Units, which will represent 76.5% of the economic interest in BellRing Brands, LLC (or 73.9%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Units will be classified as temporary equity. The noncontrolling interest balance is determined based on the fair value of Post’s BellRing Brands, LLC Units if they were to be converted to shares of BellRing Brands, Inc. Class A common stock assuming the shares are offered at $17.50 per share (the midpoint of the estimated offering price range set forth on the cover page of this prospectus).</w:t>
      </w:r>
    </w:p>
    <w:p>
      <w:pPr>
        <w:spacing w:after="0" w:line="72" w:lineRule="exact"/>
        <w:rPr>
          <w:rFonts w:ascii="Arial" w:cs="Arial" w:eastAsia="Arial" w:hAnsi="Arial"/>
          <w:sz w:val="16"/>
          <w:szCs w:val="16"/>
          <w:color w:val="auto"/>
        </w:rPr>
      </w:pPr>
    </w:p>
    <w:p>
      <w:pPr>
        <w:ind w:left="1180" w:right="40" w:hanging="544"/>
        <w:spacing w:after="0" w:line="255"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purchasers in this offering (i) will own 30,000,000 shares of Class A common stock (or 34,500,000 shares if the underwriters exercise their non-allotment option in full), which, for so long as Post or its affiliates (other than us) directly own more than 50% of the BellRing Brands, LLC Units as described in this prospectus, will represent 33% of the combined voting power of the common stock of BellRing Brands, Inc. and 100% of the economic interest in BellRing Brands, Inc., and (ii) through BellRing Brands, Inc.’s ownership of BellRing Brands, LLC Units, indirectly will hold 23.5% of the economic interest in BellRing Brands, LLC (or 26.1% if the underwriters exercise their over-allotment option in full).</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544"/>
        <w:spacing w:after="0" w:line="259"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 See “Certain Relationships and Related Party Transactions—Post-Offering Relationship with Post—Amended and Restated Limited Liability Company Agreement.”</w:t>
      </w:r>
    </w:p>
    <w:p>
      <w:pPr>
        <w:spacing w:after="0" w:line="92" w:lineRule="exact"/>
        <w:rPr>
          <w:rFonts w:ascii="Arial" w:cs="Arial" w:eastAsia="Arial" w:hAnsi="Arial"/>
          <w:sz w:val="18"/>
          <w:szCs w:val="18"/>
          <w:color w:val="auto"/>
        </w:rPr>
      </w:pPr>
    </w:p>
    <w:p>
      <w:pPr>
        <w:ind w:left="1180" w:right="80" w:hanging="544"/>
        <w:spacing w:after="0" w:line="253"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1180" w:right="480" w:hanging="544"/>
        <w:spacing w:after="0" w:line="26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76.5% of the earnings before income taxes will be allocated to the noncontrolling interest to reflect the entitlement of Post to a portion of the consolidated net earnings (loss).</w:t>
      </w:r>
    </w:p>
    <w:p>
      <w:pPr>
        <w:spacing w:after="0" w:line="289" w:lineRule="exact"/>
        <w:rPr>
          <w:rFonts w:ascii="Arial" w:cs="Arial" w:eastAsia="Arial" w:hAnsi="Arial"/>
          <w:sz w:val="18"/>
          <w:szCs w:val="18"/>
          <w:color w:val="auto"/>
        </w:rPr>
      </w:pPr>
    </w:p>
    <w:p>
      <w:pPr>
        <w:ind w:left="900" w:hanging="256"/>
        <w:spacing w:after="0"/>
        <w:tabs>
          <w:tab w:leader="none" w:pos="900" w:val="left"/>
        </w:tabs>
        <w:numPr>
          <w:ilvl w:val="1"/>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Prior to completion of this offering, Post will borrow $1,225.0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(i) BellRing Brands, LLC will become the borrower under the Post bridge loan and assume all interest of $2.2 million thereunder, and Post and its subsidiary guarantors (which will not include BellRing Brands, LLC or its domestic subsidiaries) will be released from all obligations under the Post bridge loan and all interest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We will not receive any of the proceeds of the Post bridge loan. See “Description of Certain Indebtedness.”</w:t>
      </w:r>
    </w:p>
    <w:p>
      <w:pPr>
        <w:spacing w:after="0" w:line="182"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See “Description of Certain Indebtedness.”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1180" w:right="180" w:hanging="544"/>
        <w:spacing w:after="0" w:line="259"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$73.0 million of borrowings under the revolving credit facility will be incurred concurrently with the completion of this offering (based upon the midpoint of the estimated offering price range set forth on the cover page of this prospectus; the amount of such borrowing is expected to be up to $30.0 million if the offering price is at the high end of the price range and up to $100.0 million if the offering price is at the low end of the price range) at an assumed interest rate of 6.2%;</w:t>
      </w:r>
    </w:p>
    <w:p>
      <w:pPr>
        <w:spacing w:after="0" w:line="92"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the full amount available, $35.0 million of which is considered the current portion of long-term debt, under the term loan facility will be incurred concurrently with the completion of this offering at an assumed interest rate of 6.9%; and</w:t>
      </w:r>
    </w:p>
    <w:p>
      <w:pPr>
        <w:spacing w:after="0" w:line="75" w:lineRule="exact"/>
        <w:rPr>
          <w:rFonts w:ascii="Arial" w:cs="Arial" w:eastAsia="Arial" w:hAnsi="Arial"/>
          <w:sz w:val="18"/>
          <w:szCs w:val="18"/>
          <w:color w:val="auto"/>
        </w:rPr>
      </w:pPr>
    </w:p>
    <w:p>
      <w:pPr>
        <w:ind w:left="1180" w:hanging="544"/>
        <w:spacing w:after="0" w:line="259"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$6.1 million, after deducting fees and expenses (including original issue discount with respect to the term loan facility) of $23.1 million ($2.0 million related to the revolving credit facility and $21.1 million related to the term loan facility), repayment of the remaining portion of the Post bridge loan and related interest and repayment of cash and cash equivalents. See footnote (g) below.</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final principal balance of the term loan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rates assumed above for the debt facilities would increase or decrease pro forma interest expense by approximately $1.2 million for the fiscal year ended September 30, 2018 and approximately $0.9 million for the nine months ended June 30, 2019 (assuming the principal balance of the debt facilities does not change from that assumed above).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BellRing Brands, Inc. expects to issue 30,000,000 shares of Class A common stock in this offering (or 34,500,000 shares if the underwriters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exercise their over-allotment in full). The unaudited pro forma consolidated basic and diluted earnings per share for the periods presented are based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combined basic and diluted weighted-average shares outstanding to be issued by BellRing Brands, Inc. in this offering. The calculation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includes 30,000,000 shares of Class A common stock assumed to be sold in this offering. On the same day this offering is completed, but prior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completion of this offering, BellRing Brands, Inc. will issue to Post (in exchange for the 1,000 shares of common stock initially issued to Post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connection with its incorporation, which shares will be cancelled as part of the exchange) one share of Class B common stock, which share of Class B</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cannot be transferred by Post except to its affiliates (other than us). The share of BellRing Brands, Inc. Class B common stock does not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 in its earnings and is therefore not included in the weighted average shares outstanding or net earnings available per common share.</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estimated offering price range set forth on the cover page of this prospectus), after deducting underwriting discounts and commissions and estimated offering expenses payable by us.</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 and related interest.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Following the formation transactions, BellRing Brands, Inc. will be subject to U.S. federal income taxes, in addition to state, local and foreign taxes, with respect to its allocable share of any net taxable income of BellRing Brands, LLC and its domestic subsidiaries. As a result, this reflects the tax effects of the proforma adjustments at an assumed blended statutory tax rate of 27.2% for the fiscal year ended September 30, 2018 and 23.8% for the nine months ended June 30, 2019 along with adjustments to reflect BellRing Brands, Inc.’s 23.5% of net taxable income.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 formation transactions. The unaudited pro forma condensed consolidated financial statements include adjustments to reflect the expected amounts due to Post under the tax receivable agreement from disproportionate allocations of tax benefits to BellRing Brands, Inc. under Section 704(c) of the Code resulting from the 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term loan and revolving credit facility</w:t>
            </w:r>
            <w:r>
              <w:rPr>
                <w:rFonts w:ascii="Arial" w:cs="Arial" w:eastAsia="Arial" w:hAnsi="Arial"/>
                <w:sz w:val="15"/>
                <w:szCs w:val="15"/>
                <w:color w:val="auto"/>
              </w:rPr>
              <w:t>(b)</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proceeds from offering</w:t>
            </w:r>
            <w:r>
              <w:rPr>
                <w:rFonts w:ascii="Arial" w:cs="Arial" w:eastAsia="Arial" w:hAnsi="Arial"/>
                <w:sz w:val="15"/>
                <w:szCs w:val="15"/>
                <w:color w:val="auto"/>
              </w:rPr>
              <w:t>(d)</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 of Post bridge loan and interest</w:t>
            </w:r>
            <w:r>
              <w:rPr>
                <w:rFonts w:ascii="Arial" w:cs="Arial" w:eastAsia="Arial" w:hAnsi="Arial"/>
                <w:sz w:val="15"/>
                <w:szCs w:val="15"/>
                <w:color w:val="auto"/>
              </w:rPr>
              <w:t>(b)</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Transaction expenses and Master Services Agreement costs</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Represents the removal of non-recurring transaction expenses in Active Nutrition’s historical statement of operations for the nine months ended June 30, 2019, which are directly attributable to BellRing Brands, Inc.’s separation from Post. Additionally, no adjustments have been made related to expected master services agreement fees as the best estimates of those amounts are included in expense allocations that are recorded in Active Nutrition’s historical statements of operations. For additional information on expense allocations, refer to Notes 8 and 10 within “Notes to Condensed Combined Financial Statements” for the nine months ended June 30, 2019 and “Notes to Combined Financial Statements” for the year ended September 30, 2018, respectively.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the historical combined financial statements and the accompanying notes and other financial information for Post’s Active Nutrition business (“Active Nutrition”),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BellRing Brands, Inc. was formed as a Delaware corporation in 2019 for the purpose of completing this offering. Upon completion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formation transactions, BellRing Brands, LLC will become the holder of Posts’s Active Nutrition business, which, effective as of the fiscal quarter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ended June 30, 2015, has been comprised of Premier Nutrition, Dymatize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GmbH, which manufactures and sells Active Nutrition products in certain international markets. We are a provider of highly nutritious, great-tasting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including RTD protein shakes, other RTD beverages, powders, nutrition bars and nutritional supplements in the convenient nutrition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category. The following discussion contains references to the nine months ended June 30, 2019 and 2018 and the years ended September 30, 2018,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2016, which represent the financial results of our predecessor, Active Nutrition, for the same periods.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29" w:lineRule="exact"/>
        <w:rPr>
          <w:sz w:val="20"/>
          <w:szCs w:val="20"/>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1180" w:right="620" w:hanging="544"/>
        <w:spacing w:after="0" w:line="342"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spacing w:after="0" w:line="29" w:lineRule="exact"/>
        <w:rPr>
          <w:rFonts w:ascii="Arial" w:cs="Arial" w:eastAsia="Arial" w:hAnsi="Arial"/>
          <w:sz w:val="16"/>
          <w:szCs w:val="16"/>
          <w:color w:val="auto"/>
        </w:rPr>
      </w:pPr>
    </w:p>
    <w:p>
      <w:pPr>
        <w:ind w:left="1180" w:right="30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addition to the company trends described above, we also experienced short-term supply constraints for our RTD protein shakes during the nine months ended June 30, 2019. With the rapid consumption growth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have added significant capacity at our contract manufacturing partners in order to keep up with consumer demand. However, due to a combination of better than expected volume growth for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shakes in the second half of fiscal 2018 and delays in planned incremental production capacity by our third party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network, our customer demand exceeded our available capacity and resulted in inventory below acceptable levels at September 30, 2018. To increase inventory and to minimize the overall impact to customers and consumers, we temporarily reduced our available RTD protein shake flavors in the first quarter of fiscal 2019 from seven to its two best-selling flavors, chocolate and vanilla. This decision adversely impacted the year-over-year growth rate for the nine months ended June 30, 2019 compared to growth trends experienced in fiscal 2018 and 2017. During the second quarter of fiscal 2019, all flavors were re-introduced. With these actions as well as planned incremental capacity in the second half of fiscal 2019, we believe we will be able to meet expected customer demand and our inventory levels will be enough to accelerate our growth beyond that experienced since the beginning of fiscal 2019. At June 30, 2019, inventory had returned to normal levels and modest additional increases in inventory levels are expected through the end of fiscal 2019.</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1180" w:hanging="54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cost of goods sold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1180" w:right="20" w:hanging="544"/>
        <w:spacing w:after="0" w:line="276" w:lineRule="auto"/>
        <w:tabs>
          <w:tab w:leader="none" w:pos="11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 all packaging and ingredients used, for an agreed-upon tolling charge for each item produced as well as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77" w:lineRule="exact"/>
        <w:rPr>
          <w:rFonts w:ascii="Arial" w:cs="Arial" w:eastAsia="Arial" w:hAnsi="Arial"/>
          <w:sz w:val="17"/>
          <w:szCs w:val="17"/>
          <w:color w:val="auto"/>
        </w:rPr>
      </w:pPr>
    </w:p>
    <w:p>
      <w:pPr>
        <w:ind w:left="1180" w:right="24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freight costs are impacted by fuel costs, as well as carrier availability.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selling, general and administrative expenses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corporate allocations</w:t>
      </w:r>
      <w:r>
        <w:rPr>
          <w:rFonts w:ascii="Arial" w:cs="Arial" w:eastAsia="Arial" w:hAnsi="Arial"/>
          <w:sz w:val="16"/>
          <w:szCs w:val="16"/>
          <w:color w:val="auto"/>
        </w:rPr>
        <w:t>, which include allocations from Post of general and administrative costs, including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costs related to the finance, information technology, legal, human resources, quality, supply chain and purchasing functions.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earnings before income taxes (“EBIT”) margins because of customer spending patterns and timing of promotional activity. Historically, our first fiscal quarter is seasonally low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During the nine months ended June 30, 2019 and 2018, “Earnings before Income Taxes” in the Condensed Combined Statements of Operations and Comprehensive Income were impacted by the following items:</w:t>
      </w:r>
    </w:p>
    <w:p>
      <w:pPr>
        <w:spacing w:after="0" w:line="76" w:lineRule="exact"/>
        <w:rPr>
          <w:sz w:val="20"/>
          <w:szCs w:val="20"/>
          <w:color w:val="auto"/>
        </w:rPr>
      </w:pPr>
    </w:p>
    <w:p>
      <w:pPr>
        <w:ind w:left="1180" w:right="320" w:hanging="544"/>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separation costs of $4.0 million related to our separation from Post for the nine months ended June 30, 2019;</w:t>
      </w:r>
    </w:p>
    <w:p>
      <w:pPr>
        <w:spacing w:after="0" w:line="130" w:lineRule="exact"/>
        <w:rPr>
          <w:rFonts w:ascii="Arial" w:cs="Arial" w:eastAsia="Arial" w:hAnsi="Arial"/>
          <w:sz w:val="18"/>
          <w:szCs w:val="18"/>
          <w:color w:val="auto"/>
        </w:rPr>
      </w:pPr>
    </w:p>
    <w:p>
      <w:pPr>
        <w:ind w:left="1180" w:right="200" w:hanging="544"/>
        <w:spacing w:after="0" w:line="308"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reclassification of certain payments to customers of $5.3 million from selling expenses to net sales in the nine months ended June 30, 2019, in connection with the adoption of ASU 2014-09, “Revenue from Contracts with Customers (Topic 606);”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nine months ended June 30,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restructuring and plant closure costs of $5.0 million and losses on assets held for sale of $4.5 million in the year ended September 30, 2016.</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Nine months ended June 30, 2019 and 2018</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Active Nutrition</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240"/>
              <w:spacing w:after="0" w:line="142" w:lineRule="exact"/>
              <w:rPr>
                <w:sz w:val="20"/>
                <w:szCs w:val="20"/>
                <w:color w:val="auto"/>
              </w:rPr>
            </w:pPr>
            <w:r>
              <w:rPr>
                <w:rFonts w:ascii="Arial" w:cs="Arial" w:eastAsia="Arial" w:hAnsi="Arial"/>
                <w:sz w:val="14"/>
                <w:szCs w:val="14"/>
                <w:b w:val="1"/>
                <w:bCs w:val="1"/>
                <w:color w:val="auto"/>
              </w:rPr>
              <w:t>Nine Months Ended June 30,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680" w:type="dxa"/>
            <w:vAlign w:val="bottom"/>
            <w:gridSpan w:val="2"/>
          </w:tcPr>
          <w:p>
            <w:pPr>
              <w:ind w:left="5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639.9</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EBIT Margin</w:t>
            </w:r>
          </w:p>
        </w:tc>
        <w:tc>
          <w:tcPr>
            <w:tcW w:w="44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3160" w:type="dxa"/>
            <w:vAlign w:val="bottom"/>
          </w:tcPr>
          <w:p>
            <w:pPr>
              <w:jc w:val="right"/>
              <w:ind w:right="235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16%</w:t>
            </w: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190"/>
              <w:spacing w:after="0"/>
              <w:rPr>
                <w:sz w:val="20"/>
                <w:szCs w:val="20"/>
                <w:color w:val="auto"/>
              </w:rPr>
            </w:pPr>
            <w:r>
              <w:rPr>
                <w:rFonts w:ascii="Arial" w:cs="Arial" w:eastAsia="Arial" w:hAnsi="Arial"/>
                <w:sz w:val="18"/>
                <w:szCs w:val="18"/>
                <w:color w:val="auto"/>
              </w:rPr>
              <w:t>86</w:t>
            </w:r>
          </w:p>
        </w:tc>
        <w:tc>
          <w:tcPr>
            <w:tcW w:w="31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Net sales increased $32.3 million, or 5%, during the nine months ended June 30, 2019, as compared to the corresponding period in the prior year, primarily due to higher volume and higher average net selling prices.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$47.2 million, or 10%, with volume up 7%, primarily driven by increases in sales of RTD protein shake products, partially offset by lower sales of nutrition bars. Sales of RTD protein shakes in the nine months ended June 30, 2019 were positively impacted by approximately $15 million of sales associated with the request for early delivery of product made by a large customer to support promotional activity in the third quarter of fiscal 2019, as compared to comparable delivery in the fourth quarter of fiscal 2018. However, increases in RTD protein shake product volumes for the nine months ended June 30, 2019 were below recent growth trends primarily due to short-term supply constraints (for further discussion, see “Industry &amp; Company Trends” above).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$2.8 million, or 3%, with volume up 2%, primarily due to distribution gains in the club and mass channels and organic growth in the eCommerce channel, partially offset by declines in the specialty channel.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$13.5 million, or 28%, with volume down 31%, driven by distribution losses and strategic sales reductions of low performing products within our North American portfolio. Sales of all other products were down $4.2 million. Current year net sales were impacted by the reclassification of certain payments to customers of $5.3 million from selling expenses to net sales in connection with the adoption of ASU 2014-09 (see below for further discussion).</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EBIT increased $43.7 million, or 53%, for the nine months ended June 30, 2019, as compared to the corresponding period in the prior year. EBIT in the nine months ended June 30, 2018 was impacted by a litigation settlement accrual of $9.0 million. Excluding this impact, EBIT increased</w:t>
      </w:r>
    </w:p>
    <w:p>
      <w:pPr>
        <w:ind w:left="200" w:right="80"/>
        <w:spacing w:after="0" w:line="253" w:lineRule="auto"/>
        <w:rPr>
          <w:sz w:val="20"/>
          <w:szCs w:val="20"/>
          <w:color w:val="auto"/>
        </w:rPr>
      </w:pPr>
      <w:r>
        <w:rPr>
          <w:rFonts w:ascii="Arial" w:cs="Arial" w:eastAsia="Arial" w:hAnsi="Arial"/>
          <w:sz w:val="18"/>
          <w:szCs w:val="18"/>
          <w:color w:val="auto"/>
        </w:rPr>
        <w:t>$34.7 million, or 38%. Gross profit margins improved to 37% in the nine months ended June 30, 2019, from 34% in the prior year period. These increases were driven by higher average net selling prices, as previously discussed, lower net product costs of $16.0 million, as favorable raw materials and freight costs were partially offset by increased manufacturing costs, and reduced advertising and consumer spending of $7.4 million. These positive impacts were partially offset by higher employee-related expenses and increased corporate cost allocations of $5.0 million driven primarily by costs incurred related to our separation from Post.</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effective income tax rate was 23.8% and 15.8% for the nine months ended June 30, 2019 and 2018, respectively. In accordance with Accounting Standards Codification (“ASC”) Topic 740, “Income Taxes,” income tax expense is recorded for interim periods using the estimated annual effective income tax rate for the full fiscal year adjusted for the impact of discrete items occurring during the interim periods.</w:t>
      </w:r>
    </w:p>
    <w:p>
      <w:pPr>
        <w:spacing w:after="0" w:line="16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nine months ended June, 2018, Active Nutrition (i) remeasured its existing deferred tax assets and liabilities considering both the 2018 fiscal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 the Condensed Combined Statement of Operations and Comprehensive Income for the nine months ended June 30, 2019. For additional information regarding ASU 2014-09, refer to Note 3 of “Notes to Condensed Combined Financial Statements” for the nine months ended June 30, 2019 and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Active Nutrition</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in millions; favorable/(unfavorable)</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EBIT Margin</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760" w:type="dxa"/>
            <w:vAlign w:val="bottom"/>
          </w:tcPr>
          <w:p>
            <w:pPr>
              <w:jc w:val="right"/>
              <w:ind w:right="20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46%</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37%</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impacts were partially offset by new product introductions and favorable foreign exchange rates. Sales of all other products were up $0.3 million.</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EBIT increased $54.2 million, or 83%, for the year ended September 30, 2018. EBIT in the year ended September 30, 2018 was impacted by a litigation settlement accrual of $9.0 million and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 xml:space="preserve">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Net sales increased $138.5 million, or 24%, during the year ended September 30, 2017,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down $4.8 million, or 4%, primarily due to weakness in the domestic specialty channel and higher promotional activity, partially offset by an increase in volume of 10%. The increase in volume is primarily the result of distribution gains in the eCommerce channel and international growth.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Joint Juice </w:t>
      </w:r>
      <w:r>
        <w:rPr>
          <w:rFonts w:ascii="Arial" w:cs="Arial" w:eastAsia="Arial" w:hAnsi="Arial"/>
          <w:sz w:val="18"/>
          <w:szCs w:val="18"/>
          <w:color w:val="auto"/>
        </w:rPr>
        <w:t>products.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200" w:right="100" w:firstLine="441"/>
        <w:spacing w:after="0" w:line="288"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ind w:left="200" w:right="12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Active Nutrition</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60" w:hanging="436"/>
        <w:spacing w:after="0" w:line="26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1"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is prorated with the pre-December 22, 2017 U.S. federal corporate income tax rate of 35% for the 2018 tax year. This proration resulted in a blended U.S. federal corporate income tax rate of 24.5% for fiscal 2018. Adjustments were made in the following instances: (i) Active Nutrition remeasured its existing deferred tax assets and liabilities considering both the 2018 fiscal blended rate and the 21% rate for future periods and recorded a tax benefit of</w:t>
      </w:r>
    </w:p>
    <w:p>
      <w:pPr>
        <w:spacing w:after="0" w:line="1" w:lineRule="exact"/>
        <w:rPr>
          <w:sz w:val="20"/>
          <w:szCs w:val="20"/>
          <w:color w:val="auto"/>
        </w:rPr>
      </w:pPr>
    </w:p>
    <w:p>
      <w:pPr>
        <w:ind w:left="200" w:right="780"/>
        <w:spacing w:after="0" w:line="261" w:lineRule="auto"/>
        <w:rPr>
          <w:sz w:val="20"/>
          <w:szCs w:val="20"/>
          <w:color w:val="auto"/>
        </w:rPr>
      </w:pPr>
      <w:r>
        <w:rPr>
          <w:rFonts w:ascii="Arial" w:cs="Arial" w:eastAsia="Arial" w:hAnsi="Arial"/>
          <w:sz w:val="18"/>
          <w:szCs w:val="18"/>
          <w:color w:val="auto"/>
        </w:rPr>
        <w:t>$9.9 million and (ii) Active Nutrition calculated the one-time transition tax and recorded tax expense of $0.5 million. Full expensing of certain depreciable assets will result in a temporary difference as assets are placed in service.</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tcPr>
          <w:p>
            <w:pPr>
              <w:jc w:val="right"/>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0"/>
                <w:szCs w:val="10"/>
                <w:color w:val="auto"/>
              </w:rPr>
            </w:pPr>
          </w:p>
        </w:tc>
        <w:tc>
          <w:tcPr>
            <w:tcW w:w="21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6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gridSpan w:val="3"/>
          </w:tcPr>
          <w:p>
            <w:pPr>
              <w:jc w:val="right"/>
              <w:ind w:right="379"/>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(99.5)</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(133.0)</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(1.1</w:t>
            </w:r>
          </w:p>
        </w:tc>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BellRing Brands, Inc. expects to receive net proceeds from this offering of approximately $486.8 million (or approximately $561.0 million if the underwriters exercise their over-allotment option in full), assuming the shares are offered at $17.50 per share (the midpoint of the estimated offering price range set forth on the cover page of this prospectus), after deducting underwriting discounts and commissions and estimated offering expenses payable by us.</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Prior to completion of this offering, Post will borrow $1,225.0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term loan facility and the revolving credit facility, we can provide no assurance that the Board of Managers will make such a determination. We anticipate that BellRing Brands, LLC, if its Board of Managers determines to borrow under the debt facilities, will borrow the full amount available under the term loan facility and approximately $73.0 million under the revolving credit facility (based upon the midpoint of the estimated offering price range set forth on the cover page of this prospectus), resulting in net proceeds to BellRing Brands, LLC of approximately $6.1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183"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 will not be an obligor or guarantor under the debt facilities, nor will BellRing Brands, Inc. pledge its BellRing Brands, LLC Units as collateral.</w:t>
      </w:r>
    </w:p>
    <w:p>
      <w:pPr>
        <w:spacing w:after="0" w:line="23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LLC and its subsidiaries and BellRing Brands, Inc.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Additionally, BellRing Brands, Inc. intends to enter into a tax receivable agreement with Post and BellRing Brands, LLC that will provide for the payment by BellRing Brands, Inc. or one of its subsidiaries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BellRing Brands, Inc. realizes (or, in some circumstances, BellRing Brands, Inc. is deemed to realize) as a result of (a) the increase in the tax basis of assets of BellRing Brands, LLC attributable to (i) the redemption of Post’s (or certain transferees’ or assignees’) BellRing Brands, LLC Units for shares of BellRing Brands, Inc.’s Class A common stock or cash, (ii) deemed sales by Post (or certain of its transferees or assignees) of BellRing Brands, LLC Units or assets to BellRing Brands, Inc., (iii) certain actual or deemed distributions from BellRing Brands, LLC to Post (or certain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2019 or fiscal 2020.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See “Certain Relationships and Related Party Transactions—Post-Offering Relationship with Post—Amended and Restated Limited Liability Company Agreement— Distributions and Allocations.” The amended and restated limited liability company agreement provides, to the extent cash is available, for distributions pro rata to the holders of BellRing Brands, LLC Units such that members receive an amount of cash sufficient to cover the estimated taxes payable by them including, in the case of BellRing Brands, Inc., an amount sufficient to allow BellRing Brands, Inc. to make any payments required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Cash provided by operating activities for the nine months ended June 30, 2019 decreased by $41.1 million compared to the prior year period. The decrease was driven by unfavorable working capital changes of $85.9 million, partially offset by higher earnings before income taxes. Changes in working capital were primarily driven by the impacts of fluctuations in the timing of sales largely connected with the reintroduction of all </w:t>
      </w:r>
      <w:r>
        <w:rPr>
          <w:rFonts w:ascii="Arial" w:cs="Arial" w:eastAsia="Arial" w:hAnsi="Arial"/>
          <w:sz w:val="18"/>
          <w:szCs w:val="18"/>
          <w:i w:val="1"/>
          <w:iCs w:val="1"/>
          <w:color w:val="auto"/>
        </w:rPr>
        <w:t>Premier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RTD shake flavors in the second quarter of fiscal 2019 (for further discussion, see “Industry &amp; Company Trends” above) and fluctuations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provided by operating activities for the year ended September 30, 2017 increased by $39.6 million compared to the year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Cash used in investing activities for the nine months ended June 30, 2019 decreased by $0.4 million compared to the prior year period, resulting from a decrease in 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Cash used in financing activities for the nine months ended June 30, 2019 decreased $34.5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8 of “Notes to Condensed Combined Financial Statements” for the nine months ended June 30, 2019 and 2018).</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2018 increased $49.0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89"/>
              </w:rPr>
              <w:t>Less Than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9"/>
              </w:rPr>
              <w:t>3-5 Years</w:t>
            </w:r>
          </w:p>
        </w:tc>
        <w:tc>
          <w:tcPr>
            <w:tcW w:w="12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$ 114.3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 w:hanging="436"/>
        <w:spacing w:after="0" w:line="256"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ind w:left="640" w:right="760" w:hanging="436"/>
        <w:spacing w:after="0" w:line="250"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640" w:right="180" w:hanging="436"/>
        <w:spacing w:after="0" w:line="25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COMMODITY TRENDS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2018, 2017 and 2016, but could have a material impact in the future if inflation rates were to significantly exceed our ability to achieve price increases.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77" w:lineRule="exact"/>
        <w:rPr>
          <w:sz w:val="20"/>
          <w:szCs w:val="20"/>
          <w:color w:val="auto"/>
        </w:rPr>
      </w:pPr>
    </w:p>
    <w:p>
      <w:pPr>
        <w:ind w:left="200" w:right="380" w:firstLine="441"/>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–Revenue is recognized when title of goods is transferred to the customer, as specified by the shipping terms.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gross sales, including amounts billed to customers for shipping and handling, less sales discounts and trade allowances. Customer trade allowances are generally computed as 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17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3"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200" w:firstLine="441"/>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the cost of acquired businesses over the fair market value of their identifiable net assets. We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 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16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exceeded their carrying values by more than 100%.</w:t>
      </w:r>
    </w:p>
    <w:p>
      <w:pPr>
        <w:spacing w:after="0" w:line="184" w:lineRule="exact"/>
        <w:rPr>
          <w:sz w:val="20"/>
          <w:szCs w:val="20"/>
          <w:color w:val="auto"/>
        </w:rPr>
      </w:pPr>
    </w:p>
    <w:p>
      <w:pPr>
        <w:ind w:left="200" w:right="40" w:firstLine="441"/>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nine months ended June 30, 2019 and 2018 for more information about estimates affecting income taxes.</w:t>
      </w:r>
    </w:p>
    <w:p>
      <w:pPr>
        <w:spacing w:after="0" w:line="39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nine months ended June 30, 2019 and 2018 for a discussion regarding recently issued and adopted accounting standards.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240" w:top="459"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84" w:lineRule="exact"/>
        <w:rPr>
          <w:sz w:val="20"/>
          <w:szCs w:val="20"/>
          <w:color w:val="auto"/>
        </w:rPr>
      </w:pPr>
    </w:p>
    <w:p>
      <w:pPr>
        <w:ind w:left="1180" w:right="98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believe 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grew at a CAGR of 42% from fiscal 2016 to fiscal 2018.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Our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60"/>
          </w:cols>
          <w:pgMar w:left="24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169545</wp:posOffset>
            </wp:positionV>
            <wp:extent cx="5120005" cy="31559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200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9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66130" cy="1878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661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1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Fiscal 2018 Net Sales By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172085</wp:posOffset>
            </wp:positionV>
            <wp:extent cx="1818005" cy="14662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1800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is positioned to satisfy not only the everyday nutrition consumer need state, but also to appeal to the adult nutrition, sports nutrition and weight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6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brand. Premier Nutrition, Inc. was founded in 1997, and Joint Juice, Inc. was founded in 1999. In 2011, Joint Juice, Inc. acquired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related assets from Premier Nutrition, Inc. via a corporate restructuring, and the resulting entity assumed the name Premier Nutrition 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Dymatize Enterprises was founded in 1994 and purchased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in 2012. At the time of the Post acquisition,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In fiscal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Musashi</w:t>
      </w:r>
      <w:r>
        <w:rPr>
          <w:rFonts w:ascii="Arial" w:cs="Arial" w:eastAsia="Arial" w:hAnsi="Arial"/>
          <w:sz w:val="18"/>
          <w:szCs w:val="18"/>
          <w:color w:val="auto"/>
        </w:rPr>
        <w:t xml:space="preserve"> brands, Active Nutrition International (formerly known as PowerBar Europe GmbH) and manufacturing facilities in Boise, Idaho and Voerde, Germany.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 was founded in 1986. In fiscal 2015, Post sold the</w:t>
      </w:r>
      <w:r>
        <w:rPr>
          <w:rFonts w:ascii="Arial" w:cs="Arial" w:eastAsia="Arial" w:hAnsi="Arial"/>
          <w:sz w:val="18"/>
          <w:szCs w:val="18"/>
          <w:i w:val="1"/>
          <w:iCs w:val="1"/>
          <w:color w:val="auto"/>
        </w:rPr>
        <w:t xml:space="preserve"> Musashi </w:t>
      </w:r>
      <w:r>
        <w:rPr>
          <w:rFonts w:ascii="Arial" w:cs="Arial" w:eastAsia="Arial" w:hAnsi="Arial"/>
          <w:sz w:val="18"/>
          <w:szCs w:val="18"/>
          <w:color w:val="auto"/>
        </w:rPr>
        <w:t>brand. In that same fiscal year, Post also ceased all production at,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thereafter sold, the Boise manufacturing facility. All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August 3, 2019, bars have a 50% dollar share, RTDs have a 39% dollar share and powders have an 11% dollar share. However, management believes the powder share for the total U.S. market (tracked and untracked) is significantly greater than the 11% share in tracked channels.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Tracked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160020</wp:posOffset>
            </wp:positionV>
            <wp:extent cx="2752725" cy="2195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5272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Source: Nielsen, Total US xAOC including Convenience, 52 week period ended 8/3/2019</w:t>
      </w:r>
    </w:p>
    <w:p>
      <w:pPr>
        <w:spacing w:after="0" w:line="20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August 3, 2019, management estimates that, excluding the private label and other sales from the category (which account for 5% and 3%, respectively, of the sales in the category), everyday nutrition represents a 50% share of the category, adult nutrition represents a 17% share of the category, sports nutrition represents a 16% share of the category and weight management represents a 17% share of the category.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169545</wp:posOffset>
            </wp:positionV>
            <wp:extent cx="5017135" cy="4185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1713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Everyday nutrition is the largest, fastest-growing need state in the category based on Nielsen data for Total US xAOC including Convenience for the 52 week period ended August 8, 2015 and the comparable period in 2019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developed brand equities and product value propositions to appeal to a broad range of consumer need states.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brands are focused primarily on sports nutrition, which we define as consumers looking to supplement sports endurance and body building needs.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In addition, the IRI 2019 State of the Snack Food Industry report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highlights that consumers are increasingly eating more frequently throughout the day and 47% of consumers snack more than three times a day. In fact, according to Mintel’s 2019 report, Snacking Motivations and Attitudes, 95% of U.S. adults snack daily.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18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“Mainstreaming” convenient nutrition is fueling growth in the category across all forms, with total U.S. household penetration reaching 55% for the 52 week period ended July 27, 2019 (an increase from 52% for the 52 week period ended July 1,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the 52 week period ended August 10, 2019. Management believes there is a significant growth opportunity in liquids and powders as household penetration for the 52 week period ended July 27, 2019 according to Nielsen household panel data for all outlets was only 24% for liquids and 11% for powders, compared to 43% for bars.</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6"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4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flagship brand and is supported by a portfolio of other well-recognized brands with growth potential.</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positioned to appeal to mainstream consumers seeking convenient, delicious protein products they can enjoy throughout the day. Our 11 ounce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 epitomizes this brand commitment, providing a great-tasting, on-the-go beverage with 30 grams of protein and only one gram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holds the #1 share in the convenient nutrition category and the convenient nutrition RTD category based on Nielsen household panel data for all outlets for the 52 week period ended July 27, 2019.</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8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is positioned as a high-quality brand both in the U.S. and internationally and has a notable presence in Western Europe.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to include new flavors, powders and nutrition bars.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200" w:right="540" w:firstLine="441"/>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141605</wp:posOffset>
            </wp:positionV>
            <wp:extent cx="4853940" cy="38931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5394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color w:val="auto"/>
        </w:rPr>
        <w:t xml:space="preserve">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We expect to introduce two additional flavors in the fall of 2019. We also have improved the taste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and nutrition bar formulations to ensure we continue to delight consumers. We believe our new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offering has achieved top 10% category velocities in FDM since its launch in December 2017 based on Nielsen tracked channels data for the 52 week period ended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 xml:space="preserve">August 3,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The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RTD product is now distributed nationwide in Costco and other key retailers.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continues to be a leader in disruptive product innovation with several leading products for its core enthusiasts, the most recent being </w:t>
      </w:r>
      <w:r>
        <w:rPr>
          <w:rFonts w:ascii="Arial" w:cs="Arial" w:eastAsia="Arial" w:hAnsi="Arial"/>
          <w:sz w:val="18"/>
          <w:szCs w:val="18"/>
          <w:i w:val="1"/>
          <w:iCs w:val="1"/>
          <w:color w:val="auto"/>
        </w:rPr>
        <w:t>All9 Amino</w:t>
      </w:r>
      <w:r>
        <w:rPr>
          <w:rFonts w:ascii="Arial" w:cs="Arial" w:eastAsia="Arial" w:hAnsi="Arial"/>
          <w:sz w:val="18"/>
          <w:szCs w:val="18"/>
          <w:color w:val="auto"/>
        </w:rPr>
        <w:t>, a supplement that provides the nine essential amino acids for optimal muscle protein synthesis.</w:t>
      </w:r>
    </w:p>
    <w:p>
      <w:pPr>
        <w:spacing w:after="0" w:line="192"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a leading mainstream, lifestyle brand, holding the #1 share position in the convenient nutrition category and the convenient</w:t>
      </w:r>
      <w:r>
        <w:rPr>
          <w:rFonts w:ascii="Arial" w:cs="Arial" w:eastAsia="Arial" w:hAnsi="Arial"/>
          <w:sz w:val="17"/>
          <w:szCs w:val="17"/>
          <w:i w:val="1"/>
          <w:iCs w:val="1"/>
          <w:color w:val="auto"/>
        </w:rPr>
        <w:t xml:space="preserve"> </w:t>
      </w:r>
      <w:r>
        <w:rPr>
          <w:rFonts w:ascii="Arial" w:cs="Arial" w:eastAsia="Arial" w:hAnsi="Arial"/>
          <w:sz w:val="17"/>
          <w:szCs w:val="17"/>
          <w:color w:val="auto"/>
        </w:rPr>
        <w:t>nutrition RTD category as measured by Nielsen household panel data for all outlets for the 52 week period ended July 27, 2019.</w:t>
      </w:r>
    </w:p>
    <w:p>
      <w:pPr>
        <w:spacing w:after="0" w:line="14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we believe it has been one of the few brands in the category that has successfully expanded across consumer types as well as product forms.</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the 52 week period ended August 3, 2019. In Nielsen tracked channels, our RTD protein shake sales have organically grown at a 56% CAGR from 2015 to 2019 based on Nielsen data for Total US xAOC including Convenience for the 52 week period ended August 15, 2015 and the comparable period in 2019, considerably outpacing the broader category.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growth has expanded the broader convenient nutrition category. For example,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drove 53% of convenient nutrition RTD category growth according to Nielsen data for Total US xAOC including Convenience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’s organic growth is fueled by our consumers’ loyalty to and love for the brand and its products, as new users are often introduced by their friends, families or health care providers.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’s product characteristics and category-leading consumer loyalty differentiate the brand from its RTD competitors.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Nielsen consumer metrics, we believe the brand’s RTD protein shakes outpace its competition in buy rate, purchase size, repeat rate and share of requirements. In addition, based on sales volumes from the last twelve months ended June 30, 2019, management estimates that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sold 17 RTD shakes per second. Despite these metrics, according to Nielsen household panel data for all outlets for the 52 week period ended July 27, 2019, the U.S. household penetration rate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of 5% remains well below the household penetration rate for liquids in the convenient nutrition category of 24%, which we believe underscores the brand’s significant runway for growth.</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Key Metric: Nielsen Household Panel, All Outlets, 52 week period ended 7/27/19</w:t>
            </w:r>
          </w:p>
        </w:tc>
        <w:tc>
          <w:tcPr>
            <w:tcW w:w="2220" w:type="dxa"/>
            <w:vAlign w:val="bottom"/>
          </w:tcPr>
          <w:p>
            <w:pPr>
              <w:jc w:val="right"/>
              <w:ind w:right="133"/>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1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rPr>
              <w:t>$ 67.2</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Size</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$ 23.2</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Repeat Rate</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Share of Requirements (Loyalty)</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portfolio consists of RTD protein shakes, refreshing protein beverages, nutrition bars and protein powders.</w:t>
      </w:r>
      <w:r>
        <w:rPr>
          <w:rFonts w:ascii="Arial" w:cs="Arial" w:eastAsia="Arial" w:hAnsi="Arial"/>
          <w:sz w:val="18"/>
          <w:szCs w:val="18"/>
          <w:i w:val="1"/>
          <w:iCs w:val="1"/>
          <w:color w:val="auto"/>
        </w:rPr>
        <w:t xml:space="preserve"> Premier Protein</w:t>
      </w:r>
      <w:r>
        <w:rPr>
          <w:rFonts w:ascii="Arial" w:cs="Arial" w:eastAsia="Arial" w:hAnsi="Arial"/>
          <w:sz w:val="18"/>
          <w:szCs w:val="18"/>
          <w:color w:val="auto"/>
        </w:rPr>
        <w:t>’s flagship 11 ounce RTD protein shakes contain 30 grams of protein with only one gram of sugar and 160 calories. They are gluten-and soy-free,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across age ranges in all four need states. </w:t>
      </w:r>
      <w:r>
        <w:rPr>
          <w:rFonts w:ascii="Arial" w:cs="Arial" w:eastAsia="Arial" w:hAnsi="Arial"/>
          <w:sz w:val="18"/>
          <w:szCs w:val="18"/>
          <w:i w:val="1"/>
          <w:iCs w:val="1"/>
          <w:color w:val="auto"/>
        </w:rPr>
        <w:t>Premier Protein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RTD shakes are available in a variety of flavors including chocolate, vanilla, cookies &amp; cream, caramel, bananas &amp; cream, strawberries &amp; cream and peaches &amp; cream. Two additional flavors will be introduced in the fall of 2019.</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has accelerated efforts to expand its portfolio of high protein products across new product forms. The brand recently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protein powders and refreshing protein beverages and launched a new nutrition bar line in fiscal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also expanded the portfolio in fiscal 2019 to deliver a new indulgent 20 gram nutrition bar with superior taste and texture to appeal to more mainstream consumers.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Internationally,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can be found in major Canadian retailers and recently has expanded its high protein offerings into Europe with five nutrition bars and two protein powders.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also is sold in the club channel in Mexico, Japan and Korea.</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still in the early stages of its expansion. We expect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Based on Nielsen data for Total US x AOC including Convenience for the 52 week period ended August 10,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maintain only a 5% share of shelf space within the convenient nutrition RTD category, but generate 16% of the sales. We believe these statistics demonstrate the opportunity for growth. We intend to innovate across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bringing new flavors and products to our loyal consumer base.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based on a survey powered by Qualtrics performed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The brand delivers nutrient dense products to fuel consumers with ambitious, athletic lifestyles.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internationally and has a notable presence in Western Europe. The brand also has recently expanded into eCommerce as well as the FDM channels to drive incremental scale. According to German Nielsen MarketTrack data for the grocery and drug channels,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#2 in the sports nutrition category as measured by unit sales and is the #2 energy bar brand in revenue for July 2018 to June 2019, organically growing at a CAGR of 9% from July 2017 to June 2019.</w:t>
      </w:r>
    </w:p>
    <w:p>
      <w:pPr>
        <w:spacing w:after="0" w:line="19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1180" w:right="26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designed for specific usage occasions for committed athletes;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1180" w:right="38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velocities, consumer insights and proven ability to grow their sales in the convenient nutrition category. In the 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4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leads the RTD category in consumer loyalty and repeat purchases (among RTD brands with sales greater than $2.0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enthusiastic fans who grow the brand through 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we believe delivers a differentiated offering of nutritional products.</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jc w:val="both"/>
        <w:ind w:left="1180" w:right="180" w:hanging="544"/>
        <w:spacing w:after="0" w:line="26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From July 2018 to August 2019, www.premierprotein.com had more than 1.4 million visitors according to Google Analytics.</w:t>
      </w:r>
    </w:p>
    <w:p>
      <w:pPr>
        <w:spacing w:after="0" w:line="81" w:lineRule="exact"/>
        <w:rPr>
          <w:rFonts w:ascii="Arial" w:cs="Arial" w:eastAsia="Arial" w:hAnsi="Arial"/>
          <w:sz w:val="18"/>
          <w:szCs w:val="18"/>
          <w:color w:val="auto"/>
        </w:rPr>
      </w:pPr>
    </w:p>
    <w:p>
      <w:pPr>
        <w:ind w:left="1180" w:right="120" w:hanging="544"/>
        <w:spacing w:after="0" w:line="282"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fastest growing social media channel. We leverage Instagram to connect with our fans and influencers,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news and offer giveaways.</w:t>
      </w:r>
    </w:p>
    <w:p>
      <w:pPr>
        <w:spacing w:after="0" w:line="67" w:lineRule="exact"/>
        <w:rPr>
          <w:rFonts w:ascii="Arial" w:cs="Arial" w:eastAsia="Arial" w:hAnsi="Arial"/>
          <w:sz w:val="18"/>
          <w:szCs w:val="18"/>
          <w:color w:val="auto"/>
        </w:rPr>
      </w:pPr>
    </w:p>
    <w:p>
      <w:pPr>
        <w:jc w:val="both"/>
        <w:ind w:left="1180" w:hanging="544"/>
        <w:spacing w:after="0" w:line="314" w:lineRule="auto"/>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Facebook is our highest reach social platform with approximately one million likes as of July 2019, which is the second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category. We also maintain a product rating of 4.6/5 stars, according to over 2,800 reviewers. Facebook is our primary social channel for sharing product news, posting motivational stories to accompany our fans on their fitness journey and answering consumer questions.</w:t>
      </w:r>
    </w:p>
    <w:p>
      <w:pPr>
        <w:spacing w:after="0" w:line="47" w:lineRule="exact"/>
        <w:rPr>
          <w:rFonts w:ascii="Arial" w:cs="Arial" w:eastAsia="Arial" w:hAnsi="Arial"/>
          <w:sz w:val="16"/>
          <w:szCs w:val="16"/>
          <w:color w:val="auto"/>
        </w:rPr>
      </w:pPr>
    </w:p>
    <w:p>
      <w:pPr>
        <w:ind w:left="1180" w:hanging="544"/>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440" w:hanging="544"/>
        <w:spacing w:after="0" w:line="282"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w:t>
      </w:r>
      <w:r>
        <w:rPr>
          <w:rFonts w:ascii="Arial" w:cs="Arial" w:eastAsia="Arial" w:hAnsi="Arial"/>
          <w:sz w:val="18"/>
          <w:szCs w:val="18"/>
          <w:b w:val="1"/>
          <w:bCs w:val="1"/>
          <w:color w:val="auto"/>
        </w:rPr>
        <w:t xml:space="preserve"> </w:t>
      </w:r>
      <w:r>
        <w:rPr>
          <w:rFonts w:ascii="Arial" w:cs="Arial" w:eastAsia="Arial" w:hAnsi="Arial"/>
          <w:sz w:val="18"/>
          <w:szCs w:val="18"/>
          <w:color w:val="auto"/>
        </w:rPr>
        <w:t>recipes on our Pinterest board to help incorporate protein into their diets.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2019, we estimate that our influencers’ social media channels delivered over 4.5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43 million impressions per month. As of July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1" w:lineRule="exact"/>
        <w:rPr>
          <w:sz w:val="20"/>
          <w:szCs w:val="20"/>
          <w:color w:val="auto"/>
        </w:rPr>
      </w:pPr>
    </w:p>
    <w:p>
      <w:pPr>
        <w:ind w:left="1180" w:right="780" w:hanging="544"/>
        <w:spacing w:after="0" w:line="313" w:lineRule="auto"/>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3" w:lineRule="exact"/>
        <w:rPr>
          <w:rFonts w:ascii="Arial" w:cs="Arial" w:eastAsia="Arial" w:hAnsi="Arial"/>
          <w:sz w:val="17"/>
          <w:szCs w:val="17"/>
          <w:color w:val="auto"/>
        </w:rPr>
      </w:pPr>
    </w:p>
    <w:p>
      <w:pPr>
        <w:ind w:left="1180" w:right="180" w:hanging="544"/>
        <w:spacing w:after="0" w:line="266"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July 2019, we had more than 200,000 Instagram followers, growing 35% over the prior year.</w:t>
      </w:r>
    </w:p>
    <w:p>
      <w:pPr>
        <w:spacing w:after="0" w:line="81" w:lineRule="exact"/>
        <w:rPr>
          <w:rFonts w:ascii="Arial" w:cs="Arial" w:eastAsia="Arial" w:hAnsi="Arial"/>
          <w:sz w:val="18"/>
          <w:szCs w:val="18"/>
          <w:color w:val="auto"/>
        </w:rPr>
      </w:pPr>
    </w:p>
    <w:p>
      <w:pPr>
        <w:ind w:left="1180" w:right="160" w:hanging="544"/>
        <w:spacing w:after="0" w:line="347" w:lineRule="auto"/>
        <w:tabs>
          <w:tab w:leader="none" w:pos="1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July 2019, we had more than 900,000 Facebook followers, growing 33% over the prior year.</w:t>
      </w:r>
    </w:p>
    <w:p>
      <w:pPr>
        <w:spacing w:after="0" w:line="21" w:lineRule="exact"/>
        <w:rPr>
          <w:rFonts w:ascii="Arial" w:cs="Arial" w:eastAsia="Arial" w:hAnsi="Arial"/>
          <w:sz w:val="16"/>
          <w:szCs w:val="16"/>
          <w:color w:val="auto"/>
        </w:rPr>
      </w:pPr>
    </w:p>
    <w:p>
      <w:pPr>
        <w:ind w:left="1180" w:hanging="54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ind w:left="200" w:right="26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2" w:lineRule="exact"/>
        <w:rPr>
          <w:sz w:val="20"/>
          <w:szCs w:val="20"/>
          <w:color w:val="auto"/>
        </w:rPr>
      </w:pPr>
    </w:p>
    <w:p>
      <w:pPr>
        <w:ind w:left="1180" w:right="20" w:hanging="544"/>
        <w:spacing w:after="0" w:line="26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1" w:lineRule="exact"/>
        <w:rPr>
          <w:rFonts w:ascii="Arial" w:cs="Arial" w:eastAsia="Arial" w:hAnsi="Arial"/>
          <w:sz w:val="18"/>
          <w:szCs w:val="18"/>
          <w:color w:val="auto"/>
        </w:rPr>
      </w:pPr>
    </w:p>
    <w:p>
      <w:pPr>
        <w:ind w:left="1180" w:right="60" w:hanging="544"/>
        <w:spacing w:after="0" w:line="26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For fiscal 2018, Instagram was our highest engagement and fastest-growing social media channel. We leverage Instagram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with our fans, athletes and influencers. We also use Instagram to share product news and event stories as well as to conduct raffles and lotteries to drive community engagement.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220" w:hanging="544"/>
        <w:spacing w:after="0" w:line="282"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answering consumer queries.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employ digital tools such as artificial intelligence and social listening to rapidly identify consumer insights and trending topics. These tools allow for the analysis of large volumes of data spread over various consumer digital platforms. We leverage the information obtained from these digital tools along with other extensive research to understand consumer trends and work in partnership with our customers to remain at the forefront of innovation.</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200" w:right="360" w:firstLine="441"/>
        <w:spacing w:after="0" w:line="314" w:lineRule="auto"/>
        <w:rPr>
          <w:sz w:val="20"/>
          <w:szCs w:val="20"/>
          <w:color w:val="auto"/>
        </w:rPr>
      </w:pPr>
      <w:r>
        <w:rPr>
          <w:rFonts w:ascii="Arial" w:cs="Arial" w:eastAsia="Arial" w:hAnsi="Arial"/>
          <w:sz w:val="16"/>
          <w:szCs w:val="16"/>
          <w:b w:val="1"/>
          <w:bCs w:val="1"/>
          <w:i w:val="1"/>
          <w:iCs w:val="1"/>
          <w:color w:val="auto"/>
        </w:rPr>
        <w:t>Sourcing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Raw materials used in our business consist of ingredients and packaging materials purchased from local, regional and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7"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products from our contract manufacturers, which include all packaging and ingredients used, for an agreed-upon tolling charge for each item produced as well other minor costs. We 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brands.</w:t>
      </w:r>
    </w:p>
    <w:p>
      <w:pPr>
        <w:spacing w:after="0" w:line="184"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 xml:space="preserve">Our largest contract manufacturer, Stremick’s Heritage Foods, LLC (“Stremick’s”), from three separate and geographically diverse manufacturing locations, provided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for the last twelve months ended June 30, 2019. Stremick’s and its affiliates have been the primary contract manufacturer for Premier Nutrition since 2010, and Stremick’s and Premier Nutrition currently operate under a manufacturing agreement dated July 1, 2017, as subsequently amended. Stremick’s manufactures and packages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Under the terms of the manufacturing agreement, Premier Nutrition is required to purchase a minimum annual order volume of RTD protein shakes and has the right (but not the obligation) to order quantities in excess of a monthly minimum amount (which is the minimum annual order volume divided by 12), provided Stremick’s has the capacity and the ability to produce such additional quantities. We have consistently exceeded our monthly minimum order amount under the manufacturing agreement. In addition, under the terms of the manufacturing agreement, Stremick’s has committed to produce an annual minimum volume of RTD protein shakes. The manufacturing agreement also contains detailed provisions regarding the product specifications and quality standards for the products to be manufactured and packaged by Stremick’s,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 This description is qualified by reference in its entirety to the full text of the manufacturing agreement, which we have filed as an exhibit to the registration statement of which this prospectus is a part.</w:t>
      </w:r>
    </w:p>
    <w:p>
      <w:pPr>
        <w:spacing w:after="0" w:line="172"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RTD protein shake production is complex and requires significant technical expertise. 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and OHSAS 18001 (Health and Safety).</w:t>
      </w:r>
    </w:p>
    <w:p>
      <w:pPr>
        <w:spacing w:after="0" w:line="193"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domestic sites maintain Global Food Safety Initiative certifications or equivalents thereof,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EBIT margins because of consumer spending patterns and timing of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Post will provide us space for our principal executive offices in St. Louis, Missouri pursuant to the master services agreement. Our other administrative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Worb,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200" w:right="400" w:firstLine="441"/>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3" w:lineRule="exact"/>
        <w:rPr>
          <w:sz w:val="20"/>
          <w:szCs w:val="20"/>
          <w:color w:val="auto"/>
        </w:rPr>
      </w:pPr>
    </w:p>
    <w:p>
      <w:pPr>
        <w:ind w:left="200" w:right="700" w:firstLine="441"/>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8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approximately 380 employees as of September 1, 2019. Of these employees, approximately 200 are in the U.S., approximately 170 are in Germany and approximately 10 are in other countries.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11 of “Notes to Combined Financial Statements” for the years ended September 30, 2018, 2017 and 2016 and Note 9 of “Notes to Condensed Combined Financial Statements” for the nine months ended June 30, 2019 and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based upon the information currently available, the ultimate liability arising from such compliance matters is not expected to be material to the combined financial position, results of operations or cash flows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80" w:right="100" w:hanging="544"/>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180" w:hanging="5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following sets forth, as of the date of this prospectus, information regarding individuals who are expected to serve as our executive officers and our directors at the time of this offering. Our current directors are certain executive officers of Post who, other than Robert V. Vitale, will not serve as directors of BellRing Brands, Inc. after completion of the formation transactions and this offering.</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President and Chief Executive Officer, Director Nominee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Cornille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47</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Senior Vice President, Marketing of Premier Nutrition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R. Lee Partin</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65</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Senior Vice President, Sales of Premier Nutrition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49</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Craig L. Rosenthal</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48</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Singh</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50</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Senior Vice President, Operations of Premier Nutrition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Thomas P. Erickson</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64</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Kuperman</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Elliot H. Stein, Jr.</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70</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Robert V. Vitale </w:t>
      </w:r>
      <w:r>
        <w:rPr>
          <w:rFonts w:ascii="Arial" w:cs="Arial" w:eastAsia="Arial" w:hAnsi="Arial"/>
          <w:sz w:val="16"/>
          <w:szCs w:val="16"/>
          <w:color w:val="auto"/>
        </w:rPr>
        <w:t>has served as our Executive Chairman since September 2019. Mr. Vitale has been the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6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has served as our President and Chief Executive Officer since September 2019 and will serve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upon completion of this offering. Ms. Davenport has served as President of Post’s Active Nutrition business since October 2017 and as President of Premier Nutrition, which will be a subsidiary of BellRing Brands, Inc. upon completion of the offering, since November 2016.</w:t>
      </w:r>
    </w:p>
    <w:p>
      <w:pPr>
        <w:ind w:left="200" w:right="20"/>
        <w:spacing w:after="0" w:line="270" w:lineRule="auto"/>
        <w:rPr>
          <w:sz w:val="20"/>
          <w:szCs w:val="20"/>
          <w:color w:val="auto"/>
        </w:rPr>
      </w:pPr>
      <w:r>
        <w:rPr>
          <w:rFonts w:ascii="Arial" w:cs="Arial" w:eastAsia="Arial" w:hAnsi="Arial"/>
          <w:sz w:val="17"/>
          <w:szCs w:val="17"/>
          <w:color w:val="auto"/>
        </w:rPr>
        <w:t>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 xml:space="preserve">Douglas J. Cornille </w:t>
      </w:r>
      <w:r>
        <w:rPr>
          <w:rFonts w:ascii="Arial" w:cs="Arial" w:eastAsia="Arial" w:hAnsi="Arial"/>
          <w:sz w:val="16"/>
          <w:szCs w:val="16"/>
          <w:color w:val="auto"/>
        </w:rPr>
        <w:t>has served as Senior Vice President, Marketing of Premier Nutrition, which will be a subsidiary of BellRing Brands, Inc. upon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offering,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at Rhodes College and attended Oxford University, St. John’s College. Mr. Cornille earned his MBA from Duke University—The Fuqua School of Business.</w:t>
      </w:r>
    </w:p>
    <w:p>
      <w:pPr>
        <w:spacing w:after="0" w:line="15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R. Lee Partin </w:t>
      </w:r>
      <w:r>
        <w:rPr>
          <w:rFonts w:ascii="Arial" w:cs="Arial" w:eastAsia="Arial" w:hAnsi="Arial"/>
          <w:sz w:val="18"/>
          <w:szCs w:val="18"/>
          <w:color w:val="auto"/>
        </w:rPr>
        <w:t>has served as Senior Vice President, Sales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University—School of Business.</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 xml:space="preserve">Paul A. Rode </w:t>
      </w:r>
      <w:r>
        <w:rPr>
          <w:rFonts w:ascii="Arial" w:cs="Arial" w:eastAsia="Arial" w:hAnsi="Arial"/>
          <w:sz w:val="16"/>
          <w:szCs w:val="16"/>
          <w:color w:val="auto"/>
        </w:rPr>
        <w:t>has served as our Chief Financial Officer since September 2019. Mr. Rode has served as Chief Financial Officer of Post’s Active</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business since May 2015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Craig L. Rosenthal </w:t>
      </w:r>
      <w:r>
        <w:rPr>
          <w:rFonts w:ascii="Arial" w:cs="Arial" w:eastAsia="Arial" w:hAnsi="Arial"/>
          <w:sz w:val="17"/>
          <w:szCs w:val="17"/>
          <w:color w:val="auto"/>
        </w:rPr>
        <w:t>has served as our Senior Vice President and General Counsel since August 2019. Prior to joining BellRing Brands, Inc., Mr.</w:t>
      </w:r>
      <w:r>
        <w:rPr>
          <w:rFonts w:ascii="Arial" w:cs="Arial" w:eastAsia="Arial" w:hAnsi="Arial"/>
          <w:sz w:val="17"/>
          <w:szCs w:val="17"/>
          <w:i w:val="1"/>
          <w:iCs w:val="1"/>
          <w:color w:val="auto"/>
        </w:rPr>
        <w:t xml:space="preserve"> </w:t>
      </w:r>
      <w:r>
        <w:rPr>
          <w:rFonts w:ascii="Arial" w:cs="Arial" w:eastAsia="Arial" w:hAnsi="Arial"/>
          <w:sz w:val="17"/>
          <w:szCs w:val="17"/>
          <w:color w:val="auto"/>
        </w:rPr>
        <w:t>Rosenthal was an attorney at Husch Blackwell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and Director, Senior Counsel and Assistant Secretary at Cequel Communications, LLC dba Suddenlink Communications from 2003 to 2005. Previously, Mr. Rosenthal was an attorney at Husch &amp; Eppenberger LLC (now Husch Blackwell LLP) from 1997 to 2003. Mr. Rosenthal earned his undergraduate degree from the University of Missouri and juris doctorate from Washington University School of Law.</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Robin Singh </w:t>
      </w:r>
      <w:r>
        <w:rPr>
          <w:rFonts w:ascii="Arial" w:cs="Arial" w:eastAsia="Arial" w:hAnsi="Arial"/>
          <w:sz w:val="18"/>
          <w:szCs w:val="18"/>
          <w:color w:val="auto"/>
        </w:rPr>
        <w:t>has served as Senior Vice President, Operations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2019. Prior to joining Premier Nutrition, Mr. Singh held various senior leadership positions at Mondelēz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Ontario—Richard Ivey School of Business and the University of Guelph, Ontario.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Thomas P. Erickson </w:t>
      </w:r>
      <w:r>
        <w:rPr>
          <w:rFonts w:ascii="Arial" w:cs="Arial" w:eastAsia="Arial" w:hAnsi="Arial"/>
          <w:sz w:val="16"/>
          <w:szCs w:val="16"/>
          <w:color w:val="auto"/>
        </w:rPr>
        <w:t>will serve as a member of our Board of Directors upon completion of this offering. Mr. Erickson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Thomas P. Erickson, CPA, LLC, a tax consulting firm, since May 2016 and is a retired tax partner from KPMG, where he worked from 1980 to September 2015. From September 2015 to May 2016, Mr. Erickson provided tax consulting services to various companies and individuals.</w:t>
      </w:r>
    </w:p>
    <w:p>
      <w:pPr>
        <w:ind w:left="200" w:right="40"/>
        <w:spacing w:after="0" w:line="254" w:lineRule="auto"/>
        <w:rPr>
          <w:sz w:val="20"/>
          <w:szCs w:val="20"/>
          <w:color w:val="auto"/>
        </w:rPr>
      </w:pPr>
      <w:r>
        <w:rPr>
          <w:rFonts w:ascii="Arial" w:cs="Arial" w:eastAsia="Arial" w:hAnsi="Arial"/>
          <w:sz w:val="18"/>
          <w:szCs w:val="18"/>
          <w:color w:val="auto"/>
        </w:rPr>
        <w:t>Mr. Erickson has over 40 years of public accounting experience and is an instructor of advanced partnership planning, taxable and nontaxable corporate transactions and formations and S corporation planning for KPMG. Mr. Erickson was selected to serve on our Board of Directors based on his expertise in tax matters and his understanding of finance and financial reporting processes. Mr. Erickson is a Certified Public Accountant and received his bachelor’s degree from the University of Missouri-St. Louis.</w:t>
      </w:r>
    </w:p>
    <w:p>
      <w:pPr>
        <w:spacing w:after="0" w:line="19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Jennifer Kuperman </w:t>
      </w:r>
      <w:r>
        <w:rPr>
          <w:rFonts w:ascii="Arial" w:cs="Arial" w:eastAsia="Arial" w:hAnsi="Arial"/>
          <w:sz w:val="17"/>
          <w:szCs w:val="17"/>
          <w:color w:val="auto"/>
        </w:rPr>
        <w:t>will serve as a member of our Board of Directors upon completion of this offering. Ms. Kuperman has been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corporate affairs at Alibaba Group Holding Limited, a multinational conglomerate holding company specializing in eCommerce, retail, internet and technology, since April 2016 and served as vice president, international corporate affairs at Alibaba Group Holding Limited from August 2014 to April 2016. Prior to joining Alibaba Group Holding 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also serves on the board of directors of CoachArt, a nonprofit organization that provides arts and recreational opportunities to youth with chronic and life-threatening illnesses. Ms. Kuperman was selected to serve on our Board of Directors based on her experience in significant leadership positions and her international experience. Ms. Kuperman received her undergraduate degree from Middlebury College and her master’s of arts degree in organizational psychology from Columbia University in the City of New York.</w:t>
      </w:r>
    </w:p>
    <w:p>
      <w:pPr>
        <w:spacing w:after="0" w:line="18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Elliot H. Stein, Jr. </w:t>
      </w:r>
      <w:r>
        <w:rPr>
          <w:rFonts w:ascii="Arial" w:cs="Arial" w:eastAsia="Arial" w:hAnsi="Arial"/>
          <w:sz w:val="16"/>
          <w:szCs w:val="16"/>
          <w:color w:val="auto"/>
        </w:rPr>
        <w:t>will serve as a member of our Board of Directors upon completion of this offering. Mr. Stein has been chairman of Acertas,</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 owned manufacturing company, Caryn Health Solutions LLC, a privately owned health services provider,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was selected to serve on our Board of Directors based on his experience in significant leadership positions, his understanding of financial and financial reporting processes and his experience as a director of other publicly traded companies. Mr. Stein is a Trustee of Claremont Graduate University and The New School University. He is a member of the Council on Foreign Relations. Mr. Stein received his bachelor’s degree from Claremont McKenna College.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5580" w:right="3200" w:hanging="4944"/>
        <w:spacing w:after="0" w:line="449" w:lineRule="auto"/>
        <w:tabs>
          <w:tab w:leader="none" w:pos="11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 125</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Ms. Davenport and Mr. Stein will serve as Class I directors, Mr. Erickson and Ms. Kuperman will serve as Class II directors and Mr. Vitale will serve as a Class III director.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Upon the completion of this offering, our Board of Directors will be set at five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15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Post has designated Ms. Davenport, Mr. Erickson and Mr. Vitale as its nominees under the investor rights agreement that we will enter into with Post as part of the formation transactions and this offering, with Ms. Davenport to serve as a Class I director, Mr. Erickson to serve as a Class II director and Mr. Vitale to serve as a Class III director. If a vacancy is created on our Board of Directors as a result of the death, disability, retirement, resignation or removal of a director who is a Post nominee, Post will have the right to designate such person’s replacement. Please refer to “Certain Relationships and Related Party Transactions—Post-Offering Relationship with Post—Investor Rights Agreement.”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our Board of Directors will consist of a majority of independent directors upon the completion of this offering. Upon the completion of this offering, we expect that three of the five members of our Board of Directors will qualify as “independent” under the NYSE corporate governance standards. Our Board of Directors has determined as of the date of this prospectus that each of Mr. Erickson, Ms. Kuperman and Mr. Stein is an independent director as defined under the NYSE corporate governance standards.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Board of Directors will establish standing committees in connection with the discharge of its responsibilities. Upon the completion of this offering, these committees will include an Audit Committee, a Corporate Governance and Compensation Committee and an Executive Committee. Our Board of Directors also may establish such other committees as it deems appropriate, in accordance with applicable law and regulations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60"/>
          </w:cols>
          <w:pgMar w:left="24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and our corporate governance documents. Under the investor rights agreement, Post has the right to designate the members of each committee until the votes that may be cast by Post under our amended and restated certificate of incorporation are less than 25% of the total voting power of all of our shares of common stock. Please refer to “Certain Relationships and Related Party Transactions—Post-Offering Relationship with Post—Investor Rights Agreement.”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8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Upon the completion of this offering, we expect that all of the members of our Corporate Governance and Compensation Committee will be “independent” as defined under the NYSE corporate governance standards.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Our Executive Committee will function pursuant to a written charter adopted by our Board of Directors. Our Executive Committee will be able to exercise all authority of the Board of Directors in the intervals between meetings of the Board of Directors, to the extent such authority is in compliance with our corporate governance guidelines and does not infringe upon the duties and responsibilities of other Board of Directors committees.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Upon the completion of this offering, our Board of Directors will adopt a code of conduct that applies to all of our directors, officers and employees, including any persons serving as a principal executive officer, principal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financial officer, principal accounting officer and controller and persons performing similar functions. Upon completion of this offering, the full text of the code of conduct will be available on our website located at www.bellring.com. We intend to disclose any amendments to or waivers from a provision of our code of conduct that applies to our executive officers on our website.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89"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None of our current directors has received compensation for his or her service as our director. After the completion of this offering, we expect that our Board of Directors will adopt a compensation program for our non-management directors with the following compensation elements.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All of our non-management directors will receive an annual cash retainer of $55,000. The chairperson of each of our Audit Committee and Corporate Governance and Compensation Committee will each receive an additional annual cash retainer of $10,000. The independent lead director of our Board will receive an additional annual retainer of $10,000.</w:t>
      </w:r>
    </w:p>
    <w:p>
      <w:pPr>
        <w:spacing w:after="0" w:line="18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In addition to cash compensation, each non-management director also will receive an annual grant of restricted stock units (“RSUs”) valued at approximately $100,000 on the date of grant. These RSUs will fully vest on the first anniversary of the date of grant. In addition, all awards will fully vest at the director’s retirement, disability or death.</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also will pay the premium on directors’ and officers’ liability and travel accident insurance policies insuring directors. We will reimburse directors for all reasonable expenses incurred in connection with attending Board meetings.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6"/>
          <w:szCs w:val="16"/>
          <w:color w:val="auto"/>
        </w:rPr>
        <w:t>We expect that our Board of Directors will adopt a deferred compensation plan for our directors, pursuant to which any eligible director may elect to defer, with certain limitations, his or her retainer. Under the plan, we expect that deferred compensation could be notionally invested in BellRing Brands, Inc. Class A common stock equivalents or in a number of mutual funds operated by an investment manager and recordkeeper with a variety of investment strategies and objectives. Deferrals in BellRing Brands, Inc. Class A common stock equivalents would receive a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Company matching contribution, also credited in BellRing Brands, Inc. Class A common stock equivalents. Matching contributions would be 100% vested when made. Subject to stockholder approval, deferrals credited in Class A common stock equivalents and matching contributions generally would be paid in shares. Deferrals notionally invested in mutual funds would be paid in cash. Payments generally would be made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when a person leaves the Board of Directors, in one of three ways: (1) lump sum payout; (2) five-year installments or (3) ten-year installments.</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that directors who also are full-time officers or employees of BellRing Brands, Inc. or Post will receive no additional compensation for serving as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60"/>
          </w:cols>
          <w:pgMar w:left="24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sections set forth certain information about compensation paid to our named executive officers or “NEOs.” Robert V. Vitale, our Executive Chairman, and Darcy Horn Davenport, our President and Chief Executive Officer, each served as principal executive officers of the Company in fiscal 2019 and fiscal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2019, fiscal 2018 and, where required, fiscal 2017 by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520" w:type="dxa"/>
            <w:vAlign w:val="bottom"/>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15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2019</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Executive Chairman</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300" w:type="dxa"/>
            <w:vAlign w:val="bottom"/>
            <w:gridSpan w:val="3"/>
          </w:tcPr>
          <w:p>
            <w:pPr>
              <w:spacing w:after="0"/>
              <w:rPr>
                <w:sz w:val="20"/>
                <w:szCs w:val="20"/>
                <w:color w:val="auto"/>
              </w:rPr>
            </w:pPr>
            <w:r>
              <w:rPr>
                <w:rFonts w:ascii="Arial" w:cs="Arial" w:eastAsia="Arial" w:hAnsi="Arial"/>
                <w:sz w:val="14"/>
                <w:szCs w:val="14"/>
                <w:color w:val="auto"/>
              </w:rPr>
              <w:t>Darcy Horn Davenport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517,500</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1,732,163</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417,340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37,156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17,514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2,721,673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gridSpan w:val="2"/>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477,292</w:t>
            </w:r>
          </w:p>
        </w:tc>
        <w:tc>
          <w:tcPr>
            <w:tcW w:w="2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296,371</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13,218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65,378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1,853,969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8"/>
              </w:rPr>
              <w:t>288,923</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700,897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651</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14,329</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1,004,800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SVP, Marketing</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234,649</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142,631</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24,077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00" w:type="dxa"/>
            <w:vAlign w:val="bottom"/>
            <w:gridSpan w:val="3"/>
          </w:tcPr>
          <w:p>
            <w:pPr>
              <w:spacing w:after="0"/>
              <w:rPr>
                <w:sz w:val="20"/>
                <w:szCs w:val="20"/>
                <w:color w:val="auto"/>
              </w:rPr>
            </w:pPr>
            <w:r>
              <w:rPr>
                <w:rFonts w:ascii="Arial" w:cs="Arial" w:eastAsia="Arial" w:hAnsi="Arial"/>
                <w:sz w:val="14"/>
                <w:szCs w:val="14"/>
                <w:color w:val="auto"/>
              </w:rPr>
              <w:t>Paul A. Rode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314,561</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803,920</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8,106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15,231</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1,141,818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280,456</w:t>
            </w:r>
          </w:p>
        </w:tc>
        <w:tc>
          <w:tcPr>
            <w:tcW w:w="2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176,531</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160,390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5,376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27,988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650,741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640" w:right="160" w:hanging="436"/>
        <w:spacing w:after="0" w:line="227"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2018 and fiscal 2017 compensation is fully disclosed in Post’s filings with the SEC, and his fiscal 2019 compensation will be fully disclosed in Post’s filings with the SEC.</w:t>
      </w:r>
    </w:p>
    <w:p>
      <w:pPr>
        <w:ind w:left="640" w:right="80" w:hanging="436"/>
        <w:spacing w:after="0" w:line="221"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Fiscal 2019 stock awards aggregate grant date fair values exclude forfeitures. For fiscal 2018 stock awards, see Note 12 to Post’s Active Nutrition business’s fiscal 2018 financial statements included herein for a discussion of the determination of these amounts under FASB ASC Topic 718.</w:t>
      </w:r>
    </w:p>
    <w:p>
      <w:pPr>
        <w:spacing w:after="0" w:line="1" w:lineRule="exact"/>
        <w:rPr>
          <w:rFonts w:ascii="Arial" w:cs="Arial" w:eastAsia="Arial" w:hAnsi="Arial"/>
          <w:sz w:val="14"/>
          <w:szCs w:val="14"/>
          <w:color w:val="auto"/>
        </w:rPr>
      </w:pPr>
    </w:p>
    <w:p>
      <w:pPr>
        <w:ind w:left="640" w:right="40" w:hanging="436"/>
        <w:spacing w:after="0" w:line="229"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2019 are summarized in the table below. For fiscal 2018 stock option awards, see Note 12 to Post’s Active Nutrition business’s fiscal 2018 financial statements included herein for a discussion of the determination of these amounts under FASB ASC Topic 718.</w:t>
      </w:r>
    </w:p>
    <w:p>
      <w:pPr>
        <w:spacing w:after="0" w:line="207"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Expected term (in years)</w:t>
            </w:r>
          </w:p>
        </w:tc>
        <w:tc>
          <w:tcPr>
            <w:tcW w:w="26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stock price volatility</w:t>
            </w:r>
          </w:p>
        </w:tc>
        <w:tc>
          <w:tcPr>
            <w:tcW w:w="3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29.73%</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3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w:t>
            </w: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dividends</w:t>
            </w:r>
          </w:p>
        </w:tc>
        <w:tc>
          <w:tcPr>
            <w:tcW w:w="3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(per option)</w:t>
            </w:r>
          </w:p>
        </w:tc>
        <w:tc>
          <w:tcPr>
            <w:tcW w:w="3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$33.82</w:t>
            </w:r>
          </w:p>
        </w:tc>
        <w:tc>
          <w:tcPr>
            <w:tcW w:w="160" w:type="dxa"/>
            <w:vAlign w:val="bottom"/>
            <w:shd w:val="clear" w:color="auto" w:fill="CCEEFF"/>
          </w:tcPr>
          <w:p>
            <w:pPr>
              <w:spacing w:after="0"/>
              <w:rPr>
                <w:sz w:val="12"/>
                <w:szCs w:val="12"/>
                <w:color w:val="auto"/>
              </w:rPr>
            </w:pPr>
          </w:p>
        </w:tc>
      </w:tr>
    </w:tbl>
    <w:p>
      <w:pPr>
        <w:spacing w:after="0" w:line="224" w:lineRule="exact"/>
        <w:rPr>
          <w:sz w:val="20"/>
          <w:szCs w:val="20"/>
          <w:color w:val="auto"/>
        </w:rPr>
      </w:pPr>
    </w:p>
    <w:p>
      <w:pPr>
        <w:ind w:left="640" w:right="80" w:hanging="436"/>
        <w:spacing w:after="0" w:line="253"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fiscal 2018 under the Post Holdings, Inc. Annual Bonus Program, discussed below. Bonuses for fiscal 2019 have not yet been determined and we expect that they will be determined in the first fiscal quarter of 2020.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80" w:hanging="436"/>
        <w:spacing w:after="0" w:line="253"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As described above in “Management—Compensation Committee Interlocks and Insider Participation,” the fiscal 2019 and fiscal 2018 compensation of our named executive officers (other than Mr. Vitale) was determined by Mr. Vitale or Ms. Davenport. We anticipate that Mr. Vitale and Ms. Davenport will continue to establish and manage the compensation of our named executive officers (other than Mr. Vitale) until the completion of this offering. After the completion of this offering, our executive compensation programs will be designed and implemented by our Board of Directors, through our 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ind w:left="200" w:right="260"/>
        <w:spacing w:after="0" w:line="261" w:lineRule="auto"/>
        <w:rPr>
          <w:sz w:val="20"/>
          <w:szCs w:val="20"/>
          <w:color w:val="auto"/>
        </w:rPr>
      </w:pPr>
      <w:r>
        <w:rPr>
          <w:rFonts w:ascii="Arial" w:cs="Arial" w:eastAsia="Arial" w:hAnsi="Arial"/>
          <w:sz w:val="18"/>
          <w:szCs w:val="18"/>
          <w:color w:val="auto"/>
        </w:rPr>
        <w:t>Mr. Vitale’s fiscal 2018 and fiscal 2017 compensation and the benefit plans in which he participates are fully disclosed in Post’s filings with the SEC, and his fiscal 2019 compensation will be fully disclosed in Post’s filings with the SEC.</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Base salaries are designed to recognize and reward the skill, competency, experience and performance a named executive officer brings to the position. The total base salaries earned by our named executive officers in fiscal 2019 and fiscal 2018 are disclosed in the Summary Compensation Table above.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Incentive Plan Compensation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fiscal 2019 and fiscal 2018, each of our named executive officers participated in the Post Holdings, Inc. Annual Bonus Program, an annual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2019 and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In each of fiscal 2019 and fiscal 2018, Ms. Davenport’s target bonus amount was 100% of her base salary, Mr. Cornille’s target bonus was 50% of his base salary and Mr. Rode’s target bonus amount was 50% of his base salary. Final bonus amounts are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 The bonus earned by each named executive officer for fiscal 2019 has not yet been determined as of the date of this prospectus, and we expect that such bonus amounts will be determined in the first fiscal quarter of 2020.</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Equity awards for our named executive officers were awarded under the Post Holdings, Inc. 2012 Long-Term Incentive Plan (the “Post 2012 LTIP”), the Post Holdings, Inc. 2016 Long-Term Incentive Plan (the “Post 2016 LTIP”) and the Post Holdings, Inc. 2019 Long-Term Incentive Plan (the “Post 2019 LTIP” and, together with the Post 2012 LTIP and the Post 2016 LTIP, the “Post LTIPs”). Awards made to named executive officers consisted of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7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adopted our own equity incentive compensation plan for the benefit of our eligible employees in connection with the offering, as described more fully below under “—BellRing Brands, Inc. 2019 Long-Term Incentive Plan.”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2019 and fiscal 2018.</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2019 or fiscal 2018.</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salaries to be paid at a future date. In addition, Post has the ability to provide a discretionary employer contribution at the times and in the amounts designated by Post, which, if made, vest at 25% for each year of service. Eligible employees may defer between 1% and 75% of their base salaries.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Post maintains the Post Savings Investment Plan (the “Post 401(k) Plan”), which is a defined contribution savings plan for all eligible employees of the Company, including each of our named executive officers. The Post 401(k) Plan is subject to certain provisions of the Employee Retirement Income Security Act of 1974, as amended (“ERISA”), and the Code. The Post 401(k) Plan is designed to meet ERISA’s reporting and disclosure and fiduciary requirements, as well as to meet the minimum standards for participation and vesting. The Post 401(k) Plan also is intended to qualify as a cash or deferred profit sharing plan under Section 401(k) of the Code, is intended to be qualified under Section 401(a) of the Code and is the subject of a favorable determination letter from the IRS.</w:t>
      </w:r>
    </w:p>
    <w:p>
      <w:pPr>
        <w:spacing w:after="0" w:line="19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Under the Post 401(k) Plan, our named executive officers may make pre-tax and Roth contributions of their eligible compensation, which are credited with a dollar-for-dollar employer matching contribution of up to 6% of eligible compensation deferred. Matching contributions made through December 31, 2017 vest at 20% for each year of service. Effective January 1, 2018, the Post 401(k) Plan was amended to provide that matching contributions made on or after January 1, 2018 are vested when made. Our named executive officers may select from a variety of investment funds, including the Post Common Stock Fund. The matching contributions made by Post under the Post 401(k) Plan for our named executive officers for fiscal 2019 were as follows: Ms. Davenport, $16,800; Mr. Cornille, $13,726; and Mr. Rode, $14,558. No discretionary contributions were made by Post under the Executive Savings Investment Plan for our named executive officers for fiscal 2019. The matching contributions made by Post under the Post 401(k) Plan for our named executive officers, as well as the discretionary contributions made by Post under the Executive Savings Investment Plan for our named executive officers, for fiscal 2018 were as follows: Ms. Davenport, $64,664; Mr. Cornille, $23,603; and Mr. Rode, $27,379. Such amounts are included in the “All Other Compensation” column in the Summary Compensation Table above.</w:t>
      </w:r>
    </w:p>
    <w:p>
      <w:pPr>
        <w:spacing w:after="0" w:line="16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intend to adopt our own 401(k) plan in connection with the contemplated transactions, and expect it will be substantially similar to the Post 401(k) Plan.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September 30, 2019</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0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or Units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Stock</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Have</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Stock That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2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(13)</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(13)</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2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640" w:type="dxa"/>
            <w:vAlign w:val="bottom"/>
            <w:gridSpan w:val="2"/>
          </w:tcPr>
          <w:p>
            <w:pPr>
              <w:jc w:val="center"/>
              <w:ind w:left="28"/>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78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8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36"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62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16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6,666</w:t>
            </w:r>
            <w:r>
              <w:rPr>
                <w:rFonts w:ascii="Arial" w:cs="Arial" w:eastAsia="Arial" w:hAnsi="Arial"/>
                <w:sz w:val="12"/>
                <w:szCs w:val="12"/>
                <w:color w:val="auto"/>
              </w:rPr>
              <w:t>(2)</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3,334</w:t>
            </w:r>
          </w:p>
        </w:tc>
        <w:tc>
          <w:tcPr>
            <w:tcW w:w="240" w:type="dxa"/>
            <w:vAlign w:val="bottom"/>
          </w:tcPr>
          <w:p>
            <w:pPr>
              <w:spacing w:after="0"/>
              <w:rPr>
                <w:sz w:val="11"/>
                <w:szCs w:val="11"/>
                <w:color w:val="auto"/>
              </w:rPr>
            </w:pPr>
          </w:p>
        </w:tc>
        <w:tc>
          <w:tcPr>
            <w:tcW w:w="6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71.32</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11/14/2026</w:t>
            </w:r>
          </w:p>
        </w:tc>
        <w:tc>
          <w:tcPr>
            <w:tcW w:w="118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2,000</w:t>
            </w:r>
            <w:r>
              <w:rPr>
                <w:rFonts w:ascii="Arial" w:cs="Arial" w:eastAsia="Arial" w:hAnsi="Arial"/>
                <w:sz w:val="12"/>
                <w:szCs w:val="12"/>
                <w:color w:val="auto"/>
              </w:rPr>
              <w:t>(5)</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211,680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5,325</w:t>
            </w:r>
            <w:r>
              <w:rPr>
                <w:rFonts w:ascii="Arial" w:cs="Arial" w:eastAsia="Arial" w:hAnsi="Arial"/>
                <w:sz w:val="12"/>
                <w:szCs w:val="12"/>
                <w:color w:val="auto"/>
              </w:rPr>
              <w:t>(3)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10,650</w:t>
            </w:r>
          </w:p>
        </w:tc>
        <w:tc>
          <w:tcPr>
            <w:tcW w:w="2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12/01/2027</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2,485</w:t>
            </w:r>
            <w:r>
              <w:rPr>
                <w:rFonts w:ascii="Arial" w:cs="Arial" w:eastAsia="Arial" w:hAnsi="Arial"/>
                <w:sz w:val="12"/>
                <w:szCs w:val="12"/>
                <w:color w:val="auto"/>
              </w:rPr>
              <w:t>(6)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263,012</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12,339</w:t>
            </w:r>
            <w:r>
              <w:rPr>
                <w:rFonts w:ascii="Arial" w:cs="Arial" w:eastAsia="Arial" w:hAnsi="Arial"/>
                <w:sz w:val="12"/>
                <w:szCs w:val="12"/>
                <w:color w:val="auto"/>
              </w:rPr>
              <w:t>(4)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92.08</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11/13/2028</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4,319</w:t>
            </w:r>
            <w:r>
              <w:rPr>
                <w:rFonts w:ascii="Arial" w:cs="Arial" w:eastAsia="Arial" w:hAnsi="Arial"/>
                <w:sz w:val="12"/>
                <w:szCs w:val="12"/>
                <w:color w:val="auto"/>
              </w:rPr>
              <w:t>(7)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457,123</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11,992</w:t>
            </w:r>
            <w:r>
              <w:rPr>
                <w:rFonts w:ascii="Arial" w:cs="Arial" w:eastAsia="Arial" w:hAnsi="Arial"/>
                <w:sz w:val="12"/>
                <w:szCs w:val="12"/>
                <w:color w:val="auto"/>
              </w:rPr>
              <w:t>(8)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1,269,233</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588</w:t>
            </w:r>
            <w:r>
              <w:rPr>
                <w:rFonts w:ascii="Arial" w:cs="Arial" w:eastAsia="Arial" w:hAnsi="Arial"/>
                <w:sz w:val="12"/>
                <w:szCs w:val="12"/>
                <w:color w:val="auto"/>
              </w:rPr>
              <w:t>(9)</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62,234</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1,204</w:t>
            </w:r>
            <w:r>
              <w:rPr>
                <w:rFonts w:ascii="Arial" w:cs="Arial" w:eastAsia="Arial" w:hAnsi="Arial"/>
                <w:sz w:val="12"/>
                <w:szCs w:val="12"/>
                <w:color w:val="auto"/>
              </w:rPr>
              <w:t>(10)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127,431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1,727</w:t>
            </w:r>
            <w:r>
              <w:rPr>
                <w:rFonts w:ascii="Arial" w:cs="Arial" w:eastAsia="Arial" w:hAnsi="Arial"/>
                <w:sz w:val="12"/>
                <w:szCs w:val="12"/>
                <w:color w:val="auto"/>
              </w:rPr>
              <w:t>(11)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182,786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4,797</w:t>
            </w:r>
            <w:r>
              <w:rPr>
                <w:rFonts w:ascii="Arial" w:cs="Arial" w:eastAsia="Arial" w:hAnsi="Arial"/>
                <w:sz w:val="12"/>
                <w:szCs w:val="12"/>
                <w:color w:val="auto"/>
              </w:rPr>
              <w:t>(8)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507,714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Paul A. Rode</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(12)</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529,200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742</w:t>
            </w:r>
            <w:r>
              <w:rPr>
                <w:rFonts w:ascii="Arial" w:cs="Arial" w:eastAsia="Arial" w:hAnsi="Arial"/>
                <w:sz w:val="12"/>
                <w:szCs w:val="12"/>
                <w:color w:val="auto"/>
              </w:rPr>
              <w:t>(9)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78,533</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1,490</w:t>
            </w:r>
            <w:r>
              <w:rPr>
                <w:rFonts w:ascii="Arial" w:cs="Arial" w:eastAsia="Arial" w:hAnsi="Arial"/>
                <w:sz w:val="12"/>
                <w:szCs w:val="12"/>
                <w:color w:val="auto"/>
              </w:rPr>
              <w:t>(10)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157,702</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1,943</w:t>
            </w:r>
            <w:r>
              <w:rPr>
                <w:rFonts w:ascii="Arial" w:cs="Arial" w:eastAsia="Arial" w:hAnsi="Arial"/>
                <w:sz w:val="12"/>
                <w:szCs w:val="12"/>
                <w:color w:val="auto"/>
              </w:rPr>
              <w:t>(11)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205,647</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5,535</w:t>
            </w:r>
            <w:r>
              <w:rPr>
                <w:rFonts w:ascii="Arial" w:cs="Arial" w:eastAsia="Arial" w:hAnsi="Arial"/>
                <w:sz w:val="12"/>
                <w:szCs w:val="12"/>
                <w:color w:val="auto"/>
              </w:rPr>
              <w:t>(8)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585,824</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640" w:right="100" w:hanging="436"/>
        <w:spacing w:after="0" w:line="230"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13, 2019, 2020 and 2021.</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13, 2019, 2020 and 2021. The RSUs will be paid in shares of Post’s common stock within sixty days from each of the applicable vesting dates.</w:t>
      </w:r>
    </w:p>
    <w:p>
      <w:pPr>
        <w:ind w:left="640" w:right="6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April 22, 2020, 2021 and 2022.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30, 2019, 2020 and 2021. The RSUs will be paid in shares of Post’s common stock within sixty days from each of the applicable vesting dates.</w:t>
      </w:r>
    </w:p>
    <w:p>
      <w:pPr>
        <w:ind w:left="640" w:right="20" w:hanging="436"/>
        <w:spacing w:after="0" w:line="238" w:lineRule="auto"/>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640" w:hanging="436"/>
        <w:spacing w:after="0"/>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Post’s closing stock price of $105.84 on September 30, 2019, the last trading day of fiscal 2019.</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fiscal 2019, in the event of an involuntary termination of employment (whether in connection with a change in control of the Company or not), Ms. Davenport was eligible for compensation and benefits under the Post Holdings, Inc. Executive Severance Plan (the “Executive Severance Plan”), Mr. Cornille and Mr. Rode were each eligible for compensation and benefits under the Post Holdings, Inc. Severance Plan for Salary Grade 16 and Above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2019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We anticipate that our named executive officers who are currently eligible for the Salary Grade 16 Plan will no longer be eligible for severance under that plan, and that the Company will implement its own severance plan, following the consummation of the contemplated transactions.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fiscal 2019,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1180" w:right="320" w:hanging="544"/>
        <w:spacing w:after="0" w:line="308" w:lineRule="auto"/>
        <w:tabs>
          <w:tab w:leader="none" w:pos="11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1180" w:right="40" w:hanging="544"/>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200" w:firstLine="4"/>
        <w:spacing w:after="0" w:line="323" w:lineRule="auto"/>
        <w:tabs>
          <w:tab w:leader="none" w:pos="4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In fiscal 2019, under the Salary Grade 16 Plan, each of Mr. Cornille and Mr. Rode was eligible for severance benefits in the event of an involuntary termination without “cause.” The payment of benefits under the Salary Grade 16 Plan is conditioned upon Mr. Cornille or Mr. Rode, as applicable, executing a general release of claims that includes confidentiality and cooperation provisions, among other provisions.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1180" w:right="440" w:hanging="544"/>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Salary Grade 16 Plan also provides that each of Mr. Cornille and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Equity awards in respect of Post common stock granted to our named executive officers under the Post 2012 LTIP, the Post 2016 LTIP and the Post 2019 LTIP are subject to special provisions in the event of certain involuntary terminations and/or a change in control (as defined under the applicable award agreement) as described herein. The agreements governing all of our named executive officers’ NQSOs and RSUs issued under</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Post 2016 LTIP and the Post 2019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1180" w:right="80" w:hanging="544"/>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the Post 2012 LTIP, the Post 2016 LTIP and the Post 2019 LTIP vest in whole or in part upon a termination because of death or disability.</w:t>
      </w:r>
    </w:p>
    <w:p>
      <w:pPr>
        <w:spacing w:after="0" w:line="75" w:lineRule="exact"/>
        <w:rPr>
          <w:rFonts w:ascii="Arial" w:cs="Arial" w:eastAsia="Arial" w:hAnsi="Arial"/>
          <w:sz w:val="18"/>
          <w:szCs w:val="18"/>
          <w:color w:val="auto"/>
        </w:rPr>
      </w:pPr>
    </w:p>
    <w:p>
      <w:pPr>
        <w:jc w:val="both"/>
        <w:ind w:left="1180" w:right="100" w:hanging="544"/>
        <w:spacing w:after="0" w:line="302"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Under an RSU award made to Mr. Rode on June 17, 2014 under the Post 2012 LTIP and which is scheduled to be fully vested on July 17, 2024, if Mr. Rode’s employment had been terminated by the Company or another Post affiliate without cause in fiscal 2019, any unvested RSUs would have become vested. This accelerated vesting provision also would apply if Mr. Rode’s employment with the Company or a subsidiary of the Company had terminated as a result of the sale of the Company or a subsidiary of the Company.</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Vested stock options granted under the Post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in the months following completion of the offering.</w:t>
      </w:r>
    </w:p>
    <w:p>
      <w:pPr>
        <w:spacing w:after="0" w:line="18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Board of Directors and our sole stockholder, Post, approved the 2019 LTIP, which permits us to grant equity, equity-based and cash-based incentive awards to our employees, directors, managers, consultants and advisors. We do not expect to make any awards pursuant to the 2019 LTIP prior to the completion of this offering. The following is a summary of the material terms of the 2019 LTIP. This summary is qualified in its entirety by reference to the 2019 LTIP attached as an exhibit to the registration statement, of which this prospectus is a part. For purposes of this description of the 2019 LTIP, the term “non-employee director” is defined as provided in Rule 16b-3 of the Exchange Act.</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purpose of the 2019 LTIP is to attract, retain and motivate participants by offering such individuals opportunities to realize stock price appreciation, by facilitating stock ownership and/or by rewarding them for achieving a high level of performance.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Corporate Governance and Compensation Committee of the Board of Directors or another committee designated by our Board of Directors (the “Committee”) will administer the 2019 LTIP and grant awards under the 2019 LTIP. Subject to the terms of the 2019 LTIP, the Committee’s charter and applicable laws, the Committee or its delegate, or the full Board of Directors, will have the authority to interpret and administer the 2019 LTIP, make awards thereunder and prescribe the terms and conditions thereof.</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our service providers, including any of our employees, directors, managers, consultants or advisors, are eligible to participate in the 2019 LTIP at the discretion of the Committee (or the Board of Directors, as the case may be).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Committee has the discretion to award stock options (both nonqualified and incentive stock options),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(“SARs”), performance shares, restricted stock, RSUs and other stock-based and cash-based awards. Each award will be evidenced by an agreement, certificate or other instrument or document setting forth the terms and conditions of the award, including any applicable performance criteria and period, service based or other vesting criteria or conditions on the award, and events of forfeiture. The term of the award for participants located in the U.S. will not exceed ten years. All awards will be non-transferable unless the Company permits the recipient to transfer an award not for value. No award may be exercised for a fraction of a share of Class A common stock. The exercise price applicable to stock options and stock appreciation rights will equal or exceed the fair market value of a share of our Class A common stock on the date of grant. The exercise price and/or any applicable withholding taxes with respect to any award, if the Committee so permits and upon such terms as the Committee approves, may be satisfied (a) in cash or certified bank check, (b) through delivery or tender to the Company of shares held, either actually or by attestation, by the recipient, (c) through a net or cashless form of settlement or (d) through a combination of (a), (b) and/or (c). Further, the Committee may, in its discretion, approve other methods or forms of payment and establish rules and procedures therefor. Recipients holding awards other than shares of restricted stock or RSUs will generally have no dividend or dividend-equivalent rights with respect to the shares of Class A common stock underlying the awards, and except as otherwise determined by the Committee, dividends or dividend equivalents provided for with respect to awards of restricted stock or RSUs will generally be subject to the same restrictions and conditions as the award generally and shall be payable only if and no earlier than at the same time as the underlying restricted stock or RSUs become vested.</w:t>
      </w:r>
    </w:p>
    <w:p>
      <w:pPr>
        <w:spacing w:after="0" w:line="18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The Committee may provide, in its discretion, that an award granted to a recipient is subject to the achievement of performance criteria, which shall be established by the Committee relating to one or more business criteria. Performance criteria may be applied to BellRing Brands, Inc., an affiliate, a parent, subsidiary, division, business unit or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color w:val="auto"/>
        </w:rPr>
        <w:t>share, operating income, total shareholder return, compound shareholder return, market share, return on equity, average return on invested capital, pre-tax and pre-interest expense return on average invested capital, which may be expressed on a current value basis, or sales growth, marketing, operating or workplan goals.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With respect to incentive stock options, a recipient may not hold incentive stock options with a fair market value in excess of $100,000 in the year in which they are first exercisable, if this limitation is necessary to qualify the option as an incentive stock option. If, upon the grant of an incentive stock option, the recipient possesses more than 10% of the total combined voting power of all of the classes of stock of the Company, the option price for the incentive stock option will be at least 110% of the fair market value of the shares of Class A common stock subject to the option on the grant date, and the option will expire five years after the grant date. Incentive stock options may only be granted to employees of the Company. The Company has no liability to any recipient or other person if an option designated as an incentive stock option fails to qualify as such.</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Accelerated Vesting; Change in Control</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Each award will vest in whole or in part on terms provided in the award agreement. The 2019 LTIP provides that an award may permit acceleration of vesting requirements and acceleration of the expiration of the applicable term upon such terms and conditions as shall be set forth in the award. The 2019 LTIP provides for “double trigger” rather than “single trigger” accelerated vesting, meaning awards will be accelerated as the result of a change in control where the participant’s employment is involuntarily terminated or the participant terminates for “good reason” in connection with a change in control, or upon a Committee determination that such acceleration is in the best interests of the Company. With respect to performance-based awards, all performance goals will be either deemed achieved at 100% target levels and adjusted pro-rata based on the applicable performance period, or vested based upon actual performance levels, or the greater of target and pro-rated or actual performance. The Committee also may permit acceleration of vesting of such awards in certain events, including in the event of the participant’s death, disability or retirement.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the 2019 LTIP, a change in control does not include any direct or indirect spin-off, split-off or similar transaction involving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BellRing Brands, Inc. securities by any stockholder of BellRing Brands, Inc. to such stockholder’s stockholders and is otherwise limited to:</w:t>
      </w:r>
    </w:p>
    <w:p>
      <w:pPr>
        <w:spacing w:after="0" w:line="116" w:lineRule="exact"/>
        <w:rPr>
          <w:sz w:val="20"/>
          <w:szCs w:val="20"/>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replacement of a majority of the incumbent board;</w:t>
      </w:r>
    </w:p>
    <w:p>
      <w:pPr>
        <w:spacing w:after="0" w:line="130" w:lineRule="exact"/>
        <w:rPr>
          <w:rFonts w:ascii="Arial" w:cs="Arial" w:eastAsia="Arial" w:hAnsi="Arial"/>
          <w:sz w:val="18"/>
          <w:szCs w:val="18"/>
          <w:color w:val="auto"/>
        </w:rPr>
      </w:pPr>
    </w:p>
    <w:p>
      <w:pPr>
        <w:ind w:left="1180" w:right="100" w:hanging="544"/>
        <w:spacing w:after="0" w:line="342" w:lineRule="auto"/>
        <w:tabs>
          <w:tab w:leader="none" w:pos="1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acquisition or beneficial ownership of the right to direct the vote with respect to more than 50% of the combined voting power of the then outstanding securities of BellRing Brands, Inc. entitled to vote generally in the election of directors (“Voting Control”), excluding:</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direct or indirect acquisition or beneficial ownership by BellRing Brands, Inc., Post or any of its or their subsidiaries;</w:t>
      </w:r>
    </w:p>
    <w:p>
      <w:pPr>
        <w:spacing w:after="0" w:line="130" w:lineRule="exact"/>
        <w:rPr>
          <w:rFonts w:ascii="Arial" w:cs="Arial" w:eastAsia="Arial" w:hAnsi="Arial"/>
          <w:sz w:val="18"/>
          <w:szCs w:val="18"/>
          <w:color w:val="auto"/>
        </w:rPr>
      </w:pPr>
    </w:p>
    <w:p>
      <w:pPr>
        <w:ind w:left="1620" w:right="20" w:hanging="430"/>
        <w:spacing w:after="0" w:line="342" w:lineRule="auto"/>
        <w:tabs>
          <w:tab w:leader="none" w:pos="16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direct or indirect acquisition or beneficial ownership of additional securities of BellRing Brands, Inc. entitled to vote generally in the election of directors or of the right to direct such vote by a person that already beneficially owns Voting Control; or</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(an “LTIP Business Combination”), unless:</w:t>
      </w:r>
    </w:p>
    <w:p>
      <w:pPr>
        <w:spacing w:after="0" w:line="130" w:lineRule="exact"/>
        <w:rPr>
          <w:rFonts w:ascii="Arial" w:cs="Arial" w:eastAsia="Arial" w:hAnsi="Arial"/>
          <w:sz w:val="18"/>
          <w:szCs w:val="18"/>
          <w:color w:val="auto"/>
        </w:rPr>
      </w:pPr>
    </w:p>
    <w:p>
      <w:pPr>
        <w:ind w:left="1620" w:right="100" w:hanging="430"/>
        <w:spacing w:after="0" w:line="264"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or substantially all of the beneficial owners of Voting Control immediately prior to such LTIP Business Combination continue to beneficially own the right to direct the vote with respect to more than 50% of the combined voting power of the then outstanding securities of the entity resulting from the LTIP Business Combination;</w:t>
      </w:r>
    </w:p>
    <w:p>
      <w:pPr>
        <w:spacing w:after="0" w:line="86" w:lineRule="exact"/>
        <w:rPr>
          <w:rFonts w:ascii="Arial" w:cs="Arial" w:eastAsia="Arial" w:hAnsi="Arial"/>
          <w:sz w:val="18"/>
          <w:szCs w:val="18"/>
          <w:color w:val="auto"/>
        </w:rPr>
      </w:pPr>
    </w:p>
    <w:p>
      <w:pPr>
        <w:ind w:left="1620" w:right="180" w:hanging="430"/>
        <w:spacing w:after="0" w:line="277"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after the LTIP Business Combination, no person beneficially owns the right to direct the vote with respect to more than 50% of the combined voting power of the then outstanding securities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520"/>
        <w:spacing w:after="0" w:line="277" w:lineRule="auto"/>
        <w:rPr>
          <w:sz w:val="20"/>
          <w:szCs w:val="20"/>
          <w:color w:val="auto"/>
        </w:rPr>
      </w:pPr>
      <w:r>
        <w:rPr>
          <w:rFonts w:ascii="Arial" w:cs="Arial" w:eastAsia="Arial" w:hAnsi="Arial"/>
          <w:sz w:val="18"/>
          <w:szCs w:val="18"/>
          <w:color w:val="auto"/>
        </w:rPr>
        <w:t>entity resulting from the LTIP Business Combination, unless such person beneficially owned Voting Control prior to the LTIP Business Combination; and</w:t>
      </w:r>
    </w:p>
    <w:p>
      <w:pPr>
        <w:spacing w:after="0" w:line="76" w:lineRule="exact"/>
        <w:rPr>
          <w:sz w:val="20"/>
          <w:szCs w:val="20"/>
          <w:color w:val="auto"/>
        </w:rPr>
      </w:pPr>
    </w:p>
    <w:p>
      <w:pPr>
        <w:ind w:left="1620" w:right="20" w:hanging="430"/>
        <w:spacing w:after="0" w:line="264"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resulting from the LTIP Business Combination were incumbent members of the board of directors at the time of the initial agreement or action of the Board of Directors approving such LTIP Business Combination;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sale or other disposition of all or substantially all of the assets of the Company;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stockholders of the Company approve a plan to liquidate or dissolve the Company.</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Notwithstanding the foregoing, a change in control will not have occurred with respect to any award that is subject to Section 409A of the Code to the extent necessary to avoid adverse tax consequences thereunder, unless the transaction constitutes a “change in control event” under Section 409A of the Code.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Award Limits</w:t>
      </w:r>
    </w:p>
    <w:p>
      <w:pPr>
        <w:spacing w:after="0" w:line="11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The 2019 LTIP is the Company’s only equity compensation plan with shares available for future award grants. There are 2,000,000 shares of our Class A common stock available for use under the 2019 LTIP. No more than 2,000,000 shares of Class A common stock may be granted as incentive stock options. Shares of Class A common stock issued under the 2019 LTIP may be authorized and unissued shares or treasury shares. The following shares of Class A common stock may not again be made available for issuance as awards: shares not issued as a result of the net settlement of an outstanding SAR or stock option; shares used to pay the exercise price or withholding taxes related to an outstanding award; or shares repurchased on the open market with the proceeds of a stock option exercise price. The following will not be applied to the share limitations above: any shares subject to an award under the 2019 LTIP to the extent the shares are not used because the award is forfeited, canceled, terminated, expired or lapsed for any reason; and shares and any awards that are granted through the settlement, assumption or substitution of outstanding awards previously granted, or through obligations to grant future awards, as a result of a merger, spin-off, consolidation or acquisition of the employing company with or by us. If an award is settled in cash, the number of shares of Class A common stock on which the award is based will not count toward the above share limits.</w:t>
      </w:r>
    </w:p>
    <w:p>
      <w:pPr>
        <w:spacing w:after="0" w:line="16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No participant will be granted (i) options to purchase shares of Class A common stock and SARs with respect to more than 2,000,000 shares in the aggregate, (ii) any other awards with respect to more than 2,000,000 shares of Class A common stock in the aggregate (or, in the event such award denominated or expressed in terms of number of shares of Class A common stock is paid in cash, the equivalent cash value) or (iii) any cash bonus award not denominated or expressed in terms of number of shares of Class A common stock with a value that exceeds $10,000,000 in the aggregate, in each case, in any twelve-month period under the 2019 LTIP. In addition, for any one non-employee director, the aggregate grant date fair value of awards granted during any calendar year, together with any cash retainers payable to the director and any Company matching contributions credited to the director’s nonqualified deferred compensation account for that calendar year, cannot exceed $500,000 (or $700,000 for a non-employee chairperson of the Board of Directors).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Modification and Termination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Subject to the terms of the 2019 LTIP, our Board of Directors may at any time amend, modify or suspend the 2019 LTIP, and the Committee may at any time alter or amend any or all awards under the 2019 LTIP to the extent permitted by law. Any alterations or amendments may be made unilaterally by the Committee, subject to the provisions of the 2019 LTIP, unless such amendments are deemed by the Committee to be materially adverse to the participants and are not required as a matter of law. Amendments are subject to approval of the stockholders of the Company only as required by law, or if the amendment increases the total number of shares of Class A common stock available under the 2019 LTIP, except as adjusted for specified changes in capitalization. The 2019 LTIP shall remain in effect for a term of ten years following September 30, 2019, the date on which it became effective, or until all shares of Class A common stock subject to the 2019 LTIP shall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have been purchased or acquired according to the 2019 LTIP provisions, whichever occurs first, unless the 2019 LTIP is sooner terminated pursuant to its complete terms.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U.S. Federal Income Tax Consequences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that may be granted under the 2019 LTIP. This summary is based upon the provisions of the Code and regulations promulgated thereunder, as in effect on the date of this prospectus. Changes in the law may modify this discussion, and in some cases, the changes may be retroactive. Further, this summary is not intended to be a complete discussion of all of the federal income tax consequences associated with the 2019 LTIP. Accordingly, for precise advice as to any specific transaction or set of circumstances, participants should consult with their own tax and legal advisors. Participants also should consult with their own tax and legal advisors regarding the application of any state, local and foreign taxes and any federal gift, estate and inheritance taxes.</w:t>
      </w:r>
    </w:p>
    <w:p>
      <w:pPr>
        <w:spacing w:after="0" w:line="16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Some options may constitute “incentive stock options” within the meaning of Section 422 of the Code. If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an incentive stock option, the recipient will not be required to recognize income upon the grant of the incentive stock option, and the Company will not be allowed to take a deduction.</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Similarly, when the recipient exercises any incentive stock options, provided the recipient has not ceased to be an employee for more than three months before the date of exercise, the recipient will not be required to recognize income, and the Company will not be allowed to take a deduction. For purposes of the alternative minimum tax, however, the amount by which the aggregate fair market value of the Class A common stock acquired on exercise of an incentive stock option exceeds the exercise price of that option generally will be an adjustment included in the recipient’s alternative minimum taxable income for the year in which the incentive stock option is exercised. The Code imposes an alternative minimum tax on a taxpayer whose alternative minimum taxable income, as defined in Section 55(b)(2) of the Code, exceeds the taxpayer’s adjusted gross income.</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Additional tax consequences will depend upon how long recipients hold the shares of the Class A common stock received after exercising the incentive stock options. If a recipient holds the shares for more than two years from the date of grant and one year from the date of exercise of the option, upon disposition of the shares, the recipient will not recognize any ordinary income, and the Company will not be allowed to take a deduction. However, the difference between the amount the recipient realizes upon disposition of the shares and the basis (i.e., the amount the recipient paid upon exercise of the incentive stock option) in those shares will be taxed as a long-term capital gain or loss.</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recipient disposes of shares of Class A common stock acquired upon exercise of an incentive stock option which he or she has held for less than two years from the date of grant or one year from the date of exercise, the recipient generally will recognize ordinary income in the year of the disposition. To calculate the amount of ordinary income that must be recognized upon such a disposition, the recipient must make the following determinations and calculations:</w:t>
      </w:r>
    </w:p>
    <w:p>
      <w:pPr>
        <w:spacing w:after="0" w:line="92" w:lineRule="exact"/>
        <w:rPr>
          <w:sz w:val="20"/>
          <w:szCs w:val="20"/>
          <w:color w:val="auto"/>
        </w:rPr>
      </w:pPr>
    </w:p>
    <w:p>
      <w:pPr>
        <w:ind w:left="1180" w:right="100" w:hanging="544"/>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determine which is smaller: the amount realized on disposition of the shares or the fair market value of the shares on the date of exercise;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next, subtract the basis in those shares from the smaller amount. This is the amount of ordinary income that the recipient must recognize.</w:t>
      </w:r>
    </w:p>
    <w:p>
      <w:pPr>
        <w:spacing w:after="0" w:line="24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To the extent that the recipient recognizes ordinary income, the Company is allowed to take a deduction. In addition, the recipient must recognize as short-term or long-term capital gain, depending on whether the holding period for the shares exceeds one year, any amount that the recipient realizes upon disposition of those shares which exceeds the fair market value of those shares on the date the recipient exercised the option. The recipient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will recognize a short-term or long-term capital loss, depending on whether the holding period for the shares exceeds one year, to the extent the basis in the shares exceeds the amount realized upon disposition of those shares.</w:t>
      </w:r>
    </w:p>
    <w:p>
      <w:pPr>
        <w:spacing w:after="0" w:line="170"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As noted above, the excess of the fair market value of the shares of Class A common stock at the time the recipient exercises his or her incentive stock option over the exercise price for the shares is a tax adjustment item for the purposes of the alternative minimum tax.</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If the recipient receives a NQSO, the recipient will not recognize income at the time of the grant of the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recipient will recognize ordinary income upon the exercise of the NQSO. The amount of ordinary income recognized equals the difference between (a) the fair market value of the Class A common stock on the date of exercise and (b) the exercise price. The Company will be entitled to a deduction in the same amount. The ordinary income the recipient recognizes will be subject to applicable tax withholding by the Company. When the recipient sells these shares, any difference between the sales price and the basis (i.e., the exercise price plus the ordinary income recognized by the recipient) will be treated as a capital gain or loss.</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Unless a timely Section 83(b) election is made as described in the following paragraph, a recipient generally will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upon the grant of restricted stock because the restricted stock generally will be nontransferable and subject to a substantial risk of forfeiture. A recipient will recognize ordinary income when the restrictions that impose a substantial risk of forfeiture of the shares of Class A common stock or the transfer restrictions lapse. The amount recognized will be equal to the difference between the fair market value of the shares at this time and the original purchase price paid for the shares, if any. The ordinary income recognized by a recipient with respect to restricted stock awarded under the 2019 LTIP will be subject to applicable tax withholding by the Company. If a timely Section 83(b) election has not been made, any dividends received with respect to Class A common stock subject to such restrictions will be treated as additional compensation income and not as dividend income.</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recipient may elect, pursuant to Section 83(b) of the Code, to recognize as ordinary income the fair market value of the restricted stock upon grant, notwithstanding that the restricted stock would otherwise not be includable in gross income at that time. If the election is made within 30 days of the date of grant, then the recipient would include in gross income an amount equal to the difference between the fair market value of the restricted stock on the date of grant and the purchase price paid for the restricted stock, if any. Any change in the value of the shares after the date of grant will be taxed as a capital gain or capital loss only if and when the shares are disposed of by the recipient. If the Section 83(b) election is made, the recipient’s capital gains holding period begins on the date of grant.</w:t>
      </w:r>
    </w:p>
    <w:p>
      <w:pPr>
        <w:spacing w:after="0" w:line="19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Section 83(b) election is irrevocable. If a Section 83(b) election is made and the recipient then forfeits the restricted stock, the recipient may not deduct as a loss the amount previously included in gross income.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recipient’s tax basis in shares of restricted stock received pursuant to the 2019 LTIP will be equal to the sum of the amount (if any) the recipient paid for the Class A common stock and the amount of ordinary income recognized by the recipient as a result of making a Section 83(b) election or upon the lapse of the restrictions. Unless a Section 83(b) election is made, the recipient’s holding period for the shares for purposes of determining gain or loss on a subsequent sale will begin on the date the restrictions lapse.</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general, the Company will be entitled to a deduction at the same time and in an amount equal to the ordinary income recognized by a recipient with respect to shares of restricted stock awarded pursuant to the 2019 LTIP.</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subsequent to the lapse of the restrictions on the shares, the recipient sells the shares, the difference, if any, between the amount realized from the sale and the tax basis of the shares to the recipient will be taxed as a capital gain or capital loss.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Stock Appreciation Rights / Performance Shares / Restricted Stock Units</w:t>
      </w:r>
      <w:r>
        <w:rPr>
          <w:rFonts w:ascii="Arial" w:cs="Arial" w:eastAsia="Arial" w:hAnsi="Arial"/>
          <w:sz w:val="17"/>
          <w:szCs w:val="17"/>
          <w:color w:val="auto"/>
        </w:rPr>
        <w:t>. A recipient generally will not recognize taxable income upon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of SARs, performance shares or RSUs. Instead, a recipient will recognize as ordinary income, and the Company will have a corresponding deduction of, any cash delivered and the fair market value of any Class A common stock delivered in payment of an amount due under the SAR, performance share or RSU award. The ordinary income the recipient recognizes will be subject to applicable tax withholding by the Company.</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Upon selling any Class A common stock received by a recipient in payment of an amount due under a SAR, performance share or RSU award, the recipient generally will recognize a capital gain or loss in an amount equal to the difference between the sale price of the Class A common stock and the recipient’s tax basis in the Class A common stock (i.e., the ordinary income recognized by the recipient).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Other Stock-Based and Cash-Based Awards</w:t>
      </w:r>
      <w:r>
        <w:rPr>
          <w:rFonts w:ascii="Arial" w:cs="Arial" w:eastAsia="Arial" w:hAnsi="Arial"/>
          <w:sz w:val="16"/>
          <w:szCs w:val="16"/>
          <w:color w:val="auto"/>
        </w:rPr>
        <w:t>. The tax consequences associated with any other stock-based or cash-based award granted under the</w:t>
      </w:r>
    </w:p>
    <w:p>
      <w:pPr>
        <w:spacing w:after="0" w:line="46"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2019 LTIP will vary depending on the specific terms of the award, including whether the award has a readily ascertainable fair market value, whether or not the award is subject to forfeiture provisions or restrictions on transfer, the nature of the property to be received by the recipient under the award, any applicable holding period and the recipient’s tax basis.</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Pursuant to Section 409A of the Code, significant restrictions have been imposed on the ability to defer the taxation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without limitation, the deferral of income pursuant to some of the arrangements described herein (e.g., performance shares). Violation of Section 409A of the Code triggers immediate inclusion in income and application of income and additional taxes.</w:t>
      </w:r>
    </w:p>
    <w:p>
      <w:pPr>
        <w:spacing w:after="0" w:line="14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i w:val="1"/>
          <w:iCs w:val="1"/>
          <w:color w:val="auto"/>
        </w:rPr>
        <w:t>Section 280G of the Code and Section 4999 of the Code</w:t>
      </w:r>
      <w:r>
        <w:rPr>
          <w:rFonts w:ascii="Arial" w:cs="Arial" w:eastAsia="Arial" w:hAnsi="Arial"/>
          <w:sz w:val="16"/>
          <w:szCs w:val="16"/>
          <w:color w:val="auto"/>
        </w:rPr>
        <w:t>. Under Section 280G of the Code and Section 4999 of the Code,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deducting any “excess parachute payment” to an individual, and the individual must pay a 20% excise tax on any “excess parachute payment.” An individual’s “parachute payments” which exceed his or her average annual compensation will generally be treated as “excess parachute payments” if the present value of such payments equals or exceeds three times the individual’s average annual compensation. A payment generally may be considered a “parachute payment” if it is contingent on a change in control of the Company, as defined in Sections 280G and 4999 of the Code.</w:t>
      </w:r>
    </w:p>
    <w:p>
      <w:pPr>
        <w:spacing w:after="0" w:line="1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Non-U.S. Taxpayers</w:t>
      </w:r>
      <w:r>
        <w:rPr>
          <w:rFonts w:ascii="Arial" w:cs="Arial" w:eastAsia="Arial" w:hAnsi="Arial"/>
          <w:sz w:val="18"/>
          <w:szCs w:val="18"/>
          <w:color w:val="auto"/>
        </w:rPr>
        <w:t>. If the recipient is subject to the tax laws of any country other than the U.S., the recipient should consult his or her own tax</w:t>
      </w:r>
      <w:r>
        <w:rPr>
          <w:rFonts w:ascii="Arial" w:cs="Arial" w:eastAsia="Arial" w:hAnsi="Arial"/>
          <w:sz w:val="18"/>
          <w:szCs w:val="18"/>
          <w:i w:val="1"/>
          <w:iCs w:val="1"/>
          <w:color w:val="auto"/>
        </w:rPr>
        <w:t xml:space="preserve"> </w:t>
      </w:r>
      <w:r>
        <w:rPr>
          <w:rFonts w:ascii="Arial" w:cs="Arial" w:eastAsia="Arial" w:hAnsi="Arial"/>
          <w:sz w:val="18"/>
          <w:szCs w:val="18"/>
          <w:color w:val="auto"/>
        </w:rPr>
        <w:t>and legal advisors to determine the tax and legal consequences of any award received under the 2019 LTIP.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60"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following the completion of the formation transactions and this offering for:</w:t>
      </w:r>
    </w:p>
    <w:p>
      <w:pPr>
        <w:spacing w:after="0" w:line="76" w:lineRule="exact"/>
        <w:rPr>
          <w:sz w:val="20"/>
          <w:szCs w:val="20"/>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or redemption right). The number of shares of our Class A common stock outstanding and the percentage of beneficial ownership immediately following this offering are based on the number of BellRing Brands, LLC Units to be issued in connection with the formation transactions (based on the midpoint of the estimated initial public offering price range set forth on the cover page of this prospectus) and the assumed redemption by Post of all of its BellRing Brands, LLC Units for shares of our Class A common stock. Subject to the terms of the amended and restated limited liability company agreement, BellRing Brands, LLC Units may be redeemed for, at the option of BellRing Brands, LLC (as determined by its Board of Managers), shares of our Class A common stock, or for cash.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See “Certain Relationships and Related Party Transactions—Post-Offering Relationship with Post—Amended and Restated Limited Liability Company Agreement.”</w:t>
      </w:r>
    </w:p>
    <w:p>
      <w:pPr>
        <w:spacing w:after="0" w:line="17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ind w:left="66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Beneficially Owned</w:t>
            </w:r>
          </w:p>
        </w:tc>
        <w:tc>
          <w:tcPr>
            <w:tcW w:w="24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 Name</w:t>
            </w: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Borders>
              <w:top w:val="single" w:sz="8" w:color="auto"/>
            </w:tcBorders>
            <w:gridSpan w:val="2"/>
          </w:tcPr>
          <w:p>
            <w:pPr>
              <w:ind w:left="440"/>
              <w:spacing w:after="0" w:line="119" w:lineRule="exact"/>
              <w:rPr>
                <w:sz w:val="20"/>
                <w:szCs w:val="20"/>
                <w:color w:val="auto"/>
              </w:rPr>
            </w:pPr>
            <w:r>
              <w:rPr>
                <w:rFonts w:ascii="Arial" w:cs="Arial" w:eastAsia="Arial" w:hAnsi="Arial"/>
                <w:sz w:val="13"/>
                <w:szCs w:val="13"/>
                <w:b w:val="1"/>
                <w:bCs w:val="1"/>
                <w:color w:val="auto"/>
                <w:w w:val="94"/>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540" w:type="dxa"/>
            <w:vAlign w:val="bottom"/>
            <w:gridSpan w:val="3"/>
            <w:vMerge w:val="continue"/>
          </w:tcPr>
          <w:p>
            <w:pPr>
              <w:spacing w:after="0"/>
              <w:rPr>
                <w:sz w:val="15"/>
                <w:szCs w:val="15"/>
                <w:color w:val="auto"/>
              </w:rPr>
            </w:pPr>
          </w:p>
        </w:tc>
        <w:tc>
          <w:tcPr>
            <w:tcW w:w="12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(1)</w:t>
            </w:r>
          </w:p>
        </w:tc>
        <w:tc>
          <w:tcPr>
            <w:tcW w:w="240" w:type="dxa"/>
            <w:vAlign w:val="bottom"/>
          </w:tcPr>
          <w:p>
            <w:pPr>
              <w:spacing w:after="0"/>
              <w:rPr>
                <w:sz w:val="15"/>
                <w:szCs w:val="15"/>
                <w:color w:val="auto"/>
              </w:rPr>
            </w:pPr>
          </w:p>
        </w:tc>
        <w:tc>
          <w:tcPr>
            <w:tcW w:w="6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8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6"/>
              </w:rPr>
              <w:t>Principal Stockholder:</w:t>
            </w:r>
          </w:p>
        </w:tc>
        <w:tc>
          <w:tcPr>
            <w:tcW w:w="50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97,474,179</w:t>
            </w:r>
            <w:r>
              <w:rPr>
                <w:rFonts w:ascii="Arial" w:cs="Arial" w:eastAsia="Arial" w:hAnsi="Arial"/>
                <w:sz w:val="12"/>
                <w:szCs w:val="12"/>
                <w:color w:val="auto"/>
              </w:rPr>
              <w:t>(3)</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76.5</w:t>
            </w:r>
            <w:r>
              <w:rPr>
                <w:rFonts w:ascii="Arial" w:cs="Arial" w:eastAsia="Arial" w:hAnsi="Arial"/>
                <w:sz w:val="12"/>
                <w:szCs w:val="12"/>
                <w:color w:val="auto"/>
              </w:rPr>
              <w:t>(3)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300" w:type="dxa"/>
            <w:vAlign w:val="bottom"/>
            <w:gridSpan w:val="3"/>
          </w:tcPr>
          <w:p>
            <w:pPr>
              <w:ind w:left="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Directors and Director Nominees: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Robert V. Vitale</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Darcy Horn Davenport</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Paul A. Rode</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Douglas J. Cornille</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Thomas P. Erickson</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Jennifer Kuperman</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Elliot H. Stein, Jr.</w:t>
            </w: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directors, director nominees and executive officers as a group (ten persons)</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Less than one percent.</w:t>
      </w:r>
    </w:p>
    <w:p>
      <w:pPr>
        <w:ind w:left="640" w:hanging="436"/>
        <w:spacing w:after="0" w:line="221" w:lineRule="auto"/>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640" w:right="40" w:hanging="436"/>
        <w:spacing w:after="0" w:line="221" w:lineRule="auto"/>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ind w:left="640" w:hanging="436"/>
        <w:spacing w:after="0"/>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shares of Class A common stock that may be acquired upon the redemption of BellRing Brands, LLC Units held by Post.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Prior to the completion of this offering, Post will borrow $1,225.0 million under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 rate per annum equal to (i) for the period from and including October 11, 2019 to but excluding October 21, 2019, the Eurodollar Rate (as such term is defined in the bridge facility agreement) plus 450 basis points, (ii) for the period from and including October 21, 2019 to but excluding October 25, 2019, the Eurodollar Rate plus 500 basis points, (iii) for the period from and including October 25, 2019 to but excluding February 8, 2020, 12.00% and</w:t>
      </w:r>
    </w:p>
    <w:p>
      <w:pPr>
        <w:spacing w:after="0" w:line="5" w:lineRule="exact"/>
        <w:rPr>
          <w:sz w:val="20"/>
          <w:szCs w:val="20"/>
          <w:color w:val="auto"/>
        </w:rPr>
      </w:pPr>
    </w:p>
    <w:p>
      <w:pPr>
        <w:jc w:val="both"/>
        <w:ind w:left="200" w:right="60" w:firstLine="4"/>
        <w:spacing w:after="0" w:line="255" w:lineRule="auto"/>
        <w:tabs>
          <w:tab w:leader="none" w:pos="5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period from and including February 8, 2020 to but excluding the maturity date, 12.25%. Payments of interest on the Post bridge loan are due on October 21, 2019, October 25, 2019, December 31, 2019, and the last day of each quarter thereafter. The Post bridge loan will mature on August 23, 2024.</w:t>
      </w:r>
    </w:p>
    <w:p>
      <w:pPr>
        <w:spacing w:after="0" w:line="19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w:t>
      </w:r>
    </w:p>
    <w:p>
      <w:pPr>
        <w:spacing w:after="0" w:line="2" w:lineRule="exact"/>
        <w:rPr>
          <w:sz w:val="20"/>
          <w:szCs w:val="20"/>
          <w:color w:val="auto"/>
        </w:rPr>
      </w:pPr>
    </w:p>
    <w:p>
      <w:pPr>
        <w:ind w:left="520" w:hanging="316"/>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BellRing Brands, LLC’s obligations under the Post bridge loan will become secured by a first priority security interest in substantially all of the</w:t>
      </w:r>
    </w:p>
    <w:p>
      <w:pPr>
        <w:spacing w:after="0" w:line="20" w:lineRule="exact"/>
        <w:rPr>
          <w:rFonts w:ascii="Arial" w:cs="Arial" w:eastAsia="Arial" w:hAnsi="Arial"/>
          <w:sz w:val="17"/>
          <w:szCs w:val="17"/>
          <w:color w:val="auto"/>
        </w:rPr>
      </w:pPr>
    </w:p>
    <w:p>
      <w:pPr>
        <w:ind w:left="200" w:right="40"/>
        <w:spacing w:after="0" w:line="255" w:lineRule="auto"/>
        <w:rPr>
          <w:rFonts w:ascii="Arial" w:cs="Arial" w:eastAsia="Arial" w:hAnsi="Arial"/>
          <w:sz w:val="17"/>
          <w:szCs w:val="17"/>
          <w:color w:val="auto"/>
        </w:rPr>
      </w:pPr>
      <w:r>
        <w:rPr>
          <w:rFonts w:ascii="Arial" w:cs="Arial" w:eastAsia="Arial" w:hAnsi="Arial"/>
          <w:sz w:val="18"/>
          <w:szCs w:val="18"/>
          <w:color w:val="auto"/>
        </w:rPr>
        <w:t>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the full amount available under the term loan facility and approximately $73.0 million under the revolving credit facility (based upon the midpoint of the estimated offering price range set forth on the cover page of this prospectus), resulting in net proceeds to BellRing Brands, LLC of approximately $6.1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expect the debt facilities to contain customary representations and warranties that are made at 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 In addition, we will be required to maintain a maximum total net leverage ratio not to exceed 6.00:1.00, as measured at the end of any fiscal quarter, commencing with the first full fiscal quarter after the closing date of the debt facilities.</w:t>
      </w:r>
    </w:p>
    <w:p>
      <w:pPr>
        <w:spacing w:after="0" w:line="17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 interest rate for the term loan facility will be, at our option, either (a) a LIBOR rate or (b) a base rate determined by reference to the highest of (i) the prime rate, (ii) the federal funds rate plus 0.50% per annum and (iii) one-month LIBOR plus 1.00% per annum, in each case plus an applicable margin of 5.00% for LIBOR loans or 4.00% for base rate loans. We expect that the term loan facility will require scheduled amortization payments in an annual amount equal to 5.00% of the original principal amount of the term loans, payable quarterly (commencing on March 31, 2020), with the balance to be paid at maturity on October 21, 2024. We expect that the term loan facility will provide for customary mandatory prepayment provisions, including provisions for mandatory prepayment (a) from the net cash proceeds of certain asset sales and (b) beginning with the fiscal year ending September 30, 2020, 75% of annual excess cash flow (which percentage will be reduced to 50% if the secured net leverage ratio is below a specified level as of a fiscal year end), and will provide that the terms loans may be optionally prepaid at 101% of the principal amount thereof at any time during the first year of the facility, and without premium or penalty thereafter.</w:t>
      </w:r>
    </w:p>
    <w:p>
      <w:pPr>
        <w:spacing w:after="0" w:line="182" w:lineRule="exact"/>
        <w:rPr>
          <w:sz w:val="20"/>
          <w:szCs w:val="20"/>
          <w:color w:val="auto"/>
        </w:rPr>
      </w:pPr>
    </w:p>
    <w:p>
      <w:pPr>
        <w:ind w:left="200" w:right="100" w:firstLine="441"/>
        <w:spacing w:after="0" w:line="285" w:lineRule="auto"/>
        <w:rPr>
          <w:sz w:val="20"/>
          <w:szCs w:val="20"/>
          <w:color w:val="auto"/>
        </w:rPr>
      </w:pPr>
      <w:r>
        <w:rPr>
          <w:rFonts w:ascii="Arial" w:cs="Arial" w:eastAsia="Arial" w:hAnsi="Arial"/>
          <w:sz w:val="16"/>
          <w:szCs w:val="16"/>
          <w:color w:val="auto"/>
        </w:rPr>
        <w:t>We expect that the interest rate for the revolving credit facility will be, at our option, either (a) a LIBOR rate or (b) a base rate determined in the same manner as for the term loan facility, in each case plus an applicable margin. The applicable margin during the first full fiscal quarter following the closing date will be 4.25% for LIBOR loans and 3.25% for base rate loans. We expect that, following the first full fiscal quarter after the closing date, the applicable margin for LIBOR loans and base rate loans will be (i) 4.25% and 3.25%, respectively, if the secured net leverage ratio is greater than or equal to 3.50:1:00, (ii) 4.00% and 3.00%, respectively, if the secured net leverage ratio is less than 3.50:1:00 and greater than or equal to 2.50:1.00 or</w:t>
      </w:r>
    </w:p>
    <w:p>
      <w:pPr>
        <w:spacing w:after="0" w:line="2" w:lineRule="exact"/>
        <w:rPr>
          <w:sz w:val="20"/>
          <w:szCs w:val="20"/>
          <w:color w:val="auto"/>
        </w:rPr>
      </w:pPr>
    </w:p>
    <w:p>
      <w:pPr>
        <w:ind w:left="200" w:right="20" w:firstLine="4"/>
        <w:spacing w:after="0" w:line="254" w:lineRule="auto"/>
        <w:tabs>
          <w:tab w:leader="none" w:pos="5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3.75% and 2.75%, respectively, if the secured net leverage ratio is less than 2.50:1:00. We expect that BellRing Brands, LLC will pay the revolving lenders a facility fee per annum on the average daily unused portion of the revolving commitments through the maturity date for the applicable revolving credit commitments, which fee varies between 0.50% and 0.25% based on the total secured net leverage ratio as of each fiscal quarter end. We expect that the revolving credit facility will have a maturity date of October 21, 2024.</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each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connection with the formation transactions and this offering, we intend to amend and restate our certificate of incorporation so that our authorized capital stock will consist of 500,000,000 shares of Class A common stock, par value $0.01 per share, one share of Class B common stock, par value $0.01 per share, and 50,000,000 shares of preferred stock, par value $0.01 per share.</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After consummation of this offering, we expect to have 30,000,000 shares of our Class A common stock outstanding (or 34,500,000 shares if the underwriters exercise their over-allotment option in full), one share of our Class B common stock outstanding and no shares of preferred stock outstanding. We have received approval to list our Class A common stock on the NYSE under the symbol “BRBR”.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Holders of our Class A common stock will be entitled to one vote for each share held on all matters submitted to stockholders for their vote or approval.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(ii) in the event that any BellRing Brands, LLC Units are held by persons other than us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Following the formation transactions and this offering, Post will own the share of our Class B common stock and will therefore control 67% of the combined voting power of our outstanding common stock. In any event, Post will be able to control our business policies and affairs and any action requiring the general approval of our stockholders, including the adoption of amendments to our amended and restated certificate of</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incorporation and our amended and restated bylaws, the approval of mergers or sales of substantially all of our assets and the removal of members of our Board of Directors with or without cause. For so long as Post or its affiliates (other than us) directly own more than 50% of the BellRing Brands, LLC Units as described in this prospectus,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holders of our Class A common stock will be entitled to receive dividends when, as and if declared by our Board of Directors out of legally available funds. The holder of our Class B common stock will not have any right to receive dividends.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its par value, the holder of our Class B common stock will not have any right to receive a distribution upon a liquidation or dissolution of our Company.</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Subject to the terms of the amended and restated limited liability company agreement, BellRing Brands, LLC Units will be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share of our Class B common stock will initially be owned by Post and may not be transferred except to an affiliate of Post (other than us); provided that Post may grant one or more proxies to, or enter into one or more voting agreements or other voting arrangements with, any persons other than us or Post’s affiliates to whom Post or any of its affiliates (other than us) transfers BellRing Brands, LLC Units pursuant to the amended and restated limited liability company agreement, and Post may transfer the share of our Class B common stock in connection with any distribution of its ownership interests in BellRing Brands, LLC by means of a spin-off or split-off to its shareholders.</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The outstanding share of our Class B common stock issued in connection with the formation transactions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the formation transactions and this offering, we will be authorized to issue up to 50,000,000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6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u w:val="single" w:color="auto"/>
          <w:color w:val="auto"/>
        </w:rPr>
        <w:t>Action by Written Consent; Special Meetings of Stockholders</w:t>
      </w:r>
      <w:r>
        <w:rPr>
          <w:rFonts w:ascii="Arial" w:cs="Arial" w:eastAsia="Arial" w:hAnsi="Arial"/>
          <w:sz w:val="18"/>
          <w:szCs w:val="18"/>
          <w:color w:val="auto"/>
        </w:rPr>
        <w:t>. Our amended and restated certificate of incorporation and our amended and restated bylaws will provide that, following the date on which Post and its various affiliates cease to own of record more than 50% of the BellRing Brands, LLC Units (the “triggering event”), stockholder action can be taken only at an annual or special meeting of stockholders and cannot be taken by written consent in lieu of a meeting. Prior to the triggering event, stockholder action may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by the Secretary, on the written request of Post and its successors (but only for so long as Post and its subsidiaries own of record, in the aggregate, more than 50% of the BellRing Brands, LLC Units) or the President. Except as described above, stockholders will not be permitted to call a special meeting or to require our Board of Directors to call a special meeting.</w:t>
      </w:r>
    </w:p>
    <w:p>
      <w:pPr>
        <w:spacing w:after="0" w:line="197"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w:t>
      </w:r>
    </w:p>
    <w:p>
      <w:pPr>
        <w:ind w:left="200" w:right="20"/>
        <w:spacing w:after="0" w:line="285" w:lineRule="auto"/>
        <w:rPr>
          <w:sz w:val="20"/>
          <w:szCs w:val="20"/>
          <w:color w:val="auto"/>
        </w:rPr>
      </w:pPr>
      <w:r>
        <w:rPr>
          <w:rFonts w:ascii="Arial" w:cs="Arial" w:eastAsia="Arial" w:hAnsi="Arial"/>
          <w:sz w:val="16"/>
          <w:szCs w:val="16"/>
          <w:color w:val="auto"/>
        </w:rPr>
        <w:t>120 days prior to the date of the first anniversary of the prior year’s annual meeting (and for purposes of calculating this date with respect to the first annual meeting after the date of this offering, the annual meeting for the prior year shall be deemed to have been held on January 24, 2019);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such advance notice requirements shall not apply to Post with respect to business to be brought by Post before an annual meeting and,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u w:val="single" w:color="auto"/>
          <w:color w:val="auto"/>
        </w:rPr>
        <w:t>Directors, and Not Stockholders, Fix the Size of the Board of Directors</w:t>
      </w:r>
      <w:r>
        <w:rPr>
          <w:rFonts w:ascii="Arial" w:cs="Arial" w:eastAsia="Arial" w:hAnsi="Arial"/>
          <w:sz w:val="18"/>
          <w:szCs w:val="18"/>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Upon consummation of this offering, our Board of Directors will consist of five members.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and the rights of Post under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 of directors) will be filled by (i) the affirmative vote of a majority of the remaining directors, even if less than a quorum, (ii) at a special meeting of the 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u w:val="single" w:color="auto"/>
          <w:color w:val="auto"/>
        </w:rPr>
        <w:t>Classified Board of Directors</w:t>
      </w:r>
      <w:r>
        <w:rPr>
          <w:rFonts w:ascii="Arial" w:cs="Arial" w:eastAsia="Arial" w:hAnsi="Arial"/>
          <w:sz w:val="17"/>
          <w:szCs w:val="17"/>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With respect to the members of the Board in office immediately after consummation of this offering,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u w:val="single" w:color="auto"/>
          <w:color w:val="auto"/>
        </w:rPr>
        <w:t>Business Combinations with Interested Stockholders</w:t>
      </w:r>
      <w:r>
        <w:rPr>
          <w:rFonts w:ascii="Arial" w:cs="Arial" w:eastAsia="Arial" w:hAnsi="Arial"/>
          <w:sz w:val="17"/>
          <w:szCs w:val="17"/>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certain transferees designated by Post (including any such person who is granted a proxy by, or enters into a voting agreement with, Post pursuant to the amended and restated limited liability company agreement) will not be deemed to be “interested stockholders,” regardless of the percentage of our voting stock owned by them, and accordingly will not be subject to such restrictions.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certificate of incorporation may be amended in accordance with and upon the vote prescribed by Delaware law, except that:</w:t>
      </w:r>
    </w:p>
    <w:p>
      <w:pPr>
        <w:spacing w:after="0" w:line="131" w:lineRule="exact"/>
        <w:rPr>
          <w:sz w:val="20"/>
          <w:szCs w:val="20"/>
          <w:color w:val="auto"/>
        </w:rPr>
      </w:pPr>
    </w:p>
    <w:p>
      <w:pPr>
        <w:jc w:val="both"/>
        <w:ind w:left="1180" w:right="80" w:hanging="544"/>
        <w:spacing w:after="0" w:line="312" w:lineRule="auto"/>
        <w:tabs>
          <w:tab w:leader="none" w:pos="1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holders of our Class A common stock and our Class B common stock will each be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52" w:lineRule="exact"/>
        <w:rPr>
          <w:rFonts w:ascii="Arial" w:cs="Arial" w:eastAsia="Arial" w:hAnsi="Arial"/>
          <w:sz w:val="16"/>
          <w:szCs w:val="16"/>
          <w:color w:val="auto"/>
        </w:rPr>
      </w:pPr>
    </w:p>
    <w:p>
      <w:pPr>
        <w:ind w:left="1180" w:right="760" w:hanging="544"/>
        <w:spacing w:after="0" w:line="312" w:lineRule="auto"/>
        <w:tabs>
          <w:tab w:leader="none" w:pos="1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Section 10 of our amended and restated certificate of incorporation (relating to indemnification) may be amended (or a provision inconsistent with Section 10 adopted) only upon the affirmative vote of not less than 85% of all of the voting power of all of the outstanding shares of our common stock then entitled to vote in the election of directors, voting together as a single class.</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a majority of all of the members of our Board of Directors may amend, alter, change or repeal any provision of our amended and restated bylaws, except that our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 restated bylaws upon the affirmative vote of a majority of all of the voting power of the Company entitled to vote thereon, except that the stockholders will not have the power to amend, alter, change or repeal any provision of the bylaws relating to their amendment in any manner that alters our Board of Directors’ power to amend, alter, change or repeal the bylaws.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6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have received approval to have our Class A common stock listed on the NYSE under the symbol “BRBR”.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completion of this offering, the transfer agent and registrar for our Class A common stock will be Computershare Trust Company, N.A.</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58"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All of the 30,000,000 shares of Class A common stock (or 34,500,000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 BellRing Brands, Inc. and Post. Post will hold 97,474,179 BellRing Brands, LLC Units equal to 76.5% of the economic interest in BellRing Brands, LLC (or 73.9%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Pursuant to the terms of the amended and restated limited liability company agreement, the holders of BellRing Brands, LLC Units (other than us) may from time to time redeem their BellRing Brands, LLC Units for, at the option of BellRing Brands, LLC (as determined by its Board of Managers), (i) shares of our Class A common stock on a one-for-one equivalent basis or (ii) cash (based on the market price of the shares of our Class A common stock), subject to customary redemption rate adjustments for stock splits, stock dividends and reclassifications. The share of BellRing Brands, Inc. Class B common stock will be initially owned by Post and may only be transferred to affiliates of Post (other than us). The 97,474,179 shares of our Class A common stock issuable upon redemption of BellRing Brands, LLC Units held by Post would be considered “restricted securities,” as that term is defined in Rule 144 at the time of this offering.</w:t>
      </w:r>
    </w:p>
    <w:p>
      <w:pPr>
        <w:spacing w:after="0" w:line="18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For more information, see “Underwriting (Conflicts of Interest).” As a result of these contractual restrictions, shares of our Class A common stock and the other securities subject to lock-up agreements will not be eligible for sale until these agreements expire or the restrictions are waived by the underwriters.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 &amp; 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addition, we will agree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 with the grant or exercise of stock based equity awards. The underwriters may, at any time, waive these restrictions.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who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non-affiliated person who has beneficially owned the shares proposed to be sold for at least one year, including the holding period of any prior owner other than an affiliate of us, will be entitled to sell these shares without limitation.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6" w:lineRule="exact"/>
        <w:rPr>
          <w:sz w:val="20"/>
          <w:szCs w:val="20"/>
          <w:color w:val="auto"/>
        </w:rPr>
      </w:pPr>
    </w:p>
    <w:p>
      <w:pPr>
        <w:ind w:left="1180" w:right="200" w:hanging="544"/>
        <w:spacing w:after="0" w:line="264"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300,000 shares immediately after this offering (assuming the underwriters do not elect to exercise their over-allotment option to purchase additional shares of our Class A common stock); or</w:t>
      </w:r>
    </w:p>
    <w:p>
      <w:pPr>
        <w:spacing w:after="0" w:line="86"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intend to file with the SEC a registration statement on Form S-8 covering the shares of our Class A common stock reserved for issuance under the 2019 LTIP.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2019 LTIP will be eligible for sale by the recipient in the public market, subject to the lock-up agreements and Rule 144 restrictions described above.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the date this offering is completed,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supply chain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nine months ended June 30, 2019 and 2018 and Note 10 of “Notes to Combined Financial Statements” for the three fiscal years ended September 30, 2018 included in this prospectus.</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also will enter into certain agreements with Post in connection with this offering and relating to our relationship with Post after this offering, which are described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enter into the following agreements with Post relating to this offering and our relationship with Post after this offering:</w:t>
      </w:r>
    </w:p>
    <w:p>
      <w:pPr>
        <w:spacing w:after="0" w:line="131" w:lineRule="exact"/>
        <w:rPr>
          <w:sz w:val="20"/>
          <w:szCs w:val="20"/>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master services agreement.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material terms to be included in each of these agreements are summarized below. The summary of each such agreement is qualified by reference in its entirety to the full text of the applicable agreement, each of which are or will be filed as an exhibit to the registration statement of which this prospectus is a part.</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will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among BellRing Brands, Inc., BellRing Brands, LLC and its subsidiaries, and Post and its subsidiaries (other than us), regarding the principal transactions required to effect the formation transactions and this offering, and will govern the relationship between Post and us after this offering. For a description of the formation transactions, see “Prospectus Summary—Formation Transactions.”</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 on the date this offering is completed:</w:t>
      </w:r>
    </w:p>
    <w:p>
      <w:pPr>
        <w:spacing w:after="0" w:line="76" w:lineRule="exact"/>
        <w:rPr>
          <w:sz w:val="20"/>
          <w:szCs w:val="20"/>
          <w:color w:val="auto"/>
        </w:rPr>
      </w:pPr>
    </w:p>
    <w:p>
      <w:pPr>
        <w:ind w:left="1180" w:right="200" w:hanging="544"/>
        <w:spacing w:after="0" w:line="312"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544"/>
        <w:spacing w:after="0" w:line="259"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 and</w:t>
      </w:r>
    </w:p>
    <w:p>
      <w:pPr>
        <w:spacing w:after="0" w:line="92" w:lineRule="exact"/>
        <w:rPr>
          <w:rFonts w:ascii="Arial" w:cs="Arial" w:eastAsia="Arial" w:hAnsi="Arial"/>
          <w:sz w:val="18"/>
          <w:szCs w:val="18"/>
          <w:color w:val="auto"/>
        </w:rPr>
      </w:pPr>
    </w:p>
    <w:p>
      <w:pPr>
        <w:ind w:left="1180" w:right="240" w:hanging="544"/>
        <w:spacing w:after="0" w:line="273"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independent liabilities of BellRing Brands, Inc. which are not otherwise included in the BellRing Brands, LLC Liabilities (such liabilities are referred to as the “BellRing Brands, Inc. Liabilities”), the BellRing Brands, LLC Assets and the BellRing Brands, LLC Liabilities (such assets and liabilities, other than the BellRing Brands, Inc. Liabilities,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consummation of this offering.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5"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i w:val="1"/>
          <w:iCs w:val="1"/>
          <w:color w:val="auto"/>
        </w:rPr>
        <w:t xml:space="preserve">Financial Reporting Covenants; Auditors and Audits; Annual Financial Statements and Accounting. </w:t>
      </w:r>
      <w:r>
        <w:rPr>
          <w:rFonts w:ascii="Arial" w:cs="Arial" w:eastAsia="Arial" w:hAnsi="Arial"/>
          <w:sz w:val="16"/>
          <w:szCs w:val="16"/>
          <w:color w:val="auto"/>
        </w:rPr>
        <w:t>Under the master transaction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BellRing Brands, Inc. and BellRing Brands, LLC will agree that, until such time as Post is no longer required to include, for any fiscal year presented in any Form 10-K of Post, the consolidated results of operations and financial position of BellRing Brands, Inc. or any of its subsidiaries or to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account for its investment in BellRing Brands, Inc. or any of its subsidiaries under the equity method of 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1180" w:hanging="544"/>
        <w:spacing w:after="0" w:line="255"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8" w:lineRule="exact"/>
        <w:rPr>
          <w:rFonts w:ascii="Arial" w:cs="Arial" w:eastAsia="Arial" w:hAnsi="Arial"/>
          <w:sz w:val="18"/>
          <w:szCs w:val="18"/>
          <w:color w:val="auto"/>
        </w:rPr>
      </w:pPr>
    </w:p>
    <w:p>
      <w:pPr>
        <w:ind w:left="1180" w:hanging="544"/>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jc w:val="both"/>
        <w:ind w:left="1180" w:right="60" w:hanging="544"/>
        <w:spacing w:after="0" w:line="279" w:lineRule="auto"/>
        <w:tabs>
          <w:tab w:leader="none" w:pos="11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NYSE (or such other national security exchange on which the Class A common stock is listed) and other public filings, press releases and public and private offering documents;</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jc w:val="both"/>
        <w:ind w:left="1180" w:right="40" w:hanging="544"/>
        <w:spacing w:after="0" w:line="342"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public filings;</w:t>
      </w:r>
    </w:p>
    <w:p>
      <w:pPr>
        <w:spacing w:after="0" w:line="29" w:lineRule="exact"/>
        <w:rPr>
          <w:rFonts w:ascii="Arial" w:cs="Arial" w:eastAsia="Arial" w:hAnsi="Arial"/>
          <w:sz w:val="16"/>
          <w:szCs w:val="16"/>
          <w:color w:val="auto"/>
        </w:rPr>
      </w:pPr>
    </w:p>
    <w:p>
      <w:pPr>
        <w:ind w:left="1180" w:right="120" w:hanging="544"/>
        <w:spacing w:after="0" w:line="302"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59" w:lineRule="exact"/>
        <w:rPr>
          <w:rFonts w:ascii="Arial" w:cs="Arial" w:eastAsia="Arial" w:hAnsi="Arial"/>
          <w:sz w:val="16"/>
          <w:szCs w:val="16"/>
          <w:color w:val="auto"/>
        </w:rPr>
      </w:pPr>
    </w:p>
    <w:p>
      <w:pPr>
        <w:ind w:left="1180" w:right="28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6" w:lineRule="exact"/>
        <w:rPr>
          <w:rFonts w:ascii="Arial" w:cs="Arial" w:eastAsia="Arial" w:hAnsi="Arial"/>
          <w:sz w:val="18"/>
          <w:szCs w:val="18"/>
          <w:color w:val="auto"/>
        </w:rPr>
      </w:pPr>
    </w:p>
    <w:p>
      <w:pPr>
        <w:ind w:left="1180" w:right="100" w:hanging="544"/>
        <w:spacing w:after="0" w:line="259"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1180" w:right="20" w:hanging="544"/>
        <w:spacing w:after="0" w:line="25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The master transaction agreement will provide for cross-indemnities principally designed to place financial responsibility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liabilities of our business with us and financial 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60" w:lineRule="exact"/>
        <w:rPr>
          <w:sz w:val="20"/>
          <w:szCs w:val="20"/>
          <w:color w:val="auto"/>
        </w:rPr>
      </w:pPr>
    </w:p>
    <w:p>
      <w:pPr>
        <w:ind w:left="1180" w:right="60" w:hanging="544"/>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Inc. Liabilities and the BellRing Brands, LLC Liabilities and, in the case of Post, would include the Post Liabilities) and the other ancillary agreements;</w:t>
      </w:r>
    </w:p>
    <w:p>
      <w:pPr>
        <w:spacing w:after="0" w:line="86"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failure of BellRing Brands, Inc., BellRing Brands, LLC or Post to pay, perform or otherwise promptly discharge any of the BellRing Brands, Inc. Liabilities, the BellRing Brands, LLC Liabilities or the Post Liabilities, respectively, in accordance with their terms, whether prior to, at or after the consummation of this offering;</w:t>
      </w:r>
    </w:p>
    <w:p>
      <w:pPr>
        <w:spacing w:after="0" w:line="86"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1180" w:right="280" w:hanging="544"/>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ind w:left="200" w:firstLine="4"/>
        <w:spacing w:after="0" w:line="268" w:lineRule="auto"/>
        <w:tabs>
          <w:tab w:leader="none" w:pos="4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or proxy statements following this offering to the extent (A) such information pertains to us or our business and (B) Post has provided prior written notice to us that such information will be included in one or more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Post or any of its subsidiaries (other than us), including as a result of any misstatement or omission of any information by Post to us).</w:t>
      </w:r>
    </w:p>
    <w:p>
      <w:pPr>
        <w:spacing w:after="0" w:line="18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and (2) provided by Post to us specifically for inclusion in BellRing Brands, Inc.’s annual, quarterly or current reports or proxy statements following this offering to the extent (A) such information pertains to (x) Post or (y) Post’s business (for the avoidance of doubt, other than our business) or (B) BellRing Brands, Inc. has provided written notice to Post that such information will be included in one or more of its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us, including as a result of any misstatement or omission of any information by us to Post).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Under the master transaction agreement, we will pay all costs, fees and expenses incurred in connection with this offering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 transactions (other than costs, fees and expenses relating to the Post bridge loan as described below), or, upon the request of Post, will reimburse Post or its subsidiaries (other than us) with respect to any such costs, fees and expenses previously paid by Post or its subsidiaries (other than us). BellRing Brands, LLC will, and will cause its subsidiaries to, pay all principal and interest under the Post bridge loan; provided, however, that costs, fees and expenses incurred prior to this offering in connection with obtaining the Post bridge loan will be borne solely by Post and its subsidiaries (other than us).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Following the completion of this offering, BellRing Brands, LLC will, and will cause its subsidiaries to, pay to Post an amount equal to the value of all cash and cash equivalents, in each case determined in accordance with GAAP, held by BellRing Brands, LLC and its subsidiaries as of immediately prior to the consummation of this offering.</w:t>
      </w:r>
    </w:p>
    <w:p>
      <w:pPr>
        <w:spacing w:after="0" w:line="18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employee matters agreement with Post. The employee matters agreement will cover a wide range of compensation and benefit matters, including the following:</w:t>
      </w:r>
    </w:p>
    <w:p>
      <w:pPr>
        <w:spacing w:after="0" w:line="87" w:lineRule="exact"/>
        <w:rPr>
          <w:sz w:val="20"/>
          <w:szCs w:val="20"/>
          <w:color w:val="auto"/>
        </w:rPr>
      </w:pPr>
    </w:p>
    <w:p>
      <w:pPr>
        <w:ind w:left="1180" w:right="180" w:hanging="544"/>
        <w:spacing w:after="0" w:line="259"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will continue participating in certain Post employee benefit plans and programs, with such participation to cease December 31, 2019 unless otherwise determined by Post. Effective January 1, 2020, we will establish and adopt certain replacement employee benefit plans, including our own 401(k) plan, and permit and facilitate the participation in such plans by our eligible employees (and their eligible dependents and beneficiaries);</w:t>
      </w:r>
    </w:p>
    <w:p>
      <w:pPr>
        <w:spacing w:after="0" w:line="92" w:lineRule="exact"/>
        <w:rPr>
          <w:rFonts w:ascii="Arial" w:cs="Arial" w:eastAsia="Arial" w:hAnsi="Arial"/>
          <w:sz w:val="18"/>
          <w:szCs w:val="18"/>
          <w:color w:val="auto"/>
        </w:rPr>
      </w:pPr>
    </w:p>
    <w:p>
      <w:pPr>
        <w:ind w:left="1180" w:right="40" w:hanging="544"/>
        <w:spacing w:after="0" w:line="297"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BellRing Brands, LLC will be responsible for any liabilities associated with the participation by our employees, former employees and their dependents and beneficiaries in the Post Holdings, Inc. Health and Welfare Benefit Plan prior to terminating their participation in such plan, and should we or any of our subsidiaries adopt a nonqualified deferred compensation plan, we, or the applicable subsidiary, will assume all liabilities associated with payment of account balances attributable to our employees or former employees under the Post Holdings, Inc. Deferred Compensation Plan for Key Employees and the Post Holdings, Inc. Executive Savings Investment Plan;</w:t>
      </w:r>
    </w:p>
    <w:p>
      <w:pPr>
        <w:spacing w:after="0" w:line="63" w:lineRule="exact"/>
        <w:rPr>
          <w:rFonts w:ascii="Arial" w:cs="Arial" w:eastAsia="Arial" w:hAnsi="Arial"/>
          <w:sz w:val="16"/>
          <w:szCs w:val="16"/>
          <w:color w:val="auto"/>
        </w:rPr>
      </w:pPr>
    </w:p>
    <w:p>
      <w:pPr>
        <w:ind w:left="1180" w:right="40" w:hanging="544"/>
        <w:spacing w:after="0" w:line="255"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otherwise provided in the employee matters agreement, BellRing Brands, LLC will, or will cause its subsidiaries, to assume or retain, to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our former employees and their dependents and beneficiaries; provided, that if any employee or former employee to which any such liability relates is or was an employee exclusively of BellRing Brands, Inc. at the time such liability arose, BellRing Brands, Inc. will pay, perform, fulfill and discharge such liability in due course and in full; and</w:t>
      </w:r>
    </w:p>
    <w:p>
      <w:pPr>
        <w:spacing w:after="0" w:line="94" w:lineRule="exact"/>
        <w:rPr>
          <w:rFonts w:ascii="Arial" w:cs="Arial" w:eastAsia="Arial" w:hAnsi="Arial"/>
          <w:sz w:val="18"/>
          <w:szCs w:val="18"/>
          <w:color w:val="auto"/>
        </w:rPr>
      </w:pPr>
    </w:p>
    <w:p>
      <w:pPr>
        <w:ind w:left="1180" w:right="20" w:hanging="544"/>
        <w:spacing w:after="0" w:line="308"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will establish a non-qualified deferred compensation plan for eligible members of the BellRing Brands, Inc. board of directors effective January 1, 2020, and permit and facilitate the participation in such plan by eligible directors of BellRing Brands, Inc.</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Additionally, under the employee matters agreement, we will use commercially reasonable efforts to maintain effective registration statements with the SEC with respect to the 2019 LTIP or any successor plan, and any equity awards issued thereunder. Restricted stock unit awards and nonqualified stock option awards issued to employees of BellRing Brands, LLC or its subsidiaries (or their predecessors) under certain Post long-term incentive plans which remain unsettled or outstanding as of the date of this offering, and any such awards issued to our employees after the date of this offering, will (i) vest or continue to vest and be settled or forfeited according to their terms, or (ii) later, if legally permissible as determined by Post and the Post board of directors or its corporate governance and compensation committee and agreed to by the BellRing Brands, Inc. board of directors, be converted into awards issued under the 2019 LTIP or any successor thereto.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Post’s long-term incentive plans and any applicable award agreements thereunder. BellRing Brands, LLC and its subsidiaries will bear the monthly actual expense and the employer related payroll expense of any such outstanding awards while outstanding and due to their settlement or exercise.</w:t>
      </w:r>
    </w:p>
    <w:p>
      <w:pPr>
        <w:spacing w:after="0" w:line="17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and Post may terminate the employee matters agreement by mutual consent, and Post may terminate the employee matters agreement in the event of a change of control of Post, or a change of control of BellRing Brands, Inc. or the sale of all or substantially all of its consolidated assets. In the event that BellRing Brands, Inc. directly or indirectly acquires or creates a subsidiary which is not otherwise a direct or indirect subsidiary of BellRing Brands, LLC and which employs employees, Post, BellRing Brands, Inc. and BellRing Brands, LLC will re-negotiate the employee matters agreement in good faith in order to, among other items, reflect that such new subsidiary will be responsible for liabilities associated with its employees.</w:t>
      </w:r>
    </w:p>
    <w:p>
      <w:pPr>
        <w:spacing w:after="0" w:line="158"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Investor Rights Agreement. </w:t>
      </w:r>
      <w:r>
        <w:rPr>
          <w:rFonts w:ascii="Arial" w:cs="Arial" w:eastAsia="Arial" w:hAnsi="Arial"/>
          <w:sz w:val="17"/>
          <w:szCs w:val="17"/>
          <w:color w:val="auto"/>
        </w:rPr>
        <w:t>As part of the formation transactions and this offering, BellRing Brands, Inc. will enter into the investor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Post. The investor rights agreement will provide Post with certain demand, shelf and piggyback registration rights with respect to its shares of BellRing Brands, Inc. Class A common stock and also will provide Post with certain governance rights, depending on the percentage of the total voting power of BellRing Brands, Inc. outstanding common stock held by Post.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1180" w:right="540" w:hanging="544"/>
        <w:spacing w:after="0" w:line="342" w:lineRule="auto"/>
        <w:tabs>
          <w:tab w:leader="none" w:pos="11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29" w:lineRule="exact"/>
        <w:rPr>
          <w:rFonts w:ascii="Arial" w:cs="Arial" w:eastAsia="Arial" w:hAnsi="Arial"/>
          <w:sz w:val="16"/>
          <w:szCs w:val="16"/>
          <w:color w:val="auto"/>
        </w:rPr>
      </w:pPr>
    </w:p>
    <w:p>
      <w:pPr>
        <w:ind w:left="1180" w:right="320" w:hanging="544"/>
        <w:spacing w:after="0" w:line="308" w:lineRule="auto"/>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once we are eligible to do so, Post and its affiliates will have the right to cause us to file and have declared effective a shelf registration statement on Form S-3 with respect to all of their shares of BellRing Brands, Inc. Class A common stock;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investor rights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the completion of this offering, our Board of Directors will have five members, divided into three classes. The investor rights agreement will provide that Post, subject to applicable corporate governance rules of the SEC and the NYSE (which may require Post to designate independent directors), will have the right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designate: (i) a majority of the directors (and if the number of directors is even, one director more than 50% of the number of directors) if the votes that may be cast by Post under our amended and restated certificate of incorporation are more than 50% of the total voting power of our outstanding common stock, (ii) one less than a majority of the directors (and if the number of directors is even, 50% of the number of directors) if the votes that may be cast by Post under our amended and restated certificate of incorporation are more than 25% but 50% or less of the total voting power of our outstanding common stock and (iii) one-third of the directors (rounded down to the nearest whole number)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If a vacancy is created on our Board of Directors as a result of the death, disability, retirement, resignation or removal of a director who was designated by Post, Post will have the right to designate such person’s replacement. For so long as the votes that may be cast by Post under our amended and restated certificate of incorporation are 25% or more of the outstanding BellRing Brands, Inc. common stock, Post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and will use reasonable best efforts to cause such person to be elected as a director.</w:t>
      </w:r>
    </w:p>
    <w:p>
      <w:pPr>
        <w:spacing w:after="0" w:line="17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166"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i w:val="1"/>
          <w:iCs w:val="1"/>
          <w:color w:val="auto"/>
        </w:rPr>
        <w:t>Amended and Restated Limited Liability Company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formation transactions and this offering, BellRing Brands,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and BellRing Brands, LLC will enter into 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184"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i w:val="1"/>
          <w:iCs w:val="1"/>
          <w:color w:val="auto"/>
        </w:rPr>
        <w:t>Reorganization</w:t>
      </w:r>
      <w:r>
        <w:rPr>
          <w:rFonts w:ascii="Arial" w:cs="Arial" w:eastAsia="Arial" w:hAnsi="Arial"/>
          <w:sz w:val="18"/>
          <w:szCs w:val="18"/>
          <w:color w:val="auto"/>
        </w:rPr>
        <w:t>. As part of the formation transactions, BellRing Brands, LLC will establish two new classes of its common units,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 reclassified into 97,474,179 BellRing Brands, LLC Units in connection with the formation transactions. In connection with the formation transactions and this offering, additional BellRing Brands, LLC Units will be issued to BellRing Brands, Inc. as described under “Prospectus Summary—Formation Transactions.” The Board of Managers may cause BellRing Brands, LLC to issue from time to time such additional units or other equity securities as it may determine.</w:t>
      </w:r>
    </w:p>
    <w:p>
      <w:pPr>
        <w:spacing w:after="0" w:line="19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not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common stock (for so long as Post or its affiliates (other than us) directly own more than 50% of the BellRing Brands, LLC Units as set forth in this prospectus) and the investor rights agreement, which will give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18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other BellRing Brands, LLC Unit.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5"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4"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will provide,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obligations of BellRing Brands, Inc.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If and to the extent any such reimbursements constitute gross income to BellRing Brands, Inc. or any of its affiliates, such amounts will be treated as “guaranteed payments” within the meaning of Code Section 707(c) and will not be treated as distributions for purposes of computing the capital accounts of BellRing Brands, LLC’s members.</w:t>
      </w:r>
    </w:p>
    <w:p>
      <w:pPr>
        <w:spacing w:after="0" w:line="185"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provided, that the net proceeds BellRing Brands, Inc. receives with respect to the corresponding economic company security, if any, must be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concurrently contributed to BellRing Brands, LLC, subject to certain exceptions; provided further, that if BellRing Brands, Inc.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BellRing Brands, Inc. is not required to contribute such net proceeds to BellRing Brands, LLC.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7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Class A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for so long as Post holds at least 10% of the BellRing Brands, LLC Units.</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Transfer of BellRing Brands, LLC Units</w:t>
      </w:r>
      <w:r>
        <w:rPr>
          <w:rFonts w:ascii="Arial" w:cs="Arial" w:eastAsia="Arial" w:hAnsi="Arial"/>
          <w:sz w:val="16"/>
          <w:szCs w:val="16"/>
          <w:color w:val="auto"/>
        </w:rPr>
        <w:t>. No member of BellRing Brands, LLC may directly or indirectly transfer all or any part of its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60" w:lineRule="exact"/>
        <w:rPr>
          <w:sz w:val="20"/>
          <w:szCs w:val="20"/>
          <w:color w:val="auto"/>
        </w:rPr>
      </w:pPr>
    </w:p>
    <w:p>
      <w:pPr>
        <w:ind w:left="1180" w:right="280" w:hanging="544"/>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pursuant to a tender offer, share exchange offer, issuer bid, take-over bid, recapitalization or similar transaction with respect to Class A common stock or a merger, consolidation or other business combination of BellRing Brands, Inc.;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by Post to another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in connection with a redemption of BellRing Brands, LLC Units (as described below under “—Redemption Rights”);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transfers of restricted securities (as defined in the investor rights agreement) in accordance with the investor rights agreement;</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544"/>
        <w:spacing w:after="0" w:line="264"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transfers by Post in connection with any distribution of its beneficial retained interest in BellRing Brands, LLC to its shareholders (including transfers to a subsidiary of Post in connection therewith (whether or not accompanied by a merger of such subsidiary with BellRing Brands, Inc. or any of its subsidiaries));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transfer of shares of our Class A common stock.</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in either case,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w:t>
      </w:r>
    </w:p>
    <w:p>
      <w:pPr>
        <w:spacing w:after="0" w:line="2" w:lineRule="exact"/>
        <w:rPr>
          <w:sz w:val="20"/>
          <w:szCs w:val="20"/>
          <w:color w:val="auto"/>
        </w:rPr>
      </w:pPr>
    </w:p>
    <w:p>
      <w:pPr>
        <w:ind w:left="200" w:firstLine="4"/>
        <w:spacing w:after="0" w:line="273" w:lineRule="auto"/>
        <w:tabs>
          <w:tab w:leader="none" w:pos="4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pursuant to a tender offer, share exchange offer, issuer bid, take-over bid, recapitalization or similar transaction with respect to Class A common stock or a merger, consolidation or other business combination of BellRing Brands, Inc., (ii) as part of a redemption of BellRing Brands, LLC Units, (iii) of “registrable securities” (as defined in the investor rights agreement) in accordance with the investor rights agreement, (iv) as part of any distribution of its beneficial retained interest in BellRing Brands, LLC to its shareholders or (v) of shares of our Class A common stock.</w:t>
      </w:r>
    </w:p>
    <w:p>
      <w:pPr>
        <w:spacing w:after="0" w:line="17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6" w:lineRule="exact"/>
        <w:rPr>
          <w:sz w:val="20"/>
          <w:szCs w:val="20"/>
          <w:color w:val="auto"/>
        </w:rPr>
      </w:pPr>
    </w:p>
    <w:p>
      <w:pPr>
        <w:ind w:left="1180" w:right="120" w:hanging="544"/>
        <w:spacing w:after="0" w:line="264"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6"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2" w:lineRule="exact"/>
        <w:rPr>
          <w:rFonts w:ascii="Arial" w:cs="Arial" w:eastAsia="Arial" w:hAnsi="Arial"/>
          <w:sz w:val="18"/>
          <w:szCs w:val="18"/>
          <w:color w:val="auto"/>
        </w:rPr>
      </w:pPr>
    </w:p>
    <w:p>
      <w:pPr>
        <w:ind w:left="1180" w:right="140" w:hanging="544"/>
        <w:spacing w:after="0" w:line="297" w:lineRule="auto"/>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Redemption Rights</w:t>
      </w:r>
      <w:r>
        <w:rPr>
          <w:rFonts w:ascii="Arial" w:cs="Arial" w:eastAsia="Arial" w:hAnsi="Arial"/>
          <w:sz w:val="17"/>
          <w:szCs w:val="17"/>
          <w:color w:val="auto"/>
        </w:rPr>
        <w:t>. Each member (other than us) will have the right to cause BellRing Brands, LLC to redeem its BellRing Brands, LLC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at BellRing Brands, LLC’s option (as determined by its Board of Managers), (i) shares of our Class A common stock or (ii)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7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their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claims, damages or liabilities incurred by reason of any act or omission performed or omitted by such covered person in good faith on behalf of BellRing Brands, LLC.</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Amendments. </w:t>
      </w:r>
      <w:r>
        <w:rPr>
          <w:rFonts w:ascii="Arial" w:cs="Arial" w:eastAsia="Arial" w:hAnsi="Arial"/>
          <w:sz w:val="17"/>
          <w:szCs w:val="17"/>
          <w:color w:val="auto"/>
        </w:rPr>
        <w:t>The amended and restated limited liability company agreement may not be amended without the prior written consent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Managers and of members holding a majority in interest of BellRing Brands, LLC Units, except that the Board of Managers, acting alone, may amend the amended and restated limited liability company agreement (i) to reflect the admission of new members or transfers of units, as provided by and in accordance with the terms of the amended and restated limited liability company agreement, (ii) to effect any subdivisions or combinations of units made in compliance with the amended and restated limited liability company agreement and (iii) to issue additional BellRing Brands, LLC Units or any new class of units in accordance with the terms of the amended and restated limited liability company agreement.</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Post (or certain of its transferees or assignees) may redeem BellRing Brands, LLC Units for, at the option of BellRing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Brands, LLC (as determined by its Board of Managers), shares of our Class A common stock or cash pursuant to the amended and restated limited liability company agreement. See “—Amended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share of the tax basis of BellRing Brands, LLC’s assets that otherwise would not have been available to us.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6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closing of this offering, BellRing Brands, Inc. will enter into the tax receivable agreement with Post and BellRing Brands, LLC. Under the tax receivable agreement, we will be required to make cash payments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Any payments made by us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to the tax receivable agreement. BellRing Brands, LLC will have in effect an election under Section 754 of the Code effective for each taxable year in which a redemption of BellRing Brands, LLC Units for shares of our Class A common stock or cash occurs. Payments under the tax receivable agreement are not conditioned on Post’s continued ownership of BellRing Brands, LLC Units or our Class A common stock or Class B common stock after this offering. The rights of Post under the tax receivable agreement are assignable to transferees of Post’s BellRing Brands, LLC Units (other than us as transferee pursuant to subsequent redemptions of the transferred BellRing Brands, LLC Units).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We expect to benefit from the remaining 15% of tax benefits, if any, that we may realize (or in some cases, are deemed to realize). The payment obligations under the tax receivable agreement are obligations of BellRing Brands, Inc. and not of BellRing Brands, LLC.</w:t>
      </w:r>
    </w:p>
    <w:p>
      <w:pPr>
        <w:spacing w:after="0" w:line="18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6" w:lineRule="exact"/>
        <w:rPr>
          <w:sz w:val="20"/>
          <w:szCs w:val="20"/>
          <w:color w:val="auto"/>
        </w:rPr>
      </w:pPr>
    </w:p>
    <w:p>
      <w:pPr>
        <w:ind w:left="1180" w:right="80" w:hanging="544"/>
        <w:spacing w:after="0" w:line="264"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in connection with this offering and at the time of redemptions</w:t>
      </w:r>
      <w:r>
        <w:rPr>
          <w:rFonts w:ascii="Arial" w:cs="Arial" w:eastAsia="Arial" w:hAnsi="Arial"/>
          <w:sz w:val="18"/>
          <w:szCs w:val="18"/>
          <w:color w:val="auto"/>
        </w:rPr>
        <w:t>—the basis adjustments,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any related increase in any tax deductions, is directly related to the price of shares of our Class A common stock at the time of the closing of this offering and each redemption;</w:t>
      </w:r>
    </w:p>
    <w:p>
      <w:pPr>
        <w:spacing w:after="0" w:line="86"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the timing of any redemptions</w:t>
      </w:r>
      <w:r>
        <w:rPr>
          <w:rFonts w:ascii="Arial" w:cs="Arial" w:eastAsia="Arial" w:hAnsi="Arial"/>
          <w:sz w:val="18"/>
          <w:szCs w:val="18"/>
          <w:color w:val="auto"/>
        </w:rPr>
        <w:t>—for instance, the increase in any tax deductions will vary depending on the fair value, which may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180" w:right="48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are taxable</w:t>
      </w:r>
      <w:r>
        <w:rPr>
          <w:rFonts w:ascii="Arial" w:cs="Arial" w:eastAsia="Arial" w:hAnsi="Arial"/>
          <w:sz w:val="18"/>
          <w:szCs w:val="18"/>
          <w:color w:val="auto"/>
        </w:rPr>
        <w:t>—if a redemption is not taxable for any reason, increased tax deductions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any future changes in federal tax laws</w:t>
      </w:r>
      <w:r>
        <w:rPr>
          <w:rFonts w:ascii="Arial" w:cs="Arial" w:eastAsia="Arial" w:hAnsi="Arial"/>
          <w:sz w:val="18"/>
          <w:szCs w:val="18"/>
          <w:color w:val="auto"/>
        </w:rPr>
        <w:t>—if future changes in federal tax laws result in changes in the amount and timing of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changes to interest expense limitations);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any future changes in federal corporate income tax rates.</w:t>
      </w:r>
    </w:p>
    <w:p>
      <w:pPr>
        <w:spacing w:after="0" w:line="225"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(using assumed state and local tax rates on a base equal to the U.S. federal taxable income of BellRing Brands, Inc.) to the amount of such taxes that we would have been required to pay had there been no basis adjustments, or disproportionate allocations of tax benefits to BellRing Brands, Inc. as a result of Section 704(c) of the Code, and had the tax receivable agreement not been entered into. The tax receivable agreement will generally apply to each of our taxable years, beginning with the first taxable year ending after the consummation of this offering. There is no maximum term for the tax receivable agreement; however, the tax receivable agreement may be voluntarily terminated by a majority of our independent directors pursuant to an early termination procedure and will be terminated upon the occurrence of certain mergers, asset sales, other forms of business combination or other changes of control (but specifically excluding any distributions by Post of its retained beneficial interest in BellRing Brands, LLC by means of a spin-off to its shareholders) or our material breach of our material obligations under the tax receivable agreement, and in each case we will be obligated to pay Post (and its transferees and assignees) an agreed upon amount equal to the estimated present value of the remaining payments to be made under the tax receivable agreement (calculated based on certain assumptions, including regarding tax rates and utilization of the basis adjustments).</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 – including tax-free “spin-off” or “split-off” transactions (which are not expected to result in adjustments to the tax basis of the assets of BellRing Brands, LLC). Post (or its transferees or assignees) may nevertheless determine to engage in redemptions or exchanges in its sole discretion.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92"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Post (or its assignees or transferees)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7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tax receivable agreement will provide that, upon a merger, asset sale or other form of business combination or certain other changes of control or if, at any time, a majority of our independent directors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As a result of the foregoing, we would be required to make an immediate cash payment equal to the estimated present value of the anticipated future tax benefits that are the subject of the tax receivable agreement (using a discount rate equal to the lesser of 6.5% per annum, compounded annually, and LIBOR plus 300 basis points), which payment may be made significantly in advance of the actual realization, if</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any, of those future tax benefits and, therefore, we could be required to make payments under the tax receivable agreement that are greater than the specified percentage of the actual tax benefits we ultimately realize.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Such obligations under the tax receivable agreement, however, would not arise if Post distributes its beneficial retained interest in BellRing Brands, LLC by means of a spin-off to its shareholders. For an illustration of the amount, based upon certain assumptions, that would be payable by BellRing Brands, Inc. under the tax receivable agreement if a majority of our independent directors were to elect to terminate the tax receivable agreement immediately after this offering, see “Unaudited Pro Forma Condensed Consolidated Financial Information.”</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If the outcome of any such challenge would reasonably be expected to materially affect a recipient’s payments under the tax receivable agreement, then we will not be permitted to settle or to fail to contest such challenge without the consent (not to be unreasonably withheld or delayed) of Post (and its transferees and assignees), and any such restrictions will apply for as long as the tax receivable agreement remains in effect.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w:t>
      </w:r>
    </w:p>
    <w:p>
      <w:pPr>
        <w:spacing w:after="0" w:line="15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its ownership of BellRing Brands, LLC Units, and will have no independent means of generating revenue or cash flow. We expect that BellRing Brands, LLC will make distributions pro rata to holders of BellRing Brands, LLC Units in an amount sufficient to allow us to pay our tax obligations in respect of taxable income allocated to us from BellRing Brands, LLC, any payments due under the tax receivable agreement and our operating expenses, which could be significant.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If BellRing Brands, LLC does not distribute sufficient funds for us to pay</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operating expenses, including taxes and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could result in the acceleration of payments due under the tax receivable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Inc. and BellRing Brands, LLC will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 matters agreement 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consolidated, combined, unitary or separate tax returns of BellRing Brands, LLC or any of its subsidiaries as determined under the tax matters agreement. In the event that BellRing Brands, Inc. is included in any consolidated, combined or unitary tax return of Post or any of its subsidiaries, then to the extent Post is required to pay any taxes of BellRing Brands, Inc. that are not otherwise attributable to BellRing Brands, LLC or its subsidiaries, or any separate tax attributes of Post or its subsidiaries (other than us) are used to offset such taxes, Post and BellRing Brands, Inc. will be responsible for such taxes as if BellRing Brands, Inc. were BellRing Brands, LLC.</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the tax matters agreement, for so long as BellRing Brands, LLC or any of its subsidiaries are includable in any consolidated income tax return required to be filed by Post, Post will maintain separate calculations of the separate taxes and tax attributes of BellRing Brands, LLC and its subsidiaries, on the one hand, and Post and each person required to join in a tax return on a consolidated, combined or unitary basis (other than BellRing Brands, LLC and its subsidiaries), on the other hand. To the extent that BellRing Brands, LLC or any of its subsidiaries are required to be included in any consolidated income tax return required to be filed by Post, Post will prepare and file (or cause to be prepared and filed) each such return and will pay or cause to be paid all taxes due in respect thereof. In such event, BellRing Brands, LLC will pay to Post an amount of any taxes attributable to BellRing Brands, LLC and its subsidiaries that are actually paid by Post in respect of any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such return, subject to certain offsets or additional payments relating to tax liability that is reduced by separate tax attributes of one group or another to the extent the tax liability for a later tax period is greater than it would have been had such separate tax attribute not been used to reduce tax liability in a prior tax period. In the event of an audit of Post, on the one hand, or BellRing Brands, LLC or any of its subsidiaries, on the other hand, the entity being audited will notify the other party of, and keep it reasonably informed with respect to, the portion of such audit the outcome of which is reasonably expected to affect the other party’s rights and obligations under the tax matters agreement. The other party will have the right to participate in (but not control) and to monitor any such portion of such audit at its own expense, and the audited party will not settle or fail to contest any issue reasonably expected to materially affect the other party’s rights or obligations under the agreement without the other party’s prior written consent, such consent not to be unreasonably withheld, conditioned or delayed.</w:t>
      </w:r>
    </w:p>
    <w:p>
      <w:pPr>
        <w:spacing w:after="0" w:line="179"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Master Services Agreement. </w:t>
      </w:r>
      <w:r>
        <w:rPr>
          <w:rFonts w:ascii="Arial" w:cs="Arial" w:eastAsia="Arial" w:hAnsi="Arial"/>
          <w:sz w:val="18"/>
          <w:szCs w:val="18"/>
          <w:color w:val="auto"/>
        </w:rPr>
        <w:t>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master services agreement with Post, pursuant to which we and Post currently expect that Post will provide some combination of the following services, among others, to us following completion of this offering:</w:t>
      </w:r>
    </w:p>
    <w:p>
      <w:pPr>
        <w:spacing w:after="0" w:line="87" w:lineRule="exact"/>
        <w:rPr>
          <w:sz w:val="20"/>
          <w:szCs w:val="20"/>
          <w:color w:val="auto"/>
        </w:rPr>
      </w:pPr>
    </w:p>
    <w:p>
      <w:pPr>
        <w:ind w:left="1180" w:right="60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use of office and/or data center space;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charges for these services will be agreed upon prior to the completion of this offering. In general, the services to be provided by Post will begin on the date of the completion of this offering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BellRing Brands, Inc. or the sale of all or substantially all of the consolidated assets of Post or BellRing Brands, Inc., (ii) any services provided to a subsidiary of BellRing Brands, Inc. in the event of a change of control of the subsidiary or the sale of all or substantially all of its assets, (iii) any services provided to a business line or operating division of BellRing Brands, Inc. or its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Upon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7" w:lineRule="exact"/>
        <w:rPr>
          <w:sz w:val="20"/>
          <w:szCs w:val="20"/>
          <w:color w:val="auto"/>
        </w:rPr>
      </w:pPr>
    </w:p>
    <w:p>
      <w:pPr>
        <w:ind w:left="1180" w:right="220" w:hanging="544"/>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240" w:top="459"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1180" w:hanging="544"/>
        <w:spacing w:after="0"/>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1180" w:right="360" w:hanging="544"/>
        <w:spacing w:after="0" w:line="291"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w:t>
      </w:r>
    </w:p>
    <w:p>
      <w:pPr>
        <w:ind w:left="1180" w:right="320" w:hanging="4"/>
        <w:spacing w:after="0" w:line="261" w:lineRule="auto"/>
        <w:tabs>
          <w:tab w:leader="none" w:pos="14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for U.S. federal income tax purposes.</w:t>
      </w:r>
    </w:p>
    <w:p>
      <w:pPr>
        <w:spacing w:after="0" w:line="184"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ind w:left="200" w:right="220" w:firstLine="4"/>
        <w:spacing w:after="0" w:line="271" w:lineRule="auto"/>
        <w:tabs>
          <w:tab w:leader="none" w:pos="4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7" w:lineRule="exact"/>
        <w:rPr>
          <w:sz w:val="20"/>
          <w:szCs w:val="20"/>
          <w:color w:val="auto"/>
        </w:rPr>
      </w:pPr>
    </w:p>
    <w:p>
      <w:pPr>
        <w:ind w:left="1180" w:hanging="544"/>
        <w:spacing w:after="0" w:line="277"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9" w:lineRule="exact"/>
        <w:rPr>
          <w:sz w:val="20"/>
          <w:szCs w:val="20"/>
          <w:color w:val="auto"/>
        </w:rPr>
      </w:pPr>
    </w:p>
    <w:p>
      <w:pPr>
        <w:ind w:left="1180" w:hanging="544"/>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1180" w:hanging="544"/>
        <w:spacing w:after="0" w:line="342" w:lineRule="auto"/>
        <w:tabs>
          <w:tab w:leader="none" w:pos="11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Citigroup Global Markets Inc., J.P. Morgan Securities LLC and Goldman Sachs &amp; Co.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422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500" w:type="dxa"/>
            <w:vAlign w:val="bottom"/>
          </w:tcPr>
          <w:p>
            <w:pPr>
              <w:jc w:val="center"/>
              <w:ind w:left="1648"/>
              <w:spacing w:after="0"/>
              <w:rPr>
                <w:sz w:val="20"/>
                <w:szCs w:val="20"/>
                <w:color w:val="auto"/>
              </w:rPr>
            </w:pPr>
            <w:r>
              <w:rPr>
                <w:rFonts w:ascii="Arial" w:cs="Arial" w:eastAsia="Arial" w:hAnsi="Arial"/>
                <w:sz w:val="14"/>
                <w:szCs w:val="14"/>
                <w:b w:val="1"/>
                <w:bCs w:val="1"/>
                <w:color w:val="auto"/>
                <w:w w:val="92"/>
              </w:rPr>
              <w:t>Number of Shares of Class A</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500" w:type="dxa"/>
            <w:vAlign w:val="bottom"/>
          </w:tcPr>
          <w:p>
            <w:pPr>
              <w:jc w:val="center"/>
              <w:ind w:left="1648"/>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SunTrust Robinson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Rabo Securities USA,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tbl>
      <w:tblPr>
        <w:tblLayout w:type="fixed"/>
        <w:tblInd w:w="222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r>
      <w:tr>
        <w:trPr>
          <w:trHeight w:val="20"/>
        </w:trPr>
        <w:tc>
          <w:tcPr>
            <w:tcW w:w="58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5"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ind w:left="200" w:right="20" w:firstLine="4"/>
        <w:spacing w:after="0" w:line="255"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Certain of the underwriters may offer and sell the Class A common stock through one or more of their respective affiliates or selling agents.</w:t>
      </w:r>
    </w:p>
    <w:p>
      <w:pPr>
        <w:spacing w:after="0" w:line="19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4,500,000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following tables show the per share and total public offering price, underwriting discounts and commissions, and proceeds before expenses to us. Such amounts are shown assuming both no exercise and full exercise of the underwriters’ option to purchase up to an additional 4,500,000 shares of Class A common stock.</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b w:val="1"/>
                <w:bCs w:val="1"/>
                <w:color w:val="auto"/>
                <w:w w:val="99"/>
              </w:rPr>
              <w:t>No Exercise</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6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6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$8.0 million. We have agreed to reimburse the underwriters for expenses relating to clearance of this offering with the Financial Industry Regulatory Authority, or FINRA, up to $30,000.</w:t>
      </w:r>
    </w:p>
    <w:p>
      <w:pPr>
        <w:spacing w:after="0" w:line="18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received approval to have our Class A common stock approved for listing on the NYSE under the trading symbol “BRBR”.</w:t>
      </w:r>
    </w:p>
    <w:p>
      <w:pPr>
        <w:spacing w:after="0" w:line="225"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ind w:left="200" w:right="200" w:firstLine="4"/>
        <w:spacing w:after="0" w:line="261" w:lineRule="auto"/>
        <w:tabs>
          <w:tab w:leader="none" w:pos="4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89" w:lineRule="exact"/>
        <w:rPr>
          <w:rFonts w:ascii="Arial" w:cs="Arial" w:eastAsia="Arial" w:hAnsi="Arial"/>
          <w:sz w:val="18"/>
          <w:szCs w:val="18"/>
          <w:color w:val="auto"/>
        </w:rPr>
      </w:pPr>
    </w:p>
    <w:p>
      <w:pPr>
        <w:ind w:left="1180" w:right="100" w:hanging="544"/>
        <w:spacing w:after="0" w:line="264" w:lineRule="auto"/>
        <w:tabs>
          <w:tab w:leader="none" w:pos="1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jc w:val="both"/>
        <w:ind w:left="200" w:right="640" w:firstLine="441"/>
        <w:spacing w:after="0" w:line="342" w:lineRule="auto"/>
        <w:rPr>
          <w:sz w:val="20"/>
          <w:szCs w:val="20"/>
          <w:color w:val="auto"/>
        </w:rPr>
      </w:pPr>
      <w:r>
        <w:rPr>
          <w:rFonts w:ascii="Arial" w:cs="Arial" w:eastAsia="Arial" w:hAnsi="Arial"/>
          <w:sz w:val="16"/>
          <w:szCs w:val="16"/>
          <w:color w:val="auto"/>
        </w:rPr>
        <w:t>The restrictions in the immediately preceding paragraph do not apply to our directors, officers or other holders of our outstanding Class A common stock or other securities who are parties to the lock-up agreements in certain circumstances including, but not limited to, the following:</w:t>
      </w:r>
    </w:p>
    <w:p>
      <w:pPr>
        <w:spacing w:after="0" w:line="29" w:lineRule="exact"/>
        <w:rPr>
          <w:sz w:val="20"/>
          <w:szCs w:val="20"/>
          <w:color w:val="auto"/>
        </w:rPr>
      </w:pPr>
    </w:p>
    <w:p>
      <w:pPr>
        <w:ind w:left="5580" w:right="2340" w:hanging="4944"/>
        <w:spacing w:after="0" w:line="449" w:lineRule="auto"/>
        <w:tabs>
          <w:tab w:leader="none" w:pos="117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distributions of common stock or BellRing Brands, LLC Units to a party’s limited partners or stockholders; 178</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77"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transfers of common stock or BellRing Brands, LLC Units to any trust for the direct or indirect benefit of the party or his or her immediate family;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w:t>
      </w:r>
    </w:p>
    <w:p>
      <w:pPr>
        <w:spacing w:after="0" w:line="142" w:lineRule="exact"/>
        <w:rPr>
          <w:rFonts w:ascii="Arial" w:cs="Arial" w:eastAsia="Arial" w:hAnsi="Arial"/>
          <w:sz w:val="17"/>
          <w:szCs w:val="17"/>
          <w:color w:val="auto"/>
        </w:rPr>
      </w:pPr>
    </w:p>
    <w:p>
      <w:pPr>
        <w:jc w:val="both"/>
        <w:ind w:left="1180" w:right="180" w:hanging="544"/>
        <w:spacing w:after="0" w:line="264"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surrenders of common stock or BellRing Brands, LLC Units to the Company in payment of the exercise price of any options to purchase common stock or BellRing Brands, LLC Units, or withholdings in respect of tax obligations of common stock or BellRing Brands, LLC Units which were issuable upon such exercise;</w:t>
      </w:r>
    </w:p>
    <w:p>
      <w:pPr>
        <w:spacing w:after="0" w:line="86"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sales or dispositions of shares of common stock solely for the purpose of sufficiently covering tax obligations which arise from the exercise or vesting of stock options or restricted stock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offers and sales of common stock pursuant to this offering;</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recapitalization of the Company’s capital stock into shares of Class A common stock and one share of Class B common stock, and the redemption of BellRing Brands, LLC Units in exchange for shares of Class A common stock;</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transfers of common stock or BellRing Brands, LLC Units acquired in open market transactions after the completion of this offering; or</w:t>
      </w:r>
    </w:p>
    <w:p>
      <w:pPr>
        <w:spacing w:after="0" w:line="153" w:lineRule="exact"/>
        <w:rPr>
          <w:rFonts w:ascii="Arial" w:cs="Arial" w:eastAsia="Arial" w:hAnsi="Arial"/>
          <w:sz w:val="16"/>
          <w:szCs w:val="16"/>
          <w:color w:val="auto"/>
        </w:rPr>
      </w:pPr>
    </w:p>
    <w:p>
      <w:pPr>
        <w:ind w:left="1180" w:right="440" w:hanging="544"/>
        <w:spacing w:after="0" w:line="277"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offers or transfers of common stock pursuant to a bona fide third-party tender offer, merger, consolidation or similar transaction to all holders of the Company’s capital stock involving a change of control of the Company.</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lock-up restrictions described above do not apply to us with respect to certain transactions, including issuances (or contemplated issuances) of common stock (including securities convertible into or exercisable or exchangeable for common stock) in connection with an acquisition or strategic or minority investment transaction.</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Morgan Stanley &amp; Co. LLC, Citigroup Global Markets Inc., J.P. Morgan Securities LLC and Goldman Sachs &amp; Co. LLC, in their sole discretion, may release the common stock and other securities subject to the lock-up agreements described above in whole or in part at any time.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w:t>
      </w:r>
    </w:p>
    <w:p>
      <w:pPr>
        <w:spacing w:after="0" w:line="5" w:lineRule="exact"/>
        <w:rPr>
          <w:sz w:val="20"/>
          <w:szCs w:val="20"/>
          <w:color w:val="auto"/>
        </w:rPr>
      </w:pPr>
    </w:p>
    <w:p>
      <w:pPr>
        <w:ind w:left="200" w:right="100" w:firstLine="4"/>
        <w:spacing w:after="0" w:line="255" w:lineRule="auto"/>
        <w:tabs>
          <w:tab w:leader="none" w:pos="3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9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also may sell shares in excess of the option to purchase additional shares, creating a naked short position. The underwriters must close out any naked short position by purchasing shares in the open market. A</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Barclays Capital Inc. has agreed to act as qualified independent underwriter for the offering and to undertake the legal responsibilities and liabilities of an underwriter under the Securities Act, specifically including those inherent in Section 11 of the Securities Act. We will agree to indemnify Barclays Capital Inc. against liabilities incurred in connection with acting as qualified independent underwriter, including liabilities under the Securities Act. Moreover, none of Morgan Stanley &amp; Co. LLC, Citigroup Global Markets 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views in respect of such securities or instruments and may at any time hold, or recommend to clients that they acquire, long or short positions in such securities and instruments.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Furthermore, affiliates of Morgan Stanley &amp; Co. LLC, Citigroup Global Markets Inc., J.P. Morgan Securities LLC, Goldman Sachs &amp; Co. LLC, BofA Securities, Inc., Barclays Capital Inc., BMO Capital Markets Corp., Credit Suisse Securities (USA) LLC, SunTrust Robinson Humphrey, Inc., Wells Fargo Securities, LLC, Nomura Securities International, Inc., Rabo Securities USA, Inc. and UBS Securities LLC, each of which is acting as an underwriter in this offering, will act as joint lead arrangers or co-managers under a new term loan facility and a revolving credit facility that we expect to enter in connection with this offering.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of our Class A common stock was determined through negotiations among us, Post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Post nor the underwriters can assure investors that an active trading market for the shares will develop, or that after the offering the shares will trade in the public market at or above the initial public offering price.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2" w:lineRule="exact"/>
        <w:rPr>
          <w:sz w:val="20"/>
          <w:szCs w:val="20"/>
          <w:color w:val="auto"/>
        </w:rPr>
      </w:pPr>
    </w:p>
    <w:p>
      <w:pPr>
        <w:ind w:left="1180" w:hanging="544"/>
        <w:spacing w:after="0"/>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the U.K., this prospectus is only addressed to and directed at qualified investors who are: (i) investment professionals falling within Article 19(5) of the Financial Services and Markets Act 2000 (Financial Promotion)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Order 2005 (the “Order”); or (ii) high-net-worth entities and other persons to whom it may lawfully be communicated, falling within Article 49(2)(a) to</w:t>
      </w:r>
    </w:p>
    <w:p>
      <w:pPr>
        <w:spacing w:after="0" w:line="46" w:lineRule="exact"/>
        <w:rPr>
          <w:sz w:val="20"/>
          <w:szCs w:val="20"/>
          <w:color w:val="auto"/>
        </w:rPr>
      </w:pPr>
    </w:p>
    <w:p>
      <w:pPr>
        <w:ind w:left="200" w:firstLine="4"/>
        <w:spacing w:after="0" w:line="255" w:lineRule="auto"/>
        <w:tabs>
          <w:tab w:leader="none" w:pos="4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ind w:left="200" w:right="300" w:firstLine="4"/>
        <w:spacing w:after="0" w:line="261" w:lineRule="auto"/>
        <w:tabs>
          <w:tab w:leader="none" w:pos="5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that is a trust (where the trustee is not an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six months after that trust has acquired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under Section 275 of the SFA, except: (i) to an institutional investor under Section 274 of the SFA or to a relevant person (as defined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275(2) of the SFA); (ii) where such transfer arises from an offer that is made on terms that such rights or interest are acquired for consideration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or other assets); (iii) where no consideration is or will be given for the transfer; (iv) where the transfer is by operation of law; (v) as specified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Section 276(7) of the SFA; or (vi) as specified in Regulation 32.</w:t>
      </w:r>
    </w:p>
    <w:p>
      <w:pPr>
        <w:spacing w:after="0" w:line="21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Solely for the purposes of its obligations pursuant to Sections 309B(1)(a) and 309B(1)(c) of the SFA, the Company has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balance sheet of BellRing Brands, Inc. as of August 7, 2019 included in this prospectus has been so included in reliance on the report of PricewaterhouseCoopers LLP, an independent registered public accounting firm, given on the authority of said firm as experts in auditing and accounting.</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8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audited combined financial statements and the notes thereto certified by an independent public accounting firm.</w:t>
      </w:r>
    </w:p>
    <w:p>
      <w:pPr>
        <w:spacing w:after="0" w:line="187" w:lineRule="exact"/>
        <w:rPr>
          <w:sz w:val="20"/>
          <w:szCs w:val="20"/>
          <w:color w:val="auto"/>
        </w:rPr>
      </w:pPr>
    </w:p>
    <w:p>
      <w:pPr>
        <w:jc w:val="center"/>
        <w:ind w:left="280" w:right="600"/>
        <w:spacing w:after="0" w:line="449" w:lineRule="auto"/>
        <w:rPr>
          <w:sz w:val="20"/>
          <w:szCs w:val="20"/>
          <w:color w:val="auto"/>
        </w:rPr>
      </w:pPr>
      <w:r>
        <w:rPr>
          <w:rFonts w:ascii="Arial" w:cs="Arial" w:eastAsia="Arial" w:hAnsi="Arial"/>
          <w:sz w:val="18"/>
          <w:szCs w:val="18"/>
          <w:color w:val="auto"/>
        </w:rPr>
        <w:t>We also maintain an internet website at www.bellring.com. Information on or accessible through our website is not part of this prospectus. 185</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9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Balance Sheet as of August 7, 2019</w:t>
              </w:r>
            </w:hyperlink>
          </w:p>
        </w:tc>
        <w:tc>
          <w:tcPr>
            <w:tcW w:w="1660" w:type="dxa"/>
            <w:vAlign w:val="bottom"/>
            <w:tcBorders>
              <w:top w:val="single" w:sz="8" w:color="0000EE"/>
            </w:tcBorders>
            <w:gridSpan w:val="7"/>
          </w:tcPr>
          <w:p>
            <w:pPr>
              <w:spacing w:after="0"/>
              <w:rPr>
                <w:sz w:val="17"/>
                <w:szCs w:val="17"/>
                <w:color w:val="auto"/>
              </w:rPr>
            </w:pPr>
          </w:p>
        </w:tc>
        <w:tc>
          <w:tcPr>
            <w:tcW w:w="63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Notes to Balance Sheet</w:t>
              </w:r>
            </w:hyperlink>
          </w:p>
        </w:tc>
        <w:tc>
          <w:tcPr>
            <w:tcW w:w="89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Combined Statements of Operations and Comprehensive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Combined Balance Sheets</w:t>
              </w:r>
            </w:hyperlink>
          </w:p>
        </w:tc>
        <w:tc>
          <w:tcPr>
            <w:tcW w:w="2780" w:type="dxa"/>
            <w:vAlign w:val="bottom"/>
            <w:tcBorders>
              <w:top w:val="single" w:sz="8" w:color="0000EE"/>
            </w:tcBorders>
            <w:gridSpan w:val="10"/>
          </w:tcPr>
          <w:p>
            <w:pPr>
              <w:spacing w:after="0"/>
              <w:rPr>
                <w:sz w:val="17"/>
                <w:szCs w:val="17"/>
                <w:color w:val="auto"/>
              </w:rPr>
            </w:pPr>
          </w:p>
        </w:tc>
        <w:tc>
          <w:tcPr>
            <w:tcW w:w="5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Combined Statements of Cash Flows</w:t>
              </w:r>
            </w:hyperlink>
          </w:p>
        </w:tc>
        <w:tc>
          <w:tcPr>
            <w:tcW w:w="79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Combined Statements of Parent Company Equity</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Notes to Combined Financial Statements</w:t>
              </w:r>
            </w:hyperlink>
          </w:p>
        </w:tc>
        <w:tc>
          <w:tcPr>
            <w:tcW w:w="76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Nine Months Ended June 30, 2019 and 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22">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Condensed Combined Balance Sheets</w:t>
              </w:r>
            </w:hyperlink>
          </w:p>
        </w:tc>
        <w:tc>
          <w:tcPr>
            <w:tcW w:w="2780" w:type="dxa"/>
            <w:vAlign w:val="bottom"/>
            <w:tcBorders>
              <w:top w:val="single" w:sz="8" w:color="0000EE"/>
            </w:tcBorders>
            <w:gridSpan w:val="8"/>
          </w:tcPr>
          <w:p>
            <w:pPr>
              <w:spacing w:after="0"/>
              <w:rPr>
                <w:sz w:val="17"/>
                <w:szCs w:val="17"/>
                <w:color w:val="auto"/>
              </w:rPr>
            </w:pPr>
          </w:p>
        </w:tc>
        <w:tc>
          <w:tcPr>
            <w:tcW w:w="5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4">
              <w:r>
                <w:rPr>
                  <w:rFonts w:ascii="Arial" w:cs="Arial" w:eastAsia="Arial" w:hAnsi="Arial"/>
                  <w:sz w:val="18"/>
                  <w:szCs w:val="18"/>
                  <w:color w:val="0000EE"/>
                  <w:w w:val="88"/>
                </w:rPr>
                <w:t>Condensed Combined Statements of Cash Flows</w:t>
              </w:r>
            </w:hyperlink>
          </w:p>
        </w:tc>
        <w:tc>
          <w:tcPr>
            <w:tcW w:w="7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Notes to Condensed Combined Financial Statements</w:t>
              </w:r>
            </w:hyperlink>
          </w:p>
        </w:tc>
        <w:tc>
          <w:tcPr>
            <w:tcW w:w="61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1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audited the accompanying balance sheet of BellRing Brands, Inc. (the “Company”) as of August 7, 2019, including the related notes (collectively referred to as the “financial statement”). In our opinion, the financial statement presents fairly, in all material respects, the financial position of the Company as of August 7, 2019 in conformity with accounting principles generally accepted in the United States of America.</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We conducted our audit of this financial statement in accordance with the standards of the PCAOB. Those standards require that we plan and perform the audit to obtain reasonable assurance about whether the financial statement is free of material misstatement, whether due to error or fraud.</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August 7,</w:t>
            </w: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BellRing Brands, Inc. (the “Corporation”) was formed as a Delaware corporation on March 20, 2019 for the purpose of completing a public offering and related transactions in order to carry on the Active Nutrition business of Post Holdings, Inc. The Corporation had no operations through the submission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60"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484.4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Non-cash allocated expense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(decrease) in non-current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Comprehensive</w:t>
            </w:r>
          </w:p>
        </w:tc>
        <w:tc>
          <w:tcPr>
            <w:tcW w:w="3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intend to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Use of Estimates and Allocations</w:t>
      </w:r>
      <w:r>
        <w:rPr>
          <w:rFonts w:ascii="Arial" w:cs="Arial" w:eastAsia="Arial" w:hAnsi="Arial"/>
          <w:sz w:val="17"/>
          <w:szCs w:val="17"/>
          <w:color w:val="auto"/>
        </w:rPr>
        <w:t>—The combined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6"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left="314"/>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Accum.</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Accum.</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Amort.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Amort.</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5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200"/>
          </w:cols>
          <w:pgMar w:left="240" w:top="459" w:right="45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Charge to expense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expected restructuring charge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Cumulative incurred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80" w:hanging="176"/>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43" w:lineRule="exact"/>
        <w:rPr>
          <w:sz w:val="20"/>
          <w:szCs w:val="20"/>
          <w:color w:val="auto"/>
        </w:rPr>
      </w:pPr>
    </w:p>
    <w:p>
      <w:pPr>
        <w:ind w:left="180" w:hanging="176"/>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480"/>
          </w:cols>
          <w:pgMar w:left="240" w:top="459" w:right="459" w:bottom="1440" w:gutter="0" w:footer="0" w:header="0"/>
          <w:type w:val="continuous"/>
        </w:sectPr>
      </w:pP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260" w:hanging="436"/>
        <w:spacing w:after="0" w:line="264"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Assets</w:t>
            </w:r>
          </w:p>
        </w:tc>
        <w:tc>
          <w:tcPr>
            <w:tcW w:w="12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122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Total deferred taxes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8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Pr>
          <w:p>
            <w:pPr>
              <w:spacing w:after="0"/>
              <w:rPr>
                <w:sz w:val="24"/>
                <w:szCs w:val="24"/>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w w:val="98"/>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300" w:firstLine="441"/>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 expense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77"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46"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$84.9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$56.9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cash overdrafts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58.7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legal settlements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and promotion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Income and other taxes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2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$4.6, $4.4 and $3.6 for the years ended September 30, 2018, 2017 and 2016, respectively, and are included in “Selling, general and administrative expenses” in the Combined Statements of Operations and Comprehensive Income. All allocated costs are included in “Change in net parent investment” within financing activities on the Combined Statements of Cash</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employees participated in Post’s 2012 Long-Term Incentive Plan (the “2012 Plan”) and Post’s 2016 Long-Term Incentive Plan (the “2016 Plan”). The following disclosures reflect the details of Post’s stock-based compensation plans and are not reflective of the Company’s stock-based compensation subsequent to the initial public offering of BellRing Brands, Inc. common stock. On February 3, 2012, Post established the 2012 Plan, which permitted the issuance of various stock-based compensation awards of up to 6.5 million shares of Post’s common stock. On January 28, 2016, Post established the 2016 Plan, which permitted the issuance of stock-based compensation awards of up to 2.4 million shares of Post’s common stock, which includes shares remaining to be issued under the 2012 Plan which were transfered to the 2016 Plan upon its establishment. Awards issued under the 2012 Plan and 2016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vMerge w:val="restart"/>
          </w:tcPr>
          <w:p>
            <w:pPr>
              <w:jc w:val="center"/>
              <w:ind w:left="2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92"/>
              </w:rPr>
              <w:t>Term in Years</w:t>
            </w:r>
          </w:p>
        </w:tc>
        <w:tc>
          <w:tcPr>
            <w:tcW w:w="46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1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248,206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80.04</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(128,999)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(6,667)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1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1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43.67</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30.7%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dividends</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Restricted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5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8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(52,673)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00" w:type="dxa"/>
            <w:vAlign w:val="bottom"/>
            <w:gridSpan w:val="3"/>
          </w:tcPr>
          <w:p>
            <w:pPr>
              <w:jc w:val="right"/>
              <w:ind w:right="416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restart"/>
          </w:tcPr>
          <w:p>
            <w:pPr>
              <w:jc w:val="center"/>
              <w:ind w:left="2639"/>
              <w:spacing w:after="0"/>
              <w:rPr>
                <w:sz w:val="20"/>
                <w:szCs w:val="20"/>
                <w:color w:val="auto"/>
              </w:rPr>
            </w:pPr>
            <w:r>
              <w:rPr>
                <w:rFonts w:ascii="Arial" w:cs="Arial" w:eastAsia="Arial" w:hAnsi="Arial"/>
                <w:sz w:val="14"/>
                <w:szCs w:val="14"/>
                <w:b w:val="1"/>
                <w:bCs w:val="1"/>
                <w:color w:val="auto"/>
                <w:w w:val="91"/>
              </w:rPr>
              <w:t>Cash Settled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3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Granted</w:t>
            </w:r>
          </w:p>
        </w:tc>
        <w:tc>
          <w:tcPr>
            <w:tcW w:w="30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30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$469.3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Powders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900" w:type="dxa"/>
            <w:vAlign w:val="bottom"/>
            <w:gridSpan w:val="2"/>
          </w:tcPr>
          <w:p>
            <w:pPr>
              <w:jc w:val="right"/>
              <w:ind w:right="3659"/>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Nine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560" w:type="dxa"/>
            <w:vAlign w:val="bottom"/>
            <w:gridSpan w:val="4"/>
          </w:tcPr>
          <w:p>
            <w:pPr>
              <w:ind w:left="76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Earnings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allocated expense from parent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decrease in inventories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prepaid expenses and other current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other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in non-current liabilities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r>
        <w:rPr>
          <w:rFonts w:ascii="Arial" w:cs="Arial" w:eastAsia="Arial" w:hAnsi="Arial"/>
          <w:sz w:val="18"/>
          <w:szCs w:val="18"/>
          <w:color w:val="auto"/>
        </w:rPr>
        <w:t>)</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As Of and For The</w:t>
      </w:r>
    </w:p>
    <w:p>
      <w:pPr>
        <w:jc w:val="center"/>
        <w:ind w:left="9400"/>
        <w:spacing w:after="0" w:line="226" w:lineRule="auto"/>
        <w:rPr>
          <w:sz w:val="20"/>
          <w:szCs w:val="20"/>
          <w:color w:val="auto"/>
        </w:rPr>
      </w:pPr>
      <w:r>
        <w:rPr>
          <w:rFonts w:ascii="Arial" w:cs="Arial" w:eastAsia="Arial" w:hAnsi="Arial"/>
          <w:sz w:val="14"/>
          <w:szCs w:val="14"/>
          <w:b w:val="1"/>
          <w:bCs w:val="1"/>
          <w:color w:val="auto"/>
        </w:rPr>
        <w:t>Nine Months Ended</w:t>
      </w:r>
    </w:p>
    <w:p>
      <w:pPr>
        <w:jc w:val="center"/>
        <w:ind w:left="9400"/>
        <w:spacing w:after="0" w:line="232" w:lineRule="auto"/>
        <w:rPr>
          <w:sz w:val="20"/>
          <w:szCs w:val="20"/>
          <w:color w:val="auto"/>
        </w:rPr>
      </w:pPr>
      <w:r>
        <w:rPr>
          <w:rFonts w:ascii="Arial" w:cs="Arial" w:eastAsia="Arial" w:hAnsi="Arial"/>
          <w:sz w:val="14"/>
          <w:szCs w:val="14"/>
          <w:b w:val="1"/>
          <w:bCs w:val="1"/>
          <w:color w:val="auto"/>
        </w:rPr>
        <w:t>June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Parent Investment</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$ 453.1</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$ 491.0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Active Nutrition business of Post (herein referred to as “Active Nutrition” or “the Company”)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“Change in net parent investment” within financing activities and on the Condensed Combined Balance Sheets as “Net parent investment.”</w:t>
      </w:r>
    </w:p>
    <w:p>
      <w:pPr>
        <w:spacing w:after="0" w:line="188" w:lineRule="exact"/>
        <w:rPr>
          <w:sz w:val="20"/>
          <w:szCs w:val="20"/>
          <w:color w:val="auto"/>
        </w:rPr>
      </w:pPr>
    </w:p>
    <w:p>
      <w:pPr>
        <w:ind w:left="200" w:right="600" w:firstLine="441"/>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cash flows and parent company equity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 Subsequent events have been assessed through the submission date and no events were identified to report or record.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2—RECENTLY ISSUED AND ADOPTED ACCOUNTING STANDARDS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Company’s results of operations, financial position,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 with early adoption permitted. The Company will adopt these ASUs on October 1, 2019, and it expects to use the modified retrospective method of adoption. The Company has selected a software vendor and is in the process of assessing its lease agreements to identify those that fall within the scope of these ASUs. These ASUs will result in an increase in both assets and liabilities; however, the Company is unable to quantify the impact at this time. In addition, the Company expects to provide expanded disclosures upon adoption to present additional information related to its leasing arrangements.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$5.3 within the statement of operations and comprehensive income. For additional information, refer to Note 3.</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occur before the customer obtains control of the goods are deemed fulfillment activities and are accounted for as fulfillment costs. The Company’s contracts with customers generally contain one performance obligation.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16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used the modified retrospective transition method of adoption and elected the following practical expedients in accordance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Topic 606:</w:t>
      </w:r>
    </w:p>
    <w:p>
      <w:pPr>
        <w:spacing w:after="0" w:line="116" w:lineRule="exact"/>
        <w:rPr>
          <w:sz w:val="20"/>
          <w:szCs w:val="20"/>
          <w:color w:val="auto"/>
        </w:rPr>
      </w:pPr>
    </w:p>
    <w:p>
      <w:pPr>
        <w:ind w:left="1180" w:right="80" w:hanging="544"/>
        <w:spacing w:after="0" w:line="264" w:lineRule="auto"/>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promised services.</w:t>
      </w:r>
    </w:p>
    <w:p>
      <w:pPr>
        <w:spacing w:after="0" w:line="75" w:lineRule="exact"/>
        <w:rPr>
          <w:rFonts w:ascii="Arial" w:cs="Arial" w:eastAsia="Arial" w:hAnsi="Arial"/>
          <w:sz w:val="18"/>
          <w:szCs w:val="18"/>
          <w:color w:val="auto"/>
        </w:rPr>
      </w:pPr>
    </w:p>
    <w:p>
      <w:pPr>
        <w:ind w:left="1180" w:right="340" w:hanging="544"/>
        <w:spacing w:after="0" w:line="264" w:lineRule="auto"/>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$5.3 in the nine months ended June 30, 2019 previously classified in “Selling, general, and administrative expenses” were classified as “Net Sales” in the Condensed Combined Statement of Operations and Comprehensive Income.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w w:val="93"/>
              </w:rPr>
              <w:t>Nine Months Ended June 30, 2019</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As Reported</w:t>
            </w:r>
          </w:p>
        </w:tc>
        <w:tc>
          <w:tcPr>
            <w:tcW w:w="1160" w:type="dxa"/>
            <w:vAlign w:val="bottom"/>
            <w:gridSpan w:val="3"/>
          </w:tcPr>
          <w:p>
            <w:pPr>
              <w:ind w:left="480"/>
              <w:spacing w:after="0" w:line="110" w:lineRule="exact"/>
              <w:rPr>
                <w:sz w:val="20"/>
                <w:szCs w:val="20"/>
                <w:color w:val="auto"/>
              </w:rPr>
            </w:pPr>
            <w:r>
              <w:rPr>
                <w:rFonts w:ascii="Arial" w:cs="Arial" w:eastAsia="Arial" w:hAnsi="Arial"/>
                <w:sz w:val="12"/>
                <w:szCs w:val="12"/>
                <w:b w:val="1"/>
                <w:bCs w:val="1"/>
                <w:color w:val="auto"/>
                <w:w w:val="92"/>
              </w:rPr>
              <w:t>As Reported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5"/>
              </w:rPr>
              <w:t>Under</w:t>
            </w:r>
          </w:p>
        </w:tc>
        <w:tc>
          <w:tcPr>
            <w:tcW w:w="4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 Prior</w:t>
            </w:r>
          </w:p>
        </w:tc>
        <w:tc>
          <w:tcPr>
            <w:tcW w:w="1120" w:type="dxa"/>
            <w:vAlign w:val="bottom"/>
            <w:gridSpan w:val="4"/>
          </w:tcPr>
          <w:p>
            <w:pPr>
              <w:ind w:left="480"/>
              <w:spacing w:after="0" w:line="135" w:lineRule="exact"/>
              <w:rPr>
                <w:sz w:val="20"/>
                <w:szCs w:val="20"/>
                <w:color w:val="auto"/>
              </w:rPr>
            </w:pPr>
            <w:r>
              <w:rPr>
                <w:rFonts w:ascii="Arial" w:cs="Arial" w:eastAsia="Arial" w:hAnsi="Arial"/>
                <w:sz w:val="13"/>
                <w:szCs w:val="13"/>
                <w:b w:val="1"/>
                <w:bCs w:val="1"/>
                <w:color w:val="auto"/>
              </w:rPr>
              <w:t>Impact of</w:t>
            </w:r>
          </w:p>
        </w:tc>
      </w:t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3"/>
              </w:rPr>
              <w:t>Topic 606</w:t>
            </w:r>
          </w:p>
        </w:tc>
        <w:tc>
          <w:tcPr>
            <w:tcW w:w="4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Guidance</w:t>
            </w:r>
          </w:p>
        </w:tc>
        <w:tc>
          <w:tcPr>
            <w:tcW w:w="4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Adoption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The following table presents net sales by product. The amounts for the nine months ended June 30, 2019 are presented under ASC Topic 606, “Revenue from Contracts with Customers” and the amounts for the nine months ended June 30, 2018 are presented under ASC Topic 605, “Revenue Recognition.”</w:t>
      </w:r>
    </w:p>
    <w:p>
      <w:pPr>
        <w:spacing w:after="0" w:line="200"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Nine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 beverages</w:t>
            </w:r>
          </w:p>
        </w:tc>
        <w:tc>
          <w:tcPr>
            <w:tcW w:w="3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$ 493.6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Powders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Sales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$ 607.6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effective income tax rate was 23.8% and 15.8% for the nine months ended June 30, 2019 and 2018, respectively. In accordance with ASC Topic 740, “Income Taxes,” the Company records income tax expense for interim periods using the estimated annual effective income tax rate for the full fiscal year adjusted for the impact of discrete items occurring during the interim periods.</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Cuts and Jobs Act (the “Tax Act”), which was enacted on December 22, 2017. The Tax Act resulted in significant impacts to the Company’s accounting for income taxes, with the most significant of these impacts resulting from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nine months ended June 30, 2018, the Company (i) remeasured its existing deferred tax assets and liabilities considering both the 2018 fiscal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6—PROPERTY, NET</w:t>
            </w: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00" w:type="dxa"/>
            <w:vAlign w:val="bottom"/>
            <w:gridSpan w:val="2"/>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gridSpan w:val="3"/>
          </w:tcPr>
          <w:p>
            <w:pPr>
              <w:jc w:val="right"/>
              <w:ind w:right="3325"/>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intangible assets subject to amortization are as follows: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8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5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34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5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$155.4</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Trademarks/brands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costs, including stock-based compensation expense, as well as costs related to the finance, information technology, legal, human resources, quality,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supply chain and purchasing functions. Costs for these functions and services performed by Post have been allocated to the Company based on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method. Allocated costs were $8.3 and $3.3 for the nine months ended June 30, 2019 and 2018, respectively, and are included in “Selling, general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in the Condensed Combined Statements of Operations and Comprehensive Income. Allocated costs include $3.9 of costs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to the separation of the Company from Post for the nine months ended June 30, 2019. Separation costs of $0.1 were recorded directly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nine months ended June 30, 2019, and were included in “selling, general and administrative expenses” in the Condensed Combined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of Operations and Comprehensive Income. All allocated costs are included in “Change in net parent investment” within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the Condensed Combined Statements of Cash Flows. It is not practicable to determine the actual expenses that would have been incurred for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had the Company operated as a separate entity. Actual costs that would have been incurred had the Company operated as a separate public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periods presented would depend on a number of factors, including the organizational structure and strategic decisions made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various areas, such as human resources, legal, finance, information technology and infrastructure, among others. Management considers the allocation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method to be reasonable.</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the Company’s U.S. operations have historically been provided by Post, which has managed cash and cash equivalents on a centralized basis. Under Post’s centralized cash management system, cash requirements are provided directly by Post and cash generated by the Company is generally remitted directly to Post. Transaction systems (e.g. payroll and employee benefits) used to record and account for cash disbursements are generally provided by Post. Cash receipts associated with the U.S. business have been transferred to Post on a daily basis and Post has funded the Company’s cash disbursements. Financial resources for the Company’s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March 2013, a complaint was filed on behalf of a putative, nationwide class of consumers against Premier Nutrition Corporation (“Premier Nutrition”) in the U.S. District Court for the Northern District of California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dietary supplements were false and misleading. In April 2016, the district court certified a California-only class of consumers in this lawsuit ( this lawsuit is hereinafter referred to as the “California Class Lawsuit”).</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Maryland, Massachusetts, Michigan, New Jersey, New Mexico, New York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At both June 30, 2019 and September 30, 2018, the Company had accrued $8.5 related to this matter that was included in “Other current liabilities” on the Condensed Combined Balance Sheets.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30,000,000 Shares</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J.P. Morgan</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Goldman Sachs &amp; Co. LLC</w:t>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BofA Merrill Lynch</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Barclays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BMO Capital Markets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Credit Suisse</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Evercore ISI</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Stifel</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SunTrust Robinson Humphrey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Wells Fargo Securities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HSBC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Nomura</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PNC Capital Markets LLC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Rabo Securities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UBS Investment Bank</w:t>
      </w:r>
    </w:p>
    <w:p>
      <w:pPr>
        <w:spacing w:after="0" w:line="200" w:lineRule="exact"/>
        <w:rPr>
          <w:sz w:val="20"/>
          <w:szCs w:val="20"/>
          <w:color w:val="auto"/>
        </w:rPr>
      </w:pPr>
    </w:p>
    <w:p>
      <w:pPr>
        <w:spacing w:after="0" w:line="349"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6617970</wp:posOffset>
            </wp:positionV>
            <wp:extent cx="1672590" cy="814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72590" cy="81470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FINRA filing fee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Tax advisory fees and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817,591</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8,000,000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March 25, 2019, we issued 1,000 shares of common stock to Post Holdings, Inc. in exchange for $10.00 in the aggregate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the share of our Class B common stock to Post Holdings, Inc., also under an exemption from registration provided by Section 4(a)(2) of the Securities Act. No underwriters will be involved in these transactions.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640" w:hanging="436"/>
        <w:spacing w:after="0" w:line="271" w:lineRule="auto"/>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rFonts w:ascii="Arial" w:cs="Arial" w:eastAsia="Arial" w:hAnsi="Arial"/>
          <w:sz w:val="17"/>
          <w:szCs w:val="17"/>
          <w:color w:val="auto"/>
        </w:rPr>
      </w:pPr>
    </w:p>
    <w:p>
      <w:pPr>
        <w:ind w:left="640" w:hanging="43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1180" w:right="60" w:hanging="430"/>
        <w:spacing w:after="0" w:line="291" w:lineRule="auto"/>
        <w:tabs>
          <w:tab w:leader="none" w:pos="11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180" w:right="620" w:hanging="4"/>
        <w:spacing w:after="0" w:line="261" w:lineRule="auto"/>
        <w:tabs>
          <w:tab w:leader="none" w:pos="1435" w:val="left"/>
        </w:tabs>
        <w:numPr>
          <w:ilvl w:val="2"/>
          <w:numId w:val="126"/>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 and</w:t>
      </w:r>
    </w:p>
    <w:p>
      <w:pPr>
        <w:spacing w:after="0" w:line="89" w:lineRule="exact"/>
        <w:rPr>
          <w:rFonts w:ascii="Arial" w:cs="Arial" w:eastAsia="Arial" w:hAnsi="Arial"/>
          <w:sz w:val="18"/>
          <w:szCs w:val="18"/>
          <w:color w:val="auto"/>
        </w:rPr>
      </w:pPr>
    </w:p>
    <w:p>
      <w:pPr>
        <w:jc w:val="both"/>
        <w:ind w:left="1180" w:right="100" w:hanging="430"/>
        <w:spacing w:after="0" w:line="264" w:lineRule="auto"/>
        <w:tabs>
          <w:tab w:leader="none" w:pos="11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Arial" w:cs="Arial" w:eastAsia="Arial" w:hAnsi="Arial"/>
          <w:sz w:val="18"/>
          <w:szCs w:val="18"/>
          <w:color w:val="auto"/>
        </w:rPr>
      </w:pPr>
    </w:p>
    <w:p>
      <w:pPr>
        <w:ind w:left="5700" w:hanging="166"/>
        <w:spacing w:after="0"/>
        <w:tabs>
          <w:tab w:leader="none" w:pos="5700" w:val="left"/>
        </w:tabs>
        <w:numPr>
          <w:ilvl w:val="3"/>
          <w:numId w:val="126"/>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80" w:type="dxa"/>
            <w:vAlign w:val="bottom"/>
            <w:gridSpan w:val="13"/>
          </w:tcPr>
          <w:p>
            <w:pPr>
              <w:ind w:left="6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10"/>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2440" w:type="dxa"/>
            <w:vAlign w:val="bottom"/>
            <w:tcBorders>
              <w:bottom w:val="single" w:sz="8" w:color="0000EE"/>
            </w:tcBorders>
            <w:gridSpan w:val="5"/>
          </w:tcPr>
          <w:p>
            <w:pPr>
              <w:spacing w:after="0"/>
              <w:rPr>
                <w:rFonts w:ascii="Arial" w:cs="Arial" w:eastAsia="Arial" w:hAnsi="Arial"/>
                <w:sz w:val="18"/>
                <w:szCs w:val="18"/>
                <w:color w:val="0000EE"/>
                <w:w w:val="92"/>
              </w:rPr>
            </w:pPr>
            <w:hyperlink r:id="rId325">
              <w:r>
                <w:rPr>
                  <w:rFonts w:ascii="Arial" w:cs="Arial" w:eastAsia="Arial" w:hAnsi="Arial"/>
                  <w:sz w:val="18"/>
                  <w:szCs w:val="18"/>
                  <w:color w:val="0000EE"/>
                  <w:w w:val="92"/>
                </w:rPr>
                <w:t>Form of Underwriting Agreement</w:t>
              </w:r>
            </w:hyperlink>
          </w:p>
        </w:tc>
        <w:tc>
          <w:tcPr>
            <w:tcW w:w="7340" w:type="dxa"/>
            <w:vAlign w:val="bottom"/>
            <w:gridSpan w:val="21"/>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326">
              <w:r>
                <w:rPr>
                  <w:rFonts w:ascii="Arial" w:cs="Arial" w:eastAsia="Arial" w:hAnsi="Arial"/>
                  <w:sz w:val="18"/>
                  <w:szCs w:val="18"/>
                  <w:color w:val="0000EE"/>
                </w:rPr>
                <w:t>Form of Amended and Restated Certificate of Incorporation of BellRing Brands, Inc.</w:t>
              </w:r>
            </w:hyperlink>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47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r:id="rId327">
              <w:r>
                <w:rPr>
                  <w:rFonts w:ascii="Arial" w:cs="Arial" w:eastAsia="Arial" w:hAnsi="Arial"/>
                  <w:sz w:val="18"/>
                  <w:szCs w:val="18"/>
                  <w:color w:val="0000EE"/>
                  <w:w w:val="91"/>
                </w:rPr>
                <w:t>Form of Amended and Restated Bylaws of BellRing Brands, Inc.</w:t>
              </w:r>
            </w:hyperlink>
          </w:p>
        </w:tc>
        <w:tc>
          <w:tcPr>
            <w:tcW w:w="1420" w:type="dxa"/>
            <w:vAlign w:val="bottom"/>
            <w:tcBorders>
              <w:top w:val="single" w:sz="8" w:color="0000EE"/>
            </w:tcBorders>
            <w:gridSpan w:val="4"/>
          </w:tcPr>
          <w:p>
            <w:pPr>
              <w:spacing w:after="0"/>
              <w:rPr>
                <w:sz w:val="24"/>
                <w:szCs w:val="24"/>
                <w:color w:val="auto"/>
              </w:rPr>
            </w:pPr>
          </w:p>
        </w:tc>
        <w:tc>
          <w:tcPr>
            <w:tcW w:w="3660" w:type="dxa"/>
            <w:vAlign w:val="bottom"/>
            <w:gridSpan w:val="4"/>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328">
              <w:r>
                <w:rPr>
                  <w:rFonts w:ascii="Arial" w:cs="Arial" w:eastAsia="Arial" w:hAnsi="Arial"/>
                  <w:sz w:val="18"/>
                  <w:szCs w:val="18"/>
                  <w:color w:val="0000EE"/>
                </w:rPr>
                <w:t>Form of Class A Common Stock Certificate of BellRing Brands, Inc.</w:t>
              </w:r>
            </w:hyperlink>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4960" w:type="dxa"/>
            <w:vAlign w:val="bottom"/>
            <w:tcBorders>
              <w:top w:val="single" w:sz="8" w:color="0000EE"/>
            </w:tcBorders>
            <w:gridSpan w:val="19"/>
          </w:tcPr>
          <w:p>
            <w:pPr>
              <w:spacing w:after="0"/>
              <w:rPr>
                <w:rFonts w:ascii="Arial" w:cs="Arial" w:eastAsia="Arial" w:hAnsi="Arial"/>
                <w:sz w:val="18"/>
                <w:szCs w:val="18"/>
                <w:color w:val="0000EE"/>
              </w:rPr>
            </w:pPr>
            <w:hyperlink r:id="rId329">
              <w:r>
                <w:rPr>
                  <w:rFonts w:ascii="Arial" w:cs="Arial" w:eastAsia="Arial" w:hAnsi="Arial"/>
                  <w:sz w:val="18"/>
                  <w:szCs w:val="18"/>
                  <w:color w:val="0000EE"/>
                </w:rPr>
                <w:t>Opinion of Lewis Rice LLC</w:t>
              </w:r>
            </w:hyperlink>
          </w:p>
        </w:tc>
        <w:tc>
          <w:tcPr>
            <w:tcW w:w="4820" w:type="dxa"/>
            <w:vAlign w:val="bottom"/>
            <w:gridSpan w:val="7"/>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10.1</w:t>
            </w:r>
          </w:p>
        </w:tc>
        <w:tc>
          <w:tcPr>
            <w:tcW w:w="520" w:type="dxa"/>
            <w:vAlign w:val="bottom"/>
          </w:tcPr>
          <w:p>
            <w:pPr>
              <w:spacing w:after="0"/>
              <w:rPr>
                <w:sz w:val="24"/>
                <w:szCs w:val="24"/>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EE"/>
              </w:rPr>
              <w:t>Master Transaction Agreement</w:t>
            </w: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10.2*</w:t>
            </w:r>
          </w:p>
        </w:tc>
        <w:tc>
          <w:tcPr>
            <w:tcW w:w="520" w:type="dxa"/>
            <w:vAlign w:val="bottom"/>
          </w:tcPr>
          <w:p>
            <w:pPr>
              <w:spacing w:after="0"/>
              <w:rPr>
                <w:sz w:val="24"/>
                <w:szCs w:val="24"/>
                <w:color w:val="auto"/>
              </w:rPr>
            </w:pPr>
          </w:p>
        </w:tc>
        <w:tc>
          <w:tcPr>
            <w:tcW w:w="2840" w:type="dxa"/>
            <w:vAlign w:val="bottom"/>
            <w:tcBorders>
              <w:bottom w:val="single" w:sz="8" w:color="0000EE"/>
            </w:tcBorders>
            <w:gridSpan w:val="11"/>
          </w:tcPr>
          <w:p>
            <w:pPr>
              <w:spacing w:after="0"/>
              <w:rPr>
                <w:rFonts w:ascii="Arial" w:cs="Arial" w:eastAsia="Arial" w:hAnsi="Arial"/>
                <w:sz w:val="18"/>
                <w:szCs w:val="18"/>
                <w:color w:val="0000EE"/>
                <w:w w:val="91"/>
              </w:rPr>
            </w:pPr>
            <w:hyperlink r:id="rId330">
              <w:r>
                <w:rPr>
                  <w:rFonts w:ascii="Arial" w:cs="Arial" w:eastAsia="Arial" w:hAnsi="Arial"/>
                  <w:sz w:val="18"/>
                  <w:szCs w:val="18"/>
                  <w:color w:val="0000EE"/>
                  <w:w w:val="91"/>
                </w:rPr>
                <w:t>Form of Employee Matters Agreement</w:t>
              </w:r>
            </w:hyperlink>
          </w:p>
        </w:tc>
        <w:tc>
          <w:tcPr>
            <w:tcW w:w="6940" w:type="dxa"/>
            <w:vAlign w:val="bottom"/>
            <w:gridSpan w:val="15"/>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10.3*</w:t>
            </w:r>
          </w:p>
        </w:tc>
        <w:tc>
          <w:tcPr>
            <w:tcW w:w="520" w:type="dxa"/>
            <w:vAlign w:val="bottom"/>
          </w:tcPr>
          <w:p>
            <w:pPr>
              <w:spacing w:after="0"/>
              <w:rPr>
                <w:sz w:val="24"/>
                <w:szCs w:val="24"/>
                <w:color w:val="auto"/>
              </w:rPr>
            </w:pPr>
          </w:p>
        </w:tc>
        <w:tc>
          <w:tcPr>
            <w:tcW w:w="2580" w:type="dxa"/>
            <w:vAlign w:val="bottom"/>
            <w:tcBorders>
              <w:bottom w:val="single" w:sz="8" w:color="0000EE"/>
            </w:tcBorders>
            <w:gridSpan w:val="7"/>
          </w:tcPr>
          <w:p>
            <w:pPr>
              <w:spacing w:after="0"/>
              <w:rPr>
                <w:rFonts w:ascii="Arial" w:cs="Arial" w:eastAsia="Arial" w:hAnsi="Arial"/>
                <w:sz w:val="18"/>
                <w:szCs w:val="18"/>
                <w:color w:val="0000EE"/>
                <w:w w:val="91"/>
              </w:rPr>
            </w:pPr>
            <w:hyperlink r:id="rId331">
              <w:r>
                <w:rPr>
                  <w:rFonts w:ascii="Arial" w:cs="Arial" w:eastAsia="Arial" w:hAnsi="Arial"/>
                  <w:sz w:val="18"/>
                  <w:szCs w:val="18"/>
                  <w:color w:val="0000EE"/>
                  <w:w w:val="91"/>
                </w:rPr>
                <w:t>Form of Investor Rights Agreement</w:t>
              </w:r>
            </w:hyperlink>
          </w:p>
        </w:tc>
        <w:tc>
          <w:tcPr>
            <w:tcW w:w="7200" w:type="dxa"/>
            <w:vAlign w:val="bottom"/>
            <w:gridSpan w:val="19"/>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10.4*</w:t>
            </w:r>
          </w:p>
        </w:tc>
        <w:tc>
          <w:tcPr>
            <w:tcW w:w="520" w:type="dxa"/>
            <w:vAlign w:val="bottom"/>
          </w:tcPr>
          <w:p>
            <w:pPr>
              <w:spacing w:after="0"/>
              <w:rPr>
                <w:sz w:val="24"/>
                <w:szCs w:val="24"/>
                <w:color w:val="auto"/>
              </w:rPr>
            </w:pPr>
          </w:p>
        </w:tc>
        <w:tc>
          <w:tcPr>
            <w:tcW w:w="7040" w:type="dxa"/>
            <w:vAlign w:val="bottom"/>
            <w:tcBorders>
              <w:bottom w:val="single" w:sz="8" w:color="0000EE"/>
            </w:tcBorders>
            <w:gridSpan w:val="23"/>
          </w:tcPr>
          <w:p>
            <w:pPr>
              <w:spacing w:after="0"/>
              <w:rPr>
                <w:rFonts w:ascii="Arial" w:cs="Arial" w:eastAsia="Arial" w:hAnsi="Arial"/>
                <w:sz w:val="18"/>
                <w:szCs w:val="18"/>
                <w:color w:val="0000EE"/>
                <w:w w:val="92"/>
              </w:rPr>
            </w:pPr>
            <w:hyperlink r:id="rId332">
              <w:r>
                <w:rPr>
                  <w:rFonts w:ascii="Arial" w:cs="Arial" w:eastAsia="Arial" w:hAnsi="Arial"/>
                  <w:sz w:val="18"/>
                  <w:szCs w:val="18"/>
                  <w:color w:val="0000EE"/>
                  <w:w w:val="92"/>
                </w:rPr>
                <w:t>Form of Amended and Restated Limited Liability Company Agreement of BellRing Brands, LLC</w:t>
              </w:r>
            </w:hyperlink>
          </w:p>
        </w:tc>
        <w:tc>
          <w:tcPr>
            <w:tcW w:w="2740" w:type="dxa"/>
            <w:vAlign w:val="bottom"/>
            <w:gridSpan w:val="3"/>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10.5*</w:t>
            </w:r>
          </w:p>
        </w:tc>
        <w:tc>
          <w:tcPr>
            <w:tcW w:w="52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333">
              <w:r>
                <w:rPr>
                  <w:rFonts w:ascii="Arial" w:cs="Arial" w:eastAsia="Arial" w:hAnsi="Arial"/>
                  <w:sz w:val="18"/>
                  <w:szCs w:val="18"/>
                  <w:color w:val="0000EE"/>
                </w:rPr>
                <w:t>Form of Tax Matters Agreement</w:t>
              </w:r>
            </w:hyperlink>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10.6*</w:t>
            </w:r>
          </w:p>
        </w:tc>
        <w:tc>
          <w:tcPr>
            <w:tcW w:w="520" w:type="dxa"/>
            <w:vAlign w:val="bottom"/>
          </w:tcPr>
          <w:p>
            <w:pPr>
              <w:spacing w:after="0"/>
              <w:rPr>
                <w:sz w:val="24"/>
                <w:szCs w:val="24"/>
                <w:color w:val="auto"/>
              </w:rPr>
            </w:pPr>
          </w:p>
        </w:tc>
        <w:tc>
          <w:tcPr>
            <w:tcW w:w="2580" w:type="dxa"/>
            <w:vAlign w:val="bottom"/>
            <w:tcBorders>
              <w:bottom w:val="single" w:sz="8" w:color="0000EE"/>
            </w:tcBorders>
            <w:gridSpan w:val="7"/>
          </w:tcPr>
          <w:p>
            <w:pPr>
              <w:spacing w:after="0"/>
              <w:rPr>
                <w:rFonts w:ascii="Arial" w:cs="Arial" w:eastAsia="Arial" w:hAnsi="Arial"/>
                <w:sz w:val="18"/>
                <w:szCs w:val="18"/>
                <w:color w:val="0000EE"/>
                <w:w w:val="90"/>
              </w:rPr>
            </w:pPr>
            <w:hyperlink r:id="rId334">
              <w:r>
                <w:rPr>
                  <w:rFonts w:ascii="Arial" w:cs="Arial" w:eastAsia="Arial" w:hAnsi="Arial"/>
                  <w:sz w:val="18"/>
                  <w:szCs w:val="18"/>
                  <w:color w:val="0000EE"/>
                  <w:w w:val="90"/>
                </w:rPr>
                <w:t>Form of Tax Receivable Agreement</w:t>
              </w:r>
            </w:hyperlink>
          </w:p>
        </w:tc>
        <w:tc>
          <w:tcPr>
            <w:tcW w:w="7200" w:type="dxa"/>
            <w:vAlign w:val="bottom"/>
            <w:gridSpan w:val="19"/>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w:t>
            </w:r>
          </w:p>
        </w:tc>
        <w:tc>
          <w:tcPr>
            <w:tcW w:w="520" w:type="dxa"/>
            <w:vAlign w:val="bottom"/>
          </w:tcPr>
          <w:p>
            <w:pPr>
              <w:spacing w:after="0"/>
              <w:rPr>
                <w:sz w:val="24"/>
                <w:szCs w:val="24"/>
                <w:color w:val="auto"/>
              </w:rPr>
            </w:pPr>
          </w:p>
        </w:tc>
        <w:tc>
          <w:tcPr>
            <w:tcW w:w="2640" w:type="dxa"/>
            <w:vAlign w:val="bottom"/>
            <w:tcBorders>
              <w:bottom w:val="single" w:sz="8" w:color="0000EE"/>
            </w:tcBorders>
            <w:gridSpan w:val="9"/>
          </w:tcPr>
          <w:p>
            <w:pPr>
              <w:spacing w:after="0"/>
              <w:rPr>
                <w:rFonts w:ascii="Arial" w:cs="Arial" w:eastAsia="Arial" w:hAnsi="Arial"/>
                <w:sz w:val="18"/>
                <w:szCs w:val="18"/>
                <w:color w:val="0000EE"/>
                <w:w w:val="90"/>
              </w:rPr>
            </w:pPr>
            <w:hyperlink r:id="rId335">
              <w:r>
                <w:rPr>
                  <w:rFonts w:ascii="Arial" w:cs="Arial" w:eastAsia="Arial" w:hAnsi="Arial"/>
                  <w:sz w:val="18"/>
                  <w:szCs w:val="18"/>
                  <w:color w:val="0000EE"/>
                  <w:w w:val="90"/>
                </w:rPr>
                <w:t>Form of Master Services Agreement</w:t>
              </w:r>
            </w:hyperlink>
          </w:p>
        </w:tc>
        <w:tc>
          <w:tcPr>
            <w:tcW w:w="7140" w:type="dxa"/>
            <w:vAlign w:val="bottom"/>
            <w:gridSpan w:val="17"/>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10.8*</w:t>
            </w:r>
          </w:p>
        </w:tc>
        <w:tc>
          <w:tcPr>
            <w:tcW w:w="520" w:type="dxa"/>
            <w:vAlign w:val="bottom"/>
          </w:tcPr>
          <w:p>
            <w:pPr>
              <w:spacing w:after="0"/>
              <w:rPr>
                <w:sz w:val="24"/>
                <w:szCs w:val="24"/>
                <w:color w:val="auto"/>
              </w:rPr>
            </w:pPr>
          </w:p>
        </w:tc>
        <w:tc>
          <w:tcPr>
            <w:tcW w:w="2620" w:type="dxa"/>
            <w:vAlign w:val="bottom"/>
            <w:tcBorders>
              <w:bottom w:val="single" w:sz="8" w:color="0000EE"/>
            </w:tcBorders>
            <w:gridSpan w:val="8"/>
          </w:tcPr>
          <w:p>
            <w:pPr>
              <w:spacing w:after="0"/>
              <w:rPr>
                <w:rFonts w:ascii="Arial" w:cs="Arial" w:eastAsia="Arial" w:hAnsi="Arial"/>
                <w:sz w:val="18"/>
                <w:szCs w:val="18"/>
                <w:color w:val="0000EE"/>
                <w:w w:val="92"/>
              </w:rPr>
            </w:pPr>
            <w:hyperlink r:id="rId336">
              <w:r>
                <w:rPr>
                  <w:rFonts w:ascii="Arial" w:cs="Arial" w:eastAsia="Arial" w:hAnsi="Arial"/>
                  <w:sz w:val="18"/>
                  <w:szCs w:val="18"/>
                  <w:color w:val="0000EE"/>
                  <w:w w:val="92"/>
                </w:rPr>
                <w:t>Form of Indemnification Agreement</w:t>
              </w:r>
            </w:hyperlink>
          </w:p>
        </w:tc>
        <w:tc>
          <w:tcPr>
            <w:tcW w:w="7160" w:type="dxa"/>
            <w:vAlign w:val="bottom"/>
            <w:gridSpan w:val="18"/>
          </w:tcPr>
          <w:p>
            <w:pPr>
              <w:spacing w:after="0"/>
              <w:rPr>
                <w:sz w:val="24"/>
                <w:szCs w:val="24"/>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3920" w:type="dxa"/>
            <w:vAlign w:val="bottom"/>
            <w:tcBorders>
              <w:bottom w:val="single" w:sz="8" w:color="0000EE"/>
            </w:tcBorders>
            <w:gridSpan w:val="15"/>
          </w:tcPr>
          <w:p>
            <w:pPr>
              <w:spacing w:after="0"/>
              <w:rPr>
                <w:rFonts w:ascii="Arial" w:cs="Arial" w:eastAsia="Arial" w:hAnsi="Arial"/>
                <w:sz w:val="18"/>
                <w:szCs w:val="18"/>
                <w:color w:val="0000EE"/>
                <w:w w:val="91"/>
              </w:rPr>
            </w:pPr>
            <w:hyperlink r:id="rId337">
              <w:r>
                <w:rPr>
                  <w:rFonts w:ascii="Arial" w:cs="Arial" w:eastAsia="Arial" w:hAnsi="Arial"/>
                  <w:sz w:val="18"/>
                  <w:szCs w:val="18"/>
                  <w:color w:val="0000EE"/>
                  <w:w w:val="91"/>
                </w:rPr>
                <w:t>BellRing Brands, Inc. 2019 Long-Term Incentive Plan</w:t>
              </w:r>
            </w:hyperlink>
          </w:p>
        </w:tc>
        <w:tc>
          <w:tcPr>
            <w:tcW w:w="5860" w:type="dxa"/>
            <w:vAlign w:val="bottom"/>
            <w:gridSpan w:val="11"/>
          </w:tcPr>
          <w:p>
            <w:pPr>
              <w:spacing w:after="0"/>
              <w:rPr>
                <w:sz w:val="24"/>
                <w:szCs w:val="24"/>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EE"/>
                <w:w w:val="98"/>
              </w:rPr>
              <w:t>Bridge Facility Agreement dated as of October 11, 2019, among Post Holdings, Inc., Morgan Stanley Senior Funding, Inc., as</w:t>
            </w: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Administrative Agent and other lenders from time to time party thereto</w:t>
            </w:r>
          </w:p>
        </w:tc>
        <w:tc>
          <w:tcPr>
            <w:tcW w:w="740" w:type="dxa"/>
            <w:vAlign w:val="bottom"/>
            <w:gridSpan w:val="2"/>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5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89"/>
              </w:rPr>
              <w:t>Guarantee and Collateral Agreement dated as of October 11, 2019 among Post Holdings, Inc., certain of its subsidiaries and Morgan</w:t>
            </w:r>
          </w:p>
        </w:tc>
        <w:tc>
          <w:tcPr>
            <w:tcW w:w="26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gridSpan w:val="26"/>
          </w:tcPr>
          <w:p>
            <w:pPr>
              <w:spacing w:after="0" w:line="196" w:lineRule="exact"/>
              <w:rPr>
                <w:sz w:val="20"/>
                <w:szCs w:val="20"/>
                <w:color w:val="auto"/>
              </w:rPr>
            </w:pPr>
            <w:r>
              <w:rPr>
                <w:rFonts w:ascii="Arial" w:cs="Arial" w:eastAsia="Arial" w:hAnsi="Arial"/>
                <w:sz w:val="18"/>
                <w:szCs w:val="18"/>
                <w:color w:val="0000EE"/>
              </w:rPr>
              <w:t>Stanley Senior Funding, Inc., as Administrative Agent</w:t>
            </w: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3"/>
              </w:rPr>
              <w:t>10.12†*</w:t>
            </w:r>
          </w:p>
        </w:tc>
        <w:tc>
          <w:tcPr>
            <w:tcW w:w="5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Arial" w:cs="Arial" w:eastAsia="Arial" w:hAnsi="Arial"/>
                <w:sz w:val="18"/>
                <w:szCs w:val="18"/>
                <w:color w:val="0000EE"/>
                <w:w w:val="90"/>
              </w:rPr>
            </w:pPr>
            <w:hyperlink r:id="rId338">
              <w:r>
                <w:rPr>
                  <w:rFonts w:ascii="Arial" w:cs="Arial" w:eastAsia="Arial" w:hAnsi="Arial"/>
                  <w:sz w:val="18"/>
                  <w:szCs w:val="18"/>
                  <w:color w:val="0000EE"/>
                  <w:w w:val="90"/>
                </w:rPr>
                <w:t>Stremick Heritage Foods, LLC and Premier Nutrition Corporation Manufacturing Agreement dated as of July 1, 2017, as amended June</w:t>
              </w:r>
            </w:hyperlink>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gridSpan w:val="26"/>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11, 2018, October 1, 2018 and July 3, 2019</w:t>
              </w:r>
            </w:hyperlink>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21.1*</w:t>
            </w:r>
          </w:p>
        </w:tc>
        <w:tc>
          <w:tcPr>
            <w:tcW w:w="520" w:type="dxa"/>
            <w:vAlign w:val="bottom"/>
          </w:tcPr>
          <w:p>
            <w:pPr>
              <w:spacing w:after="0"/>
              <w:rPr>
                <w:sz w:val="24"/>
                <w:szCs w:val="24"/>
                <w:color w:val="auto"/>
              </w:rPr>
            </w:pPr>
          </w:p>
        </w:tc>
        <w:tc>
          <w:tcPr>
            <w:tcW w:w="3100" w:type="dxa"/>
            <w:vAlign w:val="bottom"/>
            <w:tcBorders>
              <w:top w:val="single" w:sz="8" w:color="0000EE"/>
            </w:tcBorders>
            <w:gridSpan w:val="13"/>
          </w:tcPr>
          <w:p>
            <w:pPr>
              <w:spacing w:after="0"/>
              <w:rPr>
                <w:rFonts w:ascii="Arial" w:cs="Arial" w:eastAsia="Arial" w:hAnsi="Arial"/>
                <w:sz w:val="18"/>
                <w:szCs w:val="18"/>
                <w:color w:val="0000EE"/>
              </w:rPr>
            </w:pPr>
            <w:hyperlink r:id="rId339">
              <w:r>
                <w:rPr>
                  <w:rFonts w:ascii="Arial" w:cs="Arial" w:eastAsia="Arial" w:hAnsi="Arial"/>
                  <w:sz w:val="18"/>
                  <w:szCs w:val="18"/>
                  <w:color w:val="0000EE"/>
                </w:rPr>
                <w:t>Subsidiaries of BellRing Brands, Inc.</w:t>
              </w:r>
            </w:hyperlink>
          </w:p>
        </w:tc>
        <w:tc>
          <w:tcPr>
            <w:tcW w:w="6680" w:type="dxa"/>
            <w:vAlign w:val="bottom"/>
            <w:gridSpan w:val="13"/>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r>
      <w:tr>
        <w:trPr>
          <w:trHeight w:val="304"/>
        </w:trPr>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29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Consent of PricewaterhouseCoopers LLP</w:t>
            </w:r>
          </w:p>
        </w:tc>
        <w:tc>
          <w:tcPr>
            <w:tcW w:w="6800" w:type="dxa"/>
            <w:vAlign w:val="bottom"/>
            <w:gridSpan w:val="14"/>
          </w:tcPr>
          <w:p>
            <w:pPr>
              <w:spacing w:after="0"/>
              <w:rPr>
                <w:sz w:val="24"/>
                <w:szCs w:val="24"/>
                <w:color w:val="auto"/>
              </w:rPr>
            </w:pPr>
          </w:p>
        </w:tc>
      </w:tr>
      <w:tr>
        <w:trPr>
          <w:trHeight w:val="304"/>
        </w:trPr>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23.2</w:t>
            </w:r>
          </w:p>
        </w:tc>
        <w:tc>
          <w:tcPr>
            <w:tcW w:w="520" w:type="dxa"/>
            <w:vAlign w:val="bottom"/>
          </w:tcPr>
          <w:p>
            <w:pPr>
              <w:spacing w:after="0"/>
              <w:rPr>
                <w:sz w:val="24"/>
                <w:szCs w:val="24"/>
                <w:color w:val="auto"/>
              </w:rPr>
            </w:pPr>
          </w:p>
        </w:tc>
        <w:tc>
          <w:tcPr>
            <w:tcW w:w="29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Consent of PricewaterhouseCoopers LLP</w:t>
            </w:r>
          </w:p>
        </w:tc>
        <w:tc>
          <w:tcPr>
            <w:tcW w:w="6800" w:type="dxa"/>
            <w:vAlign w:val="bottom"/>
            <w:gridSpan w:val="14"/>
          </w:tcPr>
          <w:p>
            <w:pPr>
              <w:spacing w:after="0"/>
              <w:rPr>
                <w:sz w:val="24"/>
                <w:szCs w:val="24"/>
                <w:color w:val="auto"/>
              </w:rPr>
            </w:pPr>
          </w:p>
        </w:tc>
      </w:tr>
      <w:tr>
        <w:trPr>
          <w:trHeight w:val="318"/>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23.3*</w:t>
            </w:r>
          </w:p>
        </w:tc>
        <w:tc>
          <w:tcPr>
            <w:tcW w:w="520" w:type="dxa"/>
            <w:vAlign w:val="bottom"/>
          </w:tcPr>
          <w:p>
            <w:pPr>
              <w:spacing w:after="0"/>
              <w:rPr>
                <w:sz w:val="24"/>
                <w:szCs w:val="24"/>
                <w:color w:val="auto"/>
              </w:rPr>
            </w:pPr>
          </w:p>
        </w:tc>
        <w:tc>
          <w:tcPr>
            <w:tcW w:w="3920" w:type="dxa"/>
            <w:vAlign w:val="bottom"/>
            <w:tcBorders>
              <w:bottom w:val="single" w:sz="8" w:color="0000EE"/>
            </w:tcBorders>
            <w:gridSpan w:val="15"/>
          </w:tcPr>
          <w:p>
            <w:pPr>
              <w:spacing w:after="0"/>
              <w:rPr>
                <w:rFonts w:ascii="Arial" w:cs="Arial" w:eastAsia="Arial" w:hAnsi="Arial"/>
                <w:sz w:val="18"/>
                <w:szCs w:val="18"/>
                <w:color w:val="0000EE"/>
                <w:w w:val="92"/>
              </w:rPr>
            </w:pPr>
            <w:hyperlink r:id="rId329">
              <w:r>
                <w:rPr>
                  <w:rFonts w:ascii="Arial" w:cs="Arial" w:eastAsia="Arial" w:hAnsi="Arial"/>
                  <w:sz w:val="18"/>
                  <w:szCs w:val="18"/>
                  <w:color w:val="0000EE"/>
                  <w:w w:val="92"/>
                </w:rPr>
                <w:t>Consent of Lewis Rice LLC (contained in Exhibit 5.1)</w:t>
              </w:r>
            </w:hyperlink>
          </w:p>
        </w:tc>
        <w:tc>
          <w:tcPr>
            <w:tcW w:w="5860" w:type="dxa"/>
            <w:vAlign w:val="bottom"/>
            <w:gridSpan w:val="11"/>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24.1*</w:t>
            </w:r>
          </w:p>
        </w:tc>
        <w:tc>
          <w:tcPr>
            <w:tcW w:w="520" w:type="dxa"/>
            <w:vAlign w:val="bottom"/>
          </w:tcPr>
          <w:p>
            <w:pPr>
              <w:spacing w:after="0"/>
              <w:rPr>
                <w:sz w:val="24"/>
                <w:szCs w:val="24"/>
                <w:color w:val="auto"/>
              </w:rPr>
            </w:pPr>
          </w:p>
        </w:tc>
        <w:tc>
          <w:tcPr>
            <w:tcW w:w="468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37">
              <w:r>
                <w:rPr>
                  <w:rFonts w:ascii="Arial" w:cs="Arial" w:eastAsia="Arial" w:hAnsi="Arial"/>
                  <w:sz w:val="18"/>
                  <w:szCs w:val="18"/>
                  <w:color w:val="0000EE"/>
                  <w:w w:val="91"/>
                </w:rPr>
                <w:t>Powers of Attorney (included on signature page previously filed)</w:t>
              </w:r>
            </w:hyperlink>
          </w:p>
        </w:tc>
        <w:tc>
          <w:tcPr>
            <w:tcW w:w="5100" w:type="dxa"/>
            <w:vAlign w:val="bottom"/>
            <w:gridSpan w:val="9"/>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99.1*</w:t>
            </w:r>
          </w:p>
        </w:tc>
        <w:tc>
          <w:tcPr>
            <w:tcW w:w="52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340">
              <w:r>
                <w:rPr>
                  <w:rFonts w:ascii="Arial" w:cs="Arial" w:eastAsia="Arial" w:hAnsi="Arial"/>
                  <w:sz w:val="18"/>
                  <w:szCs w:val="18"/>
                  <w:color w:val="0000EE"/>
                </w:rPr>
                <w:t>Consent of Darcy Horn Davenport</w:t>
              </w:r>
            </w:hyperlink>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99.2*</w:t>
            </w:r>
          </w:p>
        </w:tc>
        <w:tc>
          <w:tcPr>
            <w:tcW w:w="5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r:id="rId341">
              <w:r>
                <w:rPr>
                  <w:rFonts w:ascii="Arial" w:cs="Arial" w:eastAsia="Arial" w:hAnsi="Arial"/>
                  <w:sz w:val="18"/>
                  <w:szCs w:val="18"/>
                  <w:color w:val="0000EE"/>
                  <w:w w:val="90"/>
                </w:rPr>
                <w:t>Consent of Thomas P. Erickson</w:t>
              </w:r>
            </w:hyperlink>
          </w:p>
        </w:tc>
        <w:tc>
          <w:tcPr>
            <w:tcW w:w="160" w:type="dxa"/>
            <w:vAlign w:val="bottom"/>
            <w:tcBorders>
              <w:top w:val="single" w:sz="8" w:color="0000EE"/>
            </w:tcBorders>
            <w:gridSpan w:val="2"/>
          </w:tcPr>
          <w:p>
            <w:pPr>
              <w:spacing w:after="0"/>
              <w:rPr>
                <w:sz w:val="24"/>
                <w:szCs w:val="24"/>
                <w:color w:val="auto"/>
              </w:rPr>
            </w:pPr>
          </w:p>
        </w:tc>
        <w:tc>
          <w:tcPr>
            <w:tcW w:w="7300" w:type="dxa"/>
            <w:vAlign w:val="bottom"/>
            <w:gridSpan w:val="20"/>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99.3*</w:t>
            </w:r>
          </w:p>
        </w:tc>
        <w:tc>
          <w:tcPr>
            <w:tcW w:w="520" w:type="dxa"/>
            <w:vAlign w:val="bottom"/>
          </w:tcPr>
          <w:p>
            <w:pPr>
              <w:spacing w:after="0"/>
              <w:rPr>
                <w:sz w:val="24"/>
                <w:szCs w:val="24"/>
                <w:color w:val="auto"/>
              </w:rPr>
            </w:pPr>
          </w:p>
        </w:tc>
        <w:tc>
          <w:tcPr>
            <w:tcW w:w="2120" w:type="dxa"/>
            <w:vAlign w:val="bottom"/>
            <w:tcBorders>
              <w:bottom w:val="single" w:sz="8" w:color="0000EE"/>
            </w:tcBorders>
            <w:gridSpan w:val="2"/>
          </w:tcPr>
          <w:p>
            <w:pPr>
              <w:spacing w:after="0"/>
              <w:rPr>
                <w:rFonts w:ascii="Arial" w:cs="Arial" w:eastAsia="Arial" w:hAnsi="Arial"/>
                <w:sz w:val="18"/>
                <w:szCs w:val="18"/>
                <w:color w:val="0000EE"/>
                <w:w w:val="91"/>
              </w:rPr>
            </w:pPr>
            <w:hyperlink r:id="rId342">
              <w:r>
                <w:rPr>
                  <w:rFonts w:ascii="Arial" w:cs="Arial" w:eastAsia="Arial" w:hAnsi="Arial"/>
                  <w:sz w:val="18"/>
                  <w:szCs w:val="18"/>
                  <w:color w:val="0000EE"/>
                  <w:w w:val="91"/>
                </w:rPr>
                <w:t>Consent of Elliot H. Stein, Jr.</w:t>
              </w:r>
            </w:hyperlink>
          </w:p>
        </w:tc>
        <w:tc>
          <w:tcPr>
            <w:tcW w:w="7660" w:type="dxa"/>
            <w:vAlign w:val="bottom"/>
            <w:gridSpan w:val="24"/>
          </w:tcPr>
          <w:p>
            <w:pPr>
              <w:spacing w:after="0"/>
              <w:rPr>
                <w:sz w:val="24"/>
                <w:szCs w:val="24"/>
                <w:color w:val="auto"/>
              </w:rPr>
            </w:pPr>
          </w:p>
        </w:tc>
      </w:tr>
      <w:tr>
        <w:trPr>
          <w:trHeight w:val="30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99.4*</w:t>
            </w:r>
          </w:p>
        </w:tc>
        <w:tc>
          <w:tcPr>
            <w:tcW w:w="52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343">
              <w:r>
                <w:rPr>
                  <w:rFonts w:ascii="Arial" w:cs="Arial" w:eastAsia="Arial" w:hAnsi="Arial"/>
                  <w:sz w:val="18"/>
                  <w:szCs w:val="18"/>
                  <w:color w:val="0000EE"/>
                </w:rPr>
                <w:t>Consent of Jennifer Kuperman Johnson</w:t>
              </w:r>
            </w:hyperlink>
          </w:p>
        </w:tc>
      </w:tr>
      <w:tr>
        <w:trPr>
          <w:trHeight w:val="20"/>
        </w:trPr>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7632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3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This exhibit relates to management agreements or compensatory plans or arrangements.</w:t>
      </w:r>
    </w:p>
    <w:p>
      <w:pPr>
        <w:spacing w:after="0" w:line="143" w:lineRule="exact"/>
        <w:rPr>
          <w:rFonts w:ascii="Arial" w:cs="Arial" w:eastAsia="Arial" w:hAnsi="Arial"/>
          <w:sz w:val="16"/>
          <w:szCs w:val="16"/>
          <w:color w:val="auto"/>
        </w:rPr>
      </w:pPr>
    </w:p>
    <w:p>
      <w:pPr>
        <w:ind w:left="5700" w:hanging="166"/>
        <w:spacing w:after="0"/>
        <w:tabs>
          <w:tab w:leader="none" w:pos="57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- 3</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St. Louis, State of Missouri, on October 11,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Diedre J. Gray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center"/>
              <w:ind w:left="1493"/>
              <w:spacing w:after="0"/>
              <w:rPr>
                <w:sz w:val="20"/>
                <w:szCs w:val="20"/>
                <w:color w:val="auto"/>
              </w:rPr>
            </w:pPr>
            <w:r>
              <w:rPr>
                <w:rFonts w:ascii="Arial" w:cs="Arial" w:eastAsia="Arial" w:hAnsi="Arial"/>
                <w:sz w:val="14"/>
                <w:szCs w:val="14"/>
                <w:b w:val="1"/>
                <w:bCs w:val="1"/>
                <w:color w:val="auto"/>
                <w:w w:val="92"/>
              </w:rPr>
              <w:t>Signature</w:t>
            </w: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6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Executive Chairman</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w w:val="87"/>
              </w:rPr>
              <w:t>October 11, 2019</w:t>
            </w:r>
          </w:p>
        </w:tc>
      </w:tr>
      <w:tr>
        <w:trPr>
          <w:trHeight w:val="224"/>
        </w:trPr>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Robert V. Vitale</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(Co-Principal Executive Officer and Director)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493"/>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w w:val="87"/>
              </w:rPr>
              <w:t>October 11, 2019</w:t>
            </w:r>
          </w:p>
        </w:tc>
      </w:tr>
      <w:tr>
        <w:trPr>
          <w:trHeight w:val="224"/>
        </w:trPr>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(Co-Principal Executive Officer)</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493"/>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w w:val="87"/>
              </w:rPr>
              <w:t>October 11, 2019</w:t>
            </w:r>
          </w:p>
        </w:tc>
      </w:tr>
      <w:tr>
        <w:trPr>
          <w:trHeight w:val="182"/>
        </w:trPr>
        <w:tc>
          <w:tcPr>
            <w:tcW w:w="20" w:type="dxa"/>
            <w:vAlign w:val="bottom"/>
          </w:tcPr>
          <w:p>
            <w:pPr>
              <w:spacing w:after="0"/>
              <w:rPr>
                <w:sz w:val="15"/>
                <w:szCs w:val="15"/>
                <w:color w:val="auto"/>
              </w:rPr>
            </w:pPr>
          </w:p>
        </w:tc>
        <w:tc>
          <w:tcPr>
            <w:tcW w:w="2740" w:type="dxa"/>
            <w:vAlign w:val="bottom"/>
            <w:gridSpan w:val="3"/>
          </w:tcPr>
          <w:p>
            <w:pPr>
              <w:spacing w:after="0" w:line="182" w:lineRule="exact"/>
              <w:rPr>
                <w:sz w:val="20"/>
                <w:szCs w:val="20"/>
                <w:color w:val="auto"/>
              </w:rPr>
            </w:pPr>
            <w:r>
              <w:rPr>
                <w:rFonts w:ascii="Arial" w:cs="Arial" w:eastAsia="Arial" w:hAnsi="Arial"/>
                <w:sz w:val="18"/>
                <w:szCs w:val="18"/>
                <w:color w:val="auto"/>
              </w:rPr>
              <w:t>Paul A. Rode</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6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493"/>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w w:val="87"/>
              </w:rPr>
              <w:t>October 11, 2019</w:t>
            </w:r>
          </w:p>
        </w:tc>
      </w:tr>
      <w:tr>
        <w:trPr>
          <w:trHeight w:val="224"/>
        </w:trPr>
        <w:tc>
          <w:tcPr>
            <w:tcW w:w="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Jeff A. Zadoks</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Diedre J. Gray</w:t>
            </w:r>
          </w:p>
        </w:tc>
        <w:tc>
          <w:tcPr>
            <w:tcW w:w="1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8"/>
                <w:szCs w:val="18"/>
                <w:color w:val="auto"/>
                <w:w w:val="87"/>
              </w:rPr>
              <w:t>October 11, 2019</w:t>
            </w:r>
          </w:p>
        </w:tc>
      </w:tr>
      <w:tr>
        <w:trPr>
          <w:trHeight w:val="224"/>
        </w:trPr>
        <w:tc>
          <w:tcPr>
            <w:tcW w:w="2760" w:type="dxa"/>
            <w:vAlign w:val="bottom"/>
            <w:gridSpan w:val="4"/>
          </w:tcPr>
          <w:p>
            <w:pPr>
              <w:spacing w:after="0"/>
              <w:rPr>
                <w:sz w:val="20"/>
                <w:szCs w:val="20"/>
                <w:color w:val="auto"/>
              </w:rPr>
            </w:pPr>
            <w:r>
              <w:rPr>
                <w:rFonts w:ascii="Arial" w:cs="Arial" w:eastAsia="Arial" w:hAnsi="Arial"/>
                <w:sz w:val="18"/>
                <w:szCs w:val="18"/>
                <w:color w:val="auto"/>
              </w:rPr>
              <w:t>Diedre J. Gray</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8"/>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Diedre J. Gray</w:t>
            </w:r>
          </w:p>
        </w:tc>
        <w:tc>
          <w:tcPr>
            <w:tcW w:w="16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21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Diedre J. Gray</w:t>
            </w:r>
          </w:p>
        </w:tc>
        <w:tc>
          <w:tcPr>
            <w:tcW w:w="1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 - 4</w:t>
      </w:r>
    </w:p>
    <w:p>
      <w:pPr>
        <w:sectPr>
          <w:pgSz w:w="11900" w:h="16838" w:orient="portrait"/>
          <w:cols w:equalWidth="0" w:num="1">
            <w:col w:w="11180"/>
          </w:cols>
          <w:pgMar w:left="240" w:top="459" w:right="47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MASTER TRANSACTION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BELLRING BRANDS,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238125</wp:posOffset>
            </wp:positionV>
            <wp:extent cx="14662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October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78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320" w:type="dxa"/>
            <w:vAlign w:val="bottom"/>
          </w:tcPr>
          <w:p>
            <w:pPr>
              <w:spacing w:after="0"/>
              <w:rPr>
                <w:sz w:val="20"/>
                <w:szCs w:val="20"/>
                <w:color w:val="auto"/>
              </w:rPr>
            </w:pPr>
          </w:p>
        </w:tc>
      </w:tr>
      <w:tr>
        <w:trPr>
          <w:trHeight w:val="459"/>
        </w:trPr>
        <w:tc>
          <w:tcPr>
            <w:tcW w:w="86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ARTICLE II IPO</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780" w:type="dxa"/>
            <w:vAlign w:val="bottom"/>
          </w:tcPr>
          <w:p>
            <w:pPr>
              <w:ind w:left="200"/>
              <w:spacing w:after="0"/>
              <w:rPr>
                <w:sz w:val="20"/>
                <w:szCs w:val="20"/>
                <w:color w:val="auto"/>
              </w:rPr>
            </w:pPr>
            <w:r>
              <w:rPr>
                <w:rFonts w:ascii="Arial" w:cs="Arial" w:eastAsia="Arial" w:hAnsi="Arial"/>
                <w:sz w:val="18"/>
                <w:szCs w:val="18"/>
                <w:color w:val="auto"/>
              </w:rPr>
              <w:t>Sole and Absolute Discretion; Cooperation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780" w:type="dxa"/>
            <w:vAlign w:val="bottom"/>
          </w:tcPr>
          <w:p>
            <w:pPr>
              <w:ind w:left="200"/>
              <w:spacing w:after="0"/>
              <w:rPr>
                <w:sz w:val="20"/>
                <w:szCs w:val="20"/>
                <w:color w:val="auto"/>
              </w:rPr>
            </w:pPr>
            <w:r>
              <w:rPr>
                <w:rFonts w:ascii="Arial" w:cs="Arial" w:eastAsia="Arial" w:hAnsi="Arial"/>
                <w:sz w:val="18"/>
                <w:szCs w:val="18"/>
                <w:color w:val="auto"/>
              </w:rPr>
              <w:t>Actions on IPO Closing Date</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ARTICLE III FORMATION TRANSACTIONS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780" w:type="dxa"/>
            <w:vAlign w:val="bottom"/>
          </w:tcPr>
          <w:p>
            <w:pPr>
              <w:ind w:left="200"/>
              <w:spacing w:after="0"/>
              <w:rPr>
                <w:sz w:val="20"/>
                <w:szCs w:val="20"/>
                <w:color w:val="auto"/>
              </w:rPr>
            </w:pPr>
            <w:r>
              <w:rPr>
                <w:rFonts w:ascii="Arial" w:cs="Arial" w:eastAsia="Arial" w:hAnsi="Arial"/>
                <w:sz w:val="18"/>
                <w:szCs w:val="18"/>
                <w:color w:val="auto"/>
              </w:rPr>
              <w:t>Formation Transactions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780" w:type="dxa"/>
            <w:vAlign w:val="bottom"/>
          </w:tcPr>
          <w:p>
            <w:pPr>
              <w:ind w:left="200"/>
              <w:spacing w:after="0"/>
              <w:rPr>
                <w:sz w:val="20"/>
                <w:szCs w:val="20"/>
                <w:color w:val="auto"/>
              </w:rPr>
            </w:pPr>
            <w:r>
              <w:rPr>
                <w:rFonts w:ascii="Arial" w:cs="Arial" w:eastAsia="Arial" w:hAnsi="Arial"/>
                <w:sz w:val="18"/>
                <w:szCs w:val="18"/>
                <w:color w:val="auto"/>
              </w:rPr>
              <w:t>Transfer of Assets and Assumption of Liabilities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780" w:type="dxa"/>
            <w:vAlign w:val="bottom"/>
          </w:tcPr>
          <w:p>
            <w:pPr>
              <w:ind w:left="200"/>
              <w:spacing w:after="0"/>
              <w:rPr>
                <w:sz w:val="20"/>
                <w:szCs w:val="20"/>
                <w:color w:val="auto"/>
              </w:rPr>
            </w:pPr>
            <w:r>
              <w:rPr>
                <w:rFonts w:ascii="Arial" w:cs="Arial" w:eastAsia="Arial" w:hAnsi="Arial"/>
                <w:sz w:val="18"/>
                <w:szCs w:val="18"/>
                <w:color w:val="auto"/>
              </w:rPr>
              <w:t>BellRing Assets; Post Assets</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780" w:type="dxa"/>
            <w:vAlign w:val="bottom"/>
          </w:tcPr>
          <w:p>
            <w:pPr>
              <w:ind w:left="200"/>
              <w:spacing w:after="0"/>
              <w:rPr>
                <w:sz w:val="20"/>
                <w:szCs w:val="20"/>
                <w:color w:val="auto"/>
              </w:rPr>
            </w:pPr>
            <w:r>
              <w:rPr>
                <w:rFonts w:ascii="Arial" w:cs="Arial" w:eastAsia="Arial" w:hAnsi="Arial"/>
                <w:sz w:val="18"/>
                <w:szCs w:val="18"/>
                <w:color w:val="auto"/>
              </w:rPr>
              <w:t>BellRing Liabilities; Post Liabilities</w:t>
            </w: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7780" w:type="dxa"/>
            <w:vAlign w:val="bottom"/>
          </w:tcPr>
          <w:p>
            <w:pPr>
              <w:ind w:left="200"/>
              <w:spacing w:after="0"/>
              <w:rPr>
                <w:sz w:val="20"/>
                <w:szCs w:val="20"/>
                <w:color w:val="auto"/>
              </w:rPr>
            </w:pPr>
            <w:r>
              <w:rPr>
                <w:rFonts w:ascii="Arial" w:cs="Arial" w:eastAsia="Arial" w:hAnsi="Arial"/>
                <w:sz w:val="18"/>
                <w:szCs w:val="18"/>
                <w:color w:val="auto"/>
              </w:rPr>
              <w:t>Approvals and Notifications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3.6</w:t>
            </w:r>
          </w:p>
        </w:tc>
        <w:tc>
          <w:tcPr>
            <w:tcW w:w="7780" w:type="dxa"/>
            <w:vAlign w:val="bottom"/>
          </w:tcPr>
          <w:p>
            <w:pPr>
              <w:ind w:left="200"/>
              <w:spacing w:after="0"/>
              <w:rPr>
                <w:sz w:val="20"/>
                <w:szCs w:val="20"/>
                <w:color w:val="auto"/>
              </w:rPr>
            </w:pPr>
            <w:r>
              <w:rPr>
                <w:rFonts w:ascii="Arial" w:cs="Arial" w:eastAsia="Arial" w:hAnsi="Arial"/>
                <w:sz w:val="18"/>
                <w:szCs w:val="18"/>
                <w:color w:val="auto"/>
              </w:rPr>
              <w:t>Assignment and Novation of Liabilities</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3.7</w:t>
            </w:r>
          </w:p>
        </w:tc>
        <w:tc>
          <w:tcPr>
            <w:tcW w:w="7780" w:type="dxa"/>
            <w:vAlign w:val="bottom"/>
          </w:tcPr>
          <w:p>
            <w:pPr>
              <w:ind w:left="200"/>
              <w:spacing w:after="0"/>
              <w:rPr>
                <w:sz w:val="20"/>
                <w:szCs w:val="20"/>
                <w:color w:val="auto"/>
              </w:rPr>
            </w:pPr>
            <w:r>
              <w:rPr>
                <w:rFonts w:ascii="Arial" w:cs="Arial" w:eastAsia="Arial" w:hAnsi="Arial"/>
                <w:sz w:val="18"/>
                <w:szCs w:val="18"/>
                <w:color w:val="auto"/>
              </w:rPr>
              <w:t>Treatment of Intercompany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3.8</w:t>
            </w:r>
          </w:p>
        </w:tc>
        <w:tc>
          <w:tcPr>
            <w:tcW w:w="7780" w:type="dxa"/>
            <w:vAlign w:val="bottom"/>
          </w:tcPr>
          <w:p>
            <w:pPr>
              <w:ind w:left="200"/>
              <w:spacing w:after="0"/>
              <w:rPr>
                <w:sz w:val="20"/>
                <w:szCs w:val="20"/>
                <w:color w:val="auto"/>
              </w:rPr>
            </w:pPr>
            <w:r>
              <w:rPr>
                <w:rFonts w:ascii="Arial" w:cs="Arial" w:eastAsia="Arial" w:hAnsi="Arial"/>
                <w:sz w:val="18"/>
                <w:szCs w:val="18"/>
                <w:color w:val="auto"/>
              </w:rPr>
              <w:t>Disclaimer of Representations and Warranties</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IV CLOSING</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ARTICLE V MUTUAL RELEASES; 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7780" w:type="dxa"/>
            <w:vAlign w:val="bottom"/>
          </w:tcPr>
          <w:p>
            <w:pPr>
              <w:ind w:left="200"/>
              <w:spacing w:after="0"/>
              <w:rPr>
                <w:sz w:val="20"/>
                <w:szCs w:val="20"/>
                <w:color w:val="auto"/>
              </w:rPr>
            </w:pPr>
            <w:r>
              <w:rPr>
                <w:rFonts w:ascii="Arial" w:cs="Arial" w:eastAsia="Arial" w:hAnsi="Arial"/>
                <w:sz w:val="18"/>
                <w:szCs w:val="18"/>
                <w:color w:val="auto"/>
              </w:rPr>
              <w:t>Release of Pre-Effective Time Claims</w:t>
            </w: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 by BellRing LLC</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 by Post</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7780" w:type="dxa"/>
            <w:vAlign w:val="bottom"/>
          </w:tcPr>
          <w:p>
            <w:pPr>
              <w:ind w:left="200"/>
              <w:spacing w:after="0"/>
              <w:rPr>
                <w:sz w:val="20"/>
                <w:szCs w:val="20"/>
                <w:color w:val="auto"/>
              </w:rPr>
            </w:pPr>
            <w:r>
              <w:rPr>
                <w:rFonts w:ascii="Arial" w:cs="Arial" w:eastAsia="Arial" w:hAnsi="Arial"/>
                <w:sz w:val="18"/>
                <w:szCs w:val="18"/>
                <w:color w:val="auto"/>
              </w:rPr>
              <w:t>Procedures for Indemnification of Third Party Claims</w:t>
            </w:r>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7780" w:type="dxa"/>
            <w:vAlign w:val="bottom"/>
          </w:tcPr>
          <w:p>
            <w:pPr>
              <w:ind w:left="200"/>
              <w:spacing w:after="0"/>
              <w:rPr>
                <w:sz w:val="20"/>
                <w:szCs w:val="20"/>
                <w:color w:val="auto"/>
              </w:rPr>
            </w:pPr>
            <w:r>
              <w:rPr>
                <w:rFonts w:ascii="Arial" w:cs="Arial" w:eastAsia="Arial" w:hAnsi="Arial"/>
                <w:sz w:val="18"/>
                <w:szCs w:val="18"/>
                <w:color w:val="auto"/>
              </w:rPr>
              <w:t>Additional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7780" w:type="dxa"/>
            <w:vAlign w:val="bottom"/>
          </w:tcPr>
          <w:p>
            <w:pPr>
              <w:ind w:left="200"/>
              <w:spacing w:after="0"/>
              <w:rPr>
                <w:sz w:val="20"/>
                <w:szCs w:val="20"/>
                <w:color w:val="auto"/>
              </w:rPr>
            </w:pPr>
            <w:r>
              <w:rPr>
                <w:rFonts w:ascii="Arial" w:cs="Arial" w:eastAsia="Arial" w:hAnsi="Arial"/>
                <w:sz w:val="18"/>
                <w:szCs w:val="18"/>
                <w:color w:val="auto"/>
              </w:rPr>
              <w:t>Right of Contribution</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7780" w:type="dxa"/>
            <w:vAlign w:val="bottom"/>
          </w:tcPr>
          <w:p>
            <w:pPr>
              <w:ind w:left="200"/>
              <w:spacing w:after="0"/>
              <w:rPr>
                <w:sz w:val="20"/>
                <w:szCs w:val="20"/>
                <w:color w:val="auto"/>
              </w:rPr>
            </w:pPr>
            <w:r>
              <w:rPr>
                <w:rFonts w:ascii="Arial" w:cs="Arial" w:eastAsia="Arial" w:hAnsi="Arial"/>
                <w:sz w:val="18"/>
                <w:szCs w:val="18"/>
                <w:color w:val="auto"/>
              </w:rPr>
              <w:t>Covenant Not to Sue</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7780" w:type="dxa"/>
            <w:vAlign w:val="bottom"/>
          </w:tcPr>
          <w:p>
            <w:pPr>
              <w:ind w:left="200"/>
              <w:spacing w:after="0"/>
              <w:rPr>
                <w:sz w:val="20"/>
                <w:szCs w:val="20"/>
                <w:color w:val="auto"/>
              </w:rPr>
            </w:pPr>
            <w:r>
              <w:rPr>
                <w:rFonts w:ascii="Arial" w:cs="Arial" w:eastAsia="Arial" w:hAnsi="Arial"/>
                <w:sz w:val="18"/>
                <w:szCs w:val="18"/>
                <w:color w:val="auto"/>
              </w:rPr>
              <w:t>Remedies Cumulative</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7780" w:type="dxa"/>
            <w:vAlign w:val="bottom"/>
          </w:tcPr>
          <w:p>
            <w:pPr>
              <w:ind w:left="200"/>
              <w:spacing w:after="0"/>
              <w:rPr>
                <w:sz w:val="20"/>
                <w:szCs w:val="20"/>
                <w:color w:val="auto"/>
              </w:rPr>
            </w:pPr>
            <w:r>
              <w:rPr>
                <w:rFonts w:ascii="Arial" w:cs="Arial" w:eastAsia="Arial" w:hAnsi="Arial"/>
                <w:sz w:val="18"/>
                <w:szCs w:val="18"/>
                <w:color w:val="auto"/>
              </w:rPr>
              <w:t>Survival of Indemnities</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 CERTAIN OTHER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6.1</w:t>
            </w:r>
          </w:p>
        </w:tc>
        <w:tc>
          <w:tcPr>
            <w:tcW w:w="7780" w:type="dxa"/>
            <w:vAlign w:val="bottom"/>
          </w:tcPr>
          <w:p>
            <w:pPr>
              <w:ind w:left="200"/>
              <w:spacing w:after="0"/>
              <w:rPr>
                <w:sz w:val="20"/>
                <w:szCs w:val="20"/>
                <w:color w:val="auto"/>
              </w:rPr>
            </w:pPr>
            <w:r>
              <w:rPr>
                <w:rFonts w:ascii="Arial" w:cs="Arial" w:eastAsia="Arial" w:hAnsi="Arial"/>
                <w:sz w:val="18"/>
                <w:szCs w:val="18"/>
                <w:color w:val="auto"/>
              </w:rPr>
              <w:t>Financial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6.2</w:t>
            </w:r>
          </w:p>
        </w:tc>
        <w:tc>
          <w:tcPr>
            <w:tcW w:w="7780" w:type="dxa"/>
            <w:vAlign w:val="bottom"/>
          </w:tcPr>
          <w:p>
            <w:pPr>
              <w:ind w:left="200"/>
              <w:spacing w:after="0"/>
              <w:rPr>
                <w:sz w:val="20"/>
                <w:szCs w:val="20"/>
                <w:color w:val="auto"/>
              </w:rPr>
            </w:pPr>
            <w:r>
              <w:rPr>
                <w:rFonts w:ascii="Arial" w:cs="Arial" w:eastAsia="Arial" w:hAnsi="Arial"/>
                <w:sz w:val="18"/>
                <w:szCs w:val="18"/>
                <w:color w:val="auto"/>
              </w:rPr>
              <w:t>Auditors and Audits; Annual Financial Statements and Accounting</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6.3</w:t>
            </w:r>
          </w:p>
        </w:tc>
        <w:tc>
          <w:tcPr>
            <w:tcW w:w="7780" w:type="dxa"/>
            <w:vAlign w:val="bottom"/>
          </w:tcPr>
          <w:p>
            <w:pPr>
              <w:ind w:left="200"/>
              <w:spacing w:after="0"/>
              <w:rPr>
                <w:sz w:val="20"/>
                <w:szCs w:val="20"/>
                <w:color w:val="auto"/>
              </w:rPr>
            </w:pPr>
            <w:r>
              <w:rPr>
                <w:rFonts w:ascii="Arial" w:cs="Arial" w:eastAsia="Arial" w:hAnsi="Arial"/>
                <w:sz w:val="18"/>
                <w:szCs w:val="18"/>
                <w:color w:val="auto"/>
              </w:rPr>
              <w:t>Names Following the Effective Time</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6.4</w:t>
            </w:r>
          </w:p>
        </w:tc>
        <w:tc>
          <w:tcPr>
            <w:tcW w:w="7780" w:type="dxa"/>
            <w:vAlign w:val="bottom"/>
          </w:tcPr>
          <w:p>
            <w:pPr>
              <w:ind w:left="200"/>
              <w:spacing w:after="0"/>
              <w:rPr>
                <w:sz w:val="20"/>
                <w:szCs w:val="20"/>
                <w:color w:val="auto"/>
              </w:rPr>
            </w:pPr>
            <w:r>
              <w:rPr>
                <w:rFonts w:ascii="Arial" w:cs="Arial" w:eastAsia="Arial" w:hAnsi="Arial"/>
                <w:sz w:val="18"/>
                <w:szCs w:val="18"/>
                <w:color w:val="auto"/>
              </w:rPr>
              <w:t>Insurance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6.5</w:t>
            </w:r>
          </w:p>
        </w:tc>
        <w:tc>
          <w:tcPr>
            <w:tcW w:w="778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6.6</w:t>
            </w:r>
          </w:p>
        </w:tc>
        <w:tc>
          <w:tcPr>
            <w:tcW w:w="7780" w:type="dxa"/>
            <w:vAlign w:val="bottom"/>
          </w:tcPr>
          <w:p>
            <w:pPr>
              <w:ind w:left="200"/>
              <w:spacing w:after="0"/>
              <w:rPr>
                <w:sz w:val="20"/>
                <w:szCs w:val="20"/>
                <w:color w:val="auto"/>
              </w:rPr>
            </w:pPr>
            <w:r>
              <w:rPr>
                <w:rFonts w:ascii="Arial" w:cs="Arial" w:eastAsia="Arial" w:hAnsi="Arial"/>
                <w:sz w:val="18"/>
                <w:szCs w:val="18"/>
                <w:color w:val="auto"/>
              </w:rPr>
              <w:t>Inducement</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6.7</w:t>
            </w:r>
          </w:p>
        </w:tc>
        <w:tc>
          <w:tcPr>
            <w:tcW w:w="7780" w:type="dxa"/>
            <w:vAlign w:val="bottom"/>
          </w:tcPr>
          <w:p>
            <w:pPr>
              <w:ind w:left="200"/>
              <w:spacing w:after="0"/>
              <w:rPr>
                <w:sz w:val="20"/>
                <w:szCs w:val="20"/>
                <w:color w:val="auto"/>
              </w:rPr>
            </w:pPr>
            <w:r>
              <w:rPr>
                <w:rFonts w:ascii="Arial" w:cs="Arial" w:eastAsia="Arial" w:hAnsi="Arial"/>
                <w:sz w:val="18"/>
                <w:szCs w:val="18"/>
                <w:color w:val="auto"/>
              </w:rPr>
              <w:t>No Restrictions on Competition</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 EXCHANGE OF INFORMATION; CONFIDENTIALITY</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7780" w:type="dxa"/>
            <w:vAlign w:val="bottom"/>
          </w:tcPr>
          <w:p>
            <w:pPr>
              <w:ind w:left="200"/>
              <w:spacing w:after="0"/>
              <w:rPr>
                <w:sz w:val="20"/>
                <w:szCs w:val="20"/>
                <w:color w:val="auto"/>
              </w:rPr>
            </w:pPr>
            <w:r>
              <w:rPr>
                <w:rFonts w:ascii="Arial" w:cs="Arial" w:eastAsia="Arial" w:hAnsi="Arial"/>
                <w:sz w:val="18"/>
                <w:szCs w:val="18"/>
                <w:color w:val="auto"/>
              </w:rPr>
              <w:t>Agreement for Exchange of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7780" w:type="dxa"/>
            <w:vAlign w:val="bottom"/>
          </w:tcPr>
          <w:p>
            <w:pPr>
              <w:ind w:left="200"/>
              <w:spacing w:after="0"/>
              <w:rPr>
                <w:sz w:val="20"/>
                <w:szCs w:val="20"/>
                <w:color w:val="auto"/>
              </w:rPr>
            </w:pPr>
            <w:r>
              <w:rPr>
                <w:rFonts w:ascii="Arial" w:cs="Arial" w:eastAsia="Arial" w:hAnsi="Arial"/>
                <w:sz w:val="18"/>
                <w:szCs w:val="18"/>
                <w:color w:val="auto"/>
              </w:rPr>
              <w:t>Ownership of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7780" w:type="dxa"/>
            <w:vAlign w:val="bottom"/>
          </w:tcPr>
          <w:p>
            <w:pPr>
              <w:ind w:left="200"/>
              <w:spacing w:after="0"/>
              <w:rPr>
                <w:sz w:val="20"/>
                <w:szCs w:val="20"/>
                <w:color w:val="auto"/>
              </w:rPr>
            </w:pPr>
            <w:r>
              <w:rPr>
                <w:rFonts w:ascii="Arial" w:cs="Arial" w:eastAsia="Arial" w:hAnsi="Arial"/>
                <w:sz w:val="18"/>
                <w:szCs w:val="18"/>
                <w:color w:val="auto"/>
              </w:rPr>
              <w:t>Record Retention</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7.4</w:t>
            </w:r>
          </w:p>
        </w:tc>
        <w:tc>
          <w:tcPr>
            <w:tcW w:w="7780" w:type="dxa"/>
            <w:vAlign w:val="bottom"/>
          </w:tcPr>
          <w:p>
            <w:pPr>
              <w:ind w:left="200"/>
              <w:spacing w:after="0"/>
              <w:rPr>
                <w:sz w:val="20"/>
                <w:szCs w:val="20"/>
                <w:color w:val="auto"/>
              </w:rPr>
            </w:pPr>
            <w:r>
              <w:rPr>
                <w:rFonts w:ascii="Arial" w:cs="Arial" w:eastAsia="Arial" w:hAnsi="Arial"/>
                <w:sz w:val="18"/>
                <w:szCs w:val="18"/>
                <w:color w:val="auto"/>
              </w:rPr>
              <w:t>Limitations of Liability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7.5</w:t>
            </w:r>
          </w:p>
        </w:tc>
        <w:tc>
          <w:tcPr>
            <w:tcW w:w="7780" w:type="dxa"/>
            <w:vAlign w:val="bottom"/>
          </w:tcPr>
          <w:p>
            <w:pPr>
              <w:ind w:left="200"/>
              <w:spacing w:after="0"/>
              <w:rPr>
                <w:sz w:val="20"/>
                <w:szCs w:val="20"/>
                <w:color w:val="auto"/>
              </w:rPr>
            </w:pPr>
            <w:r>
              <w:rPr>
                <w:rFonts w:ascii="Arial" w:cs="Arial" w:eastAsia="Arial" w:hAnsi="Arial"/>
                <w:sz w:val="18"/>
                <w:szCs w:val="18"/>
                <w:color w:val="auto"/>
              </w:rPr>
              <w:t>Other Agreements Providing for Exchange of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7.6</w:t>
            </w:r>
          </w:p>
        </w:tc>
        <w:tc>
          <w:tcPr>
            <w:tcW w:w="778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7.7</w:t>
            </w:r>
          </w:p>
        </w:tc>
        <w:tc>
          <w:tcPr>
            <w:tcW w:w="7780" w:type="dxa"/>
            <w:vAlign w:val="bottom"/>
          </w:tcPr>
          <w:p>
            <w:pPr>
              <w:ind w:left="200"/>
              <w:spacing w:after="0"/>
              <w:rPr>
                <w:sz w:val="20"/>
                <w:szCs w:val="20"/>
                <w:color w:val="auto"/>
              </w:rPr>
            </w:pPr>
            <w:r>
              <w:rPr>
                <w:rFonts w:ascii="Arial" w:cs="Arial" w:eastAsia="Arial" w:hAnsi="Arial"/>
                <w:sz w:val="18"/>
                <w:szCs w:val="18"/>
                <w:color w:val="auto"/>
              </w:rPr>
              <w:t>Protective Arrangements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r>
    </w:tbl>
    <w:p>
      <w:pPr>
        <w:jc w:val="right"/>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9" w:name="page240"/>
    <w:bookmarkEnd w:id="239"/>
    <w:tbl>
      <w:tblPr>
        <w:tblLayout w:type="fixed"/>
        <w:tblInd w:w="0" w:type="dxa"/>
        <w:tblCellMar>
          <w:top w:w="0" w:type="dxa"/>
          <w:left w:w="0" w:type="dxa"/>
          <w:bottom w:w="0" w:type="dxa"/>
          <w:right w:w="0" w:type="dxa"/>
        </w:tblCellMar>
      </w:tblP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ARTICLE VIII DISPUTE RESOLUTION</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8.1</w:t>
            </w:r>
          </w:p>
        </w:tc>
        <w:tc>
          <w:tcPr>
            <w:tcW w:w="6880" w:type="dxa"/>
            <w:vAlign w:val="bottom"/>
          </w:tcPr>
          <w:p>
            <w:pPr>
              <w:ind w:left="200"/>
              <w:spacing w:after="0"/>
              <w:rPr>
                <w:sz w:val="20"/>
                <w:szCs w:val="20"/>
                <w:color w:val="auto"/>
              </w:rPr>
            </w:pPr>
            <w:r>
              <w:rPr>
                <w:rFonts w:ascii="Arial" w:cs="Arial" w:eastAsia="Arial" w:hAnsi="Arial"/>
                <w:sz w:val="18"/>
                <w:szCs w:val="18"/>
                <w:color w:val="auto"/>
              </w:rPr>
              <w:t>Good Faith Officer Negotiation</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8.2</w:t>
            </w:r>
          </w:p>
        </w:tc>
        <w:tc>
          <w:tcPr>
            <w:tcW w:w="6880" w:type="dxa"/>
            <w:vAlign w:val="bottom"/>
          </w:tcPr>
          <w:p>
            <w:pPr>
              <w:ind w:left="200"/>
              <w:spacing w:after="0"/>
              <w:rPr>
                <w:sz w:val="20"/>
                <w:szCs w:val="20"/>
                <w:color w:val="auto"/>
              </w:rPr>
            </w:pPr>
            <w:r>
              <w:rPr>
                <w:rFonts w:ascii="Arial" w:cs="Arial" w:eastAsia="Arial" w:hAnsi="Arial"/>
                <w:sz w:val="18"/>
                <w:szCs w:val="18"/>
                <w:color w:val="auto"/>
              </w:rPr>
              <w:t>CEO Negotiation</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8.3</w:t>
            </w:r>
          </w:p>
        </w:tc>
        <w:tc>
          <w:tcPr>
            <w:tcW w:w="6880" w:type="dxa"/>
            <w:vAlign w:val="bottom"/>
          </w:tcPr>
          <w:p>
            <w:pPr>
              <w:ind w:left="200"/>
              <w:spacing w:after="0"/>
              <w:rPr>
                <w:sz w:val="20"/>
                <w:szCs w:val="20"/>
                <w:color w:val="auto"/>
              </w:rPr>
            </w:pPr>
            <w:r>
              <w:rPr>
                <w:rFonts w:ascii="Arial" w:cs="Arial" w:eastAsia="Arial" w:hAnsi="Arial"/>
                <w:sz w:val="18"/>
                <w:szCs w:val="18"/>
                <w:color w:val="auto"/>
              </w:rPr>
              <w:t>Dispute Resolution and Injunctive Relief</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8.4</w:t>
            </w:r>
          </w:p>
        </w:tc>
        <w:tc>
          <w:tcPr>
            <w:tcW w:w="6880" w:type="dxa"/>
            <w:vAlign w:val="bottom"/>
          </w:tcPr>
          <w:p>
            <w:pPr>
              <w:ind w:left="200"/>
              <w:spacing w:after="0"/>
              <w:rPr>
                <w:sz w:val="20"/>
                <w:szCs w:val="20"/>
                <w:color w:val="auto"/>
              </w:rPr>
            </w:pPr>
            <w:r>
              <w:rPr>
                <w:rFonts w:ascii="Arial" w:cs="Arial" w:eastAsia="Arial" w:hAnsi="Arial"/>
                <w:sz w:val="18"/>
                <w:szCs w:val="18"/>
                <w:color w:val="auto"/>
              </w:rPr>
              <w:t>Conduct During Dispute Resolution Process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77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w:t>
            </w:r>
          </w:p>
        </w:tc>
        <w:tc>
          <w:tcPr>
            <w:tcW w:w="6880" w:type="dxa"/>
            <w:vAlign w:val="bottom"/>
          </w:tcPr>
          <w:p>
            <w:pPr>
              <w:ind w:left="200"/>
              <w:spacing w:after="0"/>
              <w:rPr>
                <w:sz w:val="20"/>
                <w:szCs w:val="20"/>
                <w:color w:val="auto"/>
              </w:rPr>
            </w:pPr>
            <w:r>
              <w:rPr>
                <w:rFonts w:ascii="Arial" w:cs="Arial" w:eastAsia="Arial" w:hAnsi="Arial"/>
                <w:sz w:val="18"/>
                <w:szCs w:val="18"/>
                <w:color w:val="auto"/>
              </w:rPr>
              <w:t>Termination; Waiver and Amendments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9.2</w:t>
            </w:r>
          </w:p>
        </w:tc>
        <w:tc>
          <w:tcPr>
            <w:tcW w:w="68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3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9.3</w:t>
            </w:r>
          </w:p>
        </w:tc>
        <w:tc>
          <w:tcPr>
            <w:tcW w:w="6880" w:type="dxa"/>
            <w:vAlign w:val="bottom"/>
          </w:tcPr>
          <w:p>
            <w:pPr>
              <w:ind w:left="200"/>
              <w:spacing w:after="0"/>
              <w:rPr>
                <w:sz w:val="20"/>
                <w:szCs w:val="20"/>
                <w:color w:val="auto"/>
              </w:rPr>
            </w:pPr>
            <w:r>
              <w:rPr>
                <w:rFonts w:ascii="Arial" w:cs="Arial" w:eastAsia="Arial" w:hAnsi="Arial"/>
                <w:sz w:val="18"/>
                <w:szCs w:val="18"/>
                <w:color w:val="auto"/>
              </w:rPr>
              <w:t>Counterparts; Entire Agreement; Corporate Power</w:t>
            </w:r>
          </w:p>
        </w:tc>
        <w:tc>
          <w:tcPr>
            <w:tcW w:w="3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9.4</w:t>
            </w:r>
          </w:p>
        </w:tc>
        <w:tc>
          <w:tcPr>
            <w:tcW w:w="68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9.5</w:t>
            </w:r>
          </w:p>
        </w:tc>
        <w:tc>
          <w:tcPr>
            <w:tcW w:w="6880" w:type="dxa"/>
            <w:vAlign w:val="bottom"/>
          </w:tcPr>
          <w:p>
            <w:pPr>
              <w:ind w:left="200"/>
              <w:spacing w:after="0"/>
              <w:rPr>
                <w:sz w:val="20"/>
                <w:szCs w:val="20"/>
                <w:color w:val="auto"/>
              </w:rPr>
            </w:pPr>
            <w:r>
              <w:rPr>
                <w:rFonts w:ascii="Arial" w:cs="Arial" w:eastAsia="Arial" w:hAnsi="Arial"/>
                <w:sz w:val="18"/>
                <w:szCs w:val="18"/>
                <w:color w:val="auto"/>
              </w:rPr>
              <w:t>Assignability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9.6</w:t>
            </w:r>
          </w:p>
        </w:tc>
        <w:tc>
          <w:tcPr>
            <w:tcW w:w="6880" w:type="dxa"/>
            <w:vAlign w:val="bottom"/>
          </w:tcPr>
          <w:p>
            <w:pPr>
              <w:ind w:left="200"/>
              <w:spacing w:after="0"/>
              <w:rPr>
                <w:sz w:val="20"/>
                <w:szCs w:val="20"/>
                <w:color w:val="auto"/>
              </w:rPr>
            </w:pPr>
            <w:r>
              <w:rPr>
                <w:rFonts w:ascii="Arial" w:cs="Arial" w:eastAsia="Arial" w:hAnsi="Arial"/>
                <w:sz w:val="18"/>
                <w:szCs w:val="18"/>
                <w:color w:val="auto"/>
              </w:rPr>
              <w:t>Third Party Beneficiaries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9.7</w:t>
            </w:r>
          </w:p>
        </w:tc>
        <w:tc>
          <w:tcPr>
            <w:tcW w:w="6880" w:type="dxa"/>
            <w:vAlign w:val="bottom"/>
          </w:tcPr>
          <w:p>
            <w:pPr>
              <w:ind w:left="200"/>
              <w:spacing w:after="0"/>
              <w:rPr>
                <w:sz w:val="20"/>
                <w:szCs w:val="20"/>
                <w:color w:val="auto"/>
              </w:rPr>
            </w:pPr>
            <w:r>
              <w:rPr>
                <w:rFonts w:ascii="Arial" w:cs="Arial" w:eastAsia="Arial" w:hAnsi="Arial"/>
                <w:sz w:val="18"/>
                <w:szCs w:val="18"/>
                <w:color w:val="auto"/>
              </w:rPr>
              <w:t>Notices</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9.8</w:t>
            </w:r>
          </w:p>
        </w:tc>
        <w:tc>
          <w:tcPr>
            <w:tcW w:w="68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9.9</w:t>
            </w:r>
          </w:p>
        </w:tc>
        <w:tc>
          <w:tcPr>
            <w:tcW w:w="6880" w:type="dxa"/>
            <w:vAlign w:val="bottom"/>
          </w:tcPr>
          <w:p>
            <w:pPr>
              <w:ind w:left="200"/>
              <w:spacing w:after="0"/>
              <w:rPr>
                <w:sz w:val="20"/>
                <w:szCs w:val="20"/>
                <w:color w:val="auto"/>
              </w:rPr>
            </w:pPr>
            <w:r>
              <w:rPr>
                <w:rFonts w:ascii="Arial" w:cs="Arial" w:eastAsia="Arial" w:hAnsi="Arial"/>
                <w:sz w:val="18"/>
                <w:szCs w:val="18"/>
                <w:color w:val="auto"/>
              </w:rPr>
              <w:t>Force Majeure</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9.10</w:t>
            </w:r>
          </w:p>
        </w:tc>
        <w:tc>
          <w:tcPr>
            <w:tcW w:w="6880" w:type="dxa"/>
            <w:vAlign w:val="bottom"/>
          </w:tcPr>
          <w:p>
            <w:pPr>
              <w:ind w:left="200"/>
              <w:spacing w:after="0"/>
              <w:rPr>
                <w:sz w:val="20"/>
                <w:szCs w:val="20"/>
                <w:color w:val="auto"/>
              </w:rPr>
            </w:pPr>
            <w:r>
              <w:rPr>
                <w:rFonts w:ascii="Arial" w:cs="Arial" w:eastAsia="Arial" w:hAnsi="Arial"/>
                <w:sz w:val="18"/>
                <w:szCs w:val="18"/>
                <w:color w:val="auto"/>
              </w:rPr>
              <w:t>No Set-Off</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9.11</w:t>
            </w:r>
          </w:p>
        </w:tc>
        <w:tc>
          <w:tcPr>
            <w:tcW w:w="68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9.12</w:t>
            </w:r>
          </w:p>
        </w:tc>
        <w:tc>
          <w:tcPr>
            <w:tcW w:w="6880" w:type="dxa"/>
            <w:vAlign w:val="bottom"/>
          </w:tcPr>
          <w:p>
            <w:pPr>
              <w:ind w:left="200"/>
              <w:spacing w:after="0"/>
              <w:rPr>
                <w:sz w:val="20"/>
                <w:szCs w:val="20"/>
                <w:color w:val="auto"/>
              </w:rPr>
            </w:pPr>
            <w:r>
              <w:rPr>
                <w:rFonts w:ascii="Arial" w:cs="Arial" w:eastAsia="Arial" w:hAnsi="Arial"/>
                <w:sz w:val="18"/>
                <w:szCs w:val="18"/>
                <w:color w:val="auto"/>
              </w:rPr>
              <w:t>Headings</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9.13</w:t>
            </w:r>
          </w:p>
        </w:tc>
        <w:tc>
          <w:tcPr>
            <w:tcW w:w="6880" w:type="dxa"/>
            <w:vAlign w:val="bottom"/>
          </w:tcPr>
          <w:p>
            <w:pPr>
              <w:ind w:left="200"/>
              <w:spacing w:after="0"/>
              <w:rPr>
                <w:sz w:val="20"/>
                <w:szCs w:val="20"/>
                <w:color w:val="auto"/>
              </w:rPr>
            </w:pPr>
            <w:r>
              <w:rPr>
                <w:rFonts w:ascii="Arial" w:cs="Arial" w:eastAsia="Arial" w:hAnsi="Arial"/>
                <w:sz w:val="18"/>
                <w:szCs w:val="18"/>
                <w:color w:val="auto"/>
              </w:rPr>
              <w:t>Survival of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9.14</w:t>
            </w:r>
          </w:p>
        </w:tc>
        <w:tc>
          <w:tcPr>
            <w:tcW w:w="6880" w:type="dxa"/>
            <w:vAlign w:val="bottom"/>
          </w:tcPr>
          <w:p>
            <w:pPr>
              <w:ind w:left="200"/>
              <w:spacing w:after="0"/>
              <w:rPr>
                <w:sz w:val="20"/>
                <w:szCs w:val="20"/>
                <w:color w:val="auto"/>
              </w:rPr>
            </w:pPr>
            <w:r>
              <w:rPr>
                <w:rFonts w:ascii="Arial" w:cs="Arial" w:eastAsia="Arial" w:hAnsi="Arial"/>
                <w:sz w:val="18"/>
                <w:szCs w:val="18"/>
                <w:color w:val="auto"/>
              </w:rPr>
              <w:t>Waivers of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9.15</w:t>
            </w:r>
          </w:p>
        </w:tc>
        <w:tc>
          <w:tcPr>
            <w:tcW w:w="688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9.16</w:t>
            </w:r>
          </w:p>
        </w:tc>
        <w:tc>
          <w:tcPr>
            <w:tcW w:w="688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9.17</w:t>
            </w:r>
          </w:p>
        </w:tc>
        <w:tc>
          <w:tcPr>
            <w:tcW w:w="6880" w:type="dxa"/>
            <w:vAlign w:val="bottom"/>
          </w:tcPr>
          <w:p>
            <w:pPr>
              <w:ind w:left="200"/>
              <w:spacing w:after="0"/>
              <w:rPr>
                <w:sz w:val="20"/>
                <w:szCs w:val="20"/>
                <w:color w:val="auto"/>
              </w:rPr>
            </w:pPr>
            <w:r>
              <w:rPr>
                <w:rFonts w:ascii="Arial" w:cs="Arial" w:eastAsia="Arial" w:hAnsi="Arial"/>
                <w:sz w:val="18"/>
                <w:szCs w:val="18"/>
                <w:color w:val="auto"/>
              </w:rPr>
              <w:t>Limitations of Liability; No Recourse</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9.18</w:t>
            </w:r>
          </w:p>
        </w:tc>
        <w:tc>
          <w:tcPr>
            <w:tcW w:w="6880" w:type="dxa"/>
            <w:vAlign w:val="bottom"/>
          </w:tcPr>
          <w:p>
            <w:pPr>
              <w:ind w:left="200"/>
              <w:spacing w:after="0"/>
              <w:rPr>
                <w:sz w:val="20"/>
                <w:szCs w:val="20"/>
                <w:color w:val="auto"/>
              </w:rPr>
            </w:pPr>
            <w:r>
              <w:rPr>
                <w:rFonts w:ascii="Arial" w:cs="Arial" w:eastAsia="Arial" w:hAnsi="Arial"/>
                <w:sz w:val="18"/>
                <w:szCs w:val="18"/>
                <w:color w:val="auto"/>
              </w:rPr>
              <w:t>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9.19</w:t>
            </w:r>
          </w:p>
        </w:tc>
        <w:tc>
          <w:tcPr>
            <w:tcW w:w="6880" w:type="dxa"/>
            <w:vAlign w:val="bottom"/>
          </w:tcPr>
          <w:p>
            <w:pPr>
              <w:ind w:left="200"/>
              <w:spacing w:after="0"/>
              <w:rPr>
                <w:sz w:val="20"/>
                <w:szCs w:val="20"/>
                <w:color w:val="auto"/>
              </w:rPr>
            </w:pPr>
            <w:r>
              <w:rPr>
                <w:rFonts w:ascii="Arial" w:cs="Arial" w:eastAsia="Arial" w:hAnsi="Arial"/>
                <w:sz w:val="18"/>
                <w:szCs w:val="18"/>
                <w:color w:val="auto"/>
              </w:rPr>
              <w:t>Mutual Drafting</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2180" w:type="dxa"/>
            <w:vAlign w:val="bottom"/>
          </w:tcPr>
          <w:p>
            <w:pPr>
              <w:spacing w:after="0"/>
              <w:rPr>
                <w:sz w:val="20"/>
                <w:szCs w:val="20"/>
                <w:color w:val="auto"/>
              </w:rPr>
            </w:pPr>
          </w:p>
        </w:tc>
      </w:tr>
      <w:tr>
        <w:trPr>
          <w:trHeight w:val="41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Schedule 1.1</w:t>
            </w:r>
          </w:p>
        </w:tc>
        <w:tc>
          <w:tcPr>
            <w:tcW w:w="500" w:type="dxa"/>
            <w:vAlign w:val="bottom"/>
            <w:gridSpan w:val="2"/>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w w:val="98"/>
              </w:rPr>
              <w:t>Active Nutrition Entities</w:t>
            </w:r>
          </w:p>
        </w:tc>
      </w:tr>
      <w:tr>
        <w:trPr>
          <w:trHeight w:val="304"/>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Schedule 1.2</w:t>
            </w:r>
          </w:p>
        </w:tc>
        <w:tc>
          <w:tcPr>
            <w:tcW w:w="500" w:type="dxa"/>
            <w:vAlign w:val="bottom"/>
            <w:gridSpan w:val="2"/>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rPr>
              <w:t>Excluded Contracts</w:t>
            </w:r>
          </w:p>
        </w:tc>
      </w:tr>
      <w:tr>
        <w:trPr>
          <w:trHeight w:val="304"/>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Schedule 1.3</w:t>
            </w:r>
          </w:p>
        </w:tc>
        <w:tc>
          <w:tcPr>
            <w:tcW w:w="500" w:type="dxa"/>
            <w:vAlign w:val="bottom"/>
            <w:gridSpan w:val="2"/>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w w:val="91"/>
              </w:rPr>
              <w:t>Other BellRing Contracts</w:t>
            </w:r>
          </w:p>
        </w:tc>
      </w:tr>
      <w:tr>
        <w:trPr>
          <w:trHeight w:val="304"/>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Schedule 9.11</w:t>
            </w:r>
          </w:p>
        </w:tc>
        <w:tc>
          <w:tcPr>
            <w:tcW w:w="420" w:type="dxa"/>
            <w:vAlign w:val="bottom"/>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rPr>
              <w:t>Certain Expenses</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4" w:right="1440" w:bottom="1440" w:gutter="0" w:footer="0" w:header="0"/>
        </w:sectPr>
      </w:pPr>
    </w:p>
    <w:bookmarkStart w:id="241" w:name="page242"/>
    <w:bookmarkEnd w:id="24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TRANSACTION AGREEMENT</w:t>
      </w:r>
    </w:p>
    <w:p>
      <w:pPr>
        <w:spacing w:after="0" w:line="225"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This MASTER TRANSACTION AGREEMENT, dated as of October 7, 2019 (this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among POST HOLDINGS, INC., a Missouri corporation (“</w:t>
      </w:r>
      <w:r>
        <w:rPr>
          <w:rFonts w:ascii="Arial" w:cs="Arial" w:eastAsia="Arial" w:hAnsi="Arial"/>
          <w:sz w:val="16"/>
          <w:szCs w:val="16"/>
          <w:u w:val="single" w:color="auto"/>
          <w:color w:val="auto"/>
        </w:rPr>
        <w:t>Post</w:t>
      </w:r>
      <w:r>
        <w:rPr>
          <w:rFonts w:ascii="Arial" w:cs="Arial" w:eastAsia="Arial" w:hAnsi="Arial"/>
          <w:sz w:val="16"/>
          <w:szCs w:val="16"/>
          <w:color w:val="auto"/>
        </w:rPr>
        <w:t>”), BELLRING BRANDS, INC., a Delaware corporation (“</w:t>
      </w:r>
      <w:r>
        <w:rPr>
          <w:rFonts w:ascii="Arial" w:cs="Arial" w:eastAsia="Arial" w:hAnsi="Arial"/>
          <w:sz w:val="16"/>
          <w:szCs w:val="16"/>
          <w:u w:val="single" w:color="auto"/>
          <w:color w:val="auto"/>
        </w:rPr>
        <w:t>BellRing Inc.</w:t>
      </w:r>
      <w:r>
        <w:rPr>
          <w:rFonts w:ascii="Arial" w:cs="Arial" w:eastAsia="Arial" w:hAnsi="Arial"/>
          <w:sz w:val="16"/>
          <w:szCs w:val="16"/>
          <w:color w:val="auto"/>
        </w:rPr>
        <w:t>”), and BELLRING BRANDS, LLC, a Delaware limited liability company (“</w:t>
      </w:r>
      <w:r>
        <w:rPr>
          <w:rFonts w:ascii="Arial" w:cs="Arial" w:eastAsia="Arial" w:hAnsi="Arial"/>
          <w:sz w:val="16"/>
          <w:szCs w:val="16"/>
          <w:u w:val="single" w:color="auto"/>
          <w:color w:val="auto"/>
        </w:rPr>
        <w:t>BellRing LLC</w:t>
      </w:r>
      <w:r>
        <w:rPr>
          <w:rFonts w:ascii="Arial" w:cs="Arial" w:eastAsia="Arial" w:hAnsi="Arial"/>
          <w:sz w:val="16"/>
          <w:szCs w:val="16"/>
          <w:color w:val="auto"/>
        </w:rPr>
        <w:t>”; Post, BellRing Inc. and BellRing LLC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Capitalized terms used herein and not otherwise defined shall have the respective meanings assigned to them in </w:t>
      </w:r>
      <w:r>
        <w:rPr>
          <w:rFonts w:ascii="Arial" w:cs="Arial" w:eastAsia="Arial" w:hAnsi="Arial"/>
          <w:sz w:val="16"/>
          <w:szCs w:val="16"/>
          <w:u w:val="single" w:color="auto"/>
          <w:color w:val="auto"/>
        </w:rPr>
        <w:t>ARTICLE I</w:t>
      </w:r>
      <w:r>
        <w:rPr>
          <w:rFonts w:ascii="Arial" w:cs="Arial" w:eastAsia="Arial" w:hAnsi="Arial"/>
          <w:sz w:val="16"/>
          <w:szCs w:val="16"/>
          <w:color w:val="auto"/>
        </w:rPr>
        <w: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WHEREAS, the board of directors of Post (the “</w:t>
      </w:r>
      <w:r>
        <w:rPr>
          <w:rFonts w:ascii="Arial" w:cs="Arial" w:eastAsia="Arial" w:hAnsi="Arial"/>
          <w:sz w:val="17"/>
          <w:szCs w:val="17"/>
          <w:u w:val="single" w:color="auto"/>
          <w:color w:val="auto"/>
        </w:rPr>
        <w:t>Post Board</w:t>
      </w:r>
      <w:r>
        <w:rPr>
          <w:rFonts w:ascii="Arial" w:cs="Arial" w:eastAsia="Arial" w:hAnsi="Arial"/>
          <w:sz w:val="17"/>
          <w:szCs w:val="17"/>
          <w:color w:val="auto"/>
        </w:rPr>
        <w:t>”), the board of directors of BellRing Inc. (the “</w:t>
      </w:r>
      <w:r>
        <w:rPr>
          <w:rFonts w:ascii="Arial" w:cs="Arial" w:eastAsia="Arial" w:hAnsi="Arial"/>
          <w:sz w:val="17"/>
          <w:szCs w:val="17"/>
          <w:u w:val="single" w:color="auto"/>
          <w:color w:val="auto"/>
        </w:rPr>
        <w:t>BellRing Inc. Board</w:t>
      </w:r>
      <w:r>
        <w:rPr>
          <w:rFonts w:ascii="Arial" w:cs="Arial" w:eastAsia="Arial" w:hAnsi="Arial"/>
          <w:sz w:val="17"/>
          <w:szCs w:val="17"/>
          <w:color w:val="auto"/>
        </w:rPr>
        <w:t>”) and Post, as the sole member of BellRing LLC, desire to effect an underwritten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BellRing Inc. Class A Common Stock;</w:t>
      </w:r>
    </w:p>
    <w:p>
      <w:pPr>
        <w:spacing w:after="0" w:line="14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WHEREAS, prior to the completion of the IPO, Post intends to incur indebtedness in an amount to be determined under an unsecured bridge loan (the “</w:t>
      </w:r>
      <w:r>
        <w:rPr>
          <w:rFonts w:ascii="Arial" w:cs="Arial" w:eastAsia="Arial" w:hAnsi="Arial"/>
          <w:sz w:val="18"/>
          <w:szCs w:val="18"/>
          <w:u w:val="single" w:color="auto"/>
          <w:color w:val="auto"/>
        </w:rPr>
        <w:t>Bridge Loan</w:t>
      </w:r>
      <w:r>
        <w:rPr>
          <w:rFonts w:ascii="Arial" w:cs="Arial" w:eastAsia="Arial" w:hAnsi="Arial"/>
          <w:sz w:val="18"/>
          <w:szCs w:val="18"/>
          <w:color w:val="auto"/>
        </w:rPr>
        <w:t>”) that Post and certain of its subsidiaries as guarantors (other than BellRing Inc., but including BellRing LLC and its direct and indirect domestic subsidiaries) will enter into with one or more financial institutions, the net proceeds of which shall be used by Post to refinance and repay a portion of the term loan under Post’s existing credit agreement;</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WHEREAS, in connection with the IPO, the Parties shall effect the Formation Transactions pursuant to which, among other things, the BellRing Business shall be separated from the Post Business, as more fully described in this Agreement;</w:t>
      </w:r>
    </w:p>
    <w:p>
      <w:pPr>
        <w:spacing w:after="0" w:line="170" w:lineRule="exact"/>
        <w:rPr>
          <w:sz w:val="20"/>
          <w:szCs w:val="20"/>
          <w:color w:val="auto"/>
        </w:rPr>
      </w:pPr>
    </w:p>
    <w:p>
      <w:pPr>
        <w:ind w:right="380" w:firstLine="441"/>
        <w:spacing w:after="0" w:line="302" w:lineRule="auto"/>
        <w:rPr>
          <w:sz w:val="20"/>
          <w:szCs w:val="20"/>
          <w:color w:val="auto"/>
        </w:rPr>
      </w:pPr>
      <w:r>
        <w:rPr>
          <w:rFonts w:ascii="Arial" w:cs="Arial" w:eastAsia="Arial" w:hAnsi="Arial"/>
          <w:sz w:val="16"/>
          <w:szCs w:val="16"/>
          <w:color w:val="auto"/>
        </w:rPr>
        <w:t>WHEREAS, by means of the Transfer and Assumption Documents, the BellRing Assets shall be transferred by Post and its applicable Subsidiaries to BellRing LLC and its applicable Subsidiaries, and the BellRing Liabilities shall be assumed by BellRing LLC and its applicable Subsidiaries, as more fully described in this Agreement and the Ancillary Agreements, and the Parties intend for such transfer to be treated for U.S. federal income tax purposes as a tax-free contribution of the BellRing Assets to BellRing LLC by Post under Section 721(a) of the Code;</w:t>
      </w:r>
    </w:p>
    <w:p>
      <w:pPr>
        <w:spacing w:after="0" w:line="154"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WHEREAS, the Parties desire to set forth in this Agreement (a) the principal transactions and other actions required to effect the Formation Transactions and the IPO and (b) certain agreements that will, following consummation of the Formation Transactions and the IPO, govern the relationship of the Parties and their respective Groups (as applicable).</w:t>
      </w:r>
    </w:p>
    <w:p>
      <w:pPr>
        <w:spacing w:after="0" w:line="18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 Blocker</w:t>
      </w:r>
      <w:r>
        <w:rPr>
          <w:rFonts w:ascii="Arial" w:cs="Arial" w:eastAsia="Arial" w:hAnsi="Arial"/>
          <w:sz w:val="18"/>
          <w:szCs w:val="18"/>
          <w:color w:val="auto"/>
        </w:rPr>
        <w:t>” shall mean TA/DEI-A Acquisition Corp., a Delaware corporation.</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Payable</w:t>
      </w:r>
      <w:r>
        <w:rPr>
          <w:rFonts w:ascii="Arial" w:cs="Arial" w:eastAsia="Arial" w:hAnsi="Arial"/>
          <w:sz w:val="18"/>
          <w:szCs w:val="18"/>
          <w:color w:val="auto"/>
        </w:rPr>
        <w:t>” shall mean any and all trade and non-trade accounts payable of Post or BellRing LLC or any other member of their respective Groups.</w:t>
      </w:r>
    </w:p>
    <w:p>
      <w:pPr>
        <w:sectPr>
          <w:pgSz w:w="11900" w:h="16838" w:orient="portrait"/>
          <w:cols w:equalWidth="0" w:num="1">
            <w:col w:w="11000"/>
          </w:cols>
          <w:pgMar w:left="440" w:top="274" w:right="459" w:bottom="1440" w:gutter="0" w:footer="0" w:header="0"/>
        </w:sectPr>
      </w:pPr>
    </w:p>
    <w:bookmarkStart w:id="242" w:name="page243"/>
    <w:bookmarkEnd w:id="242"/>
    <w:p>
      <w:pPr>
        <w:ind w:right="3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Accounts Receivable</w:t>
      </w:r>
      <w:r>
        <w:rPr>
          <w:rFonts w:ascii="Arial" w:cs="Arial" w:eastAsia="Arial" w:hAnsi="Arial"/>
          <w:sz w:val="18"/>
          <w:szCs w:val="18"/>
          <w:color w:val="auto"/>
        </w:rPr>
        <w:t>” shall mean any and all trade and non-trade accounts receivable of Post or BellRing LLC or any other member of their respective Groups.</w:t>
      </w:r>
    </w:p>
    <w:p>
      <w:pPr>
        <w:spacing w:after="0" w:line="170"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Nutrition Entities</w:t>
      </w:r>
      <w:r>
        <w:rPr>
          <w:rFonts w:ascii="Arial" w:cs="Arial" w:eastAsia="Arial" w:hAnsi="Arial"/>
          <w:sz w:val="18"/>
          <w:szCs w:val="18"/>
          <w:color w:val="auto"/>
        </w:rPr>
        <w:t xml:space="preserve">” shall mean the entities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prior to, at and after the Effective Time, for purposes of this Agreement and the Ancillary Agreements, except as otherwise specifically provided in this Agreement or any of the Ancillary Agreements (a) none of BellRing Inc., BellRing LLC or any other member of the BellRing Group shall be deemed to be an Affiliate of any member of the Post Group and (b) none of BellRing Inc., Post or any other member of the Post Group shall be deemed to be an Affiliate of any member of the BellRing Group.</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mean all agreements (other than this Agreement) entered into by any of the Parties or the members of their respective Groups (but as to which no Third Party is a party) in connection with the Formation Transactions and the IPO or the other transactions contemplated by this Agreement, including the Employee Matters Agreement, the Investor Rights Agreement, the License Agreement, the BellRing Limited Liability Company Agreement, the Tax Matters Agreement, the Tax Receivable Agreement, the Master Services Agreement and the Transfer and Assumption Documents.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Nutrition International</w:t>
      </w:r>
      <w:r>
        <w:rPr>
          <w:rFonts w:ascii="Arial" w:cs="Arial" w:eastAsia="Arial" w:hAnsi="Arial"/>
          <w:sz w:val="18"/>
          <w:szCs w:val="18"/>
          <w:color w:val="auto"/>
        </w:rPr>
        <w:t>” shall mean Active Nutrition International GmbH, a German limited liability company.</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Approvals or Notifications</w:t>
      </w:r>
      <w:r>
        <w:rPr>
          <w:rFonts w:ascii="Arial" w:cs="Arial" w:eastAsia="Arial" w:hAnsi="Arial"/>
          <w:sz w:val="18"/>
          <w:szCs w:val="18"/>
          <w:color w:val="auto"/>
        </w:rPr>
        <w:t>” shall mean any consents, waivers, approvals, permits or authorizations to be obtained from, notices, registrations or reports to be submitted to, or other filings to be made with, any third Person, including any Governmental Authority, including any filings relating to transfer or other Taxes.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mean Post Acquisition Sub IV, LLC, a Delaware limited liability company.</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shall mean, with respect to any Person, the assets, properties, claims and rights (including goodwill) of such Person, wherever located (including in the possession of vendors or other third Persons or elsewhere), of every kind, character and description, whether real, personal or mixed, tangible (including Tangible Personal Property), intangible or contingent, in each case whether or not recorded or reflected or required to be recorded or reflected on the books and records or financial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43" w:name="page244"/>
    <w:bookmarkEnd w:id="243"/>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of such Person, including rights and benefits pursuant to any contract, license, permit, indenture, note, bond, mortgage, agreement, concession, franchise, instrument, undertaking, commitment, understanding or other arrangement.</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 Blockers</w:t>
      </w:r>
      <w:r>
        <w:rPr>
          <w:rFonts w:ascii="Arial" w:cs="Arial" w:eastAsia="Arial" w:hAnsi="Arial"/>
          <w:sz w:val="18"/>
          <w:szCs w:val="18"/>
          <w:color w:val="auto"/>
        </w:rPr>
        <w:t>” shall mean, collectively, (i) TA/DEI-B1 Acquisition Corp., a Delaware corporation, (ii) TA/DEI-B2 Acquisition Corp., a Delaware corporation and (iii) TA/DEI-B3 Acquisition Corp., a Delaware corporation.</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Accounts Payable</w:t>
      </w:r>
      <w:r>
        <w:rPr>
          <w:rFonts w:ascii="Arial" w:cs="Arial" w:eastAsia="Arial" w:hAnsi="Arial"/>
          <w:sz w:val="18"/>
          <w:szCs w:val="18"/>
          <w:color w:val="auto"/>
        </w:rPr>
        <w:t>” shall mean any and all Accounts Payable outstanding as of immediately prior to the Effective Time, to the extent related to the BellRing Business or arising out of any BellRing Contract.</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Accounts Receivable</w:t>
      </w:r>
      <w:r>
        <w:rPr>
          <w:rFonts w:ascii="Arial" w:cs="Arial" w:eastAsia="Arial" w:hAnsi="Arial"/>
          <w:sz w:val="18"/>
          <w:szCs w:val="18"/>
          <w:color w:val="auto"/>
        </w:rPr>
        <w:t>” shall mean any and all Accounts Receivable outstanding as of immediately prior to the Effective Time, to the extent related to the BellRing Business or arising out of any BellRing Contract.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Balance Sheet</w:t>
      </w:r>
      <w:r>
        <w:rPr>
          <w:rFonts w:ascii="Arial" w:cs="Arial" w:eastAsia="Arial" w:hAnsi="Arial"/>
          <w:sz w:val="18"/>
          <w:szCs w:val="18"/>
          <w:color w:val="auto"/>
        </w:rPr>
        <w:t>” shall mean the actual condensed consolidated balance sheet of the BellRing Business, as of June 30, 2019 as presented in the IPO Registration Statement.</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Business</w:t>
      </w:r>
      <w:r>
        <w:rPr>
          <w:rFonts w:ascii="Arial" w:cs="Arial" w:eastAsia="Arial" w:hAnsi="Arial"/>
          <w:sz w:val="18"/>
          <w:szCs w:val="18"/>
          <w:color w:val="auto"/>
        </w:rPr>
        <w:t>” shall mean the business, operations and activities of Post’s Active Nutrition business conducted immediately prior to the Effective Time as described in the IPO Registration Statement.</w:t>
      </w:r>
    </w:p>
    <w:p>
      <w:pPr>
        <w:spacing w:after="0" w:line="17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Contracts</w:t>
      </w:r>
      <w:r>
        <w:rPr>
          <w:rFonts w:ascii="Arial" w:cs="Arial" w:eastAsia="Arial" w:hAnsi="Arial"/>
          <w:sz w:val="16"/>
          <w:szCs w:val="16"/>
          <w:color w:val="auto"/>
        </w:rPr>
        <w:t xml:space="preserve">” shall mean the following contracts and agreements to which BellRing Inc. or either of Post or BellRing LLC or any other member of their respective Groups ,as applicable, is a party or by which they or any member of their respective Groups or any of their respective Assets is bound, whether or not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BellRing Contracts shall not include any contract or agreement that (i) is set forth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or</w:t>
      </w:r>
    </w:p>
    <w:p>
      <w:pPr>
        <w:ind w:right="160" w:firstLine="4"/>
        <w:spacing w:after="0" w:line="261" w:lineRule="auto"/>
        <w:tabs>
          <w:tab w:leader="none" w:pos="2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shall be retained by BellRing Inc., Post or any other member of the Post Group from and after the Effective Time pursuant to any provision of this Agreement or any Ancillary Agreement:</w:t>
      </w:r>
    </w:p>
    <w:p>
      <w:pPr>
        <w:spacing w:after="0" w:line="183" w:lineRule="exact"/>
        <w:rPr>
          <w:rFonts w:ascii="Arial" w:cs="Arial" w:eastAsia="Arial" w:hAnsi="Arial"/>
          <w:sz w:val="18"/>
          <w:szCs w:val="18"/>
          <w:color w:val="auto"/>
        </w:rPr>
      </w:pPr>
    </w:p>
    <w:p>
      <w:pPr>
        <w:ind w:left="1380" w:hanging="384"/>
        <w:spacing w:after="0"/>
        <w:tabs>
          <w:tab w:leader="none" w:pos="13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contract or agreement entered into prior to the Effective Time exclusively related to the BellRing Business, including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BellRing Leases;</w:t>
      </w:r>
    </w:p>
    <w:p>
      <w:pPr>
        <w:spacing w:after="0" w:line="210" w:lineRule="exact"/>
        <w:rPr>
          <w:rFonts w:ascii="Arial" w:cs="Arial" w:eastAsia="Arial" w:hAnsi="Arial"/>
          <w:sz w:val="17"/>
          <w:szCs w:val="17"/>
          <w:color w:val="auto"/>
        </w:rPr>
      </w:pPr>
    </w:p>
    <w:p>
      <w:pPr>
        <w:jc w:val="both"/>
        <w:ind w:right="40" w:firstLine="996"/>
        <w:spacing w:after="0" w:line="342" w:lineRule="auto"/>
        <w:tabs>
          <w:tab w:leader="none" w:pos="138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guarantee, indemnity, representation, covenant, warranty or other liability of BellRing Inc. or either of Post or BellRing LLC or any other member of their respective Groups, as applicable, in respect of any other BellRing Contract, any BellRing Liability or the BellRing Business;</w:t>
      </w:r>
    </w:p>
    <w:p>
      <w:pPr>
        <w:spacing w:after="0" w:line="123" w:lineRule="exact"/>
        <w:rPr>
          <w:rFonts w:ascii="Arial" w:cs="Arial" w:eastAsia="Arial" w:hAnsi="Arial"/>
          <w:sz w:val="16"/>
          <w:szCs w:val="16"/>
          <w:color w:val="auto"/>
        </w:rPr>
      </w:pPr>
    </w:p>
    <w:p>
      <w:pPr>
        <w:ind w:right="60" w:firstLine="996"/>
        <w:spacing w:after="0" w:line="264" w:lineRule="auto"/>
        <w:tabs>
          <w:tab w:leader="none" w:pos="137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proprietary information and inventions agreement or similar Intellectual Property Rights assignment or license agreement with any current or former BellRing Group employee, Post Group employee, consultant of the BellRing Group or consultant of the Post Group, in each case entered into prior to the Effective Time that is exclusively related to the BellRing Business;</w:t>
      </w:r>
    </w:p>
    <w:p>
      <w:pPr>
        <w:spacing w:after="0" w:line="181" w:lineRule="exact"/>
        <w:rPr>
          <w:rFonts w:ascii="Arial" w:cs="Arial" w:eastAsia="Arial" w:hAnsi="Arial"/>
          <w:sz w:val="18"/>
          <w:szCs w:val="18"/>
          <w:color w:val="auto"/>
        </w:rPr>
      </w:pPr>
    </w:p>
    <w:p>
      <w:pPr>
        <w:ind w:right="500" w:firstLine="996"/>
        <w:spacing w:after="0" w:line="308" w:lineRule="auto"/>
        <w:tabs>
          <w:tab w:leader="none" w:pos="138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contract or agreement that is expressly contemplated pursuant to this Agreement or any of the Ancillary Agreements to be assigned to, or to be a contract or agreement in the name of, BellRing LLC or any other member of the BellRing Group; and</w:t>
      </w:r>
    </w:p>
    <w:p>
      <w:pPr>
        <w:spacing w:after="0" w:line="146" w:lineRule="exact"/>
        <w:rPr>
          <w:rFonts w:ascii="Arial" w:cs="Arial" w:eastAsia="Arial" w:hAnsi="Arial"/>
          <w:sz w:val="17"/>
          <w:szCs w:val="17"/>
          <w:color w:val="auto"/>
        </w:rPr>
      </w:pPr>
    </w:p>
    <w:p>
      <w:pPr>
        <w:ind w:right="120" w:firstLine="996"/>
        <w:spacing w:after="0" w:line="277" w:lineRule="auto"/>
        <w:tabs>
          <w:tab w:leader="none" w:pos="137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any contracts, agreements or settlements set forth on </w:t>
      </w:r>
      <w:r>
        <w:rPr>
          <w:rFonts w:ascii="Arial" w:cs="Arial" w:eastAsia="Arial" w:hAnsi="Arial"/>
          <w:sz w:val="18"/>
          <w:szCs w:val="18"/>
          <w:u w:val="single" w:color="auto"/>
          <w:color w:val="auto"/>
        </w:rPr>
        <w:t>Schedule 1.3</w:t>
      </w:r>
      <w:r>
        <w:rPr>
          <w:rFonts w:ascii="Arial" w:cs="Arial" w:eastAsia="Arial" w:hAnsi="Arial"/>
          <w:sz w:val="18"/>
          <w:szCs w:val="18"/>
          <w:color w:val="auto"/>
        </w:rPr>
        <w:t>, including the right to recover any amounts under such contracts, agreements or settlements.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44" w:name="page245"/>
    <w:bookmarkEnd w:id="244"/>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BellRing Designees</w:t>
      </w:r>
      <w:r>
        <w:rPr>
          <w:rFonts w:ascii="Arial" w:cs="Arial" w:eastAsia="Arial" w:hAnsi="Arial"/>
          <w:sz w:val="18"/>
          <w:szCs w:val="18"/>
          <w:color w:val="auto"/>
        </w:rPr>
        <w:t>” shall mean any and all entities (including corporations, general or limited partnerships, trusts, joint ventures, unincorporated organizations, limited liability entities or other entities) designated by Post that will be members of the BellRing Group as of immediately prior to the Effective Time.</w:t>
      </w:r>
    </w:p>
    <w:p>
      <w:pPr>
        <w:spacing w:after="0" w:line="18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Group</w:t>
      </w:r>
      <w:r>
        <w:rPr>
          <w:rFonts w:ascii="Arial" w:cs="Arial" w:eastAsia="Arial" w:hAnsi="Arial"/>
          <w:sz w:val="18"/>
          <w:szCs w:val="18"/>
          <w:color w:val="auto"/>
        </w:rPr>
        <w:t xml:space="preserve">” shall mean (a) BellRing LLC, (b) each Subsidiary of BellRing LLC immediately after the Effective Time, including the Active Nutrition Entities, and (c) each other Person that is controlled directly or indirectly by BellRing LLC immediately after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for the avoidance of doubt, that, except as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w:t>
      </w:r>
      <w:r>
        <w:rPr>
          <w:rFonts w:ascii="Arial" w:cs="Arial" w:eastAsia="Arial" w:hAnsi="Arial"/>
          <w:sz w:val="18"/>
          <w:szCs w:val="18"/>
          <w:color w:val="auto"/>
        </w:rPr>
        <w:t>, BellRing Inc. shall not be deemed to be a member of the BellRing Group.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Auditors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Bylaws</w:t>
      </w:r>
      <w:r>
        <w:rPr>
          <w:rFonts w:ascii="Arial" w:cs="Arial" w:eastAsia="Arial" w:hAnsi="Arial"/>
          <w:sz w:val="18"/>
          <w:szCs w:val="18"/>
          <w:color w:val="auto"/>
        </w:rPr>
        <w:t>” shall mean the Amended and Restated Bylaws of BellRing Inc., substantially in the form attached as Exhibit 3.2 to the IPO Registration Statement, as they may be amended from time to time.</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Certificate of Incorporation</w:t>
      </w:r>
      <w:r>
        <w:rPr>
          <w:rFonts w:ascii="Arial" w:cs="Arial" w:eastAsia="Arial" w:hAnsi="Arial"/>
          <w:sz w:val="18"/>
          <w:szCs w:val="18"/>
          <w:color w:val="auto"/>
        </w:rPr>
        <w:t>” shall mean the Amended and Restated Certificate of Incorporation of BellRing Inc., substantially in the form attached as Exhibit 3.1 to the IPO Registration Statement,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Class A Common Stock</w:t>
      </w:r>
      <w:r>
        <w:rPr>
          <w:rFonts w:ascii="Arial" w:cs="Arial" w:eastAsia="Arial" w:hAnsi="Arial"/>
          <w:sz w:val="18"/>
          <w:szCs w:val="18"/>
          <w:color w:val="auto"/>
        </w:rPr>
        <w:t>” shall mean the class A common stock, par value $0.01 per share, of BellRing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Class B Common Stock</w:t>
      </w:r>
      <w:r>
        <w:rPr>
          <w:rFonts w:ascii="Arial" w:cs="Arial" w:eastAsia="Arial" w:hAnsi="Arial"/>
          <w:sz w:val="18"/>
          <w:szCs w:val="18"/>
          <w:color w:val="auto"/>
        </w:rPr>
        <w:t>” shall mean the class B common stock, par value $0.01 per share, of BellRing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Intellectual Property Rights</w:t>
      </w:r>
      <w:r>
        <w:rPr>
          <w:rFonts w:ascii="Arial" w:cs="Arial" w:eastAsia="Arial" w:hAnsi="Arial"/>
          <w:sz w:val="17"/>
          <w:szCs w:val="17"/>
          <w:color w:val="auto"/>
        </w:rPr>
        <w:t>” shall mean all (a) Intellectual Property Rights owned by either Post or BellRing LLC or any other member of their respective Groups that are exclusively used or exclusively held for use in the BellRing Business as of immediately prior to the Effective Time and (b) the right to all past and future damages and claims for the infringement or misappropriation of any of the foregoing.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Inventory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Leases</w:t>
      </w:r>
      <w:r>
        <w:rPr>
          <w:rFonts w:ascii="Arial" w:cs="Arial" w:eastAsia="Arial" w:hAnsi="Arial"/>
          <w:sz w:val="18"/>
          <w:szCs w:val="18"/>
          <w:color w:val="auto"/>
        </w:rPr>
        <w:t>” shall have the meaning set forth in the definition of BellRing Real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Limited Liability Company Agreement</w:t>
      </w:r>
      <w:r>
        <w:rPr>
          <w:rFonts w:ascii="Arial" w:cs="Arial" w:eastAsia="Arial" w:hAnsi="Arial"/>
          <w:sz w:val="18"/>
          <w:szCs w:val="18"/>
          <w:color w:val="auto"/>
        </w:rPr>
        <w:t>” shall mean the Amended and Restated Limited Liability Company Agreement of BellRing LLC to be entered into by and among BellRing Inc and Post and BellRing LLC or the members of their respective Groups, as applicable, in connection with the Formation Transactions and the IPO or the other transactions contemplated by this Agreement, substantially in the form attached as Exhibit 10.4 to the IPO Registration Statement, as it may be amended from time to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shall have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45" w:name="page246"/>
    <w:bookmarkEnd w:id="2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BellRing LLC Auditors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Managers</w:t>
      </w:r>
      <w:r>
        <w:rPr>
          <w:rFonts w:ascii="Arial" w:cs="Arial" w:eastAsia="Arial" w:hAnsi="Arial"/>
          <w:sz w:val="18"/>
          <w:szCs w:val="18"/>
          <w:color w:val="auto"/>
        </w:rPr>
        <w:t>” shall have the same meaning as “Managers” under the BellRing Limited Liability Company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Nonvoting Unit</w:t>
      </w:r>
      <w:r>
        <w:rPr>
          <w:rFonts w:ascii="Arial" w:cs="Arial" w:eastAsia="Arial" w:hAnsi="Arial"/>
          <w:sz w:val="18"/>
          <w:szCs w:val="18"/>
          <w:color w:val="auto"/>
        </w:rPr>
        <w:t>” shall mean a “Nonvoting Common Unit” under the BellRing Limited Liability Company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Voting Unit</w:t>
      </w:r>
      <w:r>
        <w:rPr>
          <w:rFonts w:ascii="Arial" w:cs="Arial" w:eastAsia="Arial" w:hAnsi="Arial"/>
          <w:sz w:val="18"/>
          <w:szCs w:val="18"/>
          <w:color w:val="auto"/>
        </w:rPr>
        <w:t>” shall mean the “Voting Common Unit” under the BellRing Limited Liability Company Agreement.</w:t>
      </w:r>
    </w:p>
    <w:p>
      <w:pPr>
        <w:spacing w:after="0" w:line="225"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Marks</w:t>
      </w:r>
      <w:r>
        <w:rPr>
          <w:rFonts w:ascii="Arial" w:cs="Arial" w:eastAsia="Arial" w:hAnsi="Arial"/>
          <w:sz w:val="16"/>
          <w:szCs w:val="16"/>
          <w:color w:val="auto"/>
        </w:rPr>
        <w:t>” shall mean the names, marks, trade dress, logos, monograms, domain names and other source or business identifiers (“</w:t>
      </w:r>
      <w:r>
        <w:rPr>
          <w:rFonts w:ascii="Arial" w:cs="Arial" w:eastAsia="Arial" w:hAnsi="Arial"/>
          <w:sz w:val="16"/>
          <w:szCs w:val="16"/>
          <w:u w:val="single" w:color="auto"/>
          <w:color w:val="auto"/>
        </w:rPr>
        <w:t>Marks</w:t>
      </w:r>
      <w:r>
        <w:rPr>
          <w:rFonts w:ascii="Arial" w:cs="Arial" w:eastAsia="Arial" w:hAnsi="Arial"/>
          <w:sz w:val="16"/>
          <w:szCs w:val="16"/>
          <w:color w:val="auto"/>
        </w:rPr>
        <w:t>”) owned by BellRing LLC or any member of its Group and used in connection with the BellRing Business immediately prior to the Effective Time.</w:t>
      </w:r>
    </w:p>
    <w:p>
      <w:pPr>
        <w:spacing w:after="0" w:line="124" w:lineRule="exact"/>
        <w:rPr>
          <w:sz w:val="20"/>
          <w:szCs w:val="20"/>
          <w:color w:val="auto"/>
        </w:rPr>
      </w:pPr>
    </w:p>
    <w:p>
      <w:pPr>
        <w:ind w:right="6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Permits</w:t>
      </w:r>
      <w:r>
        <w:rPr>
          <w:rFonts w:ascii="Arial" w:cs="Arial" w:eastAsia="Arial" w:hAnsi="Arial"/>
          <w:sz w:val="17"/>
          <w:szCs w:val="17"/>
          <w:color w:val="auto"/>
        </w:rPr>
        <w:t>” shall mean all Permits owned or licensed by any of Post or BellRing LLC or any member of their respective Groups exclusively used or exclusively held for use in the BellRing Business as of immediately prior to the Effective Time.</w:t>
      </w:r>
    </w:p>
    <w:p>
      <w:pPr>
        <w:spacing w:after="0" w:line="14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Products</w:t>
      </w:r>
      <w:r>
        <w:rPr>
          <w:rFonts w:ascii="Arial" w:cs="Arial" w:eastAsia="Arial" w:hAnsi="Arial"/>
          <w:sz w:val="18"/>
          <w:szCs w:val="18"/>
          <w:color w:val="auto"/>
        </w:rPr>
        <w:t>” shall mean all products and services manufactured, supplied, sold, provided or distributed, as the case may be, (a) by Post or BellRing LLC or any member of its Group as of immediately prior to the Effective Time as described in the IPO Registration Statement, and (b) at any time, by BellRing LLC or members of its Group under a BellRing Mark.</w:t>
      </w:r>
    </w:p>
    <w:p>
      <w:pPr>
        <w:spacing w:after="0" w:line="18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Real Property</w:t>
      </w:r>
      <w:r>
        <w:rPr>
          <w:rFonts w:ascii="Arial" w:cs="Arial" w:eastAsia="Arial" w:hAnsi="Arial"/>
          <w:sz w:val="17"/>
          <w:szCs w:val="17"/>
          <w:color w:val="auto"/>
        </w:rPr>
        <w:t>” shall mean (a) all of the Real Property owned by BellRing LLC or any other member of the BellRing Group as of immediately prior to the Effective Time, (b) the Real Property Leases to which BellRing LLC or a member of the BellRing Group is party as of immediately prior to the Effective Time (the “</w:t>
      </w:r>
      <w:r>
        <w:rPr>
          <w:rFonts w:ascii="Arial" w:cs="Arial" w:eastAsia="Arial" w:hAnsi="Arial"/>
          <w:sz w:val="17"/>
          <w:szCs w:val="17"/>
          <w:u w:val="single" w:color="auto"/>
          <w:color w:val="auto"/>
        </w:rPr>
        <w:t>BellRing Leases</w:t>
      </w:r>
      <w:r>
        <w:rPr>
          <w:rFonts w:ascii="Arial" w:cs="Arial" w:eastAsia="Arial" w:hAnsi="Arial"/>
          <w:sz w:val="17"/>
          <w:szCs w:val="17"/>
          <w:color w:val="auto"/>
        </w:rPr>
        <w:t>”) and (c) all recorded Real Property notices, easements and obligations with respect to the Real Property and/or Real Property leases described in clauses (a) and (b) of this definition.</w:t>
      </w:r>
    </w:p>
    <w:p>
      <w:pPr>
        <w:spacing w:after="0" w:line="17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Records</w:t>
      </w:r>
      <w:r>
        <w:rPr>
          <w:rFonts w:ascii="Arial" w:cs="Arial" w:eastAsia="Arial" w:hAnsi="Arial"/>
          <w:sz w:val="16"/>
          <w:szCs w:val="16"/>
          <w:color w:val="auto"/>
        </w:rPr>
        <w:t>” shall mean (a) all books and records used in or necessary, as of immediately prior to the Effective Time, for the general financial and administrative operation of the BellRing Business, including financial, employee and general business operating documents, instruments, papers, books, books of account, records and files and data related thereto and (b) all books and records related to or used by BellRing LLC or any member of its Group as of immediately prior to the Effective Time in connection with the manufacture, sourcing, supply chain management, marketing, sale, distribution and warranty of BellRing Products, including vendor and supplier information and records, customer lists, sales records, e Commerce records and data, customer registration and account information, billing and subscription information, marketing materials, customer contracts, terms of use and privacy policies, sales literature catalogs, brochures, sales, warranty and other product information and materials and website content, but excluding any consolidated, combined or unitary returns that include Post or any other member of the Post Group.</w:t>
      </w:r>
    </w:p>
    <w:p>
      <w:pPr>
        <w:spacing w:after="0" w:line="166"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Technology</w:t>
      </w:r>
      <w:r>
        <w:rPr>
          <w:rFonts w:ascii="Arial" w:cs="Arial" w:eastAsia="Arial" w:hAnsi="Arial"/>
          <w:sz w:val="18"/>
          <w:szCs w:val="18"/>
          <w:color w:val="auto"/>
        </w:rPr>
        <w:t>” shall mean any Technology owned by either Post or BellRing LLC or any member of their respective Groups that is exclusively used or exclusively held for use in the BellRing Business as of immediately prior to the Effective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Loan</w:t>
      </w:r>
      <w:r>
        <w:rPr>
          <w:rFonts w:ascii="Arial" w:cs="Arial" w:eastAsia="Arial" w:hAnsi="Arial"/>
          <w:sz w:val="18"/>
          <w:szCs w:val="18"/>
          <w:color w:val="auto"/>
        </w:rPr>
        <w:t>” shall have the meaning set forth in the Recitals.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246" w:name="page247"/>
    <w:bookmarkEnd w:id="246"/>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a Sunday or a day on which banking institutions located in Emeryville, California, St. Louis, Missouri or New York, New York are authorized or obligated by Law or executive order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 with respect to a Party: (a) a transaction whereby any Person or group (within the meaning of Section 13(d)(3) of the Exchange Act) would acquire, directly or indirectly, voting securities representing more than fifty percent (50%) of the total voting power of such Party; (b) a merger, consolidation, recapitalization or reorganization of such Party, unless securities representing more than fifty percent (50%) of the total voting power of the legal successor to such Party as a result of such merger, consolidation, recapitalization or reorganization are immediately thereafter beneficially owned, directly or indirectly, by the Persons who beneficially owned such Party’s outstanding voting securities immediately prior to such transaction; or (c) the sale of all or substantially all of the consolidated assets of such Party’s Group. For the avoidance of doubt, no transaction contemplated by this Agreement shall be considered a Change of Control.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right="2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Claim</w:t>
      </w:r>
      <w:r>
        <w:rPr>
          <w:rFonts w:ascii="Arial" w:cs="Arial" w:eastAsia="Arial" w:hAnsi="Arial"/>
          <w:sz w:val="16"/>
          <w:szCs w:val="16"/>
          <w:color w:val="auto"/>
        </w:rPr>
        <w:t>” shall mean any claim, demand, action, suit or proceeding for which a Covered Person shall be entitled to indemnification or advancement of Covered Expenses from both (i) BellRing Inc., BellRing LLC or any other member of the BellRing Group pursuant to the Covered Expense Sources, on the one hand, and (ii) Post or any other member of the Post Group pursuant to any other agreement between Post or any other member of the Post Group and the Covered Person pursuant to which the Covered Person is indemnified, or under the laws of the jurisdiction of incorporation or organization of Post or any other member of the Post Group and/or the certificate or articles of incorporation, certificate or articles of organization, bylaws, partnership agreement, operating agreement, certificate or articles of formation, certificate of limited partnership or other organizational or governing documents of Post or any other member of the Post Group, on the other hand.</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Expenses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Expense Sources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5.6(e)</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means each officer, director, manager, stockholder, member, partner, employee, representative, agent or trustee of BellRing Inc., BellRing LLC or any other member of the BellRing Group, in all cases in such capacity.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BellRing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BellRing Liability</w:t>
      </w:r>
      <w:r>
        <w:rPr>
          <w:rFonts w:ascii="Arial" w:cs="Arial" w:eastAsia="Arial" w:hAnsi="Arial"/>
          <w:sz w:val="18"/>
          <w:szCs w:val="18"/>
          <w:color w:val="auto"/>
        </w:rPr>
        <w:t xml:space="preserve">” shall have the meaning set forth in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Post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Post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Committee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Dymatize Enterprises</w:t>
      </w:r>
      <w:r>
        <w:rPr>
          <w:rFonts w:ascii="Arial" w:cs="Arial" w:eastAsia="Arial" w:hAnsi="Arial"/>
          <w:sz w:val="18"/>
          <w:szCs w:val="18"/>
          <w:color w:val="auto"/>
        </w:rPr>
        <w:t>” means Dymatize Enterprises, LLC, a Delaware limited liability company.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47" w:name="page248"/>
    <w:bookmarkEnd w:id="2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immediately following the consummation of the IPO on the IPO Closing Date.</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shall mean the Employee Matters Agreement to be entered into by and among Post, BellRing Inc. and BellRing LLC or the other members of their respective Groups, as applicable, in connection with the Formation Transactions and the IPO or the other transactions contemplated by this Agreement, substantially in the form attached as Exhibit 10.2 to the IPO Registration Statement, as it may be amended from time to time.</w:t>
      </w:r>
    </w:p>
    <w:p>
      <w:pPr>
        <w:spacing w:after="0" w:line="18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8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shall mean all Liabilities relating to, arising out of or resulting from any Hazardous Materials, Environmental Law or contract or agreement relating to environmental, health or safety matters (including all removal, remediation or cleanup costs, investigatory costs, response costs, natural resources damages, property damages, personal injury damages, costs of compliance with any product take back requirements or with any settlement, judgment or other determination of Liability and indemnity, contribution or similar obligations) and all costs and expenses, interest, fines, penalties or other monetary sanctions in connection therewith.</w:t>
      </w:r>
    </w:p>
    <w:p>
      <w:pPr>
        <w:spacing w:after="0" w:line="173"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together with the rules and regulations promulgated thereunder.</w:t>
      </w:r>
    </w:p>
    <w:p>
      <w:pPr>
        <w:spacing w:after="0" w:line="17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embargoes, epidemics,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U.S. generally accepted accounting principles, consistently applied.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shall mean any Approvals or Notifications to be made to, or obtained from, any Governmental Authority.</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BellRing Group or the Post Group, as the context requires.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8" w:name="page249"/>
    <w:bookmarkEnd w:id="248"/>
    <w:p>
      <w:pPr>
        <w:ind w:right="26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 Liabilities</w:t>
      </w:r>
      <w:r>
        <w:rPr>
          <w:rFonts w:ascii="Arial" w:cs="Arial" w:eastAsia="Arial" w:hAnsi="Arial"/>
          <w:sz w:val="18"/>
          <w:szCs w:val="18"/>
          <w:color w:val="auto"/>
        </w:rPr>
        <w:t>” shall mean the independent Liabilities of BellRing Inc. which are not otherwise included in the BellRing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shall mean those monies:</w:t>
      </w:r>
    </w:p>
    <w:p>
      <w:pPr>
        <w:spacing w:after="0" w:line="225" w:lineRule="exact"/>
        <w:rPr>
          <w:sz w:val="20"/>
          <w:szCs w:val="20"/>
          <w:color w:val="auto"/>
        </w:rPr>
      </w:pPr>
    </w:p>
    <w:p>
      <w:pPr>
        <w:ind w:left="1380" w:hanging="384"/>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received by an insured from an insurance carrier; or</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and net of any costs or expenses incurred in the collection thereof.</w:t>
      </w:r>
    </w:p>
    <w:p>
      <w:pPr>
        <w:spacing w:after="0" w:line="170"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common law and statutory rights anywhere in the world arising under or associated with: (i) patents and similar or equivalent rights in inventions and applications and rights or claims of priority therefor, including international applications under the Patent Cooperation Treaty; (ii) all trademarks, service marks, trade names, service names, trade dress, logos and other identifiers of the source or origin of goods and services and all statutory, common law and rights provided by international treaties or conventions in any of the foregoing, (iii) trade secret and industrial secret rights and rights in confidential information; (iv) copyrights and any other equivalent rights in works of authorship (including Software); (v) rights in domain names, uniform resource locators and other names and locators associated with Internet addresses and sites;</w:t>
      </w:r>
    </w:p>
    <w:p>
      <w:pPr>
        <w:spacing w:after="0" w:line="5" w:lineRule="exact"/>
        <w:rPr>
          <w:sz w:val="20"/>
          <w:szCs w:val="20"/>
          <w:color w:val="auto"/>
        </w:rPr>
      </w:pPr>
    </w:p>
    <w:p>
      <w:pPr>
        <w:ind w:right="40" w:firstLine="4"/>
        <w:spacing w:after="0" w:line="290" w:lineRule="auto"/>
        <w:tabs>
          <w:tab w:leader="none" w:pos="30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applications for, registrations of and divisions, continuations, continuations-in-part, reissuances, renewals, extensions, restorations and reversions of the foregoing (as applicable); and (vii) all other similar or equivalent intellectual property or proprietary rights anywhere in the world.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shall mean the Investor Rights Agreement to be entered into by and between Post and BellRing Inc. in connection with the Formation Transactions and the IPO or the other transactions contemplated by this Agreement, substantially in the form attached as Exhibit 10.3 to the IPO Registration Statement, as it may be amended from time to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Closing Date</w:t>
      </w:r>
      <w:r>
        <w:rPr>
          <w:rFonts w:ascii="Arial" w:cs="Arial" w:eastAsia="Arial" w:hAnsi="Arial"/>
          <w:sz w:val="18"/>
          <w:szCs w:val="18"/>
          <w:color w:val="auto"/>
        </w:rPr>
        <w:t>” shall mean the date on which the consummation of the IPO occurs.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49" w:name="page250"/>
    <w:bookmarkEnd w:id="249"/>
    <w:p>
      <w:pPr>
        <w:jc w:val="both"/>
        <w:ind w:right="1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IPO Registration Statement</w:t>
      </w:r>
      <w:r>
        <w:rPr>
          <w:rFonts w:ascii="Arial" w:cs="Arial" w:eastAsia="Arial" w:hAnsi="Arial"/>
          <w:sz w:val="18"/>
          <w:szCs w:val="18"/>
          <w:color w:val="auto"/>
        </w:rPr>
        <w:t>” shall mean the effective registration statement on Form S-1 (File No. 333-233867) filed under the Securities Act, pursuant to which the shares of BellRing Inc. Class A Common Stock to be issued in the IPO will be registered under the Securities Act, together with all amendments thereto.</w:t>
      </w:r>
    </w:p>
    <w:p>
      <w:pPr>
        <w:spacing w:after="0" w:line="181" w:lineRule="exact"/>
        <w:rPr>
          <w:sz w:val="20"/>
          <w:szCs w:val="20"/>
          <w:color w:val="auto"/>
        </w:rPr>
      </w:pPr>
    </w:p>
    <w:p>
      <w:pPr>
        <w:ind w:right="3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47" w:lineRule="exact"/>
        <w:rPr>
          <w:sz w:val="20"/>
          <w:szCs w:val="20"/>
          <w:color w:val="auto"/>
        </w:rPr>
      </w:pPr>
    </w:p>
    <w:p>
      <w:pPr>
        <w:ind w:right="28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any and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 Party Claim), demand, Action or order, writ, judgment, injunction, decree, stipulation, determination or award entered by or with any Governmental Authority or arbitration tribunal, or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7"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 Agreement</w:t>
      </w:r>
      <w:r>
        <w:rPr>
          <w:rFonts w:ascii="Arial" w:cs="Arial" w:eastAsia="Arial" w:hAnsi="Arial"/>
          <w:sz w:val="18"/>
          <w:szCs w:val="18"/>
          <w:color w:val="auto"/>
        </w:rPr>
        <w:t>” shall mean the Trademark and Domain Name License Agreement to be entered into by and among BellRing Inc. and Post and BellRing LLC and certain members of their respective Groups, as applicable, in connection with the Formation Transactions and the IPO or the other transactions contemplated by this Agreement, as it may be amended from time to time.</w:t>
      </w:r>
    </w:p>
    <w:p>
      <w:pPr>
        <w:spacing w:after="0" w:line="181" w:lineRule="exact"/>
        <w:rPr>
          <w:sz w:val="20"/>
          <w:szCs w:val="20"/>
          <w:color w:val="auto"/>
        </w:rPr>
      </w:pPr>
    </w:p>
    <w:p>
      <w:pPr>
        <w:ind w:right="6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actual losses (including any diminution in value), costs, damages, penalties and expenses (including outside legal and accounting fees and expenses and costs of investigation and litigation), whether or not involving a Third Party Claim.</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shall have the meaning set forth in the definition of BellRing Marks.</w:t>
      </w:r>
    </w:p>
    <w:p>
      <w:pPr>
        <w:spacing w:after="0" w:line="225"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shall mean the Master Services Agreement to be entered into by and among Post, BellRing Inc. and BellRing LLC in connection with the Formation Transactions and the IPO or the other transactions contemplated by this Agreement, substantially in the form attached as Exhibit 10.7 to the IPO Registration Statement, as it may be amended from time to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shall mean permits, approvals, authorizations, consents, licenses or certificates issued by any Governmental Authority.</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Policies</w:t>
      </w:r>
      <w:r>
        <w:rPr>
          <w:rFonts w:ascii="Arial" w:cs="Arial" w:eastAsia="Arial" w:hAnsi="Arial"/>
          <w:sz w:val="16"/>
          <w:szCs w:val="16"/>
          <w:color w:val="auto"/>
        </w:rPr>
        <w:t>” shall mean insurance policies and insurance contracts of any kind, including but not limited to global property, excess and umbrella liability, domestic and foreign commercial general liability, local foreign placements, directors and officers liability, fiduciary liability, cyber/privacy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50" w:name="page251"/>
    <w:bookmarkEnd w:id="25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employment practices liability, domestic and foreign automobile, global ocean marine cargo/inland transit, workers’ compensation and employers’ liability, employee dishonesty/crime/fidelity, special contingency, bonds and self-insurance, together with the rights, benefits, privileges and obligations thereunder.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Auditors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Business</w:t>
      </w:r>
      <w:r>
        <w:rPr>
          <w:rFonts w:ascii="Arial" w:cs="Arial" w:eastAsia="Arial" w:hAnsi="Arial"/>
          <w:sz w:val="18"/>
          <w:szCs w:val="18"/>
          <w:color w:val="auto"/>
        </w:rPr>
        <w:t>” shall mean all businesses, operations and activities conducted at any time prior to the Effective Time by either Post or BellRing LLC or any other member of their respective Groups, other than the BellRing Business.</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Credit Agreement</w:t>
      </w:r>
      <w:r>
        <w:rPr>
          <w:rFonts w:ascii="Arial" w:cs="Arial" w:eastAsia="Arial" w:hAnsi="Arial"/>
          <w:sz w:val="18"/>
          <w:szCs w:val="18"/>
          <w:color w:val="auto"/>
        </w:rPr>
        <w:t>” shall mean that certain Amended and Restated Credit Agreement, dated as of March 28, 2017, among Post, Barclays Bank PLC, as Administrative Agent, and certain other lenders party thereto from time to time, as it has been amended, modified or supplemented from time to time.</w:t>
      </w:r>
    </w:p>
    <w:p>
      <w:pPr>
        <w:spacing w:after="0" w:line="181"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 Group</w:t>
      </w:r>
      <w:r>
        <w:rPr>
          <w:rFonts w:ascii="Arial" w:cs="Arial" w:eastAsia="Arial" w:hAnsi="Arial"/>
          <w:sz w:val="17"/>
          <w:szCs w:val="17"/>
          <w:color w:val="auto"/>
        </w:rPr>
        <w:t xml:space="preserve">” shall mean Post and each Person that is a Subsidiary of Post (other than BellRing LLC and any other member of the BellRing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for the avoidance of doubt, BellRing Inc. shall not be deemed to be a member of the Post Group.</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Indentures</w:t>
      </w:r>
      <w:r>
        <w:rPr>
          <w:rFonts w:ascii="Arial" w:cs="Arial" w:eastAsia="Arial" w:hAnsi="Arial"/>
          <w:sz w:val="16"/>
          <w:szCs w:val="16"/>
          <w:color w:val="auto"/>
        </w:rPr>
        <w:t>” shall mean (i) that certain Indenture dated as of August 18, 2015 among Post, the Guarantors (as defined therein) party thereto and Wells Fargo Bank, National Association, as Trustee, regarding 8.00% Senior Notes due 2025, (ii) that certain Indenture dated as of August 3, 2016 among Post, the Guarantors (as defined therein) party thereto and Wells Fargo Bank, National Association, as Trustee, regarding 5.00% Senior Notes due 2026, (iii) that certain Indenture dated as of February 14, 2017 among Post, the Guarantors (as defined therein) party thereto and Wells Fargo Bank, National Association, as Trustee, regarding 5.50% Senior Notes due 2025, (iv) that certain Indenture dated as of February 14, 2017 among Post, the Guarantors (as defined therein) party thereto and Wells Fargo Bank, National Association, as Trustee, regarding 5.75% Senior Notes due 2027, (v) that certain Indenture dated as of December 1, 2017 among Post, the Guarantors (as defined therein) party thereto and Wells Fargo Bank, National Association, as Trustee, regarding 5.625% Senior Notes due 2028, and (vi) that certain Indenture dated as of July 3, 2019 among Post, the Guarantors (as defined therein) party thereto and Wells Fargo Bank, National Association, as Trustee, regarding 5.50% Senior Notes due 2029.</w:t>
      </w:r>
    </w:p>
    <w:p>
      <w:pPr>
        <w:spacing w:after="0" w:line="16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Intellectual Property Rights</w:t>
      </w:r>
      <w:r>
        <w:rPr>
          <w:rFonts w:ascii="Arial" w:cs="Arial" w:eastAsia="Arial" w:hAnsi="Arial"/>
          <w:sz w:val="18"/>
          <w:szCs w:val="18"/>
          <w:color w:val="auto"/>
        </w:rPr>
        <w:t>” shall mean all Intellectual Property Rights, other than BellRing Intellectual Property Rights, owned by either of Post or BellRing LLC or any other member of their respective Groups as of immediately prior to the Effective Time.</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Inventory</w:t>
      </w:r>
      <w:r>
        <w:rPr>
          <w:rFonts w:ascii="Arial" w:cs="Arial" w:eastAsia="Arial" w:hAnsi="Arial"/>
          <w:sz w:val="18"/>
          <w:szCs w:val="18"/>
          <w:color w:val="auto"/>
        </w:rPr>
        <w:t>” shall mean all Inventory, other than BellRing Inventory, owned by either Post or BellRing LLC or any other member of their respective Groups as of immediately prior to the Effective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51" w:name="page252"/>
    <w:bookmarkEnd w:id="25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Post Marks</w:t>
      </w:r>
      <w:r>
        <w:rPr>
          <w:rFonts w:ascii="Arial" w:cs="Arial" w:eastAsia="Arial" w:hAnsi="Arial"/>
          <w:sz w:val="18"/>
          <w:szCs w:val="18"/>
          <w:color w:val="auto"/>
        </w:rPr>
        <w:t>” shall mean all Marks, other than the BellRing Marks, owned by either Post or BellRing LLC or any other member of their respective Groups as of immediately prior to the Effective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Public Filings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6.1(i)</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Technology</w:t>
      </w:r>
      <w:r>
        <w:rPr>
          <w:rFonts w:ascii="Arial" w:cs="Arial" w:eastAsia="Arial" w:hAnsi="Arial"/>
          <w:sz w:val="18"/>
          <w:szCs w:val="18"/>
          <w:color w:val="auto"/>
        </w:rPr>
        <w:t>” shall mean all Technology, other than BellRing Technology, owned by either Post or BellRing LLC or any other member of their respective Groups as of immediately prior to the Effective Time.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Premier Nutrition</w:t>
      </w:r>
      <w:r>
        <w:rPr>
          <w:rFonts w:ascii="Arial" w:cs="Arial" w:eastAsia="Arial" w:hAnsi="Arial"/>
          <w:sz w:val="18"/>
          <w:szCs w:val="18"/>
          <w:color w:val="auto"/>
        </w:rPr>
        <w:t>” shall mean Premier Nutrition Company, LLC, a Delaware limited liability company, successor-by-conversion to, and formerly known as, Premier Nutrition Corporation, a Delaware corporation.</w:t>
      </w:r>
    </w:p>
    <w:p>
      <w:pPr>
        <w:spacing w:after="0" w:line="170" w:lineRule="exact"/>
        <w:rPr>
          <w:sz w:val="20"/>
          <w:szCs w:val="20"/>
          <w:color w:val="auto"/>
        </w:rPr>
      </w:pPr>
    </w:p>
    <w:p>
      <w:pPr>
        <w:ind w:right="6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shall mean the rate that JPMorgan Chase Bank, National Association (or any successor thereto or other major money center commercial bank agreed to by the Parties) announces from time to time as its prime lending rate, as in effect from time to time.</w:t>
      </w:r>
    </w:p>
    <w:p>
      <w:pPr>
        <w:spacing w:after="0" w:line="14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Privileged Information</w:t>
      </w:r>
      <w:r>
        <w:rPr>
          <w:rFonts w:ascii="Arial" w:cs="Arial" w:eastAsia="Arial" w:hAnsi="Arial"/>
          <w:sz w:val="18"/>
          <w:szCs w:val="18"/>
          <w:color w:val="auto"/>
        </w:rPr>
        <w:t>” shall mean any information, in written, oral, electronic or other tangible or intangible forms, including without limitation any communications by or to attorneys (including attorney-client privileged communications), memoranda and other materials protected by the work product doctrine, as to which a Party or any member of its Group would be entitled to assert or have asserted a privilege or other protection, including the attorney-client and work product privileges.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each preliminary, final or supplemental prospectus forming a part of the IPO Registration Statement.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land together with all easements, rights and interests arising out of the ownership thereof or appurtenant thereto and all buildings, structures, improvements and fixtures located thereon.</w:t>
      </w:r>
    </w:p>
    <w:p>
      <w:pPr>
        <w:spacing w:after="0" w:line="170"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shall mean all leases to Real Property and, to the extent covered by such leases, any and all buildings, structures, improvements and fixtures located thereon.</w:t>
      </w:r>
    </w:p>
    <w:p>
      <w:pPr>
        <w:spacing w:after="0" w:line="170"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124"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members, managers, employees, agents, consultants, advisors, accountants, attorneys or other representatives.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1542</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U.S. Securities Act of 1933, as amended, together with the rules and regulations promulgated thereunder.</w:t>
      </w:r>
    </w:p>
    <w:p>
      <w:pPr>
        <w:spacing w:after="0" w:line="237"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Interest</w:t>
      </w:r>
      <w:r>
        <w:rPr>
          <w:rFonts w:ascii="Arial" w:cs="Arial" w:eastAsia="Arial" w:hAnsi="Arial"/>
          <w:sz w:val="16"/>
          <w:szCs w:val="16"/>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52" w:name="page253"/>
    <w:bookmarkEnd w:id="2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Shared 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limited liability company, joint venture or partnership of which such Person</w:t>
      </w:r>
    </w:p>
    <w:p>
      <w:pPr>
        <w:spacing w:after="0" w:line="46" w:lineRule="exact"/>
        <w:rPr>
          <w:sz w:val="20"/>
          <w:szCs w:val="20"/>
          <w:color w:val="auto"/>
        </w:rPr>
      </w:pPr>
    </w:p>
    <w:p>
      <w:pPr>
        <w:ind w:left="240" w:hanging="236"/>
        <w:spacing w:after="0"/>
        <w:tabs>
          <w:tab w:leader="none" w:pos="2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beneficially owns, either directly or indirectly, more than fifty percent (50%) of (i) the total combined voting power of all classes of voting securities,</w:t>
      </w:r>
    </w:p>
    <w:p>
      <w:pPr>
        <w:spacing w:after="0" w:line="32" w:lineRule="exact"/>
        <w:rPr>
          <w:rFonts w:ascii="Arial" w:cs="Arial" w:eastAsia="Arial" w:hAnsi="Arial"/>
          <w:sz w:val="16"/>
          <w:szCs w:val="16"/>
          <w:color w:val="auto"/>
        </w:rPr>
      </w:pPr>
    </w:p>
    <w:p>
      <w:pPr>
        <w:ind w:right="320" w:firstLine="4"/>
        <w:spacing w:after="0" w:line="261" w:lineRule="auto"/>
        <w:tabs>
          <w:tab w:leader="none" w:pos="2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84"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shall mean machinery, equipment, hardware, furniture, fixtures, tools, motor vehicles and other transportation equipment, special and general tangible tools, prototypes, models and other tangible personal property.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Information</w:t>
      </w:r>
      <w:r>
        <w:rPr>
          <w:rFonts w:ascii="Arial" w:cs="Arial" w:eastAsia="Arial" w:hAnsi="Arial"/>
          <w:sz w:val="18"/>
          <w:szCs w:val="18"/>
          <w:color w:val="auto"/>
        </w:rPr>
        <w:t>” shall mean information that is contained in written, electronic or other tangible forms.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have the meaning set forth in the Tax Matters Agreement.</w:t>
      </w:r>
    </w:p>
    <w:p>
      <w:pPr>
        <w:spacing w:after="0" w:line="225"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Matters Agreement</w:t>
      </w:r>
      <w:r>
        <w:rPr>
          <w:rFonts w:ascii="Arial" w:cs="Arial" w:eastAsia="Arial" w:hAnsi="Arial"/>
          <w:sz w:val="16"/>
          <w:szCs w:val="16"/>
          <w:color w:val="auto"/>
        </w:rPr>
        <w:t>” shall mean the Tax Matters Agreement to be entered into by and among Post, BellRing Inc. and BellRing LLC or the members of their respective Groups, as applicable, in connection with the Formation Transactions and the IPO or the other transactions contemplated by this Agreement, substantially in the form attached as Exhibit 10.5 to the IPO Registration Statement, as it may be amended from time to time.</w:t>
      </w:r>
    </w:p>
    <w:p>
      <w:pPr>
        <w:spacing w:after="0" w:line="147"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Receivable Agreement</w:t>
      </w:r>
      <w:r>
        <w:rPr>
          <w:rFonts w:ascii="Arial" w:cs="Arial" w:eastAsia="Arial" w:hAnsi="Arial"/>
          <w:sz w:val="17"/>
          <w:szCs w:val="17"/>
          <w:color w:val="auto"/>
        </w:rPr>
        <w:t>” shall mean the Tax Receivable Agreement to be entered into by and among BellRing Inc., BellRing LLC, Post and the other parties named therein in connection with the Formation Transactions and the IPO or the other transactions contemplated by this Agreement, substantially in the form attached as Exhibit 10.6 to the IPO Registration Statement, as it may be amended from time to time.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have the meaning set forth in the Tax Matters Agreement.</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xml:space="preserve">” shall mean embodiments, regardless of form, of Intellectual Property Rights, including, as the context requires, inventions (whether or not patentable), discoveries and improvements, works of authorship, documentation, diagrams, formulae, recipes, software (whether in source code or in executable code form), user interfaces, architectures, databases, data compilations and collections, know-how, technical data, trade secrets, mask works, models, prototypes, molds, methods, protocols, techniques, processes, devices, schematics, algorithms, molds and patterns, production and other manuals, manufacturing and quality control records and procedures and research and development files;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Technology specifically excludes (i) any and all Intellectual Property Rights, (ii) books and records, (iii) sales and customer records and (iv) customer data.</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Parties or any members of their respective Groups.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53" w:name="page254"/>
    <w:bookmarkEnd w:id="2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and Assumption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shall mean the underwriting agreement entered into among BellRing Inc., BellRing LLC and the Underwriters as representatives of the several underwriters named therein with respect to the IPO, substantially in the form attached as Exhibit 1.1 to the IPO Registration Statement.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shall mean the managing underwriters for the IPO.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BellRing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Post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Sole and Absolute Discretion; Cooperation</w:t>
      </w:r>
      <w:r>
        <w:rPr>
          <w:rFonts w:ascii="Arial" w:cs="Arial" w:eastAsia="Arial" w:hAnsi="Arial"/>
          <w:sz w:val="17"/>
          <w:szCs w:val="17"/>
          <w:color w:val="auto"/>
        </w:rPr>
        <w:t>. Subject to the terms of the Underwriting Agreement, Post may (a) in its sole and absolute discretion, determine the terms of the IPO, including the form, structure and terms of any transaction(s) and/or offering(s) to effect the IPO and the timing and conditions to the consummation of the IPO; and (b) at any time and from time to time until the consummation of the IPO, modify or change the terms of the IPO, including by accelerating or delaying the timing of the consummation of all or part of the IPO. BellRing Inc. and BellRing LLC shall, and BellRing LLC shall cause the other members of the BellRing Group to, cooperate with Post to accomplish the IPO and, in furtherance thereof, to the extent not undertaken and completed prior to the execution of this Agreement, BellRing Inc. and BellRing LLC shall, and BellRing LLC shall cause the other members of the BellRing Group to, at the request of Post, promptly take any and all actions necessary or desirable to consummate the IPO as contemplated by the IPO Registration Statement and the Underwriting Agreement.</w:t>
      </w:r>
    </w:p>
    <w:p>
      <w:pPr>
        <w:spacing w:after="0" w:line="2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Actions on IPO Closing Date</w:t>
      </w:r>
      <w:r>
        <w:rPr>
          <w:rFonts w:ascii="Arial" w:cs="Arial" w:eastAsia="Arial" w:hAnsi="Arial"/>
          <w:sz w:val="16"/>
          <w:szCs w:val="16"/>
          <w:color w:val="auto"/>
        </w:rPr>
        <w:t>.</w:t>
      </w:r>
    </w:p>
    <w:p>
      <w:pPr>
        <w:spacing w:after="0" w:line="117" w:lineRule="exact"/>
        <w:rPr>
          <w:sz w:val="20"/>
          <w:szCs w:val="20"/>
          <w:color w:val="auto"/>
        </w:rPr>
      </w:pPr>
    </w:p>
    <w:p>
      <w:pPr>
        <w:ind w:right="180" w:firstLine="996"/>
        <w:spacing w:after="0" w:line="342" w:lineRule="auto"/>
        <w:tabs>
          <w:tab w:leader="none" w:pos="1371"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BellRing Inc. Directors and Officers</w:t>
      </w:r>
      <w:r>
        <w:rPr>
          <w:rFonts w:ascii="Arial" w:cs="Arial" w:eastAsia="Arial" w:hAnsi="Arial"/>
          <w:sz w:val="16"/>
          <w:szCs w:val="16"/>
          <w:color w:val="auto"/>
        </w:rPr>
        <w:t>. Post and BellRing Inc. shall take all necessary actions so that, as of the IPO Closing Date, the directors and executive officers of BellRing Inc. shall be those set forth in the IPO Registration Statement, unless otherwise agreed by the Parties.</w:t>
      </w:r>
    </w:p>
    <w:p>
      <w:pPr>
        <w:spacing w:after="0" w:line="123" w:lineRule="exact"/>
        <w:rPr>
          <w:rFonts w:ascii="Arial" w:cs="Arial" w:eastAsia="Arial" w:hAnsi="Arial"/>
          <w:sz w:val="16"/>
          <w:szCs w:val="16"/>
          <w:color w:val="auto"/>
        </w:rPr>
      </w:pPr>
    </w:p>
    <w:p>
      <w:pPr>
        <w:ind w:right="40" w:firstLine="996"/>
        <w:spacing w:after="0" w:line="286" w:lineRule="auto"/>
        <w:tabs>
          <w:tab w:leader="none" w:pos="138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BellRing Inc. Certificate of Incorporation and BellRing Inc. Bylaws</w:t>
      </w:r>
      <w:r>
        <w:rPr>
          <w:rFonts w:ascii="Arial" w:cs="Arial" w:eastAsia="Arial" w:hAnsi="Arial"/>
          <w:sz w:val="17"/>
          <w:szCs w:val="17"/>
          <w:color w:val="auto"/>
        </w:rPr>
        <w:t>. Post and BellRing Inc. shall each take all actions that may be required to provide for the adoption by BellRing Inc. of the BellRing Inc. Certificate of Incorporation and the BellRing Inc. Bylaws and the filing of the BellRing Inc. Certificate of Incorporation with the Secretary of State of the State of Delaware, to be effective as of the IPO Closing Date.</w:t>
      </w:r>
    </w:p>
    <w:p>
      <w:pPr>
        <w:spacing w:after="0" w:line="165" w:lineRule="exact"/>
        <w:rPr>
          <w:rFonts w:ascii="Arial" w:cs="Arial" w:eastAsia="Arial" w:hAnsi="Arial"/>
          <w:sz w:val="17"/>
          <w:szCs w:val="17"/>
          <w:color w:val="auto"/>
        </w:rPr>
      </w:pPr>
    </w:p>
    <w:p>
      <w:pPr>
        <w:ind w:right="120" w:firstLine="996"/>
        <w:spacing w:after="0" w:line="277" w:lineRule="auto"/>
        <w:tabs>
          <w:tab w:leader="none" w:pos="137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Formation Transactions</w:t>
      </w:r>
      <w:r>
        <w:rPr>
          <w:rFonts w:ascii="Arial" w:cs="Arial" w:eastAsia="Arial" w:hAnsi="Arial"/>
          <w:sz w:val="18"/>
          <w:szCs w:val="18"/>
          <w:color w:val="auto"/>
        </w:rPr>
        <w:t xml:space="preserve">. Each Party shall, or shall, as applicable, cause the applicable members of its respective Group to, effect the Formation Transactions to which it is a party, to be effective as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FORMATION TRANSACTIONS</w:t>
      </w:r>
    </w:p>
    <w:p>
      <w:pPr>
        <w:spacing w:after="0" w:line="211" w:lineRule="exact"/>
        <w:rPr>
          <w:sz w:val="20"/>
          <w:szCs w:val="20"/>
          <w:color w:val="auto"/>
        </w:rPr>
      </w:pPr>
    </w:p>
    <w:p>
      <w:pPr>
        <w:ind w:right="1140" w:firstLine="44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 Subject to the terms and conditions hereinafter set forth, and on the basis of and in reliance upon the representations, warranties, covenants and agreements set forth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4" w:name="page255"/>
    <w:bookmarkEnd w:id="25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herein, the Parties shall have taken or shall take, or shall have caused or shall cause the other members of their respective Groups, as applicable, to take, the actions described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w:t>
      </w:r>
    </w:p>
    <w:p>
      <w:pPr>
        <w:spacing w:after="0" w:line="170" w:lineRule="exact"/>
        <w:rPr>
          <w:sz w:val="20"/>
          <w:szCs w:val="20"/>
          <w:color w:val="auto"/>
        </w:rPr>
      </w:pPr>
    </w:p>
    <w:p>
      <w:pPr>
        <w:ind w:left="1380" w:hanging="384"/>
        <w:spacing w:after="0"/>
        <w:tabs>
          <w:tab w:leader="none" w:pos="13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Prior to the consummation of the IPO, the applicable Parties shall have caused the transactions set forth below to be effected:</w:t>
      </w:r>
    </w:p>
    <w:p>
      <w:pPr>
        <w:spacing w:after="0" w:line="236" w:lineRule="exact"/>
        <w:rPr>
          <w:rFonts w:ascii="Arial" w:cs="Arial" w:eastAsia="Arial" w:hAnsi="Arial"/>
          <w:sz w:val="17"/>
          <w:szCs w:val="17"/>
          <w:color w:val="auto"/>
        </w:rPr>
      </w:pPr>
    </w:p>
    <w:p>
      <w:pPr>
        <w:ind w:left="1780" w:hanging="344"/>
        <w:spacing w:after="0"/>
        <w:tabs>
          <w:tab w:leader="none" w:pos="17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B Blockers shall each have merged with and into the A Blocker, with the A Blocker as the sole surviving corporation;</w:t>
      </w:r>
    </w:p>
    <w:p>
      <w:pPr>
        <w:spacing w:after="0" w:line="236" w:lineRule="exact"/>
        <w:rPr>
          <w:rFonts w:ascii="Arial" w:cs="Arial" w:eastAsia="Arial" w:hAnsi="Arial"/>
          <w:sz w:val="17"/>
          <w:szCs w:val="17"/>
          <w:color w:val="auto"/>
        </w:rPr>
      </w:pPr>
    </w:p>
    <w:p>
      <w:pPr>
        <w:ind w:left="1840" w:hanging="404"/>
        <w:spacing w:after="0"/>
        <w:tabs>
          <w:tab w:leader="none" w:pos="1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Premier Nutrition shall have converted from a Delaware corporation to a Delaware limited liability company;</w:t>
      </w:r>
    </w:p>
    <w:p>
      <w:pPr>
        <w:spacing w:after="0" w:line="225" w:lineRule="exact"/>
        <w:rPr>
          <w:rFonts w:ascii="Arial" w:cs="Arial" w:eastAsia="Arial" w:hAnsi="Arial"/>
          <w:sz w:val="18"/>
          <w:szCs w:val="18"/>
          <w:color w:val="auto"/>
        </w:rPr>
      </w:pPr>
    </w:p>
    <w:p>
      <w:pPr>
        <w:ind w:right="180" w:firstLine="1436"/>
        <w:spacing w:after="0" w:line="264" w:lineRule="auto"/>
        <w:tabs>
          <w:tab w:leader="none" w:pos="18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intercompany receivables due to either Premier Nutrition or Dymatize Enterprises, respectively, from Post or any other member of the Post Group, shall have been distributed (in one or more distributions to or by their applicable Affiliates) to Post in cancellation of such intercompany balances;</w:t>
      </w:r>
    </w:p>
    <w:p>
      <w:pPr>
        <w:spacing w:after="0" w:line="181" w:lineRule="exact"/>
        <w:rPr>
          <w:rFonts w:ascii="Arial" w:cs="Arial" w:eastAsia="Arial" w:hAnsi="Arial"/>
          <w:sz w:val="18"/>
          <w:szCs w:val="18"/>
          <w:color w:val="auto"/>
        </w:rPr>
      </w:pPr>
    </w:p>
    <w:p>
      <w:pPr>
        <w:ind w:right="220" w:firstLine="1436"/>
        <w:spacing w:after="0" w:line="277" w:lineRule="auto"/>
        <w:tabs>
          <w:tab w:leader="none" w:pos="186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Acquisition Sub shall have merged with and into BellRing LLC, with BellRing LLC as the surviving entity, and as a result, Active Nutrition International shall have become a direct subsidiary of BellRing LLC;</w:t>
      </w:r>
    </w:p>
    <w:p>
      <w:pPr>
        <w:spacing w:after="0" w:line="170" w:lineRule="exact"/>
        <w:rPr>
          <w:rFonts w:ascii="Arial" w:cs="Arial" w:eastAsia="Arial" w:hAnsi="Arial"/>
          <w:sz w:val="18"/>
          <w:szCs w:val="18"/>
          <w:color w:val="auto"/>
        </w:rPr>
      </w:pPr>
    </w:p>
    <w:p>
      <w:pPr>
        <w:ind w:right="180" w:firstLine="1436"/>
        <w:spacing w:after="0" w:line="277" w:lineRule="auto"/>
        <w:tabs>
          <w:tab w:leader="none" w:pos="182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Post shall have contributed all of the equity interests in Premier Nutrition to BellRing LLC, such that BellRing LLC shall be the direct holder of such equity interests; and</w:t>
      </w:r>
    </w:p>
    <w:p>
      <w:pPr>
        <w:spacing w:after="0" w:line="170" w:lineRule="exact"/>
        <w:rPr>
          <w:rFonts w:ascii="Arial" w:cs="Arial" w:eastAsia="Arial" w:hAnsi="Arial"/>
          <w:sz w:val="18"/>
          <w:szCs w:val="18"/>
          <w:color w:val="auto"/>
        </w:rPr>
      </w:pPr>
    </w:p>
    <w:p>
      <w:pPr>
        <w:ind w:left="1880" w:hanging="444"/>
        <w:spacing w:after="0"/>
        <w:tabs>
          <w:tab w:leader="none" w:pos="18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Post shall have borrowed the proceeds of the Bridge Loan.</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the IPO Closing Date, the applicable Parties shall cause the transactions set forth below to be effected:</w:t>
      </w:r>
    </w:p>
    <w:p>
      <w:pPr>
        <w:spacing w:after="0" w:line="225" w:lineRule="exact"/>
        <w:rPr>
          <w:rFonts w:ascii="Arial" w:cs="Arial" w:eastAsia="Arial" w:hAnsi="Arial"/>
          <w:sz w:val="18"/>
          <w:szCs w:val="18"/>
          <w:color w:val="auto"/>
        </w:rPr>
      </w:pPr>
    </w:p>
    <w:p>
      <w:pPr>
        <w:ind w:right="40" w:firstLine="1436"/>
        <w:spacing w:after="0" w:line="259" w:lineRule="auto"/>
        <w:tabs>
          <w:tab w:leader="none" w:pos="17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the Parties shall effect the transactions described in </w:t>
      </w:r>
      <w:r>
        <w:rPr>
          <w:rFonts w:ascii="Arial" w:cs="Arial" w:eastAsia="Arial" w:hAnsi="Arial"/>
          <w:sz w:val="18"/>
          <w:szCs w:val="18"/>
          <w:u w:val="single" w:color="auto"/>
          <w:color w:val="auto"/>
        </w:rPr>
        <w:t>Section 3.2(a)</w:t>
      </w:r>
      <w:r>
        <w:rPr>
          <w:rFonts w:ascii="Arial" w:cs="Arial" w:eastAsia="Arial" w:hAnsi="Arial"/>
          <w:sz w:val="18"/>
          <w:szCs w:val="18"/>
          <w:color w:val="auto"/>
        </w:rPr>
        <w:t>, including the execution and delivery of the Transfer and Assumption Documents, the assumption by BellRing LLC and the applicable BellRing Designees of all of the Liabilities of Post and the other applicable members of the Post Group under the Bridge Loan and the release of Post and such members of the Post Group from all Liabilities under the Bridge Loan;</w:t>
      </w:r>
    </w:p>
    <w:p>
      <w:pPr>
        <w:spacing w:after="0" w:line="186" w:lineRule="exact"/>
        <w:rPr>
          <w:rFonts w:ascii="Arial" w:cs="Arial" w:eastAsia="Arial" w:hAnsi="Arial"/>
          <w:sz w:val="18"/>
          <w:szCs w:val="18"/>
          <w:color w:val="auto"/>
        </w:rPr>
      </w:pPr>
    </w:p>
    <w:p>
      <w:pPr>
        <w:ind w:right="300" w:firstLine="1436"/>
        <w:spacing w:after="0" w:line="277" w:lineRule="auto"/>
        <w:tabs>
          <w:tab w:leader="none" w:pos="183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Post shall cause BellRing Inc., BellRing LLC and the other members of the BellRing Group to be designated “unrestricted subsidiaries” under the Post Indentures and the Post Credit Agreement;</w:t>
      </w:r>
    </w:p>
    <w:p>
      <w:pPr>
        <w:spacing w:after="0" w:line="170" w:lineRule="exact"/>
        <w:rPr>
          <w:rFonts w:ascii="Arial" w:cs="Arial" w:eastAsia="Arial" w:hAnsi="Arial"/>
          <w:sz w:val="18"/>
          <w:szCs w:val="18"/>
          <w:color w:val="auto"/>
        </w:rPr>
      </w:pPr>
    </w:p>
    <w:p>
      <w:pPr>
        <w:ind w:firstLine="1436"/>
        <w:spacing w:after="0" w:line="264" w:lineRule="auto"/>
        <w:tabs>
          <w:tab w:leader="none" w:pos="18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BellRing Inc. shall issue to Post one (1) share of BellRing Inc. Class B Common Stock, in exchange for the one thousand (1,000) shares of common stock of BellRing Inc. initially issued to Post in connection with the incorporation of BellRing Inc. (which shares of common stock will be cancelled as part of the exchange);</w:t>
      </w:r>
    </w:p>
    <w:p>
      <w:pPr>
        <w:spacing w:after="0" w:line="181" w:lineRule="exact"/>
        <w:rPr>
          <w:rFonts w:ascii="Arial" w:cs="Arial" w:eastAsia="Arial" w:hAnsi="Arial"/>
          <w:sz w:val="18"/>
          <w:szCs w:val="18"/>
          <w:color w:val="auto"/>
        </w:rPr>
      </w:pPr>
    </w:p>
    <w:p>
      <w:pPr>
        <w:ind w:right="340" w:firstLine="996"/>
        <w:spacing w:after="0" w:line="277" w:lineRule="auto"/>
        <w:tabs>
          <w:tab w:leader="none" w:pos="13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the Effective Time, the applicable Parties shall cause the transactions set forth below to be effected, which shall be deemed to occur simultaneously pursuant to a single integrated plan:</w:t>
      </w:r>
    </w:p>
    <w:p>
      <w:pPr>
        <w:spacing w:after="0" w:line="170" w:lineRule="exact"/>
        <w:rPr>
          <w:rFonts w:ascii="Arial" w:cs="Arial" w:eastAsia="Arial" w:hAnsi="Arial"/>
          <w:sz w:val="18"/>
          <w:szCs w:val="18"/>
          <w:color w:val="auto"/>
        </w:rPr>
      </w:pPr>
    </w:p>
    <w:p>
      <w:pPr>
        <w:ind w:right="40" w:firstLine="1436"/>
        <w:spacing w:after="0" w:line="264" w:lineRule="auto"/>
        <w:tabs>
          <w:tab w:leader="none" w:pos="17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Post, BellRing Inc. and BellRing LLC shall enter into the BellRing Limited Liability Company Agreement, pursuant to which, among other things, Post’s membership interests in BellRing LLC shall be reclassified as a number of BellRing LLC Nonvoting Units to be mutually acceptable to Post and BellRing Inc.;</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255" w:name="page256"/>
    <w:bookmarkEnd w:id="255"/>
    <w:p>
      <w:pPr>
        <w:ind w:left="-20" w:right="200" w:firstLine="1436"/>
        <w:spacing w:after="0" w:line="264" w:lineRule="auto"/>
        <w:tabs>
          <w:tab w:leader="none" w:pos="1813"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Inc. shall contribute an amount of cash to be mutually acceptable to Post and BellRing Inc. to BellRing LLC, in exchange for a number of BellRing LLC Nonvoting Units to be mutually acceptable to Post and BellRing, Inc. and one (1) BellRing LLC Voting Unit issued to BellRing Inc.;</w:t>
      </w:r>
    </w:p>
    <w:p>
      <w:pPr>
        <w:spacing w:after="0" w:line="181" w:lineRule="exact"/>
        <w:rPr>
          <w:rFonts w:ascii="Arial" w:cs="Arial" w:eastAsia="Arial" w:hAnsi="Arial"/>
          <w:sz w:val="18"/>
          <w:szCs w:val="18"/>
          <w:color w:val="auto"/>
        </w:rPr>
      </w:pPr>
    </w:p>
    <w:p>
      <w:pPr>
        <w:ind w:left="1860" w:hanging="444"/>
        <w:spacing w:after="0"/>
        <w:tabs>
          <w:tab w:leader="none" w:pos="1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BellRing LLC shall appoint the BellRing LLC Managers;</w:t>
      </w:r>
    </w:p>
    <w:p>
      <w:pPr>
        <w:spacing w:after="0" w:line="225" w:lineRule="exact"/>
        <w:rPr>
          <w:rFonts w:ascii="Arial" w:cs="Arial" w:eastAsia="Arial" w:hAnsi="Arial"/>
          <w:sz w:val="18"/>
          <w:szCs w:val="18"/>
          <w:color w:val="auto"/>
        </w:rPr>
      </w:pPr>
    </w:p>
    <w:p>
      <w:pPr>
        <w:ind w:left="-20" w:right="360" w:firstLine="1436"/>
        <w:spacing w:after="0" w:line="264" w:lineRule="auto"/>
        <w:tabs>
          <w:tab w:leader="none" w:pos="18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Post, BellRing Inc. and BellRing LLC and the applicable members of each Party’s Group will enter into the remaining Ancillary Agreements, including (i) the Employee Matters Agreement, (ii) the Investor Rights Agreement, (iii) the License Agreement, (iv) the Tax Matters Agreement, (v) the Tax Receivable Agreement, and (vi) the Master Services Agreement; and</w:t>
      </w:r>
    </w:p>
    <w:p>
      <w:pPr>
        <w:spacing w:after="0" w:line="181" w:lineRule="exact"/>
        <w:rPr>
          <w:rFonts w:ascii="Arial" w:cs="Arial" w:eastAsia="Arial" w:hAnsi="Arial"/>
          <w:sz w:val="18"/>
          <w:szCs w:val="18"/>
          <w:color w:val="auto"/>
        </w:rPr>
      </w:pPr>
    </w:p>
    <w:p>
      <w:pPr>
        <w:ind w:left="-20" w:right="240" w:firstLine="1436"/>
        <w:spacing w:after="0" w:line="277" w:lineRule="auto"/>
        <w:tabs>
          <w:tab w:leader="none" w:pos="180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BellRing LLC shall contribute all of the equity interests in Active Nutrition International and Premier Nutrition to Dymatize Enterprises, such that Dymatize Enterprises shall be the direct holder of such equity interests.</w:t>
      </w:r>
    </w:p>
    <w:p>
      <w:pPr>
        <w:spacing w:after="0" w:line="279"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Transfer of Assets and Assumption of Liabilities</w:t>
      </w:r>
      <w:r>
        <w:rPr>
          <w:rFonts w:ascii="Arial" w:cs="Arial" w:eastAsia="Arial" w:hAnsi="Arial"/>
          <w:sz w:val="16"/>
          <w:szCs w:val="16"/>
          <w:color w:val="auto"/>
        </w:rPr>
        <w:t>.</w:t>
      </w:r>
    </w:p>
    <w:p>
      <w:pPr>
        <w:spacing w:after="0" w:line="117" w:lineRule="exact"/>
        <w:rPr>
          <w:sz w:val="20"/>
          <w:szCs w:val="20"/>
          <w:color w:val="auto"/>
        </w:rPr>
      </w:pPr>
    </w:p>
    <w:p>
      <w:pPr>
        <w:ind w:left="-20" w:right="220" w:firstLine="996"/>
        <w:spacing w:after="0" w:line="277" w:lineRule="auto"/>
        <w:tabs>
          <w:tab w:leader="none" w:pos="135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Effective as of immediately prior to the Effective Time, to the extent not theretofore accomplished indirectly by means of the other Formation Transactions, the Parties shall effect the following transactions:</w:t>
      </w:r>
    </w:p>
    <w:p>
      <w:pPr>
        <w:spacing w:after="0" w:line="170" w:lineRule="exact"/>
        <w:rPr>
          <w:rFonts w:ascii="Arial" w:cs="Arial" w:eastAsia="Arial" w:hAnsi="Arial"/>
          <w:sz w:val="18"/>
          <w:szCs w:val="18"/>
          <w:color w:val="auto"/>
        </w:rPr>
      </w:pPr>
    </w:p>
    <w:p>
      <w:pPr>
        <w:ind w:left="-20" w:firstLine="1436"/>
        <w:spacing w:after="0" w:line="291" w:lineRule="auto"/>
        <w:tabs>
          <w:tab w:leader="none" w:pos="1763"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Transfer and Assignment of BellRing Assets</w:t>
      </w:r>
      <w:r>
        <w:rPr>
          <w:rFonts w:ascii="Arial" w:cs="Arial" w:eastAsia="Arial" w:hAnsi="Arial"/>
          <w:sz w:val="16"/>
          <w:szCs w:val="16"/>
          <w:color w:val="auto"/>
        </w:rPr>
        <w:t>. Post shall, and shall cause the other applicable members of its Group to, contribute, assign, transfer, convey and deliver to BellRing LLC or the applicable BellRing Designees, and BellRing LLC or such BellRing Designees shall accept from Post and the other applicable members of the Post Group, all of Post’s and such Post Group members’ respective direct or indirect right, title and interest in and to all of the BellRing Assets (it being understood that if any BellRing Asset shall be held by an Active Nutrition Entity or a wholly owned Subsidiary of an Active Nutrition Entity, to the extent required, such BellRing Asset shall instead be assigned, transferred, conveyed and delivered to BellRing LLC as a result of the transfer of all of the equity interests in such Active Nutrition Entity from Post or the other applicable members of the Post Group to BellRing LLC or the applicable BellRing Designee in connection with the other Formation Transactions);</w:t>
      </w:r>
    </w:p>
    <w:p>
      <w:pPr>
        <w:spacing w:after="0" w:line="167" w:lineRule="exact"/>
        <w:rPr>
          <w:rFonts w:ascii="Arial" w:cs="Arial" w:eastAsia="Arial" w:hAnsi="Arial"/>
          <w:sz w:val="16"/>
          <w:szCs w:val="16"/>
          <w:color w:val="auto"/>
        </w:rPr>
      </w:pPr>
    </w:p>
    <w:p>
      <w:pPr>
        <w:ind w:left="-20" w:firstLine="1436"/>
        <w:spacing w:after="0" w:line="268" w:lineRule="auto"/>
        <w:tabs>
          <w:tab w:leader="none" w:pos="1813"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Acceptance and Assumption of BellRing Liabilities</w:t>
      </w:r>
      <w:r>
        <w:rPr>
          <w:rFonts w:ascii="Arial" w:cs="Arial" w:eastAsia="Arial" w:hAnsi="Arial"/>
          <w:sz w:val="17"/>
          <w:szCs w:val="17"/>
          <w:color w:val="auto"/>
        </w:rPr>
        <w:t>. BellRing LLC and the applicable BellRing Designees shall accept, assume and agree faithfully to perform, discharge and fulfill all of the BellRing Liabilities in accordance with their respective terms (it being understood that if any BellRing Liability is a liability of an Active Nutrition Entity or a wholly owned Subsidiary of an Active Nutrition Entity of which BellRing LLC is not currently the direct or indirect parent, such BellRing Liability shall instead be deemed assumed by BellRing LLC as a result of the transfer of all of the equity interests in such Active Nutrition Entity from Post or the other applicable members of the Post Group to BellRing LLC or the applicable BellRing Designee in connection with the other Formation Transactions). As a part of such acceptance, assumption and agreement, BellRing LLC will become the borrower under the Bridge Loan, BellRing LLC’s direct and indirect domestic subsidiaries will continue to guarantee the obligations under the Bridge Loan and Post and the other members of the Post Group will be released from all Liabilities under the Bridge Loan (but, for the avoidance of doubt, Post will retain for its own account all of the proceeds of the Bridge Loan). BellRing LLC and such BellRing Designees shall be responsible for all BellRing Liabilities, regardless of when or where such BellRing Liabilities arose or arise, or whether the facts on which they are based occurred prior to or subsequent to the Effective Time, regardless of where or against whom such BellRing Liabilities are asserted or determined (including any BellRing Liabilities arising out of claims made by Post’s, BellRing LLC’s or BellRing Inc.’s respective directors, officers, members, managers, employees, agents, Subsidiaries or Affiliates against any member of the Post Group or the BellRing Group) or whether asserted or determined prior to the date hereof, and regardless of whether arising from or alleged to arise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56" w:name="page257"/>
    <w:bookmarkEnd w:id="25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negligence, recklessness, violation of Law, fraud or misrepresentation by any member of the Post Group, the BellRing Group or BellRing Inc., or any of their respective directors, officers, members, managers, employees, agents, Subsidiaries or Affiliates;</w:t>
      </w:r>
    </w:p>
    <w:p>
      <w:pPr>
        <w:spacing w:after="0" w:line="170" w:lineRule="exact"/>
        <w:rPr>
          <w:sz w:val="20"/>
          <w:szCs w:val="20"/>
          <w:color w:val="auto"/>
        </w:rPr>
      </w:pPr>
    </w:p>
    <w:p>
      <w:pPr>
        <w:ind w:right="120" w:firstLine="1436"/>
        <w:spacing w:after="0" w:line="279" w:lineRule="auto"/>
        <w:tabs>
          <w:tab w:leader="none" w:pos="1883"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Transfer and Assignment of Post Assets</w:t>
      </w:r>
      <w:r>
        <w:rPr>
          <w:rFonts w:ascii="Arial" w:cs="Arial" w:eastAsia="Arial" w:hAnsi="Arial"/>
          <w:sz w:val="17"/>
          <w:szCs w:val="17"/>
          <w:color w:val="auto"/>
        </w:rPr>
        <w:t>. Post and BellRing LLC shall cause BellRing LLC and the BellRing Designees to contribute, assign, transfer, convey and deliver to Post or certain members of the Post Group designated by Post, and Post or such other members of the Post Group shall accept from BellRing LLC and the BellRing Designees, all of BellRing LLC’s and such BellRing Designees’ respective direct or indirect right, title and interest in and to all Post Assets held by BellRing LLC or a BellRing Designee; and</w:t>
      </w:r>
    </w:p>
    <w:p>
      <w:pPr>
        <w:spacing w:after="0" w:line="171" w:lineRule="exact"/>
        <w:rPr>
          <w:rFonts w:ascii="Arial" w:cs="Arial" w:eastAsia="Arial" w:hAnsi="Arial"/>
          <w:sz w:val="17"/>
          <w:szCs w:val="17"/>
          <w:color w:val="auto"/>
        </w:rPr>
      </w:pPr>
    </w:p>
    <w:p>
      <w:pPr>
        <w:ind w:firstLine="1436"/>
        <w:spacing w:after="0" w:line="289" w:lineRule="auto"/>
        <w:tabs>
          <w:tab w:leader="none" w:pos="1872"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Acceptance and Assumption of Post Liabilities</w:t>
      </w:r>
      <w:r>
        <w:rPr>
          <w:rFonts w:ascii="Arial" w:cs="Arial" w:eastAsia="Arial" w:hAnsi="Arial"/>
          <w:sz w:val="16"/>
          <w:szCs w:val="16"/>
          <w:color w:val="auto"/>
        </w:rPr>
        <w:t>. Post and certain members of the Post Group designated by Post shall accept and assume and agree faithfully to perform, discharge and fulfill all of the Post Liabilities held by BellRing LLC or any BellRing Designee and Post and the other applicable members of the Post Group shall be responsible for all Post Liabilities in accordance with their respective terms, regardless of when or where such Post Liabilities arose or arise, whether the facts on which they are based occurred prior to or subsequent to the Effective Time, where or against whom such Post Liabilities are asserted or determined (including any Post Liabilities arising out of claims made by Post’s, BellRing LLC’s or BellRing Inc.’s respective directors, officers, members, managers, employees, agents, Subsidiaries or Affiliates against any member of the Post Group or the BellRing Group) or whether asserted or determined prior to the date hereof, and regardless of whether arising from or alleged to arise from negligence, recklessness, violation of Law, fraud or misrepresentation by any member of the Post Group, any member of the BellRing Group or BellRing Inc., or any of their respective directors, officers, members, managers, employees, agents, Subsidiaries or Affiliates.</w:t>
      </w:r>
    </w:p>
    <w:p>
      <w:pPr>
        <w:spacing w:after="0" w:line="166" w:lineRule="exact"/>
        <w:rPr>
          <w:rFonts w:ascii="Arial" w:cs="Arial" w:eastAsia="Arial" w:hAnsi="Arial"/>
          <w:sz w:val="16"/>
          <w:szCs w:val="16"/>
          <w:color w:val="auto"/>
        </w:rPr>
      </w:pPr>
    </w:p>
    <w:p>
      <w:pPr>
        <w:ind w:firstLine="996"/>
        <w:spacing w:after="0" w:line="286" w:lineRule="auto"/>
        <w:tabs>
          <w:tab w:leader="none" w:pos="1382"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Transfer and Assumption Documents</w:t>
      </w:r>
      <w:r>
        <w:rPr>
          <w:rFonts w:ascii="Arial" w:cs="Arial" w:eastAsia="Arial" w:hAnsi="Arial"/>
          <w:sz w:val="16"/>
          <w:szCs w:val="16"/>
          <w:color w:val="auto"/>
        </w:rPr>
        <w:t xml:space="preserve">. In furtherance of the contribution, assignment, transfer, conveyance and delivery of the Assets and the assumption of the Liabilities in accordance with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(i) each of Post and BellRing LLC shall execute and deliver, and shall cause the applicable members of their respective Groups to execute and deliver, to the other applicable Party (or the applicable members of its Group)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their respective Groups’ right, title and interest in and to such Assets to the other Party and the applicable members of its Group, and (ii) each of Post and BellRing LLC shall execute and deliver, and shall cause the applicable members of their respective Groups to execute and deliver, to the other applicable Party (or the applicable members of its Group) such assumptions of contracts and other instruments of assumption as and to the extent necessary to evidence the valid and effective assumption of the Liabilities by such Party and the applicable members of its Group in accordance with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All of the foregoing documents contemplated by this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shall be referred to collectively herein as the “</w:t>
      </w:r>
      <w:r>
        <w:rPr>
          <w:rFonts w:ascii="Arial" w:cs="Arial" w:eastAsia="Arial" w:hAnsi="Arial"/>
          <w:sz w:val="16"/>
          <w:szCs w:val="16"/>
          <w:u w:val="single" w:color="auto"/>
          <w:color w:val="auto"/>
        </w:rPr>
        <w:t>Transfer and Assumption Documents</w:t>
      </w:r>
      <w:r>
        <w:rPr>
          <w:rFonts w:ascii="Arial" w:cs="Arial" w:eastAsia="Arial" w:hAnsi="Arial"/>
          <w:sz w:val="16"/>
          <w:szCs w:val="16"/>
          <w:color w:val="auto"/>
        </w:rPr>
        <w:t>.” The Transfer and Assumption Documents shall effect certain of the transactions contemplated by this Agreement and, notwithstanding anything in this Agreement to the contrary, shall not expand or limit any of the obligations, covenants or agreements in this Agreement. It is expressly agreed that in the event of any conflict between the terms of the Transfer and Assumption Documents and the terms of this Agreement or the Tax Matters Agreement, the terms of this Agreement or the Tax Matters Agreement, as applicable, shall control.</w:t>
      </w:r>
    </w:p>
    <w:p>
      <w:pPr>
        <w:spacing w:after="0" w:line="171" w:lineRule="exact"/>
        <w:rPr>
          <w:rFonts w:ascii="Arial" w:cs="Arial" w:eastAsia="Arial" w:hAnsi="Arial"/>
          <w:sz w:val="16"/>
          <w:szCs w:val="16"/>
          <w:color w:val="auto"/>
        </w:rPr>
      </w:pPr>
    </w:p>
    <w:p>
      <w:pPr>
        <w:jc w:val="both"/>
        <w:ind w:right="200" w:firstLine="996"/>
        <w:spacing w:after="0" w:line="264" w:lineRule="auto"/>
        <w:tabs>
          <w:tab w:leader="none" w:pos="137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Misallocations</w:t>
      </w:r>
      <w:r>
        <w:rPr>
          <w:rFonts w:ascii="Arial" w:cs="Arial" w:eastAsia="Arial" w:hAnsi="Arial"/>
          <w:sz w:val="18"/>
          <w:szCs w:val="18"/>
          <w:color w:val="auto"/>
        </w:rPr>
        <w:t>. In the event that at any time or from time to time (whether prior to, at or after the Effective Time), Post or BellRing LLC (or any member of either such Party’s respective Group) shall receive or otherwise possess any Asset that is allocated to such other Party (or any member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57" w:name="page258"/>
    <w:bookmarkEnd w:id="25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Party’s Group) pursuant to this Agreement or any Ancillary Agreement, such Party shall promptly transfer, or cause to be transferred, such Asset to such other Party so entitled thereto (or to any member of such Party’s Group), and such other Party (or member of such Party’s Group) shall accept such Asset. Prior to any such transfer, the Person receiving or possessing such Asset shall hold such Asset in trust for such other Person. In the event that at any time or from time to time (whether prior to, at or after the Effective Time), Post or BellRing LLC (or any member of either such Party’s respective Group) shall be liable for or otherwise assume any Liability that is allocated to such other Party (or any member of such Party’s Group) pursuant to this Agreement or any Ancillary Agreement, such other Party (or member of such Party’s Group) shall promptly assume, or cause to be assumed, such Liability and agree to faithfully perform such Liability.</w:t>
      </w:r>
    </w:p>
    <w:p>
      <w:pPr>
        <w:spacing w:after="0" w:line="178" w:lineRule="exact"/>
        <w:rPr>
          <w:sz w:val="20"/>
          <w:szCs w:val="20"/>
          <w:color w:val="auto"/>
        </w:rPr>
      </w:pPr>
    </w:p>
    <w:p>
      <w:pPr>
        <w:ind w:firstLine="996"/>
        <w:spacing w:after="0" w:line="276" w:lineRule="auto"/>
        <w:tabs>
          <w:tab w:leader="none" w:pos="1382"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Waiver of Bulk-Sale and Bulk-Transfer Laws</w:t>
      </w:r>
      <w:r>
        <w:rPr>
          <w:rFonts w:ascii="Arial" w:cs="Arial" w:eastAsia="Arial" w:hAnsi="Arial"/>
          <w:sz w:val="17"/>
          <w:szCs w:val="17"/>
          <w:color w:val="auto"/>
        </w:rPr>
        <w:t>. BellRing LLC hereby waives compliance by each and every member of the Post Group with the requirements and provisions of any “bulk-sale” or “bulk-transfer” Laws of any jurisdiction that may otherwise be applicable with respect to the transfer or sale of any or all of the BellRing Assets to any member of the BellRing Group. Post hereby waives compliance by each and every member of the BellRing Group with the requirements and provisions of any “bulk-sale” or “bulk-transfer” Laws of any jurisdiction that may otherwise be applicable with respect to the transfer or sale of any or all of the Post Assets to any member of the Post Group.</w:t>
      </w:r>
    </w:p>
    <w:p>
      <w:pPr>
        <w:spacing w:after="0" w:line="280" w:lineRule="exact"/>
        <w:rPr>
          <w:rFonts w:ascii="Arial" w:cs="Arial" w:eastAsia="Arial" w:hAnsi="Arial"/>
          <w:sz w:val="17"/>
          <w:szCs w:val="17"/>
          <w:color w:val="auto"/>
        </w:rPr>
      </w:pPr>
    </w:p>
    <w:p>
      <w:pPr>
        <w:ind w:left="1380" w:hanging="384"/>
        <w:spacing w:after="0"/>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1436"/>
        <w:spacing w:after="0" w:line="272" w:lineRule="auto"/>
        <w:tabs>
          <w:tab w:leader="none" w:pos="178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If and to the extent that, as a matter of Law in any jurisdiction, Post or the applicable members of its Group cannot assign, transfer or convey any of Post’s or such Post Group members’ respective direct or indirect right, title and interest in and to any Technology or Intellectual Property Rights included in the BellRing Assets, then, to the extent possible, Post shall, and shall cause the applicable member(s) of its Group to, irrevocably grant to BellRing Inc., BellRing LLC or the applicable BellRing Designees, an exclusive (but subject to any licenses that would be granted to Post under the License Agreement had such Intellectual Property Rights been transferred to BellRing LLC), irrevocable, assignable, transferable, sublicenseable, worldwide, perpetual, royalty-free license to use, exploit and commercialize in any manner now known or in the future discovered and for whatever purpose, any such right, title or interest.</w:t>
      </w:r>
    </w:p>
    <w:p>
      <w:pPr>
        <w:spacing w:after="0" w:line="177" w:lineRule="exact"/>
        <w:rPr>
          <w:rFonts w:ascii="Arial" w:cs="Arial" w:eastAsia="Arial" w:hAnsi="Arial"/>
          <w:sz w:val="17"/>
          <w:szCs w:val="17"/>
          <w:color w:val="auto"/>
        </w:rPr>
      </w:pPr>
    </w:p>
    <w:p>
      <w:pPr>
        <w:ind w:right="140" w:firstLine="1436"/>
        <w:spacing w:after="0" w:line="272" w:lineRule="auto"/>
        <w:tabs>
          <w:tab w:leader="none" w:pos="183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If and to the extent that, as a matter of Law in any jurisdiction, BellRing LLC or the applicable members of its Group cannot assign, transfer or convey any of BellRing LLC’s or such BellRing Group members’ respective direct or indirect right, title and interest in and to any Technology or Intellectual Property Rights included in the Post Assets, then, to the extent possible, BellRing LLC shall, and shall cause the applicable member(s) of its Group to, irrevocably grant to Post or the applicable Post Designees an exclusive (but subject to any licenses that would be granted to BellRing Inc. or BellRing LLC under the License Agreement had such Intellectual Property Rights been transferred to Post), irrevocable, assignable, transferable, sublicenseable, worldwide, perpetual, royalty-free license to use, exploit and commercialize in any manner now known or in the future discovered and for whatever purpose any such right, title or interest.</w:t>
      </w:r>
    </w:p>
    <w:p>
      <w:pPr>
        <w:spacing w:after="0" w:line="177" w:lineRule="exact"/>
        <w:rPr>
          <w:rFonts w:ascii="Arial" w:cs="Arial" w:eastAsia="Arial" w:hAnsi="Arial"/>
          <w:sz w:val="17"/>
          <w:szCs w:val="17"/>
          <w:color w:val="auto"/>
        </w:rPr>
      </w:pPr>
    </w:p>
    <w:p>
      <w:pPr>
        <w:ind w:right="200" w:firstLine="996"/>
        <w:spacing w:after="0" w:line="264" w:lineRule="auto"/>
        <w:tabs>
          <w:tab w:leader="none" w:pos="135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Electronic Transfer</w:t>
      </w:r>
      <w:r>
        <w:rPr>
          <w:rFonts w:ascii="Arial" w:cs="Arial" w:eastAsia="Arial" w:hAnsi="Arial"/>
          <w:sz w:val="18"/>
          <w:szCs w:val="18"/>
          <w:color w:val="auto"/>
        </w:rPr>
        <w:t>. All transferred BellRing Assets and Post Assets, including transferred Technology, that can be delivered by electronic transmission may be so delivered or made available to BellRing LLC, Post or their respective designees (as applicable) at a designated FTP site or in another electronic form to be determined by the Parties.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58" w:name="page259"/>
    <w:bookmarkEnd w:id="258"/>
    <w:p>
      <w:pPr>
        <w:ind w:left="436"/>
        <w:spacing w:after="0"/>
        <w:tabs>
          <w:tab w:leader="none" w:pos="81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6"/>
          <w:szCs w:val="16"/>
          <w:u w:val="single" w:color="auto"/>
          <w:color w:val="auto"/>
        </w:rPr>
        <w:t>BellRing Assets; Post Assets</w:t>
      </w:r>
      <w:r>
        <w:rPr>
          <w:rFonts w:ascii="Arial" w:cs="Arial" w:eastAsia="Arial" w:hAnsi="Arial"/>
          <w:sz w:val="16"/>
          <w:szCs w:val="16"/>
          <w:color w:val="auto"/>
        </w:rPr>
        <w:t>.</w:t>
      </w:r>
    </w:p>
    <w:p>
      <w:pPr>
        <w:spacing w:after="0" w:line="117" w:lineRule="exact"/>
        <w:rPr>
          <w:sz w:val="20"/>
          <w:szCs w:val="20"/>
          <w:color w:val="auto"/>
        </w:rPr>
      </w:pPr>
    </w:p>
    <w:p>
      <w:pPr>
        <w:ind w:left="1376" w:hanging="384"/>
        <w:spacing w:after="0"/>
        <w:tabs>
          <w:tab w:leader="none" w:pos="1376"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BellRing Assets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BellRing Assets</w:t>
      </w:r>
      <w:r>
        <w:rPr>
          <w:rFonts w:ascii="Arial" w:cs="Arial" w:eastAsia="Arial" w:hAnsi="Arial"/>
          <w:sz w:val="18"/>
          <w:szCs w:val="18"/>
          <w:color w:val="auto"/>
        </w:rPr>
        <w:t>” shall mean (without duplication):</w:t>
      </w:r>
    </w:p>
    <w:p>
      <w:pPr>
        <w:spacing w:after="0" w:line="225" w:lineRule="exact"/>
        <w:rPr>
          <w:rFonts w:ascii="Arial" w:cs="Arial" w:eastAsia="Arial" w:hAnsi="Arial"/>
          <w:sz w:val="18"/>
          <w:szCs w:val="18"/>
          <w:color w:val="auto"/>
        </w:rPr>
      </w:pPr>
    </w:p>
    <w:p>
      <w:pPr>
        <w:ind w:left="-4" w:right="60" w:firstLine="1436"/>
        <w:spacing w:after="0" w:line="277" w:lineRule="auto"/>
        <w:tabs>
          <w:tab w:leader="none" w:pos="1779"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all issued and outstanding capital stock or other equity interests of the Active Nutrition Entities that are owned by either Post or BellRing LLC or any members of their respective Groups as of immediately prior to the Effective Time;</w:t>
      </w:r>
    </w:p>
    <w:p>
      <w:pPr>
        <w:spacing w:after="0" w:line="170" w:lineRule="exact"/>
        <w:rPr>
          <w:rFonts w:ascii="Arial" w:cs="Arial" w:eastAsia="Arial" w:hAnsi="Arial"/>
          <w:sz w:val="18"/>
          <w:szCs w:val="18"/>
          <w:color w:val="auto"/>
        </w:rPr>
      </w:pPr>
    </w:p>
    <w:p>
      <w:pPr>
        <w:ind w:left="-4" w:firstLine="1436"/>
        <w:spacing w:after="0" w:line="302" w:lineRule="auto"/>
        <w:tabs>
          <w:tab w:leader="none" w:pos="1829" w:val="left"/>
        </w:tabs>
        <w:numPr>
          <w:ilvl w:val="2"/>
          <w:numId w:val="141"/>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all Assets of Post or BellRing LLC or any members of their respective Groups included or reflected as assets of the BellRing Group on the BellRing Balance Sheet, subject to any dispositions of such Assets subsequent to the date of the BellRing Balance Sheet;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amounts set forth on the BellRing Balance Sheet with respect to any Assets shall not be treated as minimum amounts or limitations on the amount of such Assets that are included in the definition of BellRing Assets pursuant to this clause (ii);</w:t>
      </w:r>
    </w:p>
    <w:p>
      <w:pPr>
        <w:spacing w:after="0" w:line="154" w:lineRule="exact"/>
        <w:rPr>
          <w:rFonts w:ascii="Arial" w:cs="Arial" w:eastAsia="Arial" w:hAnsi="Arial"/>
          <w:sz w:val="16"/>
          <w:szCs w:val="16"/>
          <w:color w:val="auto"/>
        </w:rPr>
      </w:pPr>
    </w:p>
    <w:p>
      <w:pPr>
        <w:ind w:left="-4" w:right="60" w:firstLine="1436"/>
        <w:spacing w:after="0" w:line="284" w:lineRule="auto"/>
        <w:tabs>
          <w:tab w:leader="none" w:pos="1879" w:val="left"/>
        </w:tabs>
        <w:numPr>
          <w:ilvl w:val="2"/>
          <w:numId w:val="141"/>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u w:val="single" w:color="auto"/>
          <w:color w:val="auto"/>
        </w:rPr>
        <w:t>Section 3.3(a)</w:t>
      </w:r>
      <w:r>
        <w:rPr>
          <w:rFonts w:ascii="Arial" w:cs="Arial" w:eastAsia="Arial" w:hAnsi="Arial"/>
          <w:sz w:val="16"/>
          <w:szCs w:val="16"/>
          <w:color w:val="auto"/>
        </w:rPr>
        <w:t>, all Assets of Post or BellRing LLC or any of the members of their respective Groups as of immediately prior to the Effective Time that are of a nature or type that would have resulted in such Assets being included as Assets of BellRing LLC or members of the BellRing Group on an unaudited pro forma condensed consolidated balance sheet of the BellRing Group or any notes thereto as of immediately prior to the Effective Time (were such balance sheet and notes to be prepared on a basis consistent with the determination of the Assets included on the BellRing Balance Sheet), it being understood that (x) the BellRing Balance Sheet shall be used to determine the types of, and methodologies used to determine, those Assets that are included in the definition of BellRing Assets pursuant to this clause (iii); and</w:t>
      </w:r>
    </w:p>
    <w:p>
      <w:pPr>
        <w:spacing w:after="0" w:line="4" w:lineRule="exact"/>
        <w:rPr>
          <w:rFonts w:ascii="Arial" w:cs="Arial" w:eastAsia="Arial" w:hAnsi="Arial"/>
          <w:sz w:val="16"/>
          <w:szCs w:val="16"/>
          <w:color w:val="auto"/>
        </w:rPr>
      </w:pPr>
    </w:p>
    <w:p>
      <w:pPr>
        <w:ind w:left="-4" w:right="560" w:firstLine="4"/>
        <w:spacing w:after="0" w:line="261" w:lineRule="auto"/>
        <w:tabs>
          <w:tab w:leader="none" w:pos="2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amounts set forth on the BellRing Balance Sheet with respect to any Assets shall not be treated as minimum amounts or limitations on the amount of such Assets that are included in the definition of BellRing Assets pursuant to this clause (iii);</w:t>
      </w:r>
    </w:p>
    <w:p>
      <w:pPr>
        <w:spacing w:after="0" w:line="183" w:lineRule="exact"/>
        <w:rPr>
          <w:rFonts w:ascii="Arial" w:cs="Arial" w:eastAsia="Arial" w:hAnsi="Arial"/>
          <w:sz w:val="18"/>
          <w:szCs w:val="18"/>
          <w:color w:val="auto"/>
        </w:rPr>
      </w:pPr>
    </w:p>
    <w:p>
      <w:pPr>
        <w:ind w:left="-4" w:right="220" w:firstLine="1436"/>
        <w:spacing w:after="0" w:line="264" w:lineRule="auto"/>
        <w:tabs>
          <w:tab w:leader="none" w:pos="186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all Assets of either Post or BellRing LLC or any of the members of their respective Groups as of immediately prior to the Effective Time that are expressly provided by any provision of this Agreement or any Ancillary Agreement as Assets to be transferred to or owned by BellRing LLC or any other member of the BellRing Group;</w:t>
      </w:r>
    </w:p>
    <w:p>
      <w:pPr>
        <w:spacing w:after="0" w:line="181" w:lineRule="exact"/>
        <w:rPr>
          <w:rFonts w:ascii="Arial" w:cs="Arial" w:eastAsia="Arial" w:hAnsi="Arial"/>
          <w:sz w:val="18"/>
          <w:szCs w:val="18"/>
          <w:color w:val="auto"/>
        </w:rPr>
      </w:pPr>
    </w:p>
    <w:p>
      <w:pPr>
        <w:ind w:left="-4" w:right="40" w:firstLine="1436"/>
        <w:spacing w:after="0" w:line="342" w:lineRule="auto"/>
        <w:tabs>
          <w:tab w:leader="none" w:pos="1819" w:val="left"/>
        </w:tabs>
        <w:numPr>
          <w:ilvl w:val="2"/>
          <w:numId w:val="142"/>
        </w:numPr>
        <w:rPr>
          <w:rFonts w:ascii="Arial" w:cs="Arial" w:eastAsia="Arial" w:hAnsi="Arial"/>
          <w:sz w:val="16"/>
          <w:szCs w:val="16"/>
          <w:color w:val="auto"/>
        </w:rPr>
      </w:pPr>
      <w:r>
        <w:rPr>
          <w:rFonts w:ascii="Arial" w:cs="Arial" w:eastAsia="Arial" w:hAnsi="Arial"/>
          <w:sz w:val="16"/>
          <w:szCs w:val="16"/>
          <w:color w:val="auto"/>
        </w:rPr>
        <w:t>all BellRing Contracts as of immediately prior to the Effective Time and all rights, interests or claims of BellRing Inc. or either of Post or BellRing LLC or any of the members of their respective Groups thereunder, as applicable, as of immediately prior to the Effective Time;</w:t>
      </w:r>
    </w:p>
    <w:p>
      <w:pPr>
        <w:spacing w:after="0" w:line="123" w:lineRule="exact"/>
        <w:rPr>
          <w:rFonts w:ascii="Arial" w:cs="Arial" w:eastAsia="Arial" w:hAnsi="Arial"/>
          <w:sz w:val="16"/>
          <w:szCs w:val="16"/>
          <w:color w:val="auto"/>
        </w:rPr>
      </w:pPr>
    </w:p>
    <w:p>
      <w:pPr>
        <w:ind w:left="1876" w:hanging="444"/>
        <w:spacing w:after="0"/>
        <w:tabs>
          <w:tab w:leader="none" w:pos="187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any and all BellRing Accounts Receivable;</w:t>
      </w:r>
    </w:p>
    <w:p>
      <w:pPr>
        <w:spacing w:after="0" w:line="225" w:lineRule="exact"/>
        <w:rPr>
          <w:rFonts w:ascii="Arial" w:cs="Arial" w:eastAsia="Arial" w:hAnsi="Arial"/>
          <w:sz w:val="18"/>
          <w:szCs w:val="18"/>
          <w:color w:val="auto"/>
        </w:rPr>
      </w:pPr>
    </w:p>
    <w:p>
      <w:pPr>
        <w:ind w:left="-4" w:right="80" w:firstLine="1436"/>
        <w:spacing w:after="0" w:line="279" w:lineRule="auto"/>
        <w:tabs>
          <w:tab w:leader="none" w:pos="1919" w:val="left"/>
        </w:tabs>
        <w:numPr>
          <w:ilvl w:val="2"/>
          <w:numId w:val="142"/>
        </w:numPr>
        <w:rPr>
          <w:rFonts w:ascii="Arial" w:cs="Arial" w:eastAsia="Arial" w:hAnsi="Arial"/>
          <w:sz w:val="17"/>
          <w:szCs w:val="17"/>
          <w:color w:val="auto"/>
        </w:rPr>
      </w:pPr>
      <w:r>
        <w:rPr>
          <w:rFonts w:ascii="Arial" w:cs="Arial" w:eastAsia="Arial" w:hAnsi="Arial"/>
          <w:sz w:val="17"/>
          <w:szCs w:val="17"/>
          <w:color w:val="auto"/>
        </w:rPr>
        <w:t>any and all finished goods inventory, ingredients, supplies, components, packaging materials and other inventories, including any inventory in-transit or other inventories being held by third parties pursuant to consignment or otherwise, and all valuation-related adjustments relating thereto (including those relating to warranty, prompt pay discounts, royalties and other items) (“</w:t>
      </w:r>
      <w:r>
        <w:rPr>
          <w:rFonts w:ascii="Arial" w:cs="Arial" w:eastAsia="Arial" w:hAnsi="Arial"/>
          <w:sz w:val="17"/>
          <w:szCs w:val="17"/>
          <w:u w:val="single" w:color="auto"/>
          <w:color w:val="auto"/>
        </w:rPr>
        <w:t>Inventory</w:t>
      </w:r>
      <w:r>
        <w:rPr>
          <w:rFonts w:ascii="Arial" w:cs="Arial" w:eastAsia="Arial" w:hAnsi="Arial"/>
          <w:sz w:val="17"/>
          <w:szCs w:val="17"/>
          <w:color w:val="auto"/>
        </w:rPr>
        <w:t>”), in each case, exclusively related to the BellRing Business as of immediately prior to the Effective Time (“</w:t>
      </w:r>
      <w:r>
        <w:rPr>
          <w:rFonts w:ascii="Arial" w:cs="Arial" w:eastAsia="Arial" w:hAnsi="Arial"/>
          <w:sz w:val="17"/>
          <w:szCs w:val="17"/>
          <w:u w:val="single" w:color="auto"/>
          <w:color w:val="auto"/>
        </w:rPr>
        <w:t>BellRing Inventory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 w:right="180" w:firstLine="1436"/>
        <w:spacing w:after="0" w:line="291" w:lineRule="auto"/>
        <w:tabs>
          <w:tab w:leader="none" w:pos="1969" w:val="left"/>
        </w:tabs>
        <w:numPr>
          <w:ilvl w:val="2"/>
          <w:numId w:val="142"/>
        </w:numPr>
        <w:rPr>
          <w:rFonts w:ascii="Arial" w:cs="Arial" w:eastAsia="Arial" w:hAnsi="Arial"/>
          <w:sz w:val="16"/>
          <w:szCs w:val="16"/>
          <w:color w:val="auto"/>
        </w:rPr>
      </w:pPr>
      <w:r>
        <w:rPr>
          <w:rFonts w:ascii="Arial" w:cs="Arial" w:eastAsia="Arial" w:hAnsi="Arial"/>
          <w:sz w:val="16"/>
          <w:szCs w:val="16"/>
          <w:color w:val="auto"/>
        </w:rPr>
        <w:t xml:space="preserve">copies of any and all BellRing Records in the possession of BellRing Inc. or either of Post or BellRing LLC or any of the members of their respective Groups, as applicable, as of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Post shall be permitted to retain copies of, and continue to use, (A) any BellRing Records that as of the Effective Time are used in or necessary for the operation or conduct of the Post Business, including Post’s performance under the Master Services Agreement, (B) any BellRing Records that Post is required by Law or under any applicable Post policy to retain (and if copies are not provided to BellRing LLC, then, to the extent permitted by Law, such copies will be made available to BellRing LLC upon BellRing LLC’s reasonable request), (C) copies of any BellRing Records to the extent required to demonstrate compliance with applicable Law or pursuant to internal compliance procedures or related to any Post Assets or Post’s and/or its Affiliates’ obligations</w:t>
      </w:r>
    </w:p>
    <w:p>
      <w:pPr>
        <w:spacing w:after="0" w:line="10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16"/>
          </w:cols>
          <w:pgMar w:left="444" w:top="274" w:right="439" w:bottom="1440" w:gutter="0" w:footer="0" w:header="0"/>
        </w:sectPr>
      </w:pPr>
    </w:p>
    <w:bookmarkStart w:id="259" w:name="page260"/>
    <w:bookmarkEnd w:id="25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Agreement or any of the Ancillary Agreements, and (D) “back-up” electronic copies of such BellRing Records maintained by Post in the ordinary course of business, and such copies shall be considered Post Assets;</w:t>
      </w:r>
    </w:p>
    <w:p>
      <w:pPr>
        <w:spacing w:after="0" w:line="170" w:lineRule="exact"/>
        <w:rPr>
          <w:sz w:val="20"/>
          <w:szCs w:val="20"/>
          <w:color w:val="auto"/>
        </w:rPr>
      </w:pPr>
    </w:p>
    <w:p>
      <w:pPr>
        <w:jc w:val="both"/>
        <w:ind w:right="280" w:firstLine="1436"/>
        <w:spacing w:after="0" w:line="264" w:lineRule="auto"/>
        <w:tabs>
          <w:tab w:leader="none" w:pos="187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BellRing Intellectual Property Rights as of immediately prior to the Effective Time, and all rights, interests or claims of BellRing LLC or any of the other members of its Group thereunder as of immediately prior to the Effective Time, including the right to seek, recover and retain damages for the past and future infringement of any BellRing Intellectual Property Rights;</w:t>
      </w:r>
    </w:p>
    <w:p>
      <w:pPr>
        <w:spacing w:after="0" w:line="181" w:lineRule="exact"/>
        <w:rPr>
          <w:rFonts w:ascii="Arial" w:cs="Arial" w:eastAsia="Arial" w:hAnsi="Arial"/>
          <w:sz w:val="18"/>
          <w:szCs w:val="18"/>
          <w:color w:val="auto"/>
        </w:rPr>
      </w:pPr>
    </w:p>
    <w:p>
      <w:pPr>
        <w:ind w:left="1820" w:hanging="384"/>
        <w:spacing w:after="0"/>
        <w:tabs>
          <w:tab w:leader="none" w:pos="18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without limiting clause (ix) above, the BellRing Marks, and all goodwill of the BellRing Business appurtenant thereto;</w:t>
      </w:r>
    </w:p>
    <w:p>
      <w:pPr>
        <w:spacing w:after="0" w:line="236" w:lineRule="exact"/>
        <w:rPr>
          <w:rFonts w:ascii="Arial" w:cs="Arial" w:eastAsia="Arial" w:hAnsi="Arial"/>
          <w:sz w:val="17"/>
          <w:szCs w:val="17"/>
          <w:color w:val="auto"/>
        </w:rPr>
      </w:pPr>
    </w:p>
    <w:p>
      <w:pPr>
        <w:ind w:left="1880" w:hanging="444"/>
        <w:spacing w:after="0"/>
        <w:tabs>
          <w:tab w:leader="none" w:pos="1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BellRing Technology;</w:t>
      </w:r>
    </w:p>
    <w:p>
      <w:pPr>
        <w:spacing w:after="0" w:line="225" w:lineRule="exact"/>
        <w:rPr>
          <w:rFonts w:ascii="Arial" w:cs="Arial" w:eastAsia="Arial" w:hAnsi="Arial"/>
          <w:sz w:val="18"/>
          <w:szCs w:val="18"/>
          <w:color w:val="auto"/>
        </w:rPr>
      </w:pPr>
    </w:p>
    <w:p>
      <w:pPr>
        <w:ind w:right="40" w:firstLine="1436"/>
        <w:spacing w:after="0" w:line="277" w:lineRule="auto"/>
        <w:tabs>
          <w:tab w:leader="none" w:pos="19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BellRing Permits as of immediately prior to the Effective Time and all rights, interests or claims of either Post or BellRing LLC or any of the other members of their respective Groups thereunder as of immediately prior to the Effective Time;</w:t>
      </w:r>
    </w:p>
    <w:p>
      <w:pPr>
        <w:spacing w:after="0" w:line="170" w:lineRule="exact"/>
        <w:rPr>
          <w:rFonts w:ascii="Arial" w:cs="Arial" w:eastAsia="Arial" w:hAnsi="Arial"/>
          <w:sz w:val="18"/>
          <w:szCs w:val="18"/>
          <w:color w:val="auto"/>
        </w:rPr>
      </w:pPr>
    </w:p>
    <w:p>
      <w:pPr>
        <w:ind w:left="1980" w:hanging="544"/>
        <w:spacing w:after="0"/>
        <w:tabs>
          <w:tab w:leader="none" w:pos="1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BellRing Real Property as of immediately prior to the Effective Time;</w:t>
      </w:r>
    </w:p>
    <w:p>
      <w:pPr>
        <w:spacing w:after="0" w:line="225" w:lineRule="exact"/>
        <w:rPr>
          <w:rFonts w:ascii="Arial" w:cs="Arial" w:eastAsia="Arial" w:hAnsi="Arial"/>
          <w:sz w:val="18"/>
          <w:szCs w:val="18"/>
          <w:color w:val="auto"/>
        </w:rPr>
      </w:pPr>
    </w:p>
    <w:p>
      <w:pPr>
        <w:ind w:right="20" w:firstLine="1436"/>
        <w:spacing w:after="0" w:line="308" w:lineRule="auto"/>
        <w:tabs>
          <w:tab w:leader="none" w:pos="196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3.3(a)</w:t>
      </w:r>
      <w:r>
        <w:rPr>
          <w:rFonts w:ascii="Arial" w:cs="Arial" w:eastAsia="Arial" w:hAnsi="Arial"/>
          <w:sz w:val="17"/>
          <w:szCs w:val="17"/>
          <w:color w:val="auto"/>
        </w:rPr>
        <w:t>, all Assets of either Post or BellRing LLC or of any other members of their respective Groups exclusively used or exclusively held for use in the BellRing Business as of immediately prior to the Effective Time;</w:t>
      </w:r>
    </w:p>
    <w:p>
      <w:pPr>
        <w:spacing w:after="0" w:line="146" w:lineRule="exact"/>
        <w:rPr>
          <w:rFonts w:ascii="Arial" w:cs="Arial" w:eastAsia="Arial" w:hAnsi="Arial"/>
          <w:sz w:val="17"/>
          <w:szCs w:val="17"/>
          <w:color w:val="auto"/>
        </w:rPr>
      </w:pPr>
    </w:p>
    <w:p>
      <w:pPr>
        <w:ind w:left="1920" w:hanging="484"/>
        <w:spacing w:after="0"/>
        <w:tabs>
          <w:tab w:leader="none" w:pos="19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cash and cash equivalents of BellRing LLC and the other members of its Group as of immediately prior to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the Parties hereby acknowledge and agree that (A) while a single asset may fall within more than one of the clauses</w:t>
      </w:r>
    </w:p>
    <w:p>
      <w:pPr>
        <w:spacing w:after="0" w:line="46" w:lineRule="exact"/>
        <w:rPr>
          <w:sz w:val="20"/>
          <w:szCs w:val="20"/>
          <w:color w:val="auto"/>
        </w:rPr>
      </w:pPr>
    </w:p>
    <w:p>
      <w:pPr>
        <w:ind w:firstLine="4"/>
        <w:spacing w:after="0" w:line="290" w:lineRule="auto"/>
        <w:tabs>
          <w:tab w:leader="none" w:pos="21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through (xv) in this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such fact does not imply that (x) such asset shall be transferred more than once or (y) any duplication of such asset is required, and (B) the BellRing Assets shall not in any event include any Asset referred to in clauses (i) through (x) of </w:t>
      </w:r>
      <w:r>
        <w:rPr>
          <w:rFonts w:ascii="Arial" w:cs="Arial" w:eastAsia="Arial" w:hAnsi="Arial"/>
          <w:sz w:val="17"/>
          <w:szCs w:val="17"/>
          <w:u w:val="single" w:color="auto"/>
          <w:color w:val="auto"/>
        </w:rPr>
        <w:t>Section 3.3(b)</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jc w:val="both"/>
        <w:ind w:right="160" w:firstLine="996"/>
        <w:spacing w:after="0" w:line="264" w:lineRule="auto"/>
        <w:tabs>
          <w:tab w:leader="none" w:pos="138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Post Assets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Post Assets</w:t>
      </w:r>
      <w:r>
        <w:rPr>
          <w:rFonts w:ascii="Arial" w:cs="Arial" w:eastAsia="Arial" w:hAnsi="Arial"/>
          <w:sz w:val="18"/>
          <w:szCs w:val="18"/>
          <w:color w:val="auto"/>
        </w:rPr>
        <w:t>” shall mean all Assets of either Post or BellRing LLC or of any other members of their respective Groups as of immediately prior to the Effective Time, other than the BellRing Assets. Notwithstanding anything herein to the contrary, the Post Assets shall include:</w:t>
      </w:r>
    </w:p>
    <w:p>
      <w:pPr>
        <w:spacing w:after="0" w:line="181" w:lineRule="exact"/>
        <w:rPr>
          <w:rFonts w:ascii="Arial" w:cs="Arial" w:eastAsia="Arial" w:hAnsi="Arial"/>
          <w:sz w:val="18"/>
          <w:szCs w:val="18"/>
          <w:color w:val="auto"/>
        </w:rPr>
      </w:pPr>
    </w:p>
    <w:p>
      <w:pPr>
        <w:ind w:right="180" w:firstLine="1436"/>
        <w:spacing w:after="0" w:line="277" w:lineRule="auto"/>
        <w:tabs>
          <w:tab w:leader="none" w:pos="1783" w:val="left"/>
        </w:tabs>
        <w:numPr>
          <w:ilvl w:val="2"/>
          <w:numId w:val="144"/>
        </w:numPr>
        <w:rPr>
          <w:rFonts w:ascii="Arial" w:cs="Arial" w:eastAsia="Arial" w:hAnsi="Arial"/>
          <w:sz w:val="18"/>
          <w:szCs w:val="18"/>
          <w:color w:val="auto"/>
        </w:rPr>
      </w:pPr>
      <w:r>
        <w:rPr>
          <w:rFonts w:ascii="Arial" w:cs="Arial" w:eastAsia="Arial" w:hAnsi="Arial"/>
          <w:sz w:val="18"/>
          <w:szCs w:val="18"/>
          <w:color w:val="auto"/>
        </w:rPr>
        <w:t>all Assets that are expressly contemplated by this Agreement or any Ancillary Agreement (or the Schedules hereto or thereto) as Assets to be retained by Post or any other member of the Post Group;</w:t>
      </w:r>
    </w:p>
    <w:p>
      <w:pPr>
        <w:spacing w:after="0" w:line="170" w:lineRule="exact"/>
        <w:rPr>
          <w:rFonts w:ascii="Arial" w:cs="Arial" w:eastAsia="Arial" w:hAnsi="Arial"/>
          <w:sz w:val="18"/>
          <w:szCs w:val="18"/>
          <w:color w:val="auto"/>
        </w:rPr>
      </w:pPr>
    </w:p>
    <w:p>
      <w:pPr>
        <w:ind w:right="480" w:firstLine="1436"/>
        <w:spacing w:after="0" w:line="342" w:lineRule="auto"/>
        <w:tabs>
          <w:tab w:leader="none" w:pos="1833" w:val="left"/>
        </w:tabs>
        <w:numPr>
          <w:ilvl w:val="2"/>
          <w:numId w:val="144"/>
        </w:numPr>
        <w:rPr>
          <w:rFonts w:ascii="Arial" w:cs="Arial" w:eastAsia="Arial" w:hAnsi="Arial"/>
          <w:sz w:val="16"/>
          <w:szCs w:val="16"/>
          <w:color w:val="auto"/>
        </w:rPr>
      </w:pPr>
      <w:r>
        <w:rPr>
          <w:rFonts w:ascii="Arial" w:cs="Arial" w:eastAsia="Arial" w:hAnsi="Arial"/>
          <w:sz w:val="16"/>
          <w:szCs w:val="16"/>
          <w:color w:val="auto"/>
        </w:rPr>
        <w:t xml:space="preserve">all contracts and agreements of either Post or BellRing LLC or any of the other members of their respective Groups as of immediately prior to the Effective Time (other than the BellRing Contracts, including the contracts and agreements set forth on </w:t>
      </w:r>
      <w:r>
        <w:rPr>
          <w:rFonts w:ascii="Arial" w:cs="Arial" w:eastAsia="Arial" w:hAnsi="Arial"/>
          <w:sz w:val="16"/>
          <w:szCs w:val="16"/>
          <w:u w:val="single" w:color="auto"/>
          <w:color w:val="auto"/>
        </w:rPr>
        <w:t>Schedule 1.2</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880" w:hanging="444"/>
        <w:spacing w:after="0"/>
        <w:tabs>
          <w:tab w:leader="none" w:pos="188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all copies of BellRing Records which Post is permitted to retain pursuant to </w:t>
      </w:r>
      <w:r>
        <w:rPr>
          <w:rFonts w:ascii="Arial" w:cs="Arial" w:eastAsia="Arial" w:hAnsi="Arial"/>
          <w:sz w:val="18"/>
          <w:szCs w:val="18"/>
          <w:u w:val="single" w:color="auto"/>
          <w:color w:val="auto"/>
        </w:rPr>
        <w:t>Section 3.3(a)(viii)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36"/>
        <w:spacing w:after="0" w:line="264" w:lineRule="auto"/>
        <w:tabs>
          <w:tab w:leader="none" w:pos="1873" w:val="left"/>
        </w:tabs>
        <w:numPr>
          <w:ilvl w:val="2"/>
          <w:numId w:val="144"/>
        </w:numPr>
        <w:rPr>
          <w:rFonts w:ascii="Arial" w:cs="Arial" w:eastAsia="Arial" w:hAnsi="Arial"/>
          <w:sz w:val="18"/>
          <w:szCs w:val="18"/>
          <w:color w:val="auto"/>
        </w:rPr>
      </w:pPr>
      <w:r>
        <w:rPr>
          <w:rFonts w:ascii="Arial" w:cs="Arial" w:eastAsia="Arial" w:hAnsi="Arial"/>
          <w:sz w:val="18"/>
          <w:szCs w:val="18"/>
          <w:color w:val="auto"/>
        </w:rPr>
        <w:t>all Post Intellectual Property Rights and all rights, interests or claims of Post or any of the other members of its Group thereunder as of immediately prior to the Effective Time, including the right to seek, recover and retain damages for the past and future infringement of any Post Intellectual Property Rights;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60" w:name="page261"/>
    <w:bookmarkEnd w:id="260"/>
    <w:p>
      <w:pPr>
        <w:ind w:left="1816" w:hanging="384"/>
        <w:spacing w:after="0"/>
        <w:tabs>
          <w:tab w:leader="none" w:pos="1816"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Post Technology;</w:t>
      </w:r>
    </w:p>
    <w:p>
      <w:pPr>
        <w:spacing w:after="0" w:line="225" w:lineRule="exact"/>
        <w:rPr>
          <w:rFonts w:ascii="Arial" w:cs="Arial" w:eastAsia="Arial" w:hAnsi="Arial"/>
          <w:sz w:val="18"/>
          <w:szCs w:val="18"/>
          <w:color w:val="auto"/>
        </w:rPr>
      </w:pPr>
    </w:p>
    <w:p>
      <w:pPr>
        <w:ind w:left="1876" w:hanging="444"/>
        <w:spacing w:after="0"/>
        <w:tabs>
          <w:tab w:leader="none" w:pos="187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Accounts Receivable, other than the BellRing Accounts Receivable;</w:t>
      </w:r>
    </w:p>
    <w:p>
      <w:pPr>
        <w:spacing w:after="0" w:line="225" w:lineRule="exact"/>
        <w:rPr>
          <w:rFonts w:ascii="Arial" w:cs="Arial" w:eastAsia="Arial" w:hAnsi="Arial"/>
          <w:sz w:val="18"/>
          <w:szCs w:val="18"/>
          <w:color w:val="auto"/>
        </w:rPr>
      </w:pPr>
    </w:p>
    <w:p>
      <w:pPr>
        <w:ind w:left="1916" w:hanging="484"/>
        <w:spacing w:after="0"/>
        <w:tabs>
          <w:tab w:leader="none" w:pos="191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Post Inventory;</w:t>
      </w:r>
    </w:p>
    <w:p>
      <w:pPr>
        <w:spacing w:after="0" w:line="225" w:lineRule="exact"/>
        <w:rPr>
          <w:rFonts w:ascii="Arial" w:cs="Arial" w:eastAsia="Arial" w:hAnsi="Arial"/>
          <w:sz w:val="18"/>
          <w:szCs w:val="18"/>
          <w:color w:val="auto"/>
        </w:rPr>
      </w:pPr>
    </w:p>
    <w:p>
      <w:pPr>
        <w:ind w:left="-4" w:right="60" w:firstLine="1436"/>
        <w:spacing w:after="0" w:line="264" w:lineRule="auto"/>
        <w:tabs>
          <w:tab w:leader="none" w:pos="196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Permits of either Post or BellRing LLC or any of the other members of their respective Groups as of immediately prior to the Effective Time (other than the BellRing Permits) and all rights, interests or claims of either Post or BellRing LLC or any of the other members of their respective Groups thereunder as of immediately prior to the Effective Time;</w:t>
      </w:r>
    </w:p>
    <w:p>
      <w:pPr>
        <w:spacing w:after="0" w:line="181" w:lineRule="exact"/>
        <w:rPr>
          <w:rFonts w:ascii="Arial" w:cs="Arial" w:eastAsia="Arial" w:hAnsi="Arial"/>
          <w:sz w:val="18"/>
          <w:szCs w:val="18"/>
          <w:color w:val="auto"/>
        </w:rPr>
      </w:pPr>
    </w:p>
    <w:p>
      <w:pPr>
        <w:ind w:left="-4" w:right="300" w:firstLine="1436"/>
        <w:spacing w:after="0" w:line="277" w:lineRule="auto"/>
        <w:tabs>
          <w:tab w:leader="none" w:pos="186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Real Property of either Post or BellRing LLC or any of the other members of their respective Groups as of immediately prior to the Effective Time (other than the BellRing Real Property); and</w:t>
      </w:r>
    </w:p>
    <w:p>
      <w:pPr>
        <w:spacing w:after="0" w:line="170" w:lineRule="exact"/>
        <w:rPr>
          <w:rFonts w:ascii="Arial" w:cs="Arial" w:eastAsia="Arial" w:hAnsi="Arial"/>
          <w:sz w:val="18"/>
          <w:szCs w:val="18"/>
          <w:color w:val="auto"/>
        </w:rPr>
      </w:pPr>
    </w:p>
    <w:p>
      <w:pPr>
        <w:ind w:left="1816" w:hanging="384"/>
        <w:spacing w:after="0"/>
        <w:tabs>
          <w:tab w:leader="none" w:pos="181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cash and cash equivalents of Post and the other members of its Group as of immediately prior to the Effective Time.</w:t>
      </w:r>
    </w:p>
    <w:p>
      <w:pPr>
        <w:spacing w:after="0" w:line="345" w:lineRule="exact"/>
        <w:rPr>
          <w:sz w:val="20"/>
          <w:szCs w:val="20"/>
          <w:color w:val="auto"/>
        </w:rPr>
      </w:pPr>
    </w:p>
    <w:p>
      <w:pPr>
        <w:ind w:left="436"/>
        <w:spacing w:after="0"/>
        <w:tabs>
          <w:tab w:leader="none" w:pos="816"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BellRing Liabilities; Post Liabilities</w:t>
      </w:r>
      <w:r>
        <w:rPr>
          <w:rFonts w:ascii="Arial" w:cs="Arial" w:eastAsia="Arial" w:hAnsi="Arial"/>
          <w:sz w:val="17"/>
          <w:szCs w:val="17"/>
          <w:color w:val="auto"/>
        </w:rPr>
        <w:t>.</w:t>
      </w:r>
    </w:p>
    <w:p>
      <w:pPr>
        <w:spacing w:after="0" w:line="117" w:lineRule="exact"/>
        <w:rPr>
          <w:sz w:val="20"/>
          <w:szCs w:val="20"/>
          <w:color w:val="auto"/>
        </w:rPr>
      </w:pPr>
    </w:p>
    <w:p>
      <w:pPr>
        <w:ind w:left="-4" w:right="540" w:firstLine="996"/>
        <w:spacing w:after="0" w:line="277" w:lineRule="auto"/>
        <w:tabs>
          <w:tab w:leader="none" w:pos="1368"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BellRing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BellRing Liabilities</w:t>
      </w:r>
      <w:r>
        <w:rPr>
          <w:rFonts w:ascii="Arial" w:cs="Arial" w:eastAsia="Arial" w:hAnsi="Arial"/>
          <w:sz w:val="18"/>
          <w:szCs w:val="18"/>
          <w:color w:val="auto"/>
        </w:rPr>
        <w:t>” shall mean the following Liabilities of Post or BellRing LLC or any of the other members of their respective Groups:</w:t>
      </w:r>
    </w:p>
    <w:p>
      <w:pPr>
        <w:spacing w:after="0" w:line="170" w:lineRule="exact"/>
        <w:rPr>
          <w:rFonts w:ascii="Arial" w:cs="Arial" w:eastAsia="Arial" w:hAnsi="Arial"/>
          <w:sz w:val="18"/>
          <w:szCs w:val="18"/>
          <w:color w:val="auto"/>
        </w:rPr>
      </w:pPr>
    </w:p>
    <w:p>
      <w:pPr>
        <w:jc w:val="both"/>
        <w:ind w:left="-4" w:right="20" w:firstLine="1436"/>
        <w:spacing w:after="0" w:line="259" w:lineRule="auto"/>
        <w:tabs>
          <w:tab w:leader="none" w:pos="1779"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xml:space="preserve">all Liabilities included or reflected as liabilities or obligations of BellRing LLC or the other members of the BellRing Group on the BellRing Balance Sheet, subject to any discharge of such Liabilities subsequent to the date of the BellRing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set forth on the BellRing Balance Sheet with respect to any Liabilities shall not be treated as minimum amounts or limitations on the amount of such Liabilities that are included in the definition of BellRing Liabilities pursuant to this clause (i);</w:t>
      </w:r>
    </w:p>
    <w:p>
      <w:pPr>
        <w:spacing w:after="0" w:line="186" w:lineRule="exact"/>
        <w:rPr>
          <w:rFonts w:ascii="Arial" w:cs="Arial" w:eastAsia="Arial" w:hAnsi="Arial"/>
          <w:sz w:val="18"/>
          <w:szCs w:val="18"/>
          <w:color w:val="auto"/>
        </w:rPr>
      </w:pPr>
    </w:p>
    <w:p>
      <w:pPr>
        <w:jc w:val="both"/>
        <w:ind w:left="-4" w:firstLine="1436"/>
        <w:spacing w:after="0" w:line="286" w:lineRule="auto"/>
        <w:tabs>
          <w:tab w:leader="none" w:pos="1829" w:val="left"/>
        </w:tabs>
        <w:numPr>
          <w:ilvl w:val="2"/>
          <w:numId w:val="146"/>
        </w:numPr>
        <w:rPr>
          <w:rFonts w:ascii="Arial" w:cs="Arial" w:eastAsia="Arial" w:hAnsi="Arial"/>
          <w:sz w:val="16"/>
          <w:szCs w:val="16"/>
          <w:color w:val="auto"/>
        </w:rPr>
      </w:pPr>
      <w:r>
        <w:rPr>
          <w:rFonts w:ascii="Arial" w:cs="Arial" w:eastAsia="Arial" w:hAnsi="Arial"/>
          <w:sz w:val="16"/>
          <w:szCs w:val="16"/>
          <w:color w:val="auto"/>
        </w:rPr>
        <w:t>all Liabilities as of immediately prior to the Effective Time that are of a nature or type that would have resulted in such Liabilities being included or reflected as liabilities or obligations of BellRing LLC or the other members of the BellRing Group on an unaudited condensed consolidated balance sheet of the BellRing Group or any notes thereto as of immediately prior to the Effective Time (were such balance sheet and notes to be prepared on a basis consistent with the determination of the Liabilities included on the BellRing Balance Sheet), it being understood that</w:t>
      </w:r>
    </w:p>
    <w:p>
      <w:pPr>
        <w:spacing w:after="0" w:line="1" w:lineRule="exact"/>
        <w:rPr>
          <w:rFonts w:ascii="Arial" w:cs="Arial" w:eastAsia="Arial" w:hAnsi="Arial"/>
          <w:sz w:val="16"/>
          <w:szCs w:val="16"/>
          <w:color w:val="auto"/>
        </w:rPr>
      </w:pPr>
    </w:p>
    <w:p>
      <w:pPr>
        <w:ind w:left="-4" w:right="100" w:firstLine="4"/>
        <w:spacing w:after="0" w:line="254" w:lineRule="auto"/>
        <w:tabs>
          <w:tab w:leader="none" w:pos="25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BellRing Balance Sheet shall be used to determine the types of, and methodologies used to determine, those Liabilities that are included in the definition of BellRing Liabilities pursuant to this clause (ii); and (y) the amounts set forth on the BellRing Balance Sheet with respect to any Liabilities shall not be treated as minimum amounts or limitations on the amount of such Liabilities that are included in the definition of BellRing Liabilities pursuant to this clause (ii);</w:t>
      </w:r>
    </w:p>
    <w:p>
      <w:pPr>
        <w:spacing w:after="0" w:line="189" w:lineRule="exact"/>
        <w:rPr>
          <w:rFonts w:ascii="Arial" w:cs="Arial" w:eastAsia="Arial" w:hAnsi="Arial"/>
          <w:sz w:val="18"/>
          <w:szCs w:val="18"/>
          <w:color w:val="auto"/>
        </w:rPr>
      </w:pPr>
    </w:p>
    <w:p>
      <w:pPr>
        <w:ind w:left="1876" w:hanging="444"/>
        <w:spacing w:after="0"/>
        <w:tabs>
          <w:tab w:leader="none" w:pos="1876"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and all BellRing Accounts Payable;</w:t>
      </w:r>
    </w:p>
    <w:p>
      <w:pPr>
        <w:spacing w:after="0" w:line="225" w:lineRule="exact"/>
        <w:rPr>
          <w:rFonts w:ascii="Arial" w:cs="Arial" w:eastAsia="Arial" w:hAnsi="Arial"/>
          <w:sz w:val="18"/>
          <w:szCs w:val="18"/>
          <w:color w:val="auto"/>
        </w:rPr>
      </w:pPr>
    </w:p>
    <w:p>
      <w:pPr>
        <w:ind w:left="-4" w:right="40" w:firstLine="1436"/>
        <w:spacing w:after="0" w:line="264" w:lineRule="auto"/>
        <w:tabs>
          <w:tab w:leader="none" w:pos="1869" w:val="left"/>
        </w:tabs>
        <w:numPr>
          <w:ilvl w:val="2"/>
          <w:numId w:val="147"/>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this </w:t>
      </w:r>
      <w:r>
        <w:rPr>
          <w:rFonts w:ascii="Arial" w:cs="Arial" w:eastAsia="Arial" w:hAnsi="Arial"/>
          <w:sz w:val="18"/>
          <w:szCs w:val="18"/>
          <w:u w:val="single" w:color="auto"/>
          <w:color w:val="auto"/>
        </w:rPr>
        <w:t>Section 3.4(a)</w:t>
      </w:r>
      <w:r>
        <w:rPr>
          <w:rFonts w:ascii="Arial" w:cs="Arial" w:eastAsia="Arial" w:hAnsi="Arial"/>
          <w:sz w:val="18"/>
          <w:szCs w:val="18"/>
          <w:color w:val="auto"/>
        </w:rPr>
        <w:t>, any and all Liabilities, including any Environmental Liabilities, relating to, arising out of or resulting from the actions, inactions, events, omissions, conditions, facts or circumstances occurring or existing prior to, at or after the Effective Time (whether or not such Liabilities cease being contingent, mature, become known, are</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6"/>
          </w:cols>
          <w:pgMar w:left="444" w:top="274" w:right="459" w:bottom="1440" w:gutter="0" w:footer="0" w:header="0"/>
        </w:sectPr>
      </w:pPr>
    </w:p>
    <w:bookmarkStart w:id="261" w:name="page262"/>
    <w:bookmarkEnd w:id="26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asserted or foreseen, or accrue, in each case before, at or after the Effective Time), in each case to the extent that such Liabilities relate to, arise out of or result from the BellRing Business, any BellRing Asset or any BellRing Product;</w:t>
      </w:r>
    </w:p>
    <w:p>
      <w:pPr>
        <w:spacing w:after="0" w:line="170" w:lineRule="exact"/>
        <w:rPr>
          <w:sz w:val="20"/>
          <w:szCs w:val="20"/>
          <w:color w:val="auto"/>
        </w:rPr>
      </w:pPr>
    </w:p>
    <w:p>
      <w:pPr>
        <w:ind w:right="180" w:firstLine="1436"/>
        <w:spacing w:after="0" w:line="259" w:lineRule="auto"/>
        <w:tabs>
          <w:tab w:leader="none" w:pos="18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and all Liabilities that are expressly provided by this Agreement or any Ancillary Agreement (or the Schedules hereto or thereto) as Liabilities to be assumed by BellRing LLC or any other member of the BellRing Group, including all Liabilities of Post and any other member of the Post Group under the Bridge Loan, and all agreements, obligations and Liabilities of any member of the BellRing Group under this Agreement or any of the Ancillary Agreements; and</w:t>
      </w:r>
    </w:p>
    <w:p>
      <w:pPr>
        <w:spacing w:after="0" w:line="186" w:lineRule="exact"/>
        <w:rPr>
          <w:rFonts w:ascii="Arial" w:cs="Arial" w:eastAsia="Arial" w:hAnsi="Arial"/>
          <w:sz w:val="18"/>
          <w:szCs w:val="18"/>
          <w:color w:val="auto"/>
        </w:rPr>
      </w:pPr>
    </w:p>
    <w:p>
      <w:pPr>
        <w:ind w:right="40" w:firstLine="1436"/>
        <w:spacing w:after="0" w:line="259" w:lineRule="auto"/>
        <w:tabs>
          <w:tab w:leader="none" w:pos="18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Liabilities arising out of claims made by any Third Party (including Post’s, BellRing Inc.’s or BellRing LLC’s respective directors, officers, members, managers, stockholders, employees and agents) against any member of the Post Group or the BellRing Group to the extent relating to, arising out of or resulting from the BellRing Business or the BellRing Assets, or the other business, operations, activities or Liabilities referred to in clauses (i) through (vi) above.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the Parties hereby acknowledge and agree that (A) while a single Liability may fall within more than one of the clauses</w:t>
      </w:r>
    </w:p>
    <w:p>
      <w:pPr>
        <w:spacing w:after="0" w:line="46" w:lineRule="exact"/>
        <w:rPr>
          <w:sz w:val="20"/>
          <w:szCs w:val="20"/>
          <w:color w:val="auto"/>
        </w:rPr>
      </w:pPr>
    </w:p>
    <w:p>
      <w:pPr>
        <w:jc w:val="both"/>
        <w:ind w:right="80" w:firstLine="4"/>
        <w:spacing w:after="0" w:line="255" w:lineRule="auto"/>
        <w:tabs>
          <w:tab w:leader="none" w:pos="2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through (vii) in this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such fact does not imply that (x) such Liability shall be transferred more than once or (y) any duplication of such Liability is required, and (B) the BellRing Liabilities shall not in any event include any Liability referred to in clauses (i) through (iv) of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or any Inc. Liabilities.</w:t>
      </w:r>
    </w:p>
    <w:p>
      <w:pPr>
        <w:spacing w:after="0" w:line="190" w:lineRule="exact"/>
        <w:rPr>
          <w:rFonts w:ascii="Arial" w:cs="Arial" w:eastAsia="Arial" w:hAnsi="Arial"/>
          <w:sz w:val="18"/>
          <w:szCs w:val="18"/>
          <w:color w:val="auto"/>
        </w:rPr>
      </w:pPr>
    </w:p>
    <w:p>
      <w:pPr>
        <w:ind w:right="40" w:firstLine="996"/>
        <w:spacing w:after="0" w:line="277" w:lineRule="auto"/>
        <w:tabs>
          <w:tab w:leader="none" w:pos="1382"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Post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Post Liabilities</w:t>
      </w:r>
      <w:r>
        <w:rPr>
          <w:rFonts w:ascii="Arial" w:cs="Arial" w:eastAsia="Arial" w:hAnsi="Arial"/>
          <w:sz w:val="18"/>
          <w:szCs w:val="18"/>
          <w:color w:val="auto"/>
        </w:rPr>
        <w:t>” shall mean the following Liabilities of either Post or BellRing LLC or any of the other members of their respective Groups:</w:t>
      </w:r>
    </w:p>
    <w:p>
      <w:pPr>
        <w:spacing w:after="0" w:line="170" w:lineRule="exact"/>
        <w:rPr>
          <w:rFonts w:ascii="Arial" w:cs="Arial" w:eastAsia="Arial" w:hAnsi="Arial"/>
          <w:sz w:val="18"/>
          <w:szCs w:val="18"/>
          <w:color w:val="auto"/>
        </w:rPr>
      </w:pPr>
    </w:p>
    <w:p>
      <w:pPr>
        <w:ind w:left="1780" w:hanging="344"/>
        <w:spacing w:after="0"/>
        <w:tabs>
          <w:tab w:leader="none" w:pos="178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any and all Accounts Payable, other than the BellRing Accounts Payable;</w:t>
      </w:r>
    </w:p>
    <w:p>
      <w:pPr>
        <w:spacing w:after="0" w:line="225" w:lineRule="exact"/>
        <w:rPr>
          <w:rFonts w:ascii="Arial" w:cs="Arial" w:eastAsia="Arial" w:hAnsi="Arial"/>
          <w:sz w:val="18"/>
          <w:szCs w:val="18"/>
          <w:color w:val="auto"/>
        </w:rPr>
      </w:pPr>
    </w:p>
    <w:p>
      <w:pPr>
        <w:ind w:firstLine="1436"/>
        <w:spacing w:after="0" w:line="257" w:lineRule="auto"/>
        <w:tabs>
          <w:tab w:leader="none" w:pos="1833"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any and all Liabilities, including any Environmental Liabilities, relating to, arising out of or resulting from actions, inactions, events, omissions, conditions, facts or circumstances occurring or existing prior to, at or after the Effective Time (whether or not such Liabilities cease being contingent, mature, become known, are asserted or foreseen, or accrue, in each case before, at or after the Effective Time) of any member of the Post Group, and, prior to the Effective Time, BellRing Inc. or any member of the BellRing Group, in each case, to the extent that such Liabilities are not BellRing Liabilities;</w:t>
      </w:r>
    </w:p>
    <w:p>
      <w:pPr>
        <w:spacing w:after="0" w:line="188" w:lineRule="exact"/>
        <w:rPr>
          <w:rFonts w:ascii="Arial" w:cs="Arial" w:eastAsia="Arial" w:hAnsi="Arial"/>
          <w:sz w:val="18"/>
          <w:szCs w:val="18"/>
          <w:color w:val="auto"/>
        </w:rPr>
      </w:pPr>
    </w:p>
    <w:p>
      <w:pPr>
        <w:ind w:right="120" w:firstLine="1436"/>
        <w:spacing w:after="0" w:line="264" w:lineRule="auto"/>
        <w:tabs>
          <w:tab w:leader="none" w:pos="1883"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all Liabilities that are expressly provided by this Agreement or any Ancillary Agreement (or the Schedules hereto or thereto) as Liabilities to be assumed by Post or any other member of the Post Group, and all agreements, obligations and Liabilities of any member of the Post Group under this Agreement or any of the Ancillary Agreements; and</w:t>
      </w:r>
    </w:p>
    <w:p>
      <w:pPr>
        <w:spacing w:after="0" w:line="181" w:lineRule="exact"/>
        <w:rPr>
          <w:rFonts w:ascii="Arial" w:cs="Arial" w:eastAsia="Arial" w:hAnsi="Arial"/>
          <w:sz w:val="18"/>
          <w:szCs w:val="18"/>
          <w:color w:val="auto"/>
        </w:rPr>
      </w:pPr>
    </w:p>
    <w:p>
      <w:pPr>
        <w:ind w:right="40" w:firstLine="1436"/>
        <w:spacing w:after="0" w:line="279" w:lineRule="auto"/>
        <w:tabs>
          <w:tab w:leader="none" w:pos="1873" w:val="left"/>
        </w:tabs>
        <w:numPr>
          <w:ilvl w:val="2"/>
          <w:numId w:val="149"/>
        </w:numPr>
        <w:rPr>
          <w:rFonts w:ascii="Arial" w:cs="Arial" w:eastAsia="Arial" w:hAnsi="Arial"/>
          <w:sz w:val="17"/>
          <w:szCs w:val="17"/>
          <w:color w:val="auto"/>
        </w:rPr>
      </w:pPr>
      <w:r>
        <w:rPr>
          <w:rFonts w:ascii="Arial" w:cs="Arial" w:eastAsia="Arial" w:hAnsi="Arial"/>
          <w:sz w:val="17"/>
          <w:szCs w:val="17"/>
          <w:color w:val="auto"/>
        </w:rPr>
        <w:t>all Liabilities arising out of claims made by any Third Party (including Post’s, BellRing Inc.’s or BellRing LLC’s respective directors, officers, members, managers, stockholders, employees and agents) against any member of the Post Group or the BellRing Group to the extent relating to, arising out of or resulting from the Post Business or the Post Assets, or the other business, operations, activities or Liabilities referred to in clauses (i) through (iii) above, in each case, to the extent that such Liabilities are not BellRing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Post Liabilities shall not in any event include any Inc. Liabilities.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62" w:name="page263"/>
    <w:bookmarkEnd w:id="262"/>
    <w:p>
      <w:pPr>
        <w:ind w:left="420"/>
        <w:spacing w:after="0"/>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w:t>
      </w:r>
      <w:r>
        <w:rPr>
          <w:sz w:val="20"/>
          <w:szCs w:val="20"/>
          <w:color w:val="auto"/>
        </w:rPr>
        <w:tab/>
      </w:r>
      <w:r>
        <w:rPr>
          <w:rFonts w:ascii="Arial" w:cs="Arial" w:eastAsia="Arial" w:hAnsi="Arial"/>
          <w:sz w:val="16"/>
          <w:szCs w:val="16"/>
          <w:u w:val="single" w:color="auto"/>
          <w:color w:val="auto"/>
        </w:rPr>
        <w:t>Approvals and Notifications</w:t>
      </w:r>
      <w:r>
        <w:rPr>
          <w:rFonts w:ascii="Arial" w:cs="Arial" w:eastAsia="Arial" w:hAnsi="Arial"/>
          <w:sz w:val="16"/>
          <w:szCs w:val="16"/>
          <w:color w:val="auto"/>
        </w:rPr>
        <w:t>.</w:t>
      </w:r>
    </w:p>
    <w:p>
      <w:pPr>
        <w:spacing w:after="0" w:line="117" w:lineRule="exact"/>
        <w:rPr>
          <w:sz w:val="20"/>
          <w:szCs w:val="20"/>
          <w:color w:val="auto"/>
        </w:rPr>
      </w:pPr>
    </w:p>
    <w:p>
      <w:pPr>
        <w:ind w:left="-20" w:right="80" w:firstLine="996"/>
        <w:spacing w:after="0" w:line="293" w:lineRule="auto"/>
        <w:tabs>
          <w:tab w:leader="none" w:pos="1351"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Approvals and Notifications for BellRing Assets</w:t>
      </w:r>
      <w:r>
        <w:rPr>
          <w:rFonts w:ascii="Arial" w:cs="Arial" w:eastAsia="Arial" w:hAnsi="Arial"/>
          <w:sz w:val="16"/>
          <w:szCs w:val="16"/>
          <w:color w:val="auto"/>
        </w:rPr>
        <w:t xml:space="preserve">. To the extent that the transfer or assignment of any BellRing Asset, the assumption of any BellRing Liability, the IPO or the Formation Transactions requires any Approvals or Notifications, Post, BellRing Inc. and BellRing LLC shall use their commercially reasonable efforts to obtain or make such Approvals or Notifications as soon as reasonably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expressly provided in this Agreement or any of the Ancillary Agreements or as otherwise agreed among Post, BellRing Inc. and BellRing LLC, none of Post, BellRing Inc. or BellRing LLC shall be obligated to contribute capital or pay any consideration in any form (including providing any letter of credit, guaranty or other financial accommodation) to any Person in order to obtain or make such Approvals or Notifications.</w:t>
      </w:r>
    </w:p>
    <w:p>
      <w:pPr>
        <w:spacing w:after="0" w:line="164" w:lineRule="exact"/>
        <w:rPr>
          <w:rFonts w:ascii="Arial" w:cs="Arial" w:eastAsia="Arial" w:hAnsi="Arial"/>
          <w:sz w:val="16"/>
          <w:szCs w:val="16"/>
          <w:color w:val="auto"/>
        </w:rPr>
      </w:pPr>
    </w:p>
    <w:p>
      <w:pPr>
        <w:jc w:val="both"/>
        <w:ind w:left="-20" w:right="100" w:firstLine="996"/>
        <w:spacing w:after="0" w:line="290" w:lineRule="auto"/>
        <w:tabs>
          <w:tab w:leader="none" w:pos="136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Delayed BellRing Transfers</w:t>
      </w:r>
      <w:r>
        <w:rPr>
          <w:rFonts w:ascii="Arial" w:cs="Arial" w:eastAsia="Arial" w:hAnsi="Arial"/>
          <w:sz w:val="16"/>
          <w:szCs w:val="16"/>
          <w:color w:val="auto"/>
        </w:rPr>
        <w:t>. If and to the extent that the valid, complete and perfected transfer or assignment to the BellRing Group of any BellRing Asset or assumption by the BellRing Group of any BellRing Liability in connection with the IPO or the Formation Transactions would be a violation of applicable Law or require any Approvals or Notifications that have not been obtained or made as of immediately prior to the Effective Time, then, unless Post, BellRing Inc. and BellRing LLC mutually shall otherwise determine, the transfer or assignment to the BellRing Group of such BellRing Assets or the assumption by the BellRing Group of such BellRing Liabilities, as the case may be, shall be automatically deemed deferred and any such purported transfer, assignment or assumption shall be null and void until such time as all legal impediments are removed or such Approvals or Notifications have been obtained or made. Notwithstanding the foregoing, any such BellRing Assets or BellRing Liabilities shall continue to constitute BellRing Assets and BellRing Liabilities for all other purposes of this Agreement.</w:t>
      </w:r>
    </w:p>
    <w:p>
      <w:pPr>
        <w:spacing w:after="0" w:line="166" w:lineRule="exact"/>
        <w:rPr>
          <w:rFonts w:ascii="Arial" w:cs="Arial" w:eastAsia="Arial" w:hAnsi="Arial"/>
          <w:sz w:val="16"/>
          <w:szCs w:val="16"/>
          <w:color w:val="auto"/>
        </w:rPr>
      </w:pPr>
    </w:p>
    <w:p>
      <w:pPr>
        <w:ind w:left="-20" w:firstLine="996"/>
        <w:spacing w:after="0" w:line="285" w:lineRule="auto"/>
        <w:tabs>
          <w:tab w:leader="none" w:pos="1351"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Treatment of Delayed BellRing Assets and Delayed BellRing Liabilities</w:t>
      </w:r>
      <w:r>
        <w:rPr>
          <w:rFonts w:ascii="Arial" w:cs="Arial" w:eastAsia="Arial" w:hAnsi="Arial"/>
          <w:sz w:val="16"/>
          <w:szCs w:val="16"/>
          <w:color w:val="auto"/>
        </w:rPr>
        <w:t xml:space="preserve">. If any transfer or assignment of any BellRing Asset (or a portion thereof) or any assumption of any BellRing Liability (or a portion thereof) intended to be transferred, assigned or assumed hereunder, as the case may be, is not consummated as of immediately prior to the Effective Time, whether as a result of the provisions of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or for any other reason (any such BellRing Asset (or a portion thereof), a “</w:t>
      </w:r>
      <w:r>
        <w:rPr>
          <w:rFonts w:ascii="Arial" w:cs="Arial" w:eastAsia="Arial" w:hAnsi="Arial"/>
          <w:sz w:val="16"/>
          <w:szCs w:val="16"/>
          <w:u w:val="single" w:color="auto"/>
          <w:color w:val="auto"/>
        </w:rPr>
        <w:t>Delayed BellRing Asset</w:t>
      </w:r>
      <w:r>
        <w:rPr>
          <w:rFonts w:ascii="Arial" w:cs="Arial" w:eastAsia="Arial" w:hAnsi="Arial"/>
          <w:sz w:val="16"/>
          <w:szCs w:val="16"/>
          <w:color w:val="auto"/>
        </w:rPr>
        <w:t>,” and any such BellRing Liability (or a portion thereof), a “</w:t>
      </w:r>
      <w:r>
        <w:rPr>
          <w:rFonts w:ascii="Arial" w:cs="Arial" w:eastAsia="Arial" w:hAnsi="Arial"/>
          <w:sz w:val="16"/>
          <w:szCs w:val="16"/>
          <w:u w:val="single" w:color="auto"/>
          <w:color w:val="auto"/>
        </w:rPr>
        <w:t>Delayed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BellRing Liability</w:t>
      </w:r>
      <w:r>
        <w:rPr>
          <w:rFonts w:ascii="Arial" w:cs="Arial" w:eastAsia="Arial" w:hAnsi="Arial"/>
          <w:sz w:val="16"/>
          <w:szCs w:val="16"/>
          <w:color w:val="auto"/>
        </w:rPr>
        <w:t>”), then, insofar as reasonably possible and subject to applicable Law, the member of the Post Group retaining such Delayed BellRing Asset or such Delayed BellRing Liability, as the case may be, shall thereafter hold such Delayed BellRing Asset or Delayed BellRing Liability, as the case may be, for the use and benefit (or the performance and obligation, in the case of a Liability) of the member of the BellRing Group entitled thereto (at the expense of the member of the BellRing Group entitled thereto). In addition, the member of the Post Group retaining such Delayed BellRing Asset or such Delayed BellRing Liability shall, insofar as reasonably possible and to the extent permitted by applicable Law, treat such Delayed BellRing Asset or Delayed BellRing Liability in the ordinary course of business in accordance with past practice and take such other actions as may be reasonably requested by the member of the BellRing Group to whom such Delayed BellRing Asset is to be transferred or assigned, or which will assume such Delayed BellRing Liability, as the case may be, in order to place such member of the BellRing Group in a substantially similar position as if such Delayed BellRing Asset or Delayed BellRing Liability had been transferred, assigned or assumed as contemplated hereby and so that all of the benefits and burdens relating to such Delayed BellRing Asset or Delayed BellRing Liability, as the case may be, including use, risk of loss, potential for gain and dominion, control and command over such Delayed BellRing Asset or Delayed BellRing Liability, as the case may be, and all costs and expenses related thereto, shall inure from and after the Effective Time to the BellRing Group.</w:t>
      </w:r>
    </w:p>
    <w:p>
      <w:pPr>
        <w:spacing w:after="0" w:line="177" w:lineRule="exact"/>
        <w:rPr>
          <w:rFonts w:ascii="Arial" w:cs="Arial" w:eastAsia="Arial" w:hAnsi="Arial"/>
          <w:sz w:val="16"/>
          <w:szCs w:val="16"/>
          <w:color w:val="auto"/>
        </w:rPr>
      </w:pPr>
    </w:p>
    <w:p>
      <w:pPr>
        <w:ind w:left="-20" w:right="260" w:firstLine="996"/>
        <w:spacing w:after="0" w:line="286" w:lineRule="auto"/>
        <w:tabs>
          <w:tab w:leader="none" w:pos="1362"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Transfer of Delayed BellRing Assets and Delayed BellRing Liabilities</w:t>
      </w:r>
      <w:r>
        <w:rPr>
          <w:rFonts w:ascii="Arial" w:cs="Arial" w:eastAsia="Arial" w:hAnsi="Arial"/>
          <w:sz w:val="17"/>
          <w:szCs w:val="17"/>
          <w:color w:val="auto"/>
        </w:rPr>
        <w:t xml:space="preserve">. If and when the Approvals or Notifications, the absence of which caused the deferral of transfer or assignment of any Delayed BellRing Asset or the deferral of assumption of any Delayed BellRing Liability pursuant to </w:t>
      </w:r>
      <w:r>
        <w:rPr>
          <w:rFonts w:ascii="Arial" w:cs="Arial" w:eastAsia="Arial" w:hAnsi="Arial"/>
          <w:sz w:val="17"/>
          <w:szCs w:val="17"/>
          <w:u w:val="single" w:color="auto"/>
          <w:color w:val="auto"/>
        </w:rPr>
        <w:t>Section 3.5(b)</w:t>
      </w:r>
      <w:r>
        <w:rPr>
          <w:rFonts w:ascii="Arial" w:cs="Arial" w:eastAsia="Arial" w:hAnsi="Arial"/>
          <w:sz w:val="17"/>
          <w:szCs w:val="17"/>
          <w:color w:val="auto"/>
        </w:rPr>
        <w:t>, are obtained or made, and, if and when any other legal impediments for the transfer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60" w:top="274" w:right="439" w:bottom="1440" w:gutter="0" w:footer="0" w:header="0"/>
        </w:sectPr>
      </w:pPr>
    </w:p>
    <w:bookmarkStart w:id="263" w:name="page264"/>
    <w:bookmarkEnd w:id="263"/>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any Delayed BellRing Asset or the assumption of any Delayed BellRing Liability have been removed, the transfer or assignment of the applicable Delayed BellRing Asset or the assumption of the applicable Delayed BellRing Liability, as the case may be, shall be effected in accordance with the terms of this Agreement and/or the applicable Ancillary Agreement.</w:t>
      </w:r>
    </w:p>
    <w:p>
      <w:pPr>
        <w:spacing w:after="0" w:line="181" w:lineRule="exact"/>
        <w:rPr>
          <w:sz w:val="20"/>
          <w:szCs w:val="20"/>
          <w:color w:val="auto"/>
        </w:rPr>
      </w:pPr>
    </w:p>
    <w:p>
      <w:pPr>
        <w:ind w:firstLine="996"/>
        <w:spacing w:after="0" w:line="272" w:lineRule="auto"/>
        <w:tabs>
          <w:tab w:leader="none" w:pos="1371"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Costs for Delayed BellRing Assets and Delayed BellRing Liabilities</w:t>
      </w:r>
      <w:r>
        <w:rPr>
          <w:rFonts w:ascii="Arial" w:cs="Arial" w:eastAsia="Arial" w:hAnsi="Arial"/>
          <w:sz w:val="17"/>
          <w:szCs w:val="17"/>
          <w:color w:val="auto"/>
        </w:rPr>
        <w:t>. Except as otherwise agreed in writing among Post, BellRing Inc. and BellRing LLC, any member of the Post Group retaining a Delayed BellRing Asset or Delayed BellRing Liability due to the deferral of the transfer or assignment of such Delayed BellRing Asset or the deferral of the assumption of such Delayed BellRing Liability, as the case may be, shall not be obligated, in connection with the foregoing, to expend any money unless the necessary funds are advanced (or otherwise made available) by BellRing LLC or the member of the BellRing Group entitled to the Delayed BellRing Asset or Delayed BellRing Liability, other than reasonable out-of-pocket expenses, outside attorneys’ fees and recording or similar fees, all of which shall be promptly reimbursed by BellRing LLC or the member of the BellRing Group entitled to such Delayed BellRing Asset or Delayed BellRing Liability.</w:t>
      </w:r>
    </w:p>
    <w:p>
      <w:pPr>
        <w:spacing w:after="0" w:line="177" w:lineRule="exact"/>
        <w:rPr>
          <w:rFonts w:ascii="Arial" w:cs="Arial" w:eastAsia="Arial" w:hAnsi="Arial"/>
          <w:sz w:val="17"/>
          <w:szCs w:val="17"/>
          <w:color w:val="auto"/>
        </w:rPr>
      </w:pPr>
    </w:p>
    <w:p>
      <w:pPr>
        <w:ind w:right="20" w:firstLine="996"/>
        <w:spacing w:after="0" w:line="293" w:lineRule="auto"/>
        <w:tabs>
          <w:tab w:leader="none" w:pos="135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Approvals and Notifications for Post Assets</w:t>
      </w:r>
      <w:r>
        <w:rPr>
          <w:rFonts w:ascii="Arial" w:cs="Arial" w:eastAsia="Arial" w:hAnsi="Arial"/>
          <w:sz w:val="16"/>
          <w:szCs w:val="16"/>
          <w:color w:val="auto"/>
        </w:rPr>
        <w:t xml:space="preserve">. To the extent that the transfer or assignment of any Post Asset, the assumption of any Post Liability, the Formation Transactions or the IPO requires any Approvals or Notifications, Post, BellRing Inc. and BellRing LLC shall use their commercially reasonable efforts to obtain or make such Approvals or Notifications as soon as reasonably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expressly provided in this Agreement or any of the Ancillary Agreements or as otherwise agreed among Post, BellRing Inc. and BellRing LLC, none of Post, BellRing Inc. or BellRing LLC shall be obligated to contribute capital or pay any consideration in any form (including providing any letter of credit, guaranty or other financial accommodation) to any Person in order to obtain or make such Approvals or Notifications.</w:t>
      </w:r>
    </w:p>
    <w:p>
      <w:pPr>
        <w:spacing w:after="0" w:line="164" w:lineRule="exact"/>
        <w:rPr>
          <w:rFonts w:ascii="Arial" w:cs="Arial" w:eastAsia="Arial" w:hAnsi="Arial"/>
          <w:sz w:val="16"/>
          <w:szCs w:val="16"/>
          <w:color w:val="auto"/>
        </w:rPr>
      </w:pPr>
    </w:p>
    <w:p>
      <w:pPr>
        <w:ind w:firstLine="996"/>
        <w:spacing w:after="0" w:line="254" w:lineRule="auto"/>
        <w:tabs>
          <w:tab w:leader="none" w:pos="138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Delayed Post Transfers</w:t>
      </w:r>
      <w:r>
        <w:rPr>
          <w:rFonts w:ascii="Arial" w:cs="Arial" w:eastAsia="Arial" w:hAnsi="Arial"/>
          <w:sz w:val="18"/>
          <w:szCs w:val="18"/>
          <w:color w:val="auto"/>
        </w:rPr>
        <w:t>. If and to the extent that the valid, complete and perfected transfer or assignment to the Post Group of any Post Asset or assumption by the Post Group of any Post Liability in connection with the IPO or the Formation Transactions would be a violation of applicable Law or require any Approvals or Notifications that have not been obtained or made as of immediately prior to the Effective Time then, unless Post, BellRing Inc. and BellRing LLC mutually shall otherwise determine, the transfer or assignment to the Post Group of such Post Assets or the assumption by the Post Group of such Post Liabilities, as the case may be, shall be automatically deemed deferred and any such purported transfer, assignment or assumption shall be null and void until such time as all legal impediments are removed or such Approvals or Notifications have been obtained or made. Notwithstanding the foregoing, any such Post Assets or Post Liabilities shall continue to constitute Post Assets and Post Liabilities for all other purposes of this Agreement.</w:t>
      </w:r>
    </w:p>
    <w:p>
      <w:pPr>
        <w:spacing w:after="0" w:line="192" w:lineRule="exact"/>
        <w:rPr>
          <w:rFonts w:ascii="Arial" w:cs="Arial" w:eastAsia="Arial" w:hAnsi="Arial"/>
          <w:sz w:val="18"/>
          <w:szCs w:val="18"/>
          <w:color w:val="auto"/>
        </w:rPr>
      </w:pPr>
    </w:p>
    <w:p>
      <w:pPr>
        <w:ind w:right="40" w:firstLine="996"/>
        <w:spacing w:after="0" w:line="289" w:lineRule="auto"/>
        <w:tabs>
          <w:tab w:leader="none" w:pos="138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Treatment of Delayed Post Assets and Delayed Post Liabilities</w:t>
      </w:r>
      <w:r>
        <w:rPr>
          <w:rFonts w:ascii="Arial" w:cs="Arial" w:eastAsia="Arial" w:hAnsi="Arial"/>
          <w:sz w:val="16"/>
          <w:szCs w:val="16"/>
          <w:color w:val="auto"/>
        </w:rPr>
        <w:t xml:space="preserve">. If any transfer or assignment of any Post Asset (or a portion thereof) or any assumption of any Post Liability (or a portion thereof) intended to be transferred, assigned or assumed hereunder, as the case may be, is not consummated as of immediately prior to the Effective Time whether as a result of the provisions of </w:t>
      </w:r>
      <w:r>
        <w:rPr>
          <w:rFonts w:ascii="Arial" w:cs="Arial" w:eastAsia="Arial" w:hAnsi="Arial"/>
          <w:sz w:val="16"/>
          <w:szCs w:val="16"/>
          <w:u w:val="single" w:color="auto"/>
          <w:color w:val="auto"/>
        </w:rPr>
        <w:t>Section 3.5(g)</w:t>
      </w:r>
      <w:r>
        <w:rPr>
          <w:rFonts w:ascii="Arial" w:cs="Arial" w:eastAsia="Arial" w:hAnsi="Arial"/>
          <w:sz w:val="16"/>
          <w:szCs w:val="16"/>
          <w:color w:val="auto"/>
        </w:rPr>
        <w:t xml:space="preserve"> or for any other reason (any such Post Asset (or a portion thereof), a “</w:t>
      </w:r>
      <w:r>
        <w:rPr>
          <w:rFonts w:ascii="Arial" w:cs="Arial" w:eastAsia="Arial" w:hAnsi="Arial"/>
          <w:sz w:val="16"/>
          <w:szCs w:val="16"/>
          <w:u w:val="single" w:color="auto"/>
          <w:color w:val="auto"/>
        </w:rPr>
        <w:t>Delayed Post Asset</w:t>
      </w:r>
      <w:r>
        <w:rPr>
          <w:rFonts w:ascii="Arial" w:cs="Arial" w:eastAsia="Arial" w:hAnsi="Arial"/>
          <w:sz w:val="16"/>
          <w:szCs w:val="16"/>
          <w:color w:val="auto"/>
        </w:rPr>
        <w:t>,” and any such Post Liability (or a portion thereof), a “</w:t>
      </w:r>
      <w:r>
        <w:rPr>
          <w:rFonts w:ascii="Arial" w:cs="Arial" w:eastAsia="Arial" w:hAnsi="Arial"/>
          <w:sz w:val="16"/>
          <w:szCs w:val="16"/>
          <w:u w:val="single" w:color="auto"/>
          <w:color w:val="auto"/>
        </w:rPr>
        <w:t>Delayed Post Liability</w:t>
      </w:r>
      <w:r>
        <w:rPr>
          <w:rFonts w:ascii="Arial" w:cs="Arial" w:eastAsia="Arial" w:hAnsi="Arial"/>
          <w:sz w:val="16"/>
          <w:szCs w:val="16"/>
          <w:color w:val="auto"/>
        </w:rPr>
        <w:t>”), then, insofar as reasonably possible and subject to applicable Law, the member of the BellRing Group retaining such Delayed Post Asset or such Delayed Post Liability, as the case may be, shall thereafter hold such Delayed Post Asset or Delayed Post Liability, as the case may be, for the use and benefit (or the performance or obligation, in the case of a Liability) of the member of the Post Group entitled thereto (at the expense of the member of the Post Group entitled thereto). In addition, the member of the BellRing Group retaining such Delayed Post Asset or such Delayed Post Liability shall, insofar as reasonably possible and to the extent permitted by applicable Law, treat such Delayed Post Asset or Delayed Post Liability in the ordinary course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64" w:name="page265"/>
    <w:bookmarkEnd w:id="26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in accordance with past practice and take such other actions as may be reasonably requested by the member of the Post Group to which such Delayed Post Asset is to be transferred or assigned, or which will assume such Delayed Post Liability, as the case may be, in order to place such member of the Post Group in a substantially similar position as if such Delayed Post Asset or Delayed Post Liability had been transferred, assigned or assumed and so that all of the benefits and burdens relating to such Delayed Post Asset or Delayed Post Liability as contemplated hereby, as the case may be, including use, risk of loss, potential for gain and dominion, control and command over such Delayed Post Asset or Delayed Post Liability, as the case may be, and all costs and expenses related thereto, shall inure from and after the Effective Time to the Post Group.</w:t>
      </w:r>
    </w:p>
    <w:p>
      <w:pPr>
        <w:spacing w:after="0" w:line="165" w:lineRule="exact"/>
        <w:rPr>
          <w:sz w:val="20"/>
          <w:szCs w:val="20"/>
          <w:color w:val="auto"/>
        </w:rPr>
      </w:pPr>
    </w:p>
    <w:p>
      <w:pPr>
        <w:ind w:right="140" w:firstLine="996"/>
        <w:spacing w:after="0" w:line="255" w:lineRule="auto"/>
        <w:tabs>
          <w:tab w:leader="none" w:pos="134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Transfer of Delayed Post Assets and Delayed Post Liabilities</w:t>
      </w:r>
      <w:r>
        <w:rPr>
          <w:rFonts w:ascii="Arial" w:cs="Arial" w:eastAsia="Arial" w:hAnsi="Arial"/>
          <w:sz w:val="18"/>
          <w:szCs w:val="18"/>
          <w:color w:val="auto"/>
        </w:rPr>
        <w:t xml:space="preserve">. If and when the Approvals or Notifications, the absence of which caused the deferral of transfer or assignment of any Delayed Post Asset or the deferral of assumption of any Delayed Post Liability pursuant to </w:t>
      </w:r>
      <w:r>
        <w:rPr>
          <w:rFonts w:ascii="Arial" w:cs="Arial" w:eastAsia="Arial" w:hAnsi="Arial"/>
          <w:sz w:val="18"/>
          <w:szCs w:val="18"/>
          <w:u w:val="single" w:color="auto"/>
          <w:color w:val="auto"/>
        </w:rPr>
        <w:t>Section 3.5(g)</w:t>
      </w:r>
      <w:r>
        <w:rPr>
          <w:rFonts w:ascii="Arial" w:cs="Arial" w:eastAsia="Arial" w:hAnsi="Arial"/>
          <w:sz w:val="18"/>
          <w:szCs w:val="18"/>
          <w:color w:val="auto"/>
        </w:rPr>
        <w:t>, are obtained or made, and, if and when any other legal impediments for the transfer or assignment of any Delayed Post Asset or the assumption of any Delayed Post Liability have been removed, the transfer or assignment of the applicable Delayed Post Asset or the assumption of the applicable Delayed Post Liability, as the case may be, shall be effected in accordance with the terms of this Agreement and/or the applicable Ancillary Agreement.</w:t>
      </w:r>
    </w:p>
    <w:p>
      <w:pPr>
        <w:spacing w:after="0" w:line="193" w:lineRule="exact"/>
        <w:rPr>
          <w:rFonts w:ascii="Arial" w:cs="Arial" w:eastAsia="Arial" w:hAnsi="Arial"/>
          <w:sz w:val="18"/>
          <w:szCs w:val="18"/>
          <w:color w:val="auto"/>
        </w:rPr>
      </w:pPr>
    </w:p>
    <w:p>
      <w:pPr>
        <w:ind w:right="200" w:firstLine="996"/>
        <w:spacing w:after="0" w:line="255" w:lineRule="auto"/>
        <w:tabs>
          <w:tab w:leader="none" w:pos="134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Costs for Delayed Post Assets and Delayed Post Liabilities</w:t>
      </w:r>
      <w:r>
        <w:rPr>
          <w:rFonts w:ascii="Arial" w:cs="Arial" w:eastAsia="Arial" w:hAnsi="Arial"/>
          <w:sz w:val="18"/>
          <w:szCs w:val="18"/>
          <w:color w:val="auto"/>
        </w:rPr>
        <w:t>. Except as otherwise agreed in writing among Post, BellRing Inc. and BellRing LLC, any member of the BellRing Group retaining a Delayed Post Asset or Delayed Post Liability due to the deferral of the transfer or assignment of such Delayed Post Asset or the deferral of the assumption of such Delayed Post Liability, as the case may be, shall not be obligated, in connection with the foregoing, to expend any money unless the necessary funds are advanced (or otherwise made available) by Post or the member of the Post Group entitled to the Delayed Post Asset or Delayed Post Liability, other than reasonable out-of-pocket expenses, outside attorneys’ fees and recording or similar fees, all of which shall be promptly reimbursed by Post or the member of the Post Group entitled to such Delayed Post Asset or Delayed Post Liability.</w:t>
      </w:r>
    </w:p>
    <w:p>
      <w:pPr>
        <w:spacing w:after="0" w:line="29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Assignment and Novation of Liabilities</w:t>
      </w:r>
      <w:r>
        <w:rPr>
          <w:rFonts w:ascii="Arial" w:cs="Arial" w:eastAsia="Arial" w:hAnsi="Arial"/>
          <w:sz w:val="16"/>
          <w:szCs w:val="16"/>
          <w:color w:val="auto"/>
        </w:rPr>
        <w:t>.</w:t>
      </w:r>
    </w:p>
    <w:p>
      <w:pPr>
        <w:spacing w:after="0" w:line="117" w:lineRule="exact"/>
        <w:rPr>
          <w:sz w:val="20"/>
          <w:szCs w:val="20"/>
          <w:color w:val="auto"/>
        </w:rPr>
      </w:pPr>
    </w:p>
    <w:p>
      <w:pPr>
        <w:ind w:left="1380" w:hanging="384"/>
        <w:spacing w:after="0"/>
        <w:tabs>
          <w:tab w:leader="none" w:pos="13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Assignment and Novation of BellRing Liabilities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36"/>
        <w:spacing w:after="0" w:line="270" w:lineRule="auto"/>
        <w:tabs>
          <w:tab w:leader="none" w:pos="178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Prior to the Effective Time, BellRing Inc. and BellRing LLC, at the request of Post, shall each use its commercially reasonable efforts to obtain, or to cause to be obtained, as soon as reasonably practicable, any consent, substitution, approval or amendment required to novate or assign all BellRing Liabilities and obtain in writing the unconditional release of each member of the Post Group that is a party to or otherwise obligated under any such arrangements, to the extent permitted by applicable Law and effective as of immediately prior to the Effective Time, so that, in any such case, the members of the BellRing Group shall be solely responsible for such BellRing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expressly provided in this Agreement or any of the Ancillary Agreements, none of Post, BellRing Inc. or BellRing LLC shall be obligated to contribute any capital or pay any consideration in any form (including providing any letter of credit, guaranty or other financial accommodation) to any third Person from whom any such consent, substitution, approval, amendment or release is requested. To the extent such substitution contemplated by the first sentence of this </w:t>
      </w:r>
      <w:r>
        <w:rPr>
          <w:rFonts w:ascii="Arial" w:cs="Arial" w:eastAsia="Arial" w:hAnsi="Arial"/>
          <w:sz w:val="17"/>
          <w:szCs w:val="17"/>
          <w:u w:val="single" w:color="auto"/>
          <w:color w:val="auto"/>
        </w:rPr>
        <w:t>Section 3.6(a)(i)</w:t>
      </w:r>
      <w:r>
        <w:rPr>
          <w:rFonts w:ascii="Arial" w:cs="Arial" w:eastAsia="Arial" w:hAnsi="Arial"/>
          <w:sz w:val="17"/>
          <w:szCs w:val="17"/>
          <w:color w:val="auto"/>
        </w:rPr>
        <w:t xml:space="preserve"> has been effected, the members of the Post Group shall, from and after the Effective Time, cease to have any obligation whatsoever arising from or in connection with such BellRing Liabilities.</w:t>
      </w:r>
    </w:p>
    <w:p>
      <w:pPr>
        <w:spacing w:after="0" w:line="177" w:lineRule="exact"/>
        <w:rPr>
          <w:rFonts w:ascii="Arial" w:cs="Arial" w:eastAsia="Arial" w:hAnsi="Arial"/>
          <w:sz w:val="17"/>
          <w:szCs w:val="17"/>
          <w:color w:val="auto"/>
        </w:rPr>
      </w:pPr>
    </w:p>
    <w:p>
      <w:pPr>
        <w:ind w:right="520" w:firstLine="1436"/>
        <w:spacing w:after="0" w:line="264" w:lineRule="auto"/>
        <w:tabs>
          <w:tab w:leader="none" w:pos="183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BellRing Inc. or BellRing LLC is unable to obtain, or to cause to be obtained, any such required consent, substitution, approval, amendment or release, and the applicable member of the Post Group continues to be bound by such agreement, lease, license or other obligation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65" w:name="page266"/>
    <w:bookmarkEnd w:id="265"/>
    <w:p>
      <w:pPr>
        <w:ind w:right="2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(each, an “</w:t>
      </w:r>
      <w:r>
        <w:rPr>
          <w:rFonts w:ascii="Arial" w:cs="Arial" w:eastAsia="Arial" w:hAnsi="Arial"/>
          <w:sz w:val="16"/>
          <w:szCs w:val="16"/>
          <w:u w:val="single" w:color="auto"/>
          <w:color w:val="auto"/>
        </w:rPr>
        <w:t>Unreleased BellRing Liability</w:t>
      </w:r>
      <w:r>
        <w:rPr>
          <w:rFonts w:ascii="Arial" w:cs="Arial" w:eastAsia="Arial" w:hAnsi="Arial"/>
          <w:sz w:val="16"/>
          <w:szCs w:val="16"/>
          <w:color w:val="auto"/>
        </w:rPr>
        <w:t>”), (A) BellRing Inc. and BellRing LLC each shall, to the extent not prohibited by Law, use its commercially reasonable efforts to effect such consent, substitution, approval, amendment or release as soon as practicable following the Effective Time, but in any event within six (6) months thereof, and (B) BellRing LLC, as indemnitor, guarantor, agent or subcontractor for such member of the Post Group, as the case may be, (1) pay, perform and discharge fully all of the obligations or other Liabilities of such member of the Post Group that constitute Unreleased BellRing Liabilities from and after the Effective Time, and (2) use its commercially reasonable efforts to effect such payment, performance or discharge prior to any demand for such payment, performance or discharge is permitted to be made by the obligee thereunder on any member of the Post Group. If and when any such consent, substitution, approval, amendment or release shall be obtained or the Unreleased BellRing Liabilities shall otherwise become assignable or able to be novated, Post shall promptly assign, or cause to be assigned, and BellRing LLC or the applicable member of the BellRing Group shall assume, such Unreleased BellRing Liabilities without exchange of further consideration.</w:t>
      </w:r>
    </w:p>
    <w:p>
      <w:pPr>
        <w:spacing w:after="0" w:line="167" w:lineRule="exact"/>
        <w:rPr>
          <w:sz w:val="20"/>
          <w:szCs w:val="20"/>
          <w:color w:val="auto"/>
        </w:rPr>
      </w:pPr>
    </w:p>
    <w:p>
      <w:pPr>
        <w:jc w:val="both"/>
        <w:ind w:right="460" w:firstLine="1436"/>
        <w:spacing w:after="0" w:line="257" w:lineRule="auto"/>
        <w:tabs>
          <w:tab w:leader="none" w:pos="188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If BellRing Inc. or BellRing LLC is unable to obtain, or to cause to be obtained, any such required consent, substitution, approval, amendment or release as set forth in clause (ii) of this </w:t>
      </w:r>
      <w:r>
        <w:rPr>
          <w:rFonts w:ascii="Arial" w:cs="Arial" w:eastAsia="Arial" w:hAnsi="Arial"/>
          <w:sz w:val="18"/>
          <w:szCs w:val="18"/>
          <w:u w:val="single" w:color="auto"/>
          <w:color w:val="auto"/>
        </w:rPr>
        <w:t>Section 3.6(a)</w:t>
      </w:r>
      <w:r>
        <w:rPr>
          <w:rFonts w:ascii="Arial" w:cs="Arial" w:eastAsia="Arial" w:hAnsi="Arial"/>
          <w:sz w:val="18"/>
          <w:szCs w:val="18"/>
          <w:color w:val="auto"/>
        </w:rPr>
        <w:t xml:space="preserve">, BellRing LLC and any other relevant member of its Group that has assumed the applicable Unreleased BellRing Liability shall indemnify, defend and hold harmless Post against or from such Unreleased BellRing Liability in accordance with the provisions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shall, as agent or subcontractor for Post, pay, perform and discharge fully all the obligations or other Liabilities of Post thereunder.</w:t>
      </w:r>
    </w:p>
    <w:p>
      <w:pPr>
        <w:spacing w:after="0" w:line="296" w:lineRule="exact"/>
        <w:rPr>
          <w:rFonts w:ascii="Arial" w:cs="Arial" w:eastAsia="Arial" w:hAnsi="Arial"/>
          <w:sz w:val="18"/>
          <w:szCs w:val="18"/>
          <w:color w:val="auto"/>
        </w:rPr>
      </w:pPr>
    </w:p>
    <w:p>
      <w:pPr>
        <w:ind w:left="1380" w:hanging="384"/>
        <w:spacing w:after="0"/>
        <w:tabs>
          <w:tab w:leader="none" w:pos="13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Assignment and Novation of Post Liabilities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36"/>
        <w:spacing w:after="0" w:line="289" w:lineRule="auto"/>
        <w:tabs>
          <w:tab w:leader="none" w:pos="178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Prior to the Effective Time, Post, at the request of BellRing Inc. or BellRing LLC, shall use its commercially reasonable efforts to obtain, or to cause to be obtained, as soon as reasonably practicable, any consent, substitution, approval or amendment required to novate or assign all Post Liabilities and obtain in writing the unconditional release of BellRing Inc. or any member of the BellRing Group that is a party to any such arrangements, so that, in any such case, the members of the Post Group shall be solely responsible for such Post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expressly provided in this Agreement or any of the Ancillary Agreements, none of Post, BellRing Inc. or BellRing LLC shall be obligated to contribute any capital or pay any consideration in any form (including providing any letter of credit, guaranty or other financial accommodation) to any third Person from whom any such consent, substitution, approval, amendment or release is requested. To the extent such substitution contemplated by the first sentence of this </w:t>
      </w:r>
      <w:r>
        <w:rPr>
          <w:rFonts w:ascii="Arial" w:cs="Arial" w:eastAsia="Arial" w:hAnsi="Arial"/>
          <w:sz w:val="16"/>
          <w:szCs w:val="16"/>
          <w:u w:val="single" w:color="auto"/>
          <w:color w:val="auto"/>
        </w:rPr>
        <w:t>Section 3.6(b)(i)</w:t>
      </w:r>
      <w:r>
        <w:rPr>
          <w:rFonts w:ascii="Arial" w:cs="Arial" w:eastAsia="Arial" w:hAnsi="Arial"/>
          <w:sz w:val="16"/>
          <w:szCs w:val="16"/>
          <w:color w:val="auto"/>
        </w:rPr>
        <w:t xml:space="preserve"> has been effected, BellRing Inc. and the members of the BellRing Group shall, from and after the Effective Time, cease to have any obligation whatsoever arising from or in connection with such Post Liabilities.</w:t>
      </w:r>
    </w:p>
    <w:p>
      <w:pPr>
        <w:spacing w:after="0" w:line="167" w:lineRule="exact"/>
        <w:rPr>
          <w:sz w:val="20"/>
          <w:szCs w:val="20"/>
          <w:color w:val="auto"/>
        </w:rPr>
      </w:pPr>
    </w:p>
    <w:p>
      <w:pPr>
        <w:ind w:firstLine="1436"/>
        <w:spacing w:after="0" w:line="270" w:lineRule="auto"/>
        <w:tabs>
          <w:tab w:leader="none" w:pos="183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Post is unable to obtain, or to cause to be obtained, any such required consent, substitution, approval, amendment or release and BellRing Inc. or the applicable member of the BellRing Group continues to be bound by such agreement, lease, license or other obligation or Liability (each, an “</w:t>
      </w:r>
      <w:r>
        <w:rPr>
          <w:rFonts w:ascii="Arial" w:cs="Arial" w:eastAsia="Arial" w:hAnsi="Arial"/>
          <w:sz w:val="17"/>
          <w:szCs w:val="17"/>
          <w:u w:val="single" w:color="auto"/>
          <w:color w:val="auto"/>
        </w:rPr>
        <w:t>Unreleased Post Liability</w:t>
      </w:r>
      <w:r>
        <w:rPr>
          <w:rFonts w:ascii="Arial" w:cs="Arial" w:eastAsia="Arial" w:hAnsi="Arial"/>
          <w:sz w:val="17"/>
          <w:szCs w:val="17"/>
          <w:color w:val="auto"/>
        </w:rPr>
        <w:t>”), Post shall, to the extent not prohibited by Law, (A) use its commercially reasonable efforts to effect such consent, substitution, approval, amendment or release as soon as practicable following the Effective Time, but in any event within six (6) months thereof, and (B) as indemnitor, guarantor, agent or subcontractor for BellRing Inc. or such member of the BellRing Group, as the case may be, (1) pay, perform and discharge fully all of the obligations or other Liabilities of BellRing Inc. or such member of the BellRing Group that constitute Unreleased Post Liabilities from and after the Effective Time, and (2) use its commercially reasonable efforts to effect such payment, performance or discharge prior to any demand for such payment, performance or discharge is permitted to be made by the obligee thereunder on BellRing Inc. or any member of the BellRing Group. If and when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66" w:name="page267"/>
    <w:bookmarkEnd w:id="26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consent, substitution, approval, amendment or release shall be obtained or the Unreleased Post Liabilities shall otherwise become assignable or able to be novated, BellRing Inc. and BellRing LLC shall promptly assign, or cause to be assigned, and Post or the applicable member of the Post Group shall assume, such Unreleased Post Liabilities without exchange of further consideration.</w:t>
      </w:r>
    </w:p>
    <w:p>
      <w:pPr>
        <w:spacing w:after="0" w:line="181" w:lineRule="exact"/>
        <w:rPr>
          <w:sz w:val="20"/>
          <w:szCs w:val="20"/>
          <w:color w:val="auto"/>
        </w:rPr>
      </w:pPr>
    </w:p>
    <w:p>
      <w:pPr>
        <w:ind w:firstLine="1436"/>
        <w:spacing w:after="0" w:line="257" w:lineRule="auto"/>
        <w:tabs>
          <w:tab w:leader="none" w:pos="188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If Post is unable to obtain, or to cause to be obtained, any such required consent, substitution, approval, amendment or release as set forth in clause (ii) of this </w:t>
      </w:r>
      <w:r>
        <w:rPr>
          <w:rFonts w:ascii="Arial" w:cs="Arial" w:eastAsia="Arial" w:hAnsi="Arial"/>
          <w:sz w:val="18"/>
          <w:szCs w:val="18"/>
          <w:u w:val="single" w:color="auto"/>
          <w:color w:val="auto"/>
        </w:rPr>
        <w:t>Section 3.6(b)</w:t>
      </w:r>
      <w:r>
        <w:rPr>
          <w:rFonts w:ascii="Arial" w:cs="Arial" w:eastAsia="Arial" w:hAnsi="Arial"/>
          <w:sz w:val="18"/>
          <w:szCs w:val="18"/>
          <w:color w:val="auto"/>
        </w:rPr>
        <w:t xml:space="preserve">, Post and any relevant member of its Group that has assumed the applicable Unreleased Post Liability shall indemnify, defend and hold harmless BellRing Inc. or BellRing LLC against or from such Unreleased Post Liability in accordance with the provisions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shall, as agent or subcontractor for BellRing Inc. or BellRing LLC, pay, perform and discharge fully all of the obligations or other Liabilities of BellRing Inc. or BellRing LLC thereunder.</w:t>
      </w:r>
    </w:p>
    <w:p>
      <w:pPr>
        <w:spacing w:after="0" w:line="188" w:lineRule="exact"/>
        <w:rPr>
          <w:rFonts w:ascii="Arial" w:cs="Arial" w:eastAsia="Arial" w:hAnsi="Arial"/>
          <w:sz w:val="18"/>
          <w:szCs w:val="18"/>
          <w:color w:val="auto"/>
        </w:rPr>
      </w:pPr>
    </w:p>
    <w:p>
      <w:pPr>
        <w:ind w:firstLine="1436"/>
        <w:spacing w:after="0" w:line="286" w:lineRule="auto"/>
        <w:tabs>
          <w:tab w:leader="none" w:pos="187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In furtherance of, and not in limitation of, the obligations set forth in </w:t>
      </w:r>
      <w:r>
        <w:rPr>
          <w:rFonts w:ascii="Arial" w:cs="Arial" w:eastAsia="Arial" w:hAnsi="Arial"/>
          <w:sz w:val="16"/>
          <w:szCs w:val="16"/>
          <w:u w:val="single" w:color="auto"/>
          <w:color w:val="auto"/>
        </w:rPr>
        <w:t>Section 3.6(b)</w:t>
      </w:r>
      <w:r>
        <w:rPr>
          <w:rFonts w:ascii="Arial" w:cs="Arial" w:eastAsia="Arial" w:hAnsi="Arial"/>
          <w:sz w:val="16"/>
          <w:szCs w:val="16"/>
          <w:color w:val="auto"/>
        </w:rPr>
        <w:t>, (A) Post shall take or cause to be taken all actions, and enter into (or cause its Affiliates to enter into) such agreements and arrangements, as shall be necessary to cause, as of the consummation of the Formation Transactions, in accordance with and as provided in the Post Indentures, (x) the members of the BellRing Group and BellRing Inc. to be removed as parties to the Post Indentures; and (y) the members of the BellRing Group and BellRing Inc. to be released from all Liabilities in respect of the Post Indentures, (B) Post shall use its reasonable best efforts to take or cause to be taken all actions and do, or cause to be done, all things reasonably necessary, proper or advisable (as reasonably determined by Post), and enter into (or cause its Affiliates to enter into) such agreements and arrangements, as shall be necessary to cause, as of the consummation of the Formation Transactions, (x) the members of the BellRing Group and BellRing Inc. to be removed as parties to the Post Credit Agreement; (y) the members of the BellRing Group and BellRing Inc. to be released from all Liabilities in respect of the Post Credit Agreement; and (z) the assets of the members of the BellRing Group and BellRing Inc. to be released as collateral in respect of the Post Credit Agreement, and (C) each of Post, on the one hand, and BellRing Inc. and BellRing LLC, on the other hand, shall, at the request of the other Party and with the reasonable cooperation of such other Party and the applicable member(s) of such other Party’s Group, use commercially reasonable efforts to (x) have any member(s) of the Post Group removed as guarantor of or obligor for any BellRing Liability, including the removal of any Security Interest on or in any Post Asset that may serve as collateral or security for any such BellRing Liability; and (y) have BellRing Inc. and any member(s) of the BellRing Group removed as guarantor of or obligor for any Post Liability, including the removal of any Security Interest on or in any BellRing Asset that may serve as collateral or security for any such Post Liability.</w:t>
      </w:r>
    </w:p>
    <w:p>
      <w:pPr>
        <w:spacing w:after="0" w:line="16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Treatment of Intercompany Agreements</w:t>
      </w:r>
      <w:r>
        <w:rPr>
          <w:rFonts w:ascii="Arial" w:cs="Arial" w:eastAsia="Arial" w:hAnsi="Arial"/>
          <w:sz w:val="17"/>
          <w:szCs w:val="17"/>
          <w:color w:val="auto"/>
        </w:rPr>
        <w:t>. Any and all agreements, arrangements, commitments or understandings, whether or not in writing, between or among BellRing LLC and/or any other member of the BellRing Group, on the one hand, and Post and/or any other member of the Post Group, on the other hand (the “</w:t>
      </w:r>
      <w:r>
        <w:rPr>
          <w:rFonts w:ascii="Arial" w:cs="Arial" w:eastAsia="Arial" w:hAnsi="Arial"/>
          <w:sz w:val="17"/>
          <w:szCs w:val="17"/>
          <w:u w:val="single" w:color="auto"/>
          <w:color w:val="auto"/>
        </w:rPr>
        <w:t>Intercompany Agreements</w:t>
      </w:r>
      <w:r>
        <w:rPr>
          <w:rFonts w:ascii="Arial" w:cs="Arial" w:eastAsia="Arial" w:hAnsi="Arial"/>
          <w:sz w:val="17"/>
          <w:szCs w:val="17"/>
          <w:color w:val="auto"/>
        </w:rPr>
        <w:t>”), effective as of immediately prior to the Effective Time, shall remain in effect in accordance with their terms from and after the Effective Time, unless and until otherwise terminated by the relevant parties thereto.</w:t>
      </w:r>
    </w:p>
    <w:p>
      <w:pPr>
        <w:spacing w:after="0" w:line="17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Disclaimer of Representations and Warranties</w:t>
      </w:r>
      <w:r>
        <w:rPr>
          <w:rFonts w:ascii="Arial" w:cs="Arial" w:eastAsia="Arial" w:hAnsi="Arial"/>
          <w:sz w:val="18"/>
          <w:szCs w:val="18"/>
          <w:color w:val="auto"/>
        </w:rPr>
        <w:t>. EACH OF BELLRING INC., POST (ON BEHALF OF ITSELF AND EACH MEMBER OF THE POST GROUP) AND BELLRING LLC (ON BEHALF OF ITSELF AND EACH MEMBER OF THE BELLRING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OR ASSUMED 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67" w:name="page268"/>
    <w:bookmarkEnd w:id="26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HEREBY OR THEREBY, AS TO ANY CONSENTS OR APPROVALS REQUIRED IN CONNECTION THEREWITH (INCLUDING WITHOUT LIMITATION GOVERNMENTAL APPROVALS OR PERMITS OF ANY KIND), AS TO THE VALUE OR FREEDOM FROM ANY SECURITY INTERESTS OF, OR ANY OTHER MATTER CONCERNING, ANY ASSETS OF SUCH PARTY,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OF DEED OR CONVEYANCE) AND THE RESPECTIVE TRANSFEREES SHALL BEAR, WITHOUT LIMITATION, THE ECONOMIC AND LEGAL RISKS THAT (I) ANY CONVEYANCE WILL PROVE TO BE INSUFFICIENT TO VEST IN THE TRANSFEREE GOOD AND MARKETABLE TITLE, FREE AND CLEAR OF ANY SECURITY INTEREST, AND (II) ANY NECESSARY APPROVALS OR NOTIFICATIONS ARE NOT OBTAINED OR MADE OR ANY REQUIREMENTS OF LAWS OR JUDGMENTS ARE NOT COMPLIED WITH.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Subject to the terms and conditions of this Agreement, the Formation Transactions and the IPO shall be consummated at closings to be held at the offices of Lewis Rice LLC, 600 Washington Avenue, St. Louis, Missouri 63101 on the IPO Closing Date or at such other place or on such other date as Post, BellRing Inc. and BellRing LLC may mutually agree upon in writing. Subject to the terms and conditions of this Agreement, the IPO shall close at the Initial Delivery Date (as defined in the Underwriting Agreement) and the Formation Transactions shall close prior to or at the Effective Time, as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MUTUAL RELEASES; INDEMNIFICATION</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Release of Pre-Effective Time Claims</w:t>
      </w:r>
      <w:r>
        <w:rPr>
          <w:rFonts w:ascii="Arial" w:cs="Arial" w:eastAsia="Arial" w:hAnsi="Arial"/>
          <w:sz w:val="16"/>
          <w:szCs w:val="16"/>
          <w:color w:val="auto"/>
        </w:rPr>
        <w:t>.</w:t>
      </w:r>
    </w:p>
    <w:p>
      <w:pPr>
        <w:spacing w:after="0" w:line="117" w:lineRule="exact"/>
        <w:rPr>
          <w:sz w:val="20"/>
          <w:szCs w:val="20"/>
          <w:color w:val="auto"/>
        </w:rPr>
      </w:pPr>
    </w:p>
    <w:p>
      <w:pPr>
        <w:jc w:val="both"/>
        <w:ind w:right="40" w:firstLine="996"/>
        <w:spacing w:after="0" w:line="286" w:lineRule="auto"/>
        <w:tabs>
          <w:tab w:leader="none" w:pos="1371"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BellRing LLC and BellRing Inc. Release of Post</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5.1(d)</w:t>
      </w:r>
      <w:r>
        <w:rPr>
          <w:rFonts w:ascii="Arial" w:cs="Arial" w:eastAsia="Arial" w:hAnsi="Arial"/>
          <w:sz w:val="16"/>
          <w:szCs w:val="16"/>
          <w:color w:val="auto"/>
        </w:rPr>
        <w:t>, effective as of the Effective Time, each of BellRing Inc. and, for itself and each other member of the BellRing Group, BellRing LLC, and for their respective successors and assigns and, to the extent permitted by Law, all Persons who at any time prior to the Effective Time have been directors, officers, members, managers, agents or employees of any member of the BellRing Group or BellRing Inc. (in each case, in their respective capacities as such), remise, release and forever discharge</w:t>
      </w:r>
    </w:p>
    <w:p>
      <w:pPr>
        <w:spacing w:after="0" w:line="1" w:lineRule="exact"/>
        <w:rPr>
          <w:rFonts w:ascii="Arial" w:cs="Arial" w:eastAsia="Arial" w:hAnsi="Arial"/>
          <w:sz w:val="16"/>
          <w:szCs w:val="16"/>
          <w:color w:val="auto"/>
        </w:rPr>
      </w:pPr>
    </w:p>
    <w:p>
      <w:pPr>
        <w:ind w:right="60" w:firstLine="4"/>
        <w:spacing w:after="0" w:line="268" w:lineRule="auto"/>
        <w:tabs>
          <w:tab w:leader="none" w:pos="21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Post and the members of the Post Group, and their respective successors and assigns, and (ii) all Persons who at any time prior to the Effective Time have been directors, officers, members, managers, agents or employees of any member of the Post Group (in each case, in their respective capacities as such), and their respective heirs, executors, administrators, successors and assigns, from any and all Liabilities whatsoever, whether at Law or in equity (including any rights of contribution or recovery), whether arising under any contract, by operation of Law or otherwise, including for fraud, existing or arising from any acts or events occurring or failing to occur or alleged to have occurred or failed to occur or any conditions existing or alleged to have existed, in each case on or before the Effective Time, including in connection with the transactions and all other activities to implement the Formation Transactions and the IPO (but, for the avoidance of doubt, this shall not limit or affect indemnification obligations of the Parties set forth in this Agreement or any Ancillary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68" w:name="page269"/>
    <w:bookmarkEnd w:id="268"/>
    <w:p>
      <w:pPr>
        <w:ind w:left="-4" w:firstLine="996"/>
        <w:spacing w:after="0" w:line="269" w:lineRule="auto"/>
        <w:tabs>
          <w:tab w:leader="none" w:pos="1378"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Release of BellRing LLC and BellRing Inc.</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5.1(d)</w:t>
      </w:r>
      <w:r>
        <w:rPr>
          <w:rFonts w:ascii="Arial" w:cs="Arial" w:eastAsia="Arial" w:hAnsi="Arial"/>
          <w:sz w:val="17"/>
          <w:szCs w:val="17"/>
          <w:color w:val="auto"/>
        </w:rPr>
        <w:t>, effective as of the Effective Time, Post does hereby, for itself and each other member of the Post Group and their respective successors and assigns, and, to the extent permitted by Law, all Persons who at any time prior to the Effective Time have been directors, officers, members, managers, agents or employees of any member of the Post Group (in each case, in their respective capacities as such), remise, release and forever discharge (i) BellRing LLC, BellRing Inc. and the members of the BellRing Group and their respective successors and assigns, and (ii) all Persons who at any time prior to the Effective Time have been directors, officers, members, managers, agents or employees of any member of the BellRing Group or BellRing Inc. (in each case, in their respective capacities as such), and their respective heirs, executors, administrators, successors and assigns, from any and all Liabilities whatsoever, whether at Law or in equity (including any rights of contribution or recovery), whether arising under any contract, by operation of Law or otherwise, including for fraud, existing or arising from any acts or events occurring or failing to occur or alleged to have occurred or failed to occur or any conditions existing or alleged to have existed, in each case on or before the Effective Time, including in connection with the transactions and all other activities to implement the Formation Transactions and the IPO (but, for the avoidance of doubt, this shall not limit or affect indemnification obligations of the Parties set forth in this Agreement or any Ancillary Agreement).</w:t>
      </w:r>
    </w:p>
    <w:p>
      <w:pPr>
        <w:spacing w:after="0" w:line="179" w:lineRule="exact"/>
        <w:rPr>
          <w:rFonts w:ascii="Arial" w:cs="Arial" w:eastAsia="Arial" w:hAnsi="Arial"/>
          <w:sz w:val="17"/>
          <w:szCs w:val="17"/>
          <w:color w:val="auto"/>
        </w:rPr>
      </w:pPr>
    </w:p>
    <w:p>
      <w:pPr>
        <w:ind w:left="-4" w:right="60" w:firstLine="996"/>
        <w:spacing w:after="0" w:line="253" w:lineRule="auto"/>
        <w:tabs>
          <w:tab w:leader="none" w:pos="1368"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Acknowledgment of Unknown Losses or Claims</w:t>
      </w:r>
      <w:r>
        <w:rPr>
          <w:rFonts w:ascii="Arial" w:cs="Arial" w:eastAsia="Arial" w:hAnsi="Arial"/>
          <w:sz w:val="18"/>
          <w:szCs w:val="18"/>
          <w:color w:val="auto"/>
        </w:rPr>
        <w:t>. The Parties expressly understand and acknowledge that it is possible that unknown losses or claims exist or might come to exist or that present losses may have been underestimated in amount, severity or both. Accordingly, the Parties are deemed expressly to understand provisions and principles of law such as Section 1542 of the Civil Code of the State of California (“</w:t>
      </w:r>
      <w:r>
        <w:rPr>
          <w:rFonts w:ascii="Arial" w:cs="Arial" w:eastAsia="Arial" w:hAnsi="Arial"/>
          <w:sz w:val="18"/>
          <w:szCs w:val="18"/>
          <w:u w:val="single" w:color="auto"/>
          <w:color w:val="auto"/>
        </w:rPr>
        <w:t>Section 1542</w:t>
      </w:r>
      <w:r>
        <w:rPr>
          <w:rFonts w:ascii="Arial" w:cs="Arial" w:eastAsia="Arial" w:hAnsi="Arial"/>
          <w:sz w:val="18"/>
          <w:szCs w:val="18"/>
          <w:color w:val="auto"/>
        </w:rPr>
        <w:t xml:space="preserve">”) (as well as any and all provisions, rights and benefits conferred by any law of any state or territory of the United States, or principle of common law, which is similar or comparable to Section 1542), which provides: GENERAL RELEASE DOES NOT EXTEND TO CLAIMS WHICH THE CREDITOR DOES NOT KNOW OR SUSPECT TO EXIST IN HIS OR HER FAVOR AT THE TIME OF EXECUTING THE RELEASE, WHICH IF KNOWN BY HIM OR HER MUST HAVE MATERIALLY AFFECTED HIS OR HER SETTLEMENT WITH THE DEBTOR. The Parties are hereby deemed to agree that the provisions of Section 1542 and all similar federal or state laws, rights, rules or legal principles of California or any other jurisdiction that may be applicable herein, are hereby knowingly and voluntarily waived and relinquished with respect to the releases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4" w:right="60" w:firstLine="996"/>
        <w:spacing w:after="0" w:line="264" w:lineRule="auto"/>
        <w:tabs>
          <w:tab w:leader="none" w:pos="1378"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Obligations Not Affected</w:t>
      </w:r>
      <w:r>
        <w:rPr>
          <w:rFonts w:ascii="Arial" w:cs="Arial" w:eastAsia="Arial" w:hAnsi="Arial"/>
          <w:sz w:val="18"/>
          <w:szCs w:val="18"/>
          <w:color w:val="auto"/>
        </w:rPr>
        <w:t xml:space="preserve">. Nothing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5.1(b)</w:t>
      </w:r>
      <w:r>
        <w:rPr>
          <w:rFonts w:ascii="Arial" w:cs="Arial" w:eastAsia="Arial" w:hAnsi="Arial"/>
          <w:sz w:val="18"/>
          <w:szCs w:val="18"/>
          <w:color w:val="auto"/>
        </w:rPr>
        <w:t xml:space="preserve"> shall (x) impair any right of any Person to enforce this Agreement, any Ancillary Agreement or any Intercompany Agreements or the applicable Schedules thereto as not to terminate as of the Effective Time, in each case in accordance with its terms, or (y) release any Person from:</w:t>
      </w:r>
    </w:p>
    <w:p>
      <w:pPr>
        <w:spacing w:after="0" w:line="181" w:lineRule="exact"/>
        <w:rPr>
          <w:rFonts w:ascii="Arial" w:cs="Arial" w:eastAsia="Arial" w:hAnsi="Arial"/>
          <w:sz w:val="18"/>
          <w:szCs w:val="18"/>
          <w:color w:val="auto"/>
        </w:rPr>
      </w:pPr>
    </w:p>
    <w:p>
      <w:pPr>
        <w:ind w:left="1776" w:hanging="344"/>
        <w:spacing w:after="0"/>
        <w:tabs>
          <w:tab w:leader="none" w:pos="1776"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any Intercompany Agreement;</w:t>
      </w:r>
    </w:p>
    <w:p>
      <w:pPr>
        <w:spacing w:after="0" w:line="225" w:lineRule="exact"/>
        <w:rPr>
          <w:rFonts w:ascii="Arial" w:cs="Arial" w:eastAsia="Arial" w:hAnsi="Arial"/>
          <w:sz w:val="18"/>
          <w:szCs w:val="18"/>
          <w:color w:val="auto"/>
        </w:rPr>
      </w:pPr>
    </w:p>
    <w:p>
      <w:pPr>
        <w:jc w:val="both"/>
        <w:ind w:left="-4" w:firstLine="1436"/>
        <w:spacing w:after="0" w:line="291" w:lineRule="auto"/>
        <w:tabs>
          <w:tab w:leader="none" w:pos="1829" w:val="left"/>
        </w:tabs>
        <w:numPr>
          <w:ilvl w:val="2"/>
          <w:numId w:val="160"/>
        </w:numPr>
        <w:rPr>
          <w:rFonts w:ascii="Arial" w:cs="Arial" w:eastAsia="Arial" w:hAnsi="Arial"/>
          <w:sz w:val="16"/>
          <w:szCs w:val="16"/>
          <w:color w:val="auto"/>
        </w:rPr>
      </w:pPr>
      <w:r>
        <w:rPr>
          <w:rFonts w:ascii="Arial" w:cs="Arial" w:eastAsia="Arial" w:hAnsi="Arial"/>
          <w:sz w:val="16"/>
          <w:szCs w:val="16"/>
          <w:color w:val="auto"/>
        </w:rPr>
        <w:t>any Liability, contingent or otherwise, assumed or retained by, or transferred, assigned or allocated to, the Group of which such Person is a member in accordance with, or any other Liability of any Person in any Group under, this Agreement or any Ancillary Agreement, including</w:t>
      </w:r>
    </w:p>
    <w:p>
      <w:pPr>
        <w:ind w:left="296" w:hanging="296"/>
        <w:spacing w:after="0"/>
        <w:tabs>
          <w:tab w:leader="none" w:pos="2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 respect to BellRing LLC, any BellRing Liability, and (B), with respect to Post, any Post Liability;</w:t>
      </w:r>
    </w:p>
    <w:p>
      <w:pPr>
        <w:spacing w:after="0" w:line="210" w:lineRule="exact"/>
        <w:rPr>
          <w:rFonts w:ascii="Arial" w:cs="Arial" w:eastAsia="Arial" w:hAnsi="Arial"/>
          <w:sz w:val="18"/>
          <w:szCs w:val="18"/>
          <w:color w:val="auto"/>
        </w:rPr>
      </w:pPr>
    </w:p>
    <w:p>
      <w:pPr>
        <w:ind w:left="-4" w:right="80" w:firstLine="1436"/>
        <w:spacing w:after="0" w:line="264" w:lineRule="auto"/>
        <w:tabs>
          <w:tab w:leader="none" w:pos="1879"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any Liability provided in or resulting from any agreement or understanding that is entered into after the Effective Time between any Party (and/or a member of such Party’s Group), on the one hand, and any other Party (and/or a member of the other Party’s Group), on the other hand;</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96"/>
          </w:cols>
          <w:pgMar w:left="444" w:top="274" w:right="459" w:bottom="1440" w:gutter="0" w:footer="0" w:header="0"/>
        </w:sectPr>
      </w:pPr>
    </w:p>
    <w:bookmarkStart w:id="269" w:name="page270"/>
    <w:bookmarkEnd w:id="269"/>
    <w:p>
      <w:pPr>
        <w:ind w:right="20" w:firstLine="1436"/>
        <w:spacing w:after="0" w:line="264" w:lineRule="auto"/>
        <w:tabs>
          <w:tab w:leader="none" w:pos="1873"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Liability that the Parties may have with respect to any indemnification or contribution or other obligation pursuant to this Agreement or any Ancillary Agreement, which Liability shall be governed by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if applicable, the appropriate provisions of the Ancillary Agreements; or</w:t>
      </w:r>
    </w:p>
    <w:p>
      <w:pPr>
        <w:spacing w:after="0" w:line="181" w:lineRule="exact"/>
        <w:rPr>
          <w:rFonts w:ascii="Arial" w:cs="Arial" w:eastAsia="Arial" w:hAnsi="Arial"/>
          <w:sz w:val="18"/>
          <w:szCs w:val="18"/>
          <w:color w:val="auto"/>
        </w:rPr>
      </w:pPr>
    </w:p>
    <w:p>
      <w:pPr>
        <w:ind w:right="140" w:firstLine="1436"/>
        <w:spacing w:after="0" w:line="277" w:lineRule="auto"/>
        <w:tabs>
          <w:tab w:leader="none" w:pos="182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Liability the release of which would result in the release of any Person other than a Person expressly contemplated to be released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shall release any member of the Post Group from honoring its existing obligations to indemnify any director, officer, member, manager or employee of BellRing LLC or BellRing Inc. who was a director, officer, member, manager or employee of any member of the Post Group at or prior to the Effective Time, to the extent such director, officer, member, manager or employee becomes a named defendant in any Action with respect to which such director, officer, member, manager or employee was entitled to such indemnification pursuant to such existing obligations; it being understood that, if the underlying obligation giving rise to such Action is a BellRing Liability, BellRing LLC shall indemnify Post for such Liability (including Post’s costs to indemnify the director, officer, member, manager or employee) in accordance with the provisions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9" w:lineRule="exact"/>
        <w:rPr>
          <w:sz w:val="20"/>
          <w:szCs w:val="20"/>
          <w:color w:val="auto"/>
        </w:rPr>
      </w:pPr>
    </w:p>
    <w:p>
      <w:pPr>
        <w:ind w:right="120" w:firstLine="996"/>
        <w:spacing w:after="0" w:line="255" w:lineRule="auto"/>
        <w:tabs>
          <w:tab w:leader="none" w:pos="137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Claims</w:t>
      </w:r>
      <w:r>
        <w:rPr>
          <w:rFonts w:ascii="Arial" w:cs="Arial" w:eastAsia="Arial" w:hAnsi="Arial"/>
          <w:sz w:val="18"/>
          <w:szCs w:val="18"/>
          <w:color w:val="auto"/>
        </w:rPr>
        <w:t xml:space="preserve">. BellRing Inc. and BellRing LLC shall not make, and BellRing LLC shall not permit any other member of the BellRing Group to make, any claim or demand, or commence any Action asserting any claim or demand, including any claim of contribution or any indemnification, against Post or any other member of the Post Group, or any other Person released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with respect to any Liabilities released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Post shall not make, and shall not permit any other member of the Post Group to make, any claim or demand, or commence any Action asserting any claim or demand, including any claim of contribution or any indemnification, against BellRing Inc., BellRing LLC or any other member of the BellRing Group, or any other Person released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with respect to any Liabilities released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40" w:firstLine="996"/>
        <w:spacing w:after="0" w:line="286" w:lineRule="auto"/>
        <w:tabs>
          <w:tab w:leader="none" w:pos="1352"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Execution of Further Releases</w:t>
      </w:r>
      <w:r>
        <w:rPr>
          <w:rFonts w:ascii="Arial" w:cs="Arial" w:eastAsia="Arial" w:hAnsi="Arial"/>
          <w:sz w:val="17"/>
          <w:szCs w:val="17"/>
          <w:color w:val="auto"/>
        </w:rPr>
        <w:t xml:space="preserve">. At any time at or after the Effective Time, at the request of Post, on the one hand, or BellRing Inc. or BellRing LLC, on the other hand, Post (in the case of a request by BellRing Inc. or BellRing LLC) or BellRing LLC (in the case of a request by Post) shall cause each member of its respective Group to execute and deliver releases reflecting the provisions of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6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Indemnification by BellRing LLC</w:t>
      </w:r>
      <w:r>
        <w:rPr>
          <w:rFonts w:ascii="Arial" w:cs="Arial" w:eastAsia="Arial" w:hAnsi="Arial"/>
          <w:sz w:val="18"/>
          <w:szCs w:val="18"/>
          <w:color w:val="auto"/>
        </w:rPr>
        <w:t>. Except as otherwise specifically set forth in this Agreement or in any Ancillary Agreement, to the fullest extent permitted by Law, BellRing LLC shall, and shall cause the other members of the BellRing Group to, indemnify, defend and hold harmless Post, each member of the Post Group and each of their respective past, present and future directors, officers, members, managers, employees and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Post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Liabilities of the Post Indemnitees relating to, arising out of or resulting from, directly or indirectly, any of the following items (without duplication):</w:t>
      </w:r>
    </w:p>
    <w:p>
      <w:pPr>
        <w:spacing w:after="0" w:line="193" w:lineRule="exact"/>
        <w:rPr>
          <w:sz w:val="20"/>
          <w:szCs w:val="20"/>
          <w:color w:val="auto"/>
        </w:rPr>
      </w:pPr>
    </w:p>
    <w:p>
      <w:pPr>
        <w:ind w:left="1380" w:hanging="384"/>
        <w:spacing w:after="0"/>
        <w:tabs>
          <w:tab w:leader="none" w:pos="1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BellRing Liability;</w:t>
      </w:r>
    </w:p>
    <w:p>
      <w:pPr>
        <w:spacing w:after="0" w:line="225" w:lineRule="exact"/>
        <w:rPr>
          <w:rFonts w:ascii="Arial" w:cs="Arial" w:eastAsia="Arial" w:hAnsi="Arial"/>
          <w:sz w:val="18"/>
          <w:szCs w:val="18"/>
          <w:color w:val="auto"/>
        </w:rPr>
      </w:pPr>
    </w:p>
    <w:p>
      <w:pPr>
        <w:ind w:right="180" w:firstLine="996"/>
        <w:spacing w:after="0" w:line="277" w:lineRule="auto"/>
        <w:tabs>
          <w:tab w:leader="none" w:pos="13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failure of BellRing LLC, any other member of the BellRing Group or any other Person to pay, perform or otherwise promptly discharge any BellRing Liabilities in accordance with their terms, whether prior to, on or after the Effective Time;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40" w:top="274" w:right="539" w:bottom="1440" w:gutter="0" w:footer="0" w:header="0"/>
        </w:sectPr>
      </w:pPr>
    </w:p>
    <w:bookmarkStart w:id="270" w:name="page271"/>
    <w:bookmarkEnd w:id="270"/>
    <w:p>
      <w:pPr>
        <w:ind w:right="240" w:firstLine="996"/>
        <w:spacing w:after="0" w:line="277" w:lineRule="auto"/>
        <w:tabs>
          <w:tab w:leader="none" w:pos="1372" w:val="left"/>
        </w:tabs>
        <w:numPr>
          <w:ilvl w:val="1"/>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failure of BellRing Inc. or any other Person to pay, perform or otherwise promptly discharge any Inc. Liabilities in accordance with their terms, whether prior to, on or after the Effective Time;</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any breach by BellRing Inc., BellRing LLC or any other member of the BellRing Group of this Agreement or any of the Ancillary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10" w:lineRule="exact"/>
        <w:rPr>
          <w:rFonts w:ascii="Arial" w:cs="Arial" w:eastAsia="Arial" w:hAnsi="Arial"/>
          <w:sz w:val="17"/>
          <w:szCs w:val="17"/>
          <w:color w:val="auto"/>
        </w:rPr>
      </w:pPr>
    </w:p>
    <w:p>
      <w:pPr>
        <w:ind w:right="180" w:firstLine="996"/>
        <w:spacing w:after="0" w:line="264" w:lineRule="auto"/>
        <w:tabs>
          <w:tab w:leader="none" w:pos="137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except to the extent that it relates to a Post Liability, any guarantee, indemnification or contribution obligation, surety bond or other credit support agreement, arrangement, commitment or understanding for the benefit of BellRing Inc. or any member of the BellRing Group by any member of the Post Group that survives following the Effective Time; and</w:t>
      </w:r>
    </w:p>
    <w:p>
      <w:pPr>
        <w:spacing w:after="0" w:line="181" w:lineRule="exact"/>
        <w:rPr>
          <w:rFonts w:ascii="Arial" w:cs="Arial" w:eastAsia="Arial" w:hAnsi="Arial"/>
          <w:sz w:val="18"/>
          <w:szCs w:val="18"/>
          <w:color w:val="auto"/>
        </w:rPr>
      </w:pPr>
    </w:p>
    <w:p>
      <w:pPr>
        <w:ind w:right="80" w:firstLine="996"/>
        <w:spacing w:after="0" w:line="284" w:lineRule="auto"/>
        <w:tabs>
          <w:tab w:leader="none" w:pos="135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or any Prospectus (including in any amendments or supplements thereto) (other than information provided by Post to BellRing Inc. or any member of the BellRing Group specifically for inclusion in the IPO Registration Statement or any Prospectus), (ii) contained in any public filings made by BellRing Inc. with the SEC following the date of the IPO, or (iii) provided by BellRing Inc., BellRing LLC or any other member of the BellRing Group to Post specifically for inclusion in Post’s annual or quarterly or current reports or proxy statements following the date of the IPO to the extent</w:t>
      </w:r>
    </w:p>
    <w:p>
      <w:pPr>
        <w:spacing w:after="0" w:line="4" w:lineRule="exact"/>
        <w:rPr>
          <w:rFonts w:ascii="Arial" w:cs="Arial" w:eastAsia="Arial" w:hAnsi="Arial"/>
          <w:sz w:val="16"/>
          <w:szCs w:val="16"/>
          <w:color w:val="auto"/>
        </w:rPr>
      </w:pPr>
    </w:p>
    <w:p>
      <w:pPr>
        <w:ind w:firstLine="4"/>
        <w:spacing w:after="0" w:line="252" w:lineRule="auto"/>
        <w:tabs>
          <w:tab w:leader="none" w:pos="2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information pertains to (x) BellRing Inc. or a member of the BellRing Group or (y) the BellRing Business and (B) Post has provided prior written notice to BellRing Inc. that such information will be included in one or more annual or quarterly or current reports or proxy statements, specifying how such information will be presented, and the information is included in such annual or quarterly or current reports or proxy statements; provided that this subclause (B) shall not apply to the extent that any such Liability arises out of or results from, or in connection with, any action or inaction of any member of the Post Group, including as a result of any misstatement or omission of any information by any member of the Post Group to BellRing Inc. or BellRing LLC.</w:t>
      </w:r>
    </w:p>
    <w:p>
      <w:pPr>
        <w:spacing w:after="0" w:line="194"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Indemnification by Post</w:t>
      </w:r>
      <w:r>
        <w:rPr>
          <w:rFonts w:ascii="Arial" w:cs="Arial" w:eastAsia="Arial" w:hAnsi="Arial"/>
          <w:sz w:val="18"/>
          <w:szCs w:val="18"/>
          <w:color w:val="auto"/>
        </w:rPr>
        <w:t>. Except as otherwise specifically set forth in this Agreement or in any Ancillary Agreement, to the fullest extent permitted by Law, Post shall, and shall cause the other members of the Post Group to, indemnify, defend and hold harmless BellRing Inc., BellRing LLC, each other member of the BellRing Group and each of their respective past, present and future directors, officers, members, managers, employees or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BellRing Indemnitees</w:t>
      </w:r>
      <w:r>
        <w:rPr>
          <w:rFonts w:ascii="Arial" w:cs="Arial" w:eastAsia="Arial" w:hAnsi="Arial"/>
          <w:sz w:val="18"/>
          <w:szCs w:val="18"/>
          <w:color w:val="auto"/>
        </w:rPr>
        <w:t>”), from and against any and all Liabilities of the BellRing Indemnitees relating to, arising out of or resulting from, directly or indirectly, any of the following items (without duplication):</w:t>
      </w:r>
    </w:p>
    <w:p>
      <w:pPr>
        <w:spacing w:after="0" w:line="193" w:lineRule="exact"/>
        <w:rPr>
          <w:sz w:val="20"/>
          <w:szCs w:val="20"/>
          <w:color w:val="auto"/>
        </w:rPr>
      </w:pPr>
    </w:p>
    <w:p>
      <w:pPr>
        <w:ind w:left="1380" w:hanging="384"/>
        <w:spacing w:after="0"/>
        <w:tabs>
          <w:tab w:leader="none" w:pos="13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Post Liability;</w:t>
      </w:r>
    </w:p>
    <w:p>
      <w:pPr>
        <w:spacing w:after="0" w:line="225" w:lineRule="exact"/>
        <w:rPr>
          <w:rFonts w:ascii="Arial" w:cs="Arial" w:eastAsia="Arial" w:hAnsi="Arial"/>
          <w:sz w:val="18"/>
          <w:szCs w:val="18"/>
          <w:color w:val="auto"/>
        </w:rPr>
      </w:pPr>
    </w:p>
    <w:p>
      <w:pPr>
        <w:ind w:right="320" w:firstLine="996"/>
        <w:spacing w:after="0" w:line="277" w:lineRule="auto"/>
        <w:tabs>
          <w:tab w:leader="none" w:pos="138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failure of Post, any other member of the Post Group or any other Person to pay, perform or otherwise promptly discharge any Post Liabilities in accordance with their terms, whether prior to, on or after the Effective Time;</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breach by Post or any other member of the Post Group of this Agreement or any of the Ancillary Agreements;</w:t>
      </w:r>
    </w:p>
    <w:p>
      <w:pPr>
        <w:spacing w:after="0" w:line="225" w:lineRule="exact"/>
        <w:rPr>
          <w:rFonts w:ascii="Arial" w:cs="Arial" w:eastAsia="Arial" w:hAnsi="Arial"/>
          <w:sz w:val="18"/>
          <w:szCs w:val="18"/>
          <w:color w:val="auto"/>
        </w:rPr>
      </w:pPr>
    </w:p>
    <w:p>
      <w:pPr>
        <w:ind w:right="80" w:firstLine="996"/>
        <w:spacing w:after="0" w:line="264" w:lineRule="auto"/>
        <w:tabs>
          <w:tab w:leader="none" w:pos="138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except to the extent it relates to a BellRing Liability, any guarantee, indemnification or contribution obligation, surety bond or other credit support agreement, arrangement, commitment or understanding for the benefit of any member of the Post Group by BellRing Inc. or any member of the BellRing Group that survives following the Effective Time;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271" w:name="page272"/>
    <w:bookmarkEnd w:id="271"/>
    <w:p>
      <w:pPr>
        <w:ind w:right="40" w:firstLine="996"/>
        <w:spacing w:after="0" w:line="284" w:lineRule="auto"/>
        <w:tabs>
          <w:tab w:leader="none" w:pos="1372" w:val="left"/>
        </w:tabs>
        <w:numPr>
          <w:ilvl w:val="1"/>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or any Prospectus (including in any amendments or supplements thereto) provided by Post specifically for inclusion therein to the extent such information pertains to (x) any member of the Post Group or (y) the Post Business or (ii) provided by Post to BellRing Inc. or any member of the BellRing Group specifically for inclusion in BellRing Inc.’s annual or quarterly or current reports or proxy statements following the date of the IPO to the extent (A) such information pertains to (x) a member of the Post Group or (y) the Post Business and (B) BellRing Inc. has provided written notice to Post that such information will be included in one or more annual or quarterly or current reports or proxy statements, specifying how such information will be presented, and the information is included in such annual or quarterly or current reports or proxy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subclause</w:t>
      </w:r>
    </w:p>
    <w:p>
      <w:pPr>
        <w:spacing w:after="0" w:line="1" w:lineRule="exact"/>
        <w:rPr>
          <w:rFonts w:ascii="Arial" w:cs="Arial" w:eastAsia="Arial" w:hAnsi="Arial"/>
          <w:sz w:val="16"/>
          <w:szCs w:val="16"/>
          <w:color w:val="auto"/>
        </w:rPr>
      </w:pPr>
    </w:p>
    <w:p>
      <w:pPr>
        <w:ind w:right="180" w:firstLine="4"/>
        <w:spacing w:after="0" w:line="255" w:lineRule="auto"/>
        <w:tabs>
          <w:tab w:leader="none" w:pos="2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shall not apply to the extent that any such Liability arises out of or results from, or in connection with, any action or inaction of any member of the BellRing Group or BellRing Inc., including as a result of any misstatement or omission of any information by any member of the BellRing Group or BellRing Inc. to Post.</w:t>
      </w:r>
    </w:p>
    <w:p>
      <w:pPr>
        <w:spacing w:after="0" w:line="29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Indemnification Obligations Net of Insurance Proceeds and Other Amounts</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69" w:lineRule="auto"/>
        <w:tabs>
          <w:tab w:leader="none" w:pos="137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Post and BellRing LLC intend that any Liability subject to indemnification, contribution or reimbursement pursuant to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shall be net of Insurance Proceeds or other amounts actually recovered (net of any out-of-pocket costs or expenses incurred in the collection thereof) from any Person by or on behalf of the Indemnitee in respect of any indemnifiable Liability. Accordingly, the amount which Post or BellRing LLC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pay to any Person entitled to indemnification or contribution hereunder (an “</w:t>
      </w:r>
      <w:r>
        <w:rPr>
          <w:rFonts w:ascii="Arial" w:cs="Arial" w:eastAsia="Arial" w:hAnsi="Arial"/>
          <w:sz w:val="17"/>
          <w:szCs w:val="17"/>
          <w:u w:val="single" w:color="auto"/>
          <w:color w:val="auto"/>
        </w:rPr>
        <w:t>Indemnitee</w:t>
      </w:r>
      <w:r>
        <w:rPr>
          <w:rFonts w:ascii="Arial" w:cs="Arial" w:eastAsia="Arial" w:hAnsi="Arial"/>
          <w:sz w:val="17"/>
          <w:szCs w:val="17"/>
          <w:color w:val="auto"/>
        </w:rPr>
        <w:t>”) shall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Arial" w:cs="Arial" w:eastAsia="Arial" w:hAnsi="Arial"/>
          <w:sz w:val="17"/>
          <w:szCs w:val="17"/>
          <w:u w:val="single" w:color="auto"/>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or any other amounts in respect of such Liability, then within ten (10) calendar days of receipt of such Insurance Proceeds,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82" w:lineRule="exact"/>
        <w:rPr>
          <w:rFonts w:ascii="Arial" w:cs="Arial" w:eastAsia="Arial" w:hAnsi="Arial"/>
          <w:sz w:val="17"/>
          <w:szCs w:val="17"/>
          <w:color w:val="auto"/>
        </w:rPr>
      </w:pPr>
    </w:p>
    <w:p>
      <w:pPr>
        <w:ind w:firstLine="996"/>
        <w:spacing w:after="0" w:line="287" w:lineRule="auto"/>
        <w:tabs>
          <w:tab w:leader="none" w:pos="137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An insurer that would otherwise be obligated to pay any claim shall not be relieved of the responsibility with respect thereto or, solely by virtue of any provision contained in this Agreement or any Ancillary Agreement, have any subrogation rights with respect thereto, it being understood that no insurer or any other Third Party shall be entitled to a “windfall” (i.e., a benefit such insurer or other Third Party would not be entitled to receive in the absence of the indemnification provisions) by virtue of the indemnification and contribution provisions hereof. Each of Post, BellRing Inc. and BellRing LLC shall, and shall, as applicable, cause the members of its respective Group to, use commercially reasonable efforts (taking into account the probability of success on the merits and the cost of expending such efforts, including outside attorneys’ fees and expenses) to collect or recover any Insurance Proceeds that may be collectible or recoverable respecting the Liabilities for which indemnification or contribution may be available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72" w:name="page273"/>
    <w:bookmarkEnd w:id="272"/>
    <w:p>
      <w:pPr>
        <w:ind w:right="180" w:firstLine="996"/>
        <w:spacing w:after="0" w:line="273" w:lineRule="auto"/>
        <w:tabs>
          <w:tab w:leader="none" w:pos="1362" w:val="left"/>
        </w:tabs>
        <w:numPr>
          <w:ilvl w:val="0"/>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Liabilities indemnifiable hereunder shall be (i) reduced by an amount equal to any Tax benefit actually recognized in cash as a result of such Liability by an Indemnitee (on the basis of a reduction in cash payments for Taxes) during the two-year period starting on the date an Indemnity Payment is made with respect to such Liability, and (ii) increased by an amount equal to any additional Tax cost incurred by the Indemnitee arising from the receipt of Indemnification Payments hereunder. In computing the amount of any such Tax cost or Tax benefit, the Indemnitee shall be deemed to recognize all other items of income, gain, loss, deduction or credit before recognizing any item arising from the receipt of any Indemnification Payment hereunder or the incurrence or payment of any indemnified Liability.</w:t>
      </w:r>
    </w:p>
    <w:p>
      <w:pPr>
        <w:spacing w:after="0" w:line="2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Procedures for Indemnification of Third Party Claims</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69" w:lineRule="auto"/>
        <w:tabs>
          <w:tab w:leader="none" w:pos="137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Notice of Claims</w:t>
      </w:r>
      <w:r>
        <w:rPr>
          <w:rFonts w:ascii="Arial" w:cs="Arial" w:eastAsia="Arial" w:hAnsi="Arial"/>
          <w:sz w:val="17"/>
          <w:szCs w:val="17"/>
          <w:color w:val="auto"/>
        </w:rPr>
        <w:t>. If, at or following the Effective Time, an Indemnitee shall receive notice or otherwise learn of the assertion by a Person (including any Governmental Authority) who is not a member of the Post Group, BellRing Inc. or the BellRing Group of any claim or of the commencement by any such Person of any Action (collectively,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with respect to which an Indemnifying Party may be obligated to provide indemnification to such Indemnitee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or any other Section of this Agreement or any Ancillary Agreement, such Indemnitee shall give such Indemnifying Party written notice thereof as soon as practicable, but in any event within fourteen (14) days (or earlier if the nature of the Third Party Claim so requires) after becoming aware of such Third Party Claim. Any such notice shall describe the Third Party Claim in reasonable detail, including the facts and circumstances giving rise to such claim for indemnification, and include copies of all notices and documents (including court papers) received by the Indemnitee relating to the Third Party Claim. Notwithstanding the foregoing, the failure of an Indemnitee to provide notice in accordance with this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Arial" w:cs="Arial" w:eastAsia="Arial" w:hAnsi="Arial"/>
          <w:sz w:val="17"/>
          <w:szCs w:val="17"/>
          <w:u w:val="single" w:color="auto"/>
          <w:color w:val="auto"/>
        </w:rPr>
        <w:t>Section 5.5(a).</w:t>
      </w:r>
    </w:p>
    <w:p>
      <w:pPr>
        <w:spacing w:after="0" w:line="182" w:lineRule="exact"/>
        <w:rPr>
          <w:rFonts w:ascii="Arial" w:cs="Arial" w:eastAsia="Arial" w:hAnsi="Arial"/>
          <w:sz w:val="17"/>
          <w:szCs w:val="17"/>
          <w:color w:val="auto"/>
        </w:rPr>
      </w:pPr>
    </w:p>
    <w:p>
      <w:pPr>
        <w:ind w:right="80" w:firstLine="996"/>
        <w:spacing w:after="0" w:line="285" w:lineRule="auto"/>
        <w:tabs>
          <w:tab w:leader="none" w:pos="1382"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Control of Defense</w:t>
      </w:r>
      <w:r>
        <w:rPr>
          <w:rFonts w:ascii="Arial" w:cs="Arial" w:eastAsia="Arial" w:hAnsi="Arial"/>
          <w:sz w:val="16"/>
          <w:szCs w:val="16"/>
          <w:color w:val="auto"/>
        </w:rPr>
        <w:t xml:space="preserve">. Subject to any insurer’s rights pursuant to any Policies of any of Post, BellRing Inc. or BellRing LLC, as applicable, an Indemnifying Party may elect to defend (and seek to settle or compromise), at its own expense and with its own counsel, any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Indemnifying Party assuming and controlling defense of such Third Party Claim, it shall first confirm to the Indemnitee in writing that, assuming the facts presented to the Indemnifying Party by the Indemnitee are true, the Indemnifying Party shall indemnify the Indemnitee for any such damages to the extent resulting from, or arising out of, such Third Party Claim. Notwithstanding the foregoing, if the Indemnifying Party assumes such defense and, in the course of defending such Third Party Claim, (i) the Indemnifying Party discovers that the facts presented at the time the Indemnifying Party acknowledged its indemnification obligation in respect of such Third Party Claim were not true in all material respects and (ii) such untruth provides a reasonable basis for asserting that the Indemnifying Party does not have an indemnification obligation in respect of such Third Party Claim, then (A) the Indemnifying Party shall not be bound by such acknowledgment, (B) the Indemnifying Party shall promptly thereafter provide the Indemnitee written notice of its assertion that it does not have an indemnification obligation in respect of such Third Party Claim and (C) the Indemnitee shall have the right to assume the defense of such Third Party Claim. Within thirty (30) days after the receipt of a notice from an Indemnitee in accordance with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(or sooner, if the nature of the Third Party Claim so requires), the Indemnifying Party shall provide written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as provided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or fails to notify an Indemnitee of its election within thirty (30) days (or such earlier period as provided herein) after receipt of the notice from an Indemnitee as provided in </w:t>
      </w:r>
      <w:r>
        <w:rPr>
          <w:rFonts w:ascii="Arial" w:cs="Arial" w:eastAsia="Arial" w:hAnsi="Arial"/>
          <w:sz w:val="16"/>
          <w:szCs w:val="16"/>
          <w:u w:val="single" w:color="auto"/>
          <w:color w:val="auto"/>
        </w:rPr>
        <w:t>Section 5.5(a)</w:t>
      </w:r>
      <w:r>
        <w:rPr>
          <w:rFonts w:ascii="Arial" w:cs="Arial" w:eastAsia="Arial" w:hAnsi="Arial"/>
          <w:sz w:val="16"/>
          <w:szCs w:val="16"/>
          <w:color w:val="auto"/>
        </w:rPr>
        <w:t>, then the Indemnitee that is the subject of such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273" w:name="page274"/>
    <w:bookmarkEnd w:id="27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 shall be entitled to continue to conduct and control the defense of such Third Party Claim. Notwithstanding anything herein to the contrary, to the extent a Third Party Claim involves or would reasonably be expected to involve both a BellRing Liability and a Post Liability (collectively, a “</w:t>
      </w:r>
      <w:r>
        <w:rPr>
          <w:rFonts w:ascii="Arial" w:cs="Arial" w:eastAsia="Arial" w:hAnsi="Arial"/>
          <w:sz w:val="18"/>
          <w:szCs w:val="18"/>
          <w:u w:val="single" w:color="auto"/>
          <w:color w:val="auto"/>
        </w:rPr>
        <w:t>Shared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Third Party Claim</w:t>
      </w:r>
      <w:r>
        <w:rPr>
          <w:rFonts w:ascii="Arial" w:cs="Arial" w:eastAsia="Arial" w:hAnsi="Arial"/>
          <w:sz w:val="18"/>
          <w:szCs w:val="18"/>
          <w:color w:val="auto"/>
        </w:rPr>
        <w:t>”), Post shall have the sole right to defend and control such portion of any Action relating to such Third Party Claim to the extent it relates to a Post Liability, and BellRing LLC shall have the sole right to defend and control such portion of any Action relating to such Third Party Claim to the extent it relates to a BellRing Liability.</w:t>
      </w:r>
    </w:p>
    <w:p>
      <w:pPr>
        <w:spacing w:after="0" w:line="188" w:lineRule="exact"/>
        <w:rPr>
          <w:sz w:val="20"/>
          <w:szCs w:val="20"/>
          <w:color w:val="auto"/>
        </w:rPr>
      </w:pPr>
    </w:p>
    <w:p>
      <w:pPr>
        <w:ind w:right="100" w:firstLine="996"/>
        <w:spacing w:after="0" w:line="268" w:lineRule="auto"/>
        <w:tabs>
          <w:tab w:leader="none" w:pos="1371"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Allocation of Defense Costs</w:t>
      </w:r>
      <w:r>
        <w:rPr>
          <w:rFonts w:ascii="Arial" w:cs="Arial" w:eastAsia="Arial" w:hAnsi="Arial"/>
          <w:sz w:val="17"/>
          <w:szCs w:val="17"/>
          <w:color w:val="auto"/>
        </w:rPr>
        <w:t xml:space="preserve">. If an Indemnifying Party has elected to assume the defense of a Third Party Claim, whether with or 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by the Indemnifying Party during the course of the defense of such Third Party Claim by such Indemnifying Party,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(or such earlier period as provided in </w:t>
      </w:r>
      <w:r>
        <w:rPr>
          <w:rFonts w:ascii="Arial" w:cs="Arial" w:eastAsia="Arial" w:hAnsi="Arial"/>
          <w:sz w:val="17"/>
          <w:szCs w:val="17"/>
          <w:u w:val="single" w:color="auto"/>
          <w:color w:val="auto"/>
        </w:rPr>
        <w:t>Section 5.5(b)</w:t>
      </w:r>
      <w:r>
        <w:rPr>
          <w:rFonts w:ascii="Arial" w:cs="Arial" w:eastAsia="Arial" w:hAnsi="Arial"/>
          <w:sz w:val="17"/>
          <w:szCs w:val="17"/>
          <w:color w:val="auto"/>
        </w:rPr>
        <w:t>), and the Indemnitee conducts and controls the defense of such Third Party Claim and the Indemnifying Party has an indemnification obligation with respect to such Third Party Claim, then the Indemnifying Party shall be liable for all reasonable fees and expenses incurred by the Indemnitee in connection with the defense of such Third Party Claim. In the event of a Shared Third Party Claim, each Party shall be liable for the portion of the fees and expenses incurred by such Party in connection with the defense of such Shared Third Party Claim that is equal to the relative portion of such Party’s Liability in respect of such Shared Third Party Claim, and shall be entitled to seek any indemnification or reimbursement from the other Party for any fees or expenses incurred by such Party during the course of the defense of such Shared Third Party Claim in excess of such fees and expenses that are the responsibility of such Party pursuant to this Agreement.</w:t>
      </w:r>
    </w:p>
    <w:p>
      <w:pPr>
        <w:spacing w:after="0" w:line="185" w:lineRule="exact"/>
        <w:rPr>
          <w:rFonts w:ascii="Arial" w:cs="Arial" w:eastAsia="Arial" w:hAnsi="Arial"/>
          <w:sz w:val="17"/>
          <w:szCs w:val="17"/>
          <w:color w:val="auto"/>
        </w:rPr>
      </w:pPr>
    </w:p>
    <w:p>
      <w:pPr>
        <w:ind w:firstLine="996"/>
        <w:spacing w:after="0" w:line="287" w:lineRule="auto"/>
        <w:tabs>
          <w:tab w:leader="none" w:pos="1382"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Right to Monitor and Participate</w:t>
      </w:r>
      <w:r>
        <w:rPr>
          <w:rFonts w:ascii="Arial" w:cs="Arial" w:eastAsia="Arial" w:hAnsi="Arial"/>
          <w:sz w:val="16"/>
          <w:szCs w:val="16"/>
          <w:color w:val="auto"/>
        </w:rPr>
        <w:t xml:space="preserve">. An Indemnitee that does not conduct and control the defense of any Third Party Claim, or an Indemnifying Party that has failed to elect to defend any Third Party Claim as contemplated hereby and either Post or BellRing LLC in the case of a Shared Third Party Claim, nevertheless shall have the right to employ separate outside counsel (including local counsel as necessary) of its own choosing to monitor and participate in (but not control) the defense of any Third 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5.5(c)</w:t>
      </w:r>
      <w:r>
        <w:rPr>
          <w:rFonts w:ascii="Arial" w:cs="Arial" w:eastAsia="Arial" w:hAnsi="Arial"/>
          <w:sz w:val="16"/>
          <w:szCs w:val="16"/>
          <w:color w:val="auto"/>
        </w:rPr>
        <w:t xml:space="preserve"> shall not apply to such fees and expenses. Notwithstanding the foregoing, such Party shall cooperate with the Party entitled to conduct and control the defense of such Third Party Claim in such defense and make available to the controlling Party, at the Indemnifying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outside counsel (including local counsel as necessary) and to participate in (but not control) the defense, compromise, or settlement thereof, and in such case the Indemnifying Party shall bear the reasonable fees and expenses of such counsel for all Indemnitees.</w:t>
      </w:r>
    </w:p>
    <w:p>
      <w:pPr>
        <w:spacing w:after="0" w:line="168" w:lineRule="exact"/>
        <w:rPr>
          <w:rFonts w:ascii="Arial" w:cs="Arial" w:eastAsia="Arial" w:hAnsi="Arial"/>
          <w:sz w:val="16"/>
          <w:szCs w:val="16"/>
          <w:color w:val="auto"/>
        </w:rPr>
      </w:pPr>
    </w:p>
    <w:p>
      <w:pPr>
        <w:ind w:right="140" w:firstLine="996"/>
        <w:spacing w:after="0" w:line="342" w:lineRule="auto"/>
        <w:tabs>
          <w:tab w:leader="none" w:pos="1371"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No Settlement</w:t>
      </w:r>
      <w:r>
        <w:rPr>
          <w:rFonts w:ascii="Arial" w:cs="Arial" w:eastAsia="Arial" w:hAnsi="Arial"/>
          <w:sz w:val="16"/>
          <w:szCs w:val="16"/>
          <w:color w:val="auto"/>
        </w:rPr>
        <w:t>. None of Post, BellRing LLC or BellRing Inc. may settle or compromise any Third Party Claim for which such Party is seeking to be indemnified hereunder without the prior written consent of the Indemnifying Party, which consent may not be unreasonably withheld,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74" w:name="page275"/>
    <w:bookmarkEnd w:id="274"/>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conditioned or delayed, unless such settlement or compromise is solely for monetary damages that are fully payable by the settling or compromising Party, does not involve any admission, finding or determination of wrongdoing or violation of Law by such other Party or another member of its Group (including for this purpose BellRing Inc., if Post is the Indemnifying Party) or the Indemnitee and provides for a full, unconditional and irrevocable release of such other Party and the other members of its Group (including for this purpose BellRing Inc., if Post is the Indemnifying Party) and the Indemnitee(s) from all Liability in connection with the Third Party Claim. Post, BellRing LLC and BellRing Inc. hereby agree that if one of them presents such other Party with a written notice containing a proposal to settle or compromise a Third Party Claim for which any of Post, BellRing LLC or BellRing Inc.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167" w:lineRule="exact"/>
        <w:rPr>
          <w:sz w:val="20"/>
          <w:szCs w:val="20"/>
          <w:color w:val="auto"/>
        </w:rPr>
      </w:pPr>
    </w:p>
    <w:p>
      <w:pPr>
        <w:jc w:val="both"/>
        <w:ind w:firstLine="996"/>
        <w:spacing w:after="0" w:line="259" w:lineRule="auto"/>
        <w:tabs>
          <w:tab w:leader="none" w:pos="1352"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Tax Matters Agreement Coordination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hereof shall not apply with respect to Taxes or Tax matters (it being understood and agreed that claims with respect to Taxes and Tax matters, including the control of Tax-related proceedings, shall be governed by the Tax Matters Agreement). In the case of any conflict between this Agreement and the Tax Matters Agreement in relation to any matters addressed by the Tax Matters Agreement, the Tax Matters Agreement shall prevail.</w:t>
      </w:r>
    </w:p>
    <w:p>
      <w:pPr>
        <w:spacing w:after="0" w:line="29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Additional Matters</w:t>
      </w:r>
      <w:r>
        <w:rPr>
          <w:rFonts w:ascii="Arial" w:cs="Arial" w:eastAsia="Arial" w:hAnsi="Arial"/>
          <w:sz w:val="17"/>
          <w:szCs w:val="17"/>
          <w:color w:val="auto"/>
        </w:rPr>
        <w:t>.</w:t>
      </w:r>
    </w:p>
    <w:p>
      <w:pPr>
        <w:spacing w:after="0" w:line="117" w:lineRule="exact"/>
        <w:rPr>
          <w:sz w:val="20"/>
          <w:szCs w:val="20"/>
          <w:color w:val="auto"/>
        </w:rPr>
      </w:pPr>
    </w:p>
    <w:p>
      <w:pPr>
        <w:ind w:right="100" w:firstLine="996"/>
        <w:spacing w:after="0" w:line="271" w:lineRule="auto"/>
        <w:tabs>
          <w:tab w:leader="none" w:pos="1371"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xml:space="preserve">. Indemnification or contribution payments in respect of any Liabilities for which an Indemnitee is entitled to indemnification or contribution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paid reasonably promptly (but in any event within forty-five (45) days of the final determination of the amount that the Indemnitee is entitled to indemnification or contribution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178" w:lineRule="exact"/>
        <w:rPr>
          <w:rFonts w:ascii="Arial" w:cs="Arial" w:eastAsia="Arial" w:hAnsi="Arial"/>
          <w:sz w:val="17"/>
          <w:szCs w:val="17"/>
          <w:color w:val="auto"/>
        </w:rPr>
      </w:pPr>
    </w:p>
    <w:p>
      <w:pPr>
        <w:ind w:firstLine="996"/>
        <w:spacing w:after="0" w:line="270" w:lineRule="auto"/>
        <w:tabs>
          <w:tab w:leader="none" w:pos="1382"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Notice of Direct Claims</w:t>
      </w:r>
      <w:r>
        <w:rPr>
          <w:rFonts w:ascii="Arial" w:cs="Arial" w:eastAsia="Arial" w:hAnsi="Arial"/>
          <w:sz w:val="17"/>
          <w:szCs w:val="17"/>
          <w:color w:val="auto"/>
        </w:rPr>
        <w:t xml:space="preserve">. Any claim for indemnification or contribution under this Agreement or any Ancillary Agreement that does not result from a Third Party Claim shall be asserted by written notice given by the Indemnitee to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by an Indemnitee to so assert any such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specified claim shall be conclusively deemed a Liability of the Indemnifying Party under this </w:t>
      </w:r>
      <w:r>
        <w:rPr>
          <w:rFonts w:ascii="Arial" w:cs="Arial" w:eastAsia="Arial" w:hAnsi="Arial"/>
          <w:sz w:val="17"/>
          <w:szCs w:val="17"/>
          <w:u w:val="single" w:color="auto"/>
          <w:color w:val="auto"/>
        </w:rPr>
        <w:t>Section 5.6(b)</w:t>
      </w:r>
      <w:r>
        <w:rPr>
          <w:rFonts w:ascii="Arial" w:cs="Arial" w:eastAsia="Arial" w:hAnsi="Arial"/>
          <w:sz w:val="17"/>
          <w:szCs w:val="17"/>
          <w:color w:val="auto"/>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be free to pursue such remedies as may be available to such Party as contemplated by this Agreement and the Ancillary Agreements, as applicable, without prejudice to its continuing rights to pursue indemnification or contribution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75" w:name="page276"/>
    <w:bookmarkEnd w:id="275"/>
    <w:p>
      <w:pPr>
        <w:ind w:left="-20" w:right="80" w:firstLine="996"/>
        <w:spacing w:after="0" w:line="255" w:lineRule="auto"/>
        <w:tabs>
          <w:tab w:leader="none" w:pos="135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Pursuit of Claims Against Third Parties</w:t>
      </w:r>
      <w:r>
        <w:rPr>
          <w:rFonts w:ascii="Arial" w:cs="Arial" w:eastAsia="Arial" w:hAnsi="Arial"/>
          <w:sz w:val="18"/>
          <w:szCs w:val="18"/>
          <w:color w:val="auto"/>
        </w:rPr>
        <w:t>. If (i) Post, BellRing Inc. or BellRing LLC incurs any Liability arising out of this Agreement or any Ancillary Agreement; (ii) an adequate legal or equitable remedy is not available for any reason against such other Party to satisfy the Liability incurred by such incurring Party; and (iii) a legal or equitable remedy may be available to such other Party against a Third Party for such Liability, then such other Party (Post, BellRing Inc. or BellRing LLC, as the case may be) shall use its commercially reasonable efforts to cooperate with such incurring Party, at such incurring Party’s expense, to permit such incurring Party to obtain the benefits of such legal or equitable remedy against the Third Party.</w:t>
      </w:r>
    </w:p>
    <w:p>
      <w:pPr>
        <w:spacing w:after="0" w:line="193" w:lineRule="exact"/>
        <w:rPr>
          <w:rFonts w:ascii="Arial" w:cs="Arial" w:eastAsia="Arial" w:hAnsi="Arial"/>
          <w:sz w:val="18"/>
          <w:szCs w:val="18"/>
          <w:color w:val="auto"/>
        </w:rPr>
      </w:pPr>
    </w:p>
    <w:p>
      <w:pPr>
        <w:ind w:left="-20" w:right="60" w:firstLine="996"/>
        <w:spacing w:after="0" w:line="276" w:lineRule="auto"/>
        <w:tabs>
          <w:tab w:leader="none" w:pos="1362"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2" w:lineRule="exact"/>
        <w:rPr>
          <w:rFonts w:ascii="Arial" w:cs="Arial" w:eastAsia="Arial" w:hAnsi="Arial"/>
          <w:sz w:val="17"/>
          <w:szCs w:val="17"/>
          <w:color w:val="auto"/>
        </w:rPr>
      </w:pPr>
    </w:p>
    <w:p>
      <w:pPr>
        <w:ind w:left="-20" w:firstLine="996"/>
        <w:spacing w:after="0" w:line="267" w:lineRule="auto"/>
        <w:tabs>
          <w:tab w:leader="none" w:pos="1351"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Covered Expenses</w:t>
      </w:r>
      <w:r>
        <w:rPr>
          <w:rFonts w:ascii="Arial" w:cs="Arial" w:eastAsia="Arial" w:hAnsi="Arial"/>
          <w:sz w:val="17"/>
          <w:szCs w:val="17"/>
          <w:color w:val="auto"/>
        </w:rPr>
        <w:t>. Each of BellRing Inc. and BellRing LLC acknowledges and agrees that it shall, and to the extent applicable, BellRing LLC shall cause the other members of the BellRing Group to, be fully and primarily responsible for the payment to each Covered Person in respect of indemnification or advancement of all out-of-pocket costs of any type or nature whatsoever (including, without limitation, all outside attorneys’ fees and related disbursements) in each case, actually and reasonably incurred by or on behalf of a Covered Person in connection with either the investigation, defense or appeal of a claim, demand, action, suit or proceeding or establishing or enforcing a right to indemnification under this Agreement or otherwise incurred in connection with a claim that is indemnifiable in connection with any Covered Claim (collectively, “</w:t>
      </w:r>
      <w:r>
        <w:rPr>
          <w:rFonts w:ascii="Arial" w:cs="Arial" w:eastAsia="Arial" w:hAnsi="Arial"/>
          <w:sz w:val="17"/>
          <w:szCs w:val="17"/>
          <w:u w:val="single" w:color="auto"/>
          <w:color w:val="auto"/>
        </w:rPr>
        <w:t>Covered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Expenses</w:t>
      </w:r>
      <w:r>
        <w:rPr>
          <w:rFonts w:ascii="Arial" w:cs="Arial" w:eastAsia="Arial" w:hAnsi="Arial"/>
          <w:sz w:val="17"/>
          <w:szCs w:val="17"/>
          <w:color w:val="auto"/>
        </w:rPr>
        <w:t>”), pursuant to and in accordance with (as applicable) the terms of (i) this Agreement, (ii) any other agreement between or among BellRing Inc., BellRing LLC or any other member of the BellRing Group, on the one hand, and the Covered Person, on the other hand, pursuant to which the Covered Person has rights to indemnification, advancement of expenses and/or insurance, (iii) applicable Law and/or (iv) the certificate of incorporation, certificate of organization, bylaws, partnership agreement, operating agreement, certificate of formation, certificate of limited partnership, certificate of qualification or other organizational or governing documents of BellRing Inc., BellRing LLC or any other member of the BellRing Group ((i) through (iv) collectively, the “</w:t>
      </w:r>
      <w:r>
        <w:rPr>
          <w:rFonts w:ascii="Arial" w:cs="Arial" w:eastAsia="Arial" w:hAnsi="Arial"/>
          <w:sz w:val="17"/>
          <w:szCs w:val="17"/>
          <w:u w:val="single" w:color="auto"/>
          <w:color w:val="auto"/>
        </w:rPr>
        <w:t>Covered Expense Sources</w:t>
      </w:r>
      <w:r>
        <w:rPr>
          <w:rFonts w:ascii="Arial" w:cs="Arial" w:eastAsia="Arial" w:hAnsi="Arial"/>
          <w:sz w:val="17"/>
          <w:szCs w:val="17"/>
          <w:color w:val="auto"/>
        </w:rPr>
        <w:t xml:space="preserve">”), irrespective of any right of recovery the Covered Person may have from Post or any other member of the Post Group. Under no circumstance shall BellRing Inc., BellRing LLC or any other member of the BellRing Group be entitled to any right of subrogation or contribution by Post or any other member of the Post Group and no right of advancement or recovery the Covered Person may have from Post or any other member of the Post Group shall reduce or otherwise alter the rights of the Covered Person or the obligations of BellRing Inc., BellRing LLC or any other member of the BellRing Group under the Covered Expense Sources. In the event that Post or any other member of the Post Group shall make any payment to the Covered Person in respect of indemnification or advancement of Covered Expenses with respect to any Covered Claim, (x) BellRing Inc. or BellRing LLC, as applicable, shall, and to the extent applicable, BellRing LLC shall cause any other member of the BellRing Group to, reimburse the applicable member(s) of the Post Group making such payment to the extent of such payment promptly upon written demand from Post or such member(s) of the Post Group, and (y) to the extent not previously and fully reimbursed by BellRing Inc., BellRing LLC or any other member of the BellRing Group, as applicable, pursuant to clause (x), the applicable member(s) of the Post Group making such payment shall be subrogated to the extent of the outstanding balance of such payment to all of the rights of recovery of the Covered Person against BellRing Inc., BellRing LLC and/or such members of the BellRing Group, as applicable. For the avoidance of doubt, BellRing Inc. and BellRing LLC each acknowledges and agrees that insurance policies carried by Post or other members of the Post Group may have provisions reflecting the allocation of liability set forth in this </w:t>
      </w:r>
      <w:r>
        <w:rPr>
          <w:rFonts w:ascii="Arial" w:cs="Arial" w:eastAsia="Arial" w:hAnsi="Arial"/>
          <w:sz w:val="17"/>
          <w:szCs w:val="17"/>
          <w:u w:val="single" w:color="auto"/>
          <w:color w:val="auto"/>
        </w:rPr>
        <w:t>Section 5.6(e)</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60" w:top="274" w:right="439" w:bottom="1440" w:gutter="0" w:footer="0" w:header="0"/>
        </w:sectPr>
      </w:pPr>
    </w:p>
    <w:bookmarkStart w:id="276" w:name="page277"/>
    <w:bookmarkEnd w:id="276"/>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r>
        <w:rPr>
          <w:sz w:val="20"/>
          <w:szCs w:val="20"/>
          <w:color w:val="auto"/>
        </w:rPr>
        <w:tab/>
      </w:r>
      <w:r>
        <w:rPr>
          <w:rFonts w:ascii="Arial" w:cs="Arial" w:eastAsia="Arial" w:hAnsi="Arial"/>
          <w:sz w:val="17"/>
          <w:szCs w:val="17"/>
          <w:u w:val="single" w:color="auto"/>
          <w:color w:val="auto"/>
        </w:rPr>
        <w:t>Right of Contribution</w:t>
      </w:r>
      <w:r>
        <w:rPr>
          <w:rFonts w:ascii="Arial" w:cs="Arial" w:eastAsia="Arial" w:hAnsi="Arial"/>
          <w:sz w:val="17"/>
          <w:szCs w:val="17"/>
          <w:color w:val="auto"/>
        </w:rPr>
        <w:t>.</w:t>
      </w:r>
    </w:p>
    <w:p>
      <w:pPr>
        <w:spacing w:after="0" w:line="117" w:lineRule="exact"/>
        <w:rPr>
          <w:sz w:val="20"/>
          <w:szCs w:val="20"/>
          <w:color w:val="auto"/>
        </w:rPr>
      </w:pPr>
    </w:p>
    <w:p>
      <w:pPr>
        <w:ind w:right="140" w:firstLine="996"/>
        <w:spacing w:after="0" w:line="255" w:lineRule="auto"/>
        <w:tabs>
          <w:tab w:leader="none" w:pos="137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any right of indemnification contained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(including for this purpose BellRing Inc., if the Indemnitee is a Post Indemnitee), on the one hand, and the Indemnitees entitled to contribution, on the other hand, as well as any other relevant equitable considerations.</w:t>
      </w:r>
    </w:p>
    <w:p>
      <w:pPr>
        <w:spacing w:after="0" w:line="193" w:lineRule="exact"/>
        <w:rPr>
          <w:rFonts w:ascii="Arial" w:cs="Arial" w:eastAsia="Arial" w:hAnsi="Arial"/>
          <w:sz w:val="18"/>
          <w:szCs w:val="18"/>
          <w:color w:val="auto"/>
        </w:rPr>
      </w:pPr>
    </w:p>
    <w:p>
      <w:pPr>
        <w:ind w:firstLine="996"/>
        <w:spacing w:after="0" w:line="270" w:lineRule="auto"/>
        <w:tabs>
          <w:tab w:leader="none" w:pos="1382"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Allocation of Relative Fault</w:t>
      </w:r>
      <w:r>
        <w:rPr>
          <w:rFonts w:ascii="Arial" w:cs="Arial" w:eastAsia="Arial" w:hAnsi="Arial"/>
          <w:sz w:val="17"/>
          <w:szCs w:val="17"/>
          <w:color w:val="auto"/>
        </w:rPr>
        <w:t xml:space="preserve">. Solely for purposes of determining relative fault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(i) any fault associated with the business conducted with the Delayed BellRing Assets or Delayed BellRing Liabilities (except for the gross negligence or intentional misconduct of a member of the Post Group) or with the ownership, operation or activities of the BellRing Business prior to the Effective Time shall be deemed to be the fault of BellRing LLC and the other members of the BellRing Group, and no such fault shall be deemed to be the fault of Post or any other member of the Post Group; (ii) any fault associated with the business conducted with Delayed Post Assets or Delayed Post Liabilities (except for the gross negligence or intentional misconduct of BellRing Inc. or a member of the BellRing Group) shall be deemed to be the fault of Post and the other members of the Post Group, and no such fault shall be deemed to be the fault of BellRing Inc., BellRing LLC or any other member of the BellRing Group; and (iii) any fault associated with the ownership, operation or activities of the Post Business prior to the Effective Time shall be deemed to be the fault of Post and the other members of the Post Group, and no such fault shall be deemed to be the fault of BellRing Inc., BellRing LLC or any other member of the BellRing Group.</w:t>
      </w:r>
    </w:p>
    <w:p>
      <w:pPr>
        <w:spacing w:after="0" w:line="178" w:lineRule="exact"/>
        <w:rPr>
          <w:sz w:val="20"/>
          <w:szCs w:val="20"/>
          <w:color w:val="auto"/>
        </w:rPr>
      </w:pPr>
    </w:p>
    <w:p>
      <w:pPr>
        <w:ind w:right="240" w:firstLine="441"/>
        <w:spacing w:after="0" w:line="272"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Covenant Not to Sue</w:t>
      </w:r>
      <w:r>
        <w:rPr>
          <w:rFonts w:ascii="Arial" w:cs="Arial" w:eastAsia="Arial" w:hAnsi="Arial"/>
          <w:sz w:val="17"/>
          <w:szCs w:val="17"/>
          <w:color w:val="auto"/>
        </w:rPr>
        <w:t xml:space="preserve">. Each of BellRing Inc., Post and BellRing LLC hereby covenants and agrees that none of it, the members of its respective Group, as applicable,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BellRing Liabilities by BellRing LLC or a member of the BellRing Group on the terms and conditions set forth in this Agreement and the Ancillary Agreements is void or unenforceable for any reason; (b) the retention of any Post Liabilities by Post or a member of the Post Group on the terms and conditions set forth in this Agreement and the Ancillary Agreements is void or unenforceable for any reason; or (c)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are void or unenforceable for any reason.</w:t>
      </w:r>
    </w:p>
    <w:p>
      <w:pPr>
        <w:spacing w:after="0" w:line="17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cumulative and, subject to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preclude assertion by any Indemnitee of any other rights or the seeking of any and all other remedies against any Indemnifying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procedures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the exclusive procedures governing any indemnity action brought under this Agreement.</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xml:space="preserve">. The rights and obligations of each of Post, BellRing Inc. and BellRing LLC and their respective Indemnitees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 the sale or other transfer by any such Party or any member of its respective Group, as applicable, of any Assets or businesses or the assignment by it of any Liabilities; or (b) any merger, consolidation, business combination, sale of all or substantially all of its Assets, restructuring, recapitalization, reorganization or similar transaction involving any such Party or any of the members of its respective Group, as applicable.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OTHER MATTERS</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each reference to the “BellRing Group” shall be deemed to include BellRing Inc., BellRing LLC and each Subsidiary of BellRing Inc. and BellRing LLC and each other Person that is controlled directly or indirectly by BellRing Inc. or BellRing LLC, in each case, determined as of the applicable time period relevant to such reference. Each of BellRing LLC and BellRing Inc. agrees that, for the period set forth in </w:t>
      </w:r>
      <w:r>
        <w:rPr>
          <w:rFonts w:ascii="Arial" w:cs="Arial" w:eastAsia="Arial" w:hAnsi="Arial"/>
          <w:sz w:val="18"/>
          <w:szCs w:val="18"/>
          <w:u w:val="single" w:color="auto"/>
          <w:color w:val="auto"/>
        </w:rPr>
        <w:t>Section 6.1(j)</w:t>
      </w:r>
      <w:r>
        <w:rPr>
          <w:rFonts w:ascii="Arial" w:cs="Arial" w:eastAsia="Arial" w:hAnsi="Arial"/>
          <w:sz w:val="18"/>
          <w:szCs w:val="18"/>
          <w:color w:val="auto"/>
        </w:rPr>
        <w:t>:</w:t>
      </w:r>
    </w:p>
    <w:p>
      <w:pPr>
        <w:spacing w:after="0" w:line="187" w:lineRule="exact"/>
        <w:rPr>
          <w:sz w:val="20"/>
          <w:szCs w:val="20"/>
          <w:color w:val="auto"/>
        </w:rPr>
      </w:pPr>
    </w:p>
    <w:p>
      <w:pPr>
        <w:ind w:firstLine="996"/>
        <w:spacing w:after="0" w:line="269" w:lineRule="auto"/>
        <w:tabs>
          <w:tab w:leader="none" w:pos="1371" w:val="left"/>
        </w:tabs>
        <w:numPr>
          <w:ilvl w:val="1"/>
          <w:numId w:val="178"/>
        </w:numPr>
        <w:rPr>
          <w:rFonts w:ascii="Arial" w:cs="Arial" w:eastAsia="Arial" w:hAnsi="Arial"/>
          <w:sz w:val="17"/>
          <w:szCs w:val="17"/>
          <w:color w:val="auto"/>
        </w:rPr>
      </w:pPr>
      <w:r>
        <w:rPr>
          <w:rFonts w:ascii="Arial" w:cs="Arial" w:eastAsia="Arial" w:hAnsi="Arial"/>
          <w:sz w:val="17"/>
          <w:szCs w:val="17"/>
          <w:u w:val="single" w:color="auto"/>
          <w:color w:val="auto"/>
        </w:rPr>
        <w:t>Disclosure of Financial Controls</w:t>
      </w:r>
      <w:r>
        <w:rPr>
          <w:rFonts w:ascii="Arial" w:cs="Arial" w:eastAsia="Arial" w:hAnsi="Arial"/>
          <w:sz w:val="17"/>
          <w:szCs w:val="17"/>
          <w:color w:val="auto"/>
        </w:rPr>
        <w:t>. Each of BellRing LLC and BellRing Inc. shall, and shall, as applicable, cause each other member of the BellRing Group to, maintain, as of and after the IPO Closing Date, disclosure controls and procedures and internal control over financial reporting as defined in Rule 13a-15 promulgated under the Exchange Act. Each of BellRing LLC and BellRing Inc. shall, and shall, as applicable, cause each other member of the BellRing Group to, maintain, as of and after the IPO Closing Date, internal systems and procedures that will provide reasonable assurance that (A) their respective annual and quarterly financial statements are reliable and timely prepared in accordance with GAAP and applicable Law, (B) all transactions of the members of the BellRing Group and BellRing Inc. are recorded as necessary to permit the preparation of BellRing LLC’s, BellRing Inc.’s and any other member of the BellRing Group’s annual and quarterly financial statements, as applicable, (C) the receipts and expenditures of the members of the BellRing Group and BellRing Inc. are authorized at the appropriate level within the BellRing Group or BellRing Inc., as applicable, and (D) unauthorized use or disposition of the assets of any member of the BellRing Group or BellRing Inc. that could have a material effect on the annual and quarterly financial statements of any member of the BellRing Group or BellRing Inc., as applicable, is prevented or detected in a timely manner.</w:t>
      </w:r>
    </w:p>
    <w:p>
      <w:pPr>
        <w:spacing w:after="0" w:line="182" w:lineRule="exact"/>
        <w:rPr>
          <w:rFonts w:ascii="Arial" w:cs="Arial" w:eastAsia="Arial" w:hAnsi="Arial"/>
          <w:sz w:val="17"/>
          <w:szCs w:val="17"/>
          <w:color w:val="auto"/>
        </w:rPr>
      </w:pPr>
    </w:p>
    <w:p>
      <w:pPr>
        <w:ind w:right="60" w:firstLine="996"/>
        <w:spacing w:after="0" w:line="259" w:lineRule="auto"/>
        <w:tabs>
          <w:tab w:leader="none" w:pos="1382"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Each of BellRing LLC and BellRing Inc. shall, and shall, as applicable, cause each other member of the BellRing Group organized in the United States to, maintain a fiscal year that commences and ends on the same calendar days as Post’s fiscal year commences and ends, and to maintain monthly accounting periods that commence and end on the same calendar days as Post’s monthly accounting periods commence and end.</w:t>
      </w:r>
    </w:p>
    <w:p>
      <w:pPr>
        <w:spacing w:after="0" w:line="186" w:lineRule="exact"/>
        <w:rPr>
          <w:rFonts w:ascii="Arial" w:cs="Arial" w:eastAsia="Arial" w:hAnsi="Arial"/>
          <w:sz w:val="18"/>
          <w:szCs w:val="18"/>
          <w:color w:val="auto"/>
        </w:rPr>
      </w:pPr>
    </w:p>
    <w:p>
      <w:pPr>
        <w:ind w:right="20" w:firstLine="996"/>
        <w:spacing w:after="0" w:line="284" w:lineRule="auto"/>
        <w:tabs>
          <w:tab w:leader="none" w:pos="1371"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Monthly Financial Reports</w:t>
      </w:r>
      <w:r>
        <w:rPr>
          <w:rFonts w:ascii="Arial" w:cs="Arial" w:eastAsia="Arial" w:hAnsi="Arial"/>
          <w:sz w:val="16"/>
          <w:szCs w:val="16"/>
          <w:color w:val="auto"/>
        </w:rPr>
        <w:t>. No later than five (5) Business Days after the end of each month (including the last month of Post’s fiscal year), unless otherwise agreed in writing by the Parties, each of BellRing LLC and BellRing Inc. shall deliver to Post a preliminary consolidated income statement and preliminary consolidated balance sheet and, if requested by Post, income statements and balance sheets for each Affiliate of BellRing LLC or BellRing Inc. which is consolidated with BellRing LLC or BellRing Inc., as the case may be, for such period, and each shall provide Post an opportunity to meet with relevant management personnel to discuss such reports. Each of BellRing LLC and BellRing Inc. shall also deliver to Post preliminary rollforwards as specifically requested by Post for such period and, in the case of BellRing LLC, if requested by Post, rollforwards for each Affiliate of BellRing LLC or BellRing Inc. which is consolidated with BellRing LLC or BellRing Inc., as the case may be, no later than seven</w:t>
      </w:r>
    </w:p>
    <w:p>
      <w:pPr>
        <w:spacing w:after="0" w:line="2" w:lineRule="exact"/>
        <w:rPr>
          <w:rFonts w:ascii="Arial" w:cs="Arial" w:eastAsia="Arial" w:hAnsi="Arial"/>
          <w:sz w:val="16"/>
          <w:szCs w:val="16"/>
          <w:color w:val="auto"/>
        </w:rPr>
      </w:pPr>
    </w:p>
    <w:p>
      <w:pPr>
        <w:ind w:right="80" w:firstLine="4"/>
        <w:spacing w:after="0" w:line="288" w:lineRule="auto"/>
        <w:tabs>
          <w:tab w:leader="none" w:pos="25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Business Days after the end of each monthly accounting period of BellRing LLC and BellRing Inc. (including the last monthly accounting period of BellRing LLC and BellRing Inc. of each fiscal year), as applicable. Each of BellRing LLC and BellRing Inc. shall also deliver to Post a preliminary consolidated statement of cash flows for BellRing LLC and BellRing Inc., as applicable, for such period and, if requested by Post, statements of cash flow for each Affiliate of BellRing LLC or BellRing Inc. which is consolidated with BellRing LLC or BellRing Inc., as the case may be, no later than ten (10) Business Days after the end of each monthly accounting period of BellRing LLC and BellRing Inc. (including the last monthly accounting period of BellRing LLC and BellRing Inc. of each fiscal year), as applicable. The income statements, balance sheets, statements of cash flows and related rollforwards shall be in such format and detail as Post may request, and the information supporting such statements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278" w:name="page279"/>
    <w:bookmarkEnd w:id="27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submitted electronically for inclusion in each of Post’s financial reporting systems by such date to permit timely preparation of Post’s consolidated financial statements. In addition, if either of BellRing LLC or BellRing Inc. makes adjustments or other corrections to such financial information, adjustments or other corrections shall be delivered by BellRing LLC or BellRing Inc., as applicable, to Post as soon as practicable, and in any event within twenty-four (24) hours thereafter.</w:t>
      </w:r>
    </w:p>
    <w:p>
      <w:pPr>
        <w:spacing w:after="0" w:line="187" w:lineRule="exact"/>
        <w:rPr>
          <w:sz w:val="20"/>
          <w:szCs w:val="20"/>
          <w:color w:val="auto"/>
        </w:rPr>
      </w:pPr>
    </w:p>
    <w:p>
      <w:pPr>
        <w:ind w:firstLine="996"/>
        <w:spacing w:after="0" w:line="270" w:lineRule="auto"/>
        <w:tabs>
          <w:tab w:leader="none" w:pos="1382"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Quarterly and Annual Financial Statements</w:t>
      </w:r>
      <w:r>
        <w:rPr>
          <w:rFonts w:ascii="Arial" w:cs="Arial" w:eastAsia="Arial" w:hAnsi="Arial"/>
          <w:sz w:val="17"/>
          <w:szCs w:val="17"/>
          <w:color w:val="auto"/>
        </w:rPr>
        <w:t>. BellRing LLC or BellRing Inc. shall establish a disclosure committee (the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w:t>
      </w:r>
      <w:r>
        <w:rPr>
          <w:rFonts w:ascii="Arial" w:cs="Arial" w:eastAsia="Arial" w:hAnsi="Arial"/>
          <w:sz w:val="17"/>
          <w:szCs w:val="17"/>
          <w:color w:val="auto"/>
        </w:rPr>
        <w:t>”) for the purposes of review and approval of BellRing Inc.’s Forms 10-Q and Forms 10-K and other significant filings with the SEC prior to the filing of such documents. Post shall have sole discretion to select certain of its employees to participate in all meetings of the Disclosure Committee for the purpose of reviewing the consistency of such documents with similar documents or other disclosures of Post. Distribution of documents for review by Post should be made at the time such documents are distributed to the participants from BellRing Inc. and the members of the BellRing Group and should provide a reasonable period for review prior to the applicable meeting or by a date otherwise specified by Post. The management of BellRing Inc. shall be solely liable for the completeness and accuracy of any such filings, including any financial statements included therein. BellRing Inc. shall cause each of its principal executive and principal financial officers to sign and deliver to Post the certifications required by Sections 302 and 906 of the Sarbanes-Oxley Act of 2002 and shall include the certifications in BellRing Inc.’s periodic reports, as and when required pursuant to Rule 13a-14 promulgated under the Exchange Act and Item 601 of Regulation S-K.</w:t>
      </w:r>
    </w:p>
    <w:p>
      <w:pPr>
        <w:spacing w:after="0" w:line="177" w:lineRule="exact"/>
        <w:rPr>
          <w:rFonts w:ascii="Arial" w:cs="Arial" w:eastAsia="Arial" w:hAnsi="Arial"/>
          <w:sz w:val="17"/>
          <w:szCs w:val="17"/>
          <w:color w:val="auto"/>
        </w:rPr>
      </w:pPr>
    </w:p>
    <w:p>
      <w:pPr>
        <w:ind w:right="40" w:firstLine="996"/>
        <w:spacing w:after="0" w:line="271" w:lineRule="auto"/>
        <w:tabs>
          <w:tab w:leader="none" w:pos="1371"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Budgets and Financial Projections</w:t>
      </w:r>
      <w:r>
        <w:rPr>
          <w:rFonts w:ascii="Arial" w:cs="Arial" w:eastAsia="Arial" w:hAnsi="Arial"/>
          <w:sz w:val="17"/>
          <w:szCs w:val="17"/>
          <w:color w:val="auto"/>
        </w:rPr>
        <w:t>. BellRing LLC and BellRing Inc. shall, as promptly as practicable, deliver to Post copies of all quarterly business process reviews, annual budgets and periodic financial projections (consistent in terms of format and detail and otherwise required by Post) relating to BellRing LLC or BellRing Inc., as the case may be, on a consolidated basis and each shall provide Post an opportunity to meet with relevant management personnel, and each shall, as applicable, cause each other member of the BellRing Group to provide Post an opportunity to meet with relevant management personnel, to discuss such reviews, budgets and projections. BellRing LLC and BellRing Inc. shall, and shall, as applicable, cause each other member of the BellRing Group to, continue to provide to Post projections on a monthly basis consistent with past practices, including income, cash flow and operating indicators, as well as capital expenditure detail on a quarterly basis. Such projections shall be submitted electronically for inclusion in Post’s management reporting systems.</w:t>
      </w:r>
    </w:p>
    <w:p>
      <w:pPr>
        <w:spacing w:after="0" w:line="178" w:lineRule="exact"/>
        <w:rPr>
          <w:rFonts w:ascii="Arial" w:cs="Arial" w:eastAsia="Arial" w:hAnsi="Arial"/>
          <w:sz w:val="17"/>
          <w:szCs w:val="17"/>
          <w:color w:val="auto"/>
        </w:rPr>
      </w:pPr>
    </w:p>
    <w:p>
      <w:pPr>
        <w:ind w:right="180" w:firstLine="996"/>
        <w:spacing w:after="0" w:line="257" w:lineRule="auto"/>
        <w:tabs>
          <w:tab w:leader="none" w:pos="135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Conformance with Post Financial Presentation</w:t>
      </w:r>
      <w:r>
        <w:rPr>
          <w:rFonts w:ascii="Arial" w:cs="Arial" w:eastAsia="Arial" w:hAnsi="Arial"/>
          <w:sz w:val="18"/>
          <w:szCs w:val="18"/>
          <w:color w:val="auto"/>
        </w:rPr>
        <w:t>. All information provided by any member of the BellRing Group or BellRing Inc. to Post shall be consistent in terms of format and detail and otherwise with Post’s policies with respect to the application of GAAP and practices in effect on the IPO Closing Date with respect to the provision of such financial information by such member of the BellRing Group or BellRing Inc. to Post, with such changes therein as may be required by GAAP or requested by Post from time to time consistent with changes in such accounting principles and practices.</w:t>
      </w:r>
    </w:p>
    <w:p>
      <w:pPr>
        <w:spacing w:after="0" w:line="188" w:lineRule="exact"/>
        <w:rPr>
          <w:rFonts w:ascii="Arial" w:cs="Arial" w:eastAsia="Arial" w:hAnsi="Arial"/>
          <w:sz w:val="18"/>
          <w:szCs w:val="18"/>
          <w:color w:val="auto"/>
        </w:rPr>
      </w:pPr>
    </w:p>
    <w:p>
      <w:pPr>
        <w:ind w:right="80" w:firstLine="996"/>
        <w:spacing w:after="0" w:line="259" w:lineRule="auto"/>
        <w:tabs>
          <w:tab w:leader="none" w:pos="138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With reasonable promptness, each of BellRing LLC and BellRing Inc. shall, and shall, as applicable, cause each other member of the BellRing Group to, deliver to Post such additional financial and other information and data with respect to the BellRing Group and BellRing Inc. and their respective businesses, properties, financial positions, results of operations and prospects as may be reasonably requested by Post from time to time.</w:t>
      </w:r>
    </w:p>
    <w:p>
      <w:pPr>
        <w:spacing w:after="0" w:line="186" w:lineRule="exact"/>
        <w:rPr>
          <w:rFonts w:ascii="Arial" w:cs="Arial" w:eastAsia="Arial" w:hAnsi="Arial"/>
          <w:sz w:val="18"/>
          <w:szCs w:val="18"/>
          <w:color w:val="auto"/>
        </w:rPr>
      </w:pPr>
    </w:p>
    <w:p>
      <w:pPr>
        <w:ind w:firstLine="996"/>
        <w:spacing w:after="0" w:line="259" w:lineRule="auto"/>
        <w:tabs>
          <w:tab w:leader="none" w:pos="138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Press Releases and Similar Information</w:t>
      </w:r>
      <w:r>
        <w:rPr>
          <w:rFonts w:ascii="Arial" w:cs="Arial" w:eastAsia="Arial" w:hAnsi="Arial"/>
          <w:sz w:val="18"/>
          <w:szCs w:val="18"/>
          <w:color w:val="auto"/>
        </w:rPr>
        <w:t>. BellRing Inc. shall consult and coordinate with Post as to the timing and content of any quarterly earnings releases and any interim financial guidance relating to BellRing Inc. for a current or future period and shall give Post the opportunity to review the information therein relating to the BellRing Group or BellRing Inc. and to comment thereon. BellRing Inc. shall make reasonable efforts to coordinate the issuance of any quarterly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279" w:name="page280"/>
    <w:bookmarkEnd w:id="279"/>
    <w:p>
      <w:pPr>
        <w:ind w:righ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releases with those of Post. No later than five (5) days prior to the time and date that BellRing Inc. intends to publish any regular quarterly earnings release or any financial guidance for a current or future period, BellRing Inc. shall deliver to Post copies of drafts of (i) all press releases,</w:t>
      </w:r>
    </w:p>
    <w:p>
      <w:pPr>
        <w:ind w:firstLine="4"/>
        <w:spacing w:after="0" w:line="268" w:lineRule="auto"/>
        <w:tabs>
          <w:tab w:leader="none" w:pos="26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investor presentations and (iii) other statements to be made available by BellRing Inc. to employees of the BellRing Group or to the public, in each case, concerning any matters that could be reasonably likely to have a material financial impact on the earnings, results of operations, financial condition or prospects of any member of the BellRing Group or BellRing Inc. No later than four (4) hours prior to the time and date that BellRing Inc. intends to publish any regular quarterly earnings release or any financial guidance for a current or future period, BellRing Inc. shall deliver to Post copies of substantially final drafts of all such materials. In addition, prior to the issuance of any such press release, investor presentation or public statement that meets the criteria set forth in the preceding two sentences, BellRing Inc. shall consult with Post regarding any changes (other than typographical or other similar minor changes) to such substantially final drafts. Immediately following the issuance thereof, BellRing Inc. shall deliver to Post copies of final versions of all press releases, investor presentations and such other public statements.</w:t>
      </w:r>
    </w:p>
    <w:p>
      <w:pPr>
        <w:spacing w:after="0" w:line="184" w:lineRule="exact"/>
        <w:rPr>
          <w:rFonts w:ascii="Arial" w:cs="Arial" w:eastAsia="Arial" w:hAnsi="Arial"/>
          <w:sz w:val="17"/>
          <w:szCs w:val="17"/>
          <w:color w:val="auto"/>
        </w:rPr>
      </w:pPr>
    </w:p>
    <w:p>
      <w:pPr>
        <w:ind w:right="20" w:firstLine="996"/>
        <w:spacing w:after="0" w:line="284" w:lineRule="auto"/>
        <w:tabs>
          <w:tab w:leader="none" w:pos="1342"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Cooperation on Post Filings</w:t>
      </w:r>
      <w:r>
        <w:rPr>
          <w:rFonts w:ascii="Arial" w:cs="Arial" w:eastAsia="Arial" w:hAnsi="Arial"/>
          <w:sz w:val="16"/>
          <w:szCs w:val="16"/>
          <w:color w:val="auto"/>
        </w:rPr>
        <w:t>. Each of BellRing LLC and BellRing Inc. shall cooperate fully, BellRing LLC shall cause each member of the BellRing Group that is a Subsidiary of, or that is controlled by, BellRing LLC and its and their independent certified public accountants (the “</w:t>
      </w:r>
      <w:r>
        <w:rPr>
          <w:rFonts w:ascii="Arial" w:cs="Arial" w:eastAsia="Arial" w:hAnsi="Arial"/>
          <w:sz w:val="16"/>
          <w:szCs w:val="16"/>
          <w:u w:val="single" w:color="auto"/>
          <w:color w:val="auto"/>
        </w:rPr>
        <w:t>BellRing LLC Auditors</w:t>
      </w:r>
      <w:r>
        <w:rPr>
          <w:rFonts w:ascii="Arial" w:cs="Arial" w:eastAsia="Arial" w:hAnsi="Arial"/>
          <w:sz w:val="16"/>
          <w:szCs w:val="16"/>
          <w:color w:val="auto"/>
        </w:rPr>
        <w:t>”) to cooperate fully, and BellRing Inc. shall cause each member of the BellRing Group (other than any such member that is a Subsidiary of, or that is controlled by, BellRing LLC) and its and their independent certified public accountants (the “</w:t>
      </w:r>
      <w:r>
        <w:rPr>
          <w:rFonts w:ascii="Arial" w:cs="Arial" w:eastAsia="Arial" w:hAnsi="Arial"/>
          <w:sz w:val="16"/>
          <w:szCs w:val="16"/>
          <w:u w:val="single" w:color="auto"/>
          <w:color w:val="auto"/>
        </w:rPr>
        <w:t>BellRing Inc. Auditors</w:t>
      </w:r>
      <w:r>
        <w:rPr>
          <w:rFonts w:ascii="Arial" w:cs="Arial" w:eastAsia="Arial" w:hAnsi="Arial"/>
          <w:sz w:val="16"/>
          <w:szCs w:val="16"/>
          <w:color w:val="auto"/>
        </w:rPr>
        <w:t>”) to cooperate fully, in each case, with Post to the extent requested by Post in the preparation of Post’s public earnings or other press releases, Quarterly Reports on Form 10-Q, Annual Reports to Stockholders, Annual Reports on Form 10-K, any Current Reports on Form 8-K and any other proxy, information and registration statements, reports, notices, prospectuses and any other filings made by Post with the SEC or the New York Stock Exchange (or such other national securities exchange on which the BellRing Inc. Class A Common Stock is listed) (whether or not such statements, reports, notices prospectuses or filings are made publicly available) or that is otherwise made publicly available, and any comparable offering memoranda or circulars used in any private offerings (collectively, the “</w:t>
      </w:r>
      <w:r>
        <w:rPr>
          <w:rFonts w:ascii="Arial" w:cs="Arial" w:eastAsia="Arial" w:hAnsi="Arial"/>
          <w:sz w:val="16"/>
          <w:szCs w:val="16"/>
          <w:u w:val="single" w:color="auto"/>
          <w:color w:val="auto"/>
        </w:rPr>
        <w:t>Post Public Filings</w:t>
      </w:r>
      <w:r>
        <w:rPr>
          <w:rFonts w:ascii="Arial" w:cs="Arial" w:eastAsia="Arial" w:hAnsi="Arial"/>
          <w:sz w:val="16"/>
          <w:szCs w:val="16"/>
          <w:color w:val="auto"/>
        </w:rPr>
        <w:t>”). Each of BellRing LLC and BellRing Inc. shall be responsible for the preparation of its financial statements in accordance with Post’s policies with respect to the application of GAAP and shall indemnify Post for any Liabilities it shall incur with respect to the inaccuracy of such statements. Each of BellRing LLC and BellRing Inc. shall, and shall, as applicable, cause each other member of the BellRing Group (other than, in the case of BellRing Inc., any such member that is a Subsidiary of, or that is controlled by, BellRing LLC) to, prepare the quarterly and annual financial reporting analysis and provide support for financial statement footnotes and other information included in the Post Public Filings. Such information and the timing thereof shall be consistent with the Post financial statement processes in place prior to the Effective Time. Each of BellRing LLC and BellRing Inc. also shall, and shall, as applicable, cause each other member of the BellRing Group to, provide to Post all other information that Post reasonably requests in connection with any Post Public Filings or that, in the judgment of Post’s legal department, is required to be disclosed or incorporated by reference therein under any Law. Each of BellRing LLC and BellRing Inc. shall, and shall, as applicable, cause each other member of the BellRing Group to, provide such information in a timely manner on the dates requested by Post to enable Post to prepare, print, release and use all Post Public Filings on such dates as Post shall determine, but in no event later than as required by applicable Law. Each of BellRing LLC and BellRing Inc. shall use its commercially reasonable efforts to cause the BellRing LLC Auditors and the BellRing Inc. Auditors, respectively, to consent to any reference to them as experts in any Post Public Filings required under any Law. If and to the extent requested by Post, each of BellRing LLC and BellRing Inc. shall, and shall, as applicable, cause each other member of the BellRing Group to, diligently and promptly review all drafts of such Post Public Filings and prepare in a diligent and timely fashion any portion of such Post Public Filing pertaining to any member of the BellRing Group or BellRing Inc., as applicable. The responsibility of</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280" w:name="page281"/>
    <w:bookmarkEnd w:id="28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BellRing LLC management and BellRing Inc. management for reviewing such disclosures shall include a determination that such disclosures are complete and accurate and consistent with other public filings or other disclosures which have been made by BellRing LLC or BellRing Inc., as the case may be. Prior to any printing or public release of or use of any Post Public Filing, an appropriate executive officer of BellRing LLC or BellRing Inc. shall, if requested by Post, certify that the information relating to any member of the BellRing Group or BellRing Inc., as applicable, in such Post Public Filing is accurate, true, complete and correct in all material respects. Unless required by applicable Law, none of BellRing LLC, any other member of the BellRing Group or BellRing Inc. shall publicly release any financial or other information which conflicts with the information with respect to any member of the BellRing Group or BellRing Inc. that is included in any Post Public Filing without Post’s prior written consent.</w:t>
      </w:r>
    </w:p>
    <w:p>
      <w:pPr>
        <w:spacing w:after="0" w:line="178" w:lineRule="exact"/>
        <w:rPr>
          <w:sz w:val="20"/>
          <w:szCs w:val="20"/>
          <w:color w:val="auto"/>
        </w:rPr>
      </w:pPr>
    </w:p>
    <w:p>
      <w:pPr>
        <w:ind w:right="40" w:firstLine="996"/>
        <w:spacing w:after="0" w:line="255" w:lineRule="auto"/>
        <w:tabs>
          <w:tab w:leader="none" w:pos="134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Duration of Obligations</w:t>
      </w:r>
      <w:r>
        <w:rPr>
          <w:rFonts w:ascii="Arial" w:cs="Arial" w:eastAsia="Arial" w:hAnsi="Arial"/>
          <w:sz w:val="18"/>
          <w:szCs w:val="18"/>
          <w:color w:val="auto"/>
        </w:rPr>
        <w:t xml:space="preserve">. BellRing LLC’s and BellRing Inc.’s respective obligations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continue until such time as Post is no longer required to include, for any fiscal year presented in any Form 10-K of Post, the consolidated results of operations and financial position of BellRing LLC, BellRing Inc. or any other member of the BellRing Group or to account for its investment in BellRing LLC, BellRing Inc. or any other member of the BellRing Group under the equity method of accounting (determined in accordance with GAAP consistently applied and consistent with SEC reporting requirements). For example, if BellRing LLC ceases to be a consolidated subsidiary or equity method affiliate of Post on June 30, 2020, BellRing LLC’s obligations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remain in effect until Post shall have filed its Form 10-K for the year ended September 30, 2022.</w:t>
      </w:r>
    </w:p>
    <w:p>
      <w:pPr>
        <w:spacing w:after="0" w:line="18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Auditors and Audits; Annual Financial Statements and Accounting</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each reference to the “BellRing Group” shall be deemed to include BellRing Inc., BellRing LLC and each Subsidiary of BellRing Inc. and BellRing LLC and each other Person that is controlled directly or indirectly by BellRing Inc. or BellRing LLC, in each case, determined as of the applicable time period relevant to such reference. Each of BellRing LLC and BellRing Inc. agrees that, for the period set forth in </w:t>
      </w:r>
      <w:r>
        <w:rPr>
          <w:rFonts w:ascii="Arial" w:cs="Arial" w:eastAsia="Arial" w:hAnsi="Arial"/>
          <w:sz w:val="18"/>
          <w:szCs w:val="18"/>
          <w:u w:val="single" w:color="auto"/>
          <w:color w:val="auto"/>
        </w:rPr>
        <w:t>Section 6.2(i)</w:t>
      </w:r>
      <w:r>
        <w:rPr>
          <w:rFonts w:ascii="Arial" w:cs="Arial" w:eastAsia="Arial" w:hAnsi="Arial"/>
          <w:sz w:val="18"/>
          <w:szCs w:val="18"/>
          <w:color w:val="auto"/>
        </w:rPr>
        <w:t>:</w:t>
      </w:r>
    </w:p>
    <w:p>
      <w:pPr>
        <w:spacing w:after="0" w:line="187" w:lineRule="exact"/>
        <w:rPr>
          <w:sz w:val="20"/>
          <w:szCs w:val="20"/>
          <w:color w:val="auto"/>
        </w:rPr>
      </w:pPr>
    </w:p>
    <w:p>
      <w:pPr>
        <w:ind w:right="340" w:firstLine="996"/>
        <w:spacing w:after="0" w:line="277" w:lineRule="auto"/>
        <w:tabs>
          <w:tab w:leader="none" w:pos="1371"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Auditor</w:t>
      </w:r>
      <w:r>
        <w:rPr>
          <w:rFonts w:ascii="Arial" w:cs="Arial" w:eastAsia="Arial" w:hAnsi="Arial"/>
          <w:sz w:val="18"/>
          <w:szCs w:val="18"/>
          <w:color w:val="auto"/>
        </w:rPr>
        <w:t>. Neither BellRing Inc. nor any member of the BellRing Group shall change its independent auditors without Post’s prior written consent (which shall not be unreasonably withheld, conditioned or delayed).</w:t>
      </w:r>
    </w:p>
    <w:p>
      <w:pPr>
        <w:spacing w:after="0" w:line="170" w:lineRule="exact"/>
        <w:rPr>
          <w:rFonts w:ascii="Arial" w:cs="Arial" w:eastAsia="Arial" w:hAnsi="Arial"/>
          <w:sz w:val="18"/>
          <w:szCs w:val="18"/>
          <w:color w:val="auto"/>
        </w:rPr>
      </w:pPr>
    </w:p>
    <w:p>
      <w:pPr>
        <w:jc w:val="both"/>
        <w:ind w:right="80" w:firstLine="996"/>
        <w:spacing w:after="0" w:line="279" w:lineRule="auto"/>
        <w:tabs>
          <w:tab w:leader="none" w:pos="1382"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Audit Timing</w:t>
      </w:r>
      <w:r>
        <w:rPr>
          <w:rFonts w:ascii="Arial" w:cs="Arial" w:eastAsia="Arial" w:hAnsi="Arial"/>
          <w:sz w:val="17"/>
          <w:szCs w:val="17"/>
          <w:color w:val="auto"/>
        </w:rPr>
        <w:t xml:space="preserve">. Each of BellRing LLC and BellRing Inc. shall use, and shall, as applicable, cause each other member of the BellRing Group to use, its reasonable best efforts to enable the BellRing LLC Auditors and the BellRing Inc. Auditors to complete their audits of BellRing LLC, BellRing Inc. and the other members of the BellRing Group in a timely manner so as to permit Post to meet its timetable for the printing, filing and public dissemination of the Post Public Filings, all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as required by applicable Law.</w:t>
      </w:r>
    </w:p>
    <w:p>
      <w:pPr>
        <w:spacing w:after="0" w:line="171" w:lineRule="exact"/>
        <w:rPr>
          <w:rFonts w:ascii="Arial" w:cs="Arial" w:eastAsia="Arial" w:hAnsi="Arial"/>
          <w:sz w:val="17"/>
          <w:szCs w:val="17"/>
          <w:color w:val="auto"/>
        </w:rPr>
      </w:pPr>
    </w:p>
    <w:p>
      <w:pPr>
        <w:ind w:right="20" w:firstLine="996"/>
        <w:spacing w:after="0" w:line="271" w:lineRule="auto"/>
        <w:tabs>
          <w:tab w:leader="none" w:pos="1371"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Information Needed by Post</w:t>
      </w:r>
      <w:r>
        <w:rPr>
          <w:rFonts w:ascii="Arial" w:cs="Arial" w:eastAsia="Arial" w:hAnsi="Arial"/>
          <w:sz w:val="17"/>
          <w:szCs w:val="17"/>
          <w:color w:val="auto"/>
        </w:rPr>
        <w:t>. Each of BellRing LLC and BellRing Inc. shall provide, and shall, as applicable, cause each other member of the BellRing Group to provide, to Post and the independent auditors of Post (the “</w:t>
      </w:r>
      <w:r>
        <w:rPr>
          <w:rFonts w:ascii="Arial" w:cs="Arial" w:eastAsia="Arial" w:hAnsi="Arial"/>
          <w:sz w:val="17"/>
          <w:szCs w:val="17"/>
          <w:u w:val="single" w:color="auto"/>
          <w:color w:val="auto"/>
        </w:rPr>
        <w:t>Post Auditors</w:t>
      </w:r>
      <w:r>
        <w:rPr>
          <w:rFonts w:ascii="Arial" w:cs="Arial" w:eastAsia="Arial" w:hAnsi="Arial"/>
          <w:sz w:val="17"/>
          <w:szCs w:val="17"/>
          <w:color w:val="auto"/>
        </w:rPr>
        <w:t xml:space="preserve">”) on a timely basis all information that Post and the Post Auditors reasonably require to meet Post’s schedule for the preparation, printing, filing and public dissemination of the Post Public Filings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as required by applicable Law. Without limiting the generality of the foregoing, each of BellRing LLC and BellRing Inc. shall provide, and shall, as applicable, cause each other member of the BellRing Group to provide, all required financial information with respect to the BellRing Group to the BellRing LLC Auditors, and all required financial information with respect to BellRing Inc. to the BellRing Inc. Auditors, as well as access to personnel of BellRing LLC, BellRing Inc. and the other members of the BellRing Group who are responsible for such financial information, in a sufficient and reasonable time and in sufficient detail 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281" w:name="page282"/>
    <w:bookmarkEnd w:id="281"/>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 the BellRing LLC Auditors or the BellRing Inc. Auditors, as the case may be, to take all steps and perform all reviews necessary to provide sufficient assistance to the Post Auditors with respect to information to be included or contained in the Post Public Filings.</w:t>
      </w:r>
    </w:p>
    <w:p>
      <w:pPr>
        <w:spacing w:after="0" w:line="147" w:lineRule="exact"/>
        <w:rPr>
          <w:sz w:val="20"/>
          <w:szCs w:val="20"/>
          <w:color w:val="auto"/>
        </w:rPr>
      </w:pPr>
    </w:p>
    <w:p>
      <w:pPr>
        <w:ind w:right="80" w:firstLine="996"/>
        <w:spacing w:after="0" w:line="291" w:lineRule="auto"/>
        <w:tabs>
          <w:tab w:leader="none" w:pos="138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Access to the BellRing LLC and BellRing Inc. Auditors</w:t>
      </w:r>
      <w:r>
        <w:rPr>
          <w:rFonts w:ascii="Arial" w:cs="Arial" w:eastAsia="Arial" w:hAnsi="Arial"/>
          <w:sz w:val="16"/>
          <w:szCs w:val="16"/>
          <w:color w:val="auto"/>
        </w:rPr>
        <w:t>. BellRing LLC shall authorize the BellRing LLC Auditors, and BellRing Inc. shall authorize the BellRing Inc. Auditors, to make available to the Post Auditors both the personnel who performed, or are performing, the annual audit of BellRing LLC, any other member of the BellRing Group or BellRing Inc. and work papers related to the annual audit of BellRing LLC, any other member of the BellRing Group or BellRing Inc., in all cases within a reasonable time prior to the BellRing LLC Auditors’ or the BellRing Inc. Auditors’ opinion date, as applicable, so that the Post Auditors are able to perform the procedures they consider necessary to take responsibility for the work of the BellRing LLC Auditors and the BellRing Inc. Auditors as it relates to the Post Auditors’ report on Post’s annual audited financial statements, all within sufficient time to enable Post to meet its timetable for the printing, filing and public dissemination of the Post Public Filings.</w:t>
      </w:r>
    </w:p>
    <w:p>
      <w:pPr>
        <w:spacing w:after="0" w:line="167" w:lineRule="exact"/>
        <w:rPr>
          <w:rFonts w:ascii="Arial" w:cs="Arial" w:eastAsia="Arial" w:hAnsi="Arial"/>
          <w:sz w:val="16"/>
          <w:szCs w:val="16"/>
          <w:color w:val="auto"/>
        </w:rPr>
      </w:pPr>
    </w:p>
    <w:p>
      <w:pPr>
        <w:ind w:right="20" w:firstLine="996"/>
        <w:spacing w:after="0" w:line="273" w:lineRule="auto"/>
        <w:tabs>
          <w:tab w:leader="none" w:pos="1371"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Access to Records</w:t>
      </w:r>
      <w:r>
        <w:rPr>
          <w:rFonts w:ascii="Arial" w:cs="Arial" w:eastAsia="Arial" w:hAnsi="Arial"/>
          <w:sz w:val="17"/>
          <w:szCs w:val="17"/>
          <w:color w:val="auto"/>
        </w:rPr>
        <w:t>. If Post determines in good faith that there may be some inaccuracy in a BellRing Group member’s or BellRing Inc.’s financial statements or deficiency in a BellRing Group member’s or BellRing Inc.’s internal accounting controls or operations that could materially impact Post’s financial statements, at Post’s request, BellRing LLC or BellRing Inc., as the case may be, shall provide Post’s internal auditors with access to any member of the BellRing Group’s or BellRing Inc.’s books and records so that Post may conduct reasonable audits relating to the financial statements provided by BellRing LLC or BellRing Inc. or any other member of the BellRing Group hereunder as well as to the internal accounting controls and operations of any member of the BellRing Group or BellRing Inc., as the case may be.</w:t>
      </w:r>
    </w:p>
    <w:p>
      <w:pPr>
        <w:spacing w:after="0" w:line="178" w:lineRule="exact"/>
        <w:rPr>
          <w:rFonts w:ascii="Arial" w:cs="Arial" w:eastAsia="Arial" w:hAnsi="Arial"/>
          <w:sz w:val="17"/>
          <w:szCs w:val="17"/>
          <w:color w:val="auto"/>
        </w:rPr>
      </w:pPr>
    </w:p>
    <w:p>
      <w:pPr>
        <w:ind w:firstLine="996"/>
        <w:spacing w:after="0" w:line="289" w:lineRule="auto"/>
        <w:tabs>
          <w:tab w:leader="none" w:pos="135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Notice of Changes</w:t>
      </w:r>
      <w:r>
        <w:rPr>
          <w:rFonts w:ascii="Arial" w:cs="Arial" w:eastAsia="Arial" w:hAnsi="Arial"/>
          <w:sz w:val="16"/>
          <w:szCs w:val="16"/>
          <w:color w:val="auto"/>
        </w:rPr>
        <w:t>. Each of BellRing LLC and BellRing Inc. shall give Post as much prior notice as reasonably practicable of any proposed determination of, or any significant changes in, BellRing LLC’s or BellRing Inc.’s accounting estimates or accounting principles from those in effect on the IPO Closing Date, as applicable. Each of BellRing LLC and BellRing Inc. shall consult with Post and, if requested by Post, each of BellRing LLC and BellRing Inc. shall consult with the Post Auditors with respect thereto. Neither BellRing LLC nor BellRing Inc. shall make any such determination or changes without Post’s prior written consent if such a determination or a change would be sufficiently material to be required to be disclosed in BellRing LLC’s, BellRing Inc.’s or Post’s financial statements as filed with the SEC or otherwise publicly disclosed therein. Each of BellRing LLC and BellRing Inc. shall give Post as much prior notice as reasonably practicable of any business combination, the acquisition of any variable interest entities or any other transaction, in each case, which could reasonably be expected to result in the consolidation by Post of the results of operations and financial position of an entity other than BellRing Inc. that is not a member of the BellRing Group.</w:t>
      </w:r>
    </w:p>
    <w:p>
      <w:pPr>
        <w:spacing w:after="0" w:line="166" w:lineRule="exact"/>
        <w:rPr>
          <w:rFonts w:ascii="Arial" w:cs="Arial" w:eastAsia="Arial" w:hAnsi="Arial"/>
          <w:sz w:val="16"/>
          <w:szCs w:val="16"/>
          <w:color w:val="auto"/>
        </w:rPr>
      </w:pPr>
    </w:p>
    <w:p>
      <w:pPr>
        <w:ind w:right="260" w:firstLine="996"/>
        <w:spacing w:after="0" w:line="264" w:lineRule="auto"/>
        <w:tabs>
          <w:tab w:leader="none" w:pos="138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Accounting Changes Requested by Post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6.2(f)</w:t>
      </w:r>
      <w:r>
        <w:rPr>
          <w:rFonts w:ascii="Arial" w:cs="Arial" w:eastAsia="Arial" w:hAnsi="Arial"/>
          <w:sz w:val="18"/>
          <w:szCs w:val="18"/>
          <w:color w:val="auto"/>
        </w:rPr>
        <w:t>, each of BellRing LLC and BellRing Inc. shall make any changes in its accounting estimates or accounting principles that are requested by Post in order for BellRing LLC’s or BellRing Inc.’s accounting practices and principles to be consistent with those of Post.</w:t>
      </w:r>
    </w:p>
    <w:p>
      <w:pPr>
        <w:spacing w:after="0" w:line="181" w:lineRule="exact"/>
        <w:rPr>
          <w:rFonts w:ascii="Arial" w:cs="Arial" w:eastAsia="Arial" w:hAnsi="Arial"/>
          <w:sz w:val="18"/>
          <w:szCs w:val="18"/>
          <w:color w:val="auto"/>
        </w:rPr>
      </w:pPr>
    </w:p>
    <w:p>
      <w:pPr>
        <w:ind w:right="20" w:firstLine="996"/>
        <w:spacing w:after="0" w:line="302" w:lineRule="auto"/>
        <w:tabs>
          <w:tab w:leader="none" w:pos="138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Special Reports of Deficiencies or Violations</w:t>
      </w:r>
      <w:r>
        <w:rPr>
          <w:rFonts w:ascii="Arial" w:cs="Arial" w:eastAsia="Arial" w:hAnsi="Arial"/>
          <w:sz w:val="16"/>
          <w:szCs w:val="16"/>
          <w:color w:val="auto"/>
        </w:rPr>
        <w:t>. Each of BellRing LLC and BellRing Inc. shall report in reasonable detail to Post the following events or circumstances promptly after any executive officer of BellRing LLC or BellRing Inc. or any of the BellRing LLC Managers or any member of the BellRing Inc. Board becomes aware of such matter: (A) all significant deficiencies and material weaknesses in the design or operation of internal control over financial reporting which are reasonably likely to adversely affect BellRing LLC’s, any other member of the BellRing Group’s or</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282" w:name="page283"/>
    <w:bookmarkEnd w:id="28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Inc.’s ability to record, process, summarize and report financial information; (B) any fraud, whether or not material, that involves management or other employees who have a significant role in BellRing LLC’s, any other member of the BellRing Group’s or BellRing Inc.’s internal control over financial reporting; (C) any illegal act within the meaning of Section 10A(b) and (f) of the Exchange Act; and (D) any report of a material violation of Law that an attorney representing any member of the BellRing Group or BellRing Inc. has formally made to any officers, managers or directors of BellRing LLC, any other member of the BellRing Group or BellRing Inc. pursuant to the SEC’s attorney conduct rules (17 C.F.R. Part 205).</w:t>
      </w:r>
    </w:p>
    <w:p>
      <w:pPr>
        <w:spacing w:after="0" w:line="158" w:lineRule="exact"/>
        <w:rPr>
          <w:sz w:val="20"/>
          <w:szCs w:val="20"/>
          <w:color w:val="auto"/>
        </w:rPr>
      </w:pPr>
    </w:p>
    <w:p>
      <w:pPr>
        <w:ind w:firstLine="996"/>
        <w:spacing w:after="0" w:line="293" w:lineRule="auto"/>
        <w:tabs>
          <w:tab w:leader="none" w:pos="1342"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Duration of Obligations</w:t>
      </w:r>
      <w:r>
        <w:rPr>
          <w:rFonts w:ascii="Arial" w:cs="Arial" w:eastAsia="Arial" w:hAnsi="Arial"/>
          <w:sz w:val="16"/>
          <w:szCs w:val="16"/>
          <w:color w:val="auto"/>
        </w:rPr>
        <w:t xml:space="preserve">. BellRing LLC’s and BellRing Inc.’s obligations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continue until such time as Post is no longer required to include, for any fiscal year presented in any Form 10-K of Post, the consolidated results of operations and financial position of BellRing LLC, BellRing Inc. or any other member of the BellRing Group or to account for its investment in BellRing LLC, BellRing Inc. or any other member of the BellRing Group under the equity method of accounting (determined in accordance with GAAP consistently applied and consistent with SEC reporting requirements). For example, if BellRing LLC ceases to be a consolidated subsidiary or equity method affiliate of Post on June 30, 2020, BellRing LLC’s obligations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remain in effect until Post shall have filed its Form 10-K for the year ended September 30, 2022.</w:t>
      </w:r>
    </w:p>
    <w:p>
      <w:pPr>
        <w:spacing w:after="0" w:line="27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Names Following the Effective Time</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79" w:lineRule="auto"/>
        <w:tabs>
          <w:tab w:leader="none" w:pos="137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Except as provided for in the License Agreement, none of BellRing Inc., BellRing LLC or any other member of the BellRing Group shall use, or have the right to use, the Post Marks or any name or mark that, in the reasonable judgment of Post, is confusingly similar to the Post Marks, and none of BellRing Inc., BellRing LLC or any other member of the BellRing Group shall use the Post Marks in any manner that detracts from the goodwill and reputation of Post or any other member of the Post Group associated with the Post Marks.</w:t>
      </w:r>
    </w:p>
    <w:p>
      <w:pPr>
        <w:spacing w:after="0" w:line="171" w:lineRule="exact"/>
        <w:rPr>
          <w:rFonts w:ascii="Arial" w:cs="Arial" w:eastAsia="Arial" w:hAnsi="Arial"/>
          <w:sz w:val="17"/>
          <w:szCs w:val="17"/>
          <w:color w:val="auto"/>
        </w:rPr>
      </w:pPr>
    </w:p>
    <w:p>
      <w:pPr>
        <w:ind w:right="20" w:firstLine="996"/>
        <w:spacing w:after="0" w:line="259" w:lineRule="auto"/>
        <w:tabs>
          <w:tab w:leader="none" w:pos="138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 as provided for in the License Agreement, neither Post nor any member of its Group shall use, or have the right to use, the BellRing Marks or any name or mark that, in the reasonable judgment of BellRing LLC, is confusingly similar to the BellRing Marks, and neither Post nor any member of its Group shall use the BellRing Marks in any manner that detracts from the goodwill and reputation of BellRing Inc., BellRing LLC or any other member of the BellRing Group associated with the BellRing Marks.</w:t>
      </w:r>
    </w:p>
    <w:p>
      <w:pPr>
        <w:spacing w:after="0" w:line="186" w:lineRule="exact"/>
        <w:rPr>
          <w:rFonts w:ascii="Arial" w:cs="Arial" w:eastAsia="Arial" w:hAnsi="Arial"/>
          <w:sz w:val="18"/>
          <w:szCs w:val="18"/>
          <w:color w:val="auto"/>
        </w:rPr>
      </w:pPr>
    </w:p>
    <w:p>
      <w:pPr>
        <w:ind w:right="140" w:firstLine="996"/>
        <w:spacing w:after="0" w:line="259" w:lineRule="auto"/>
        <w:tabs>
          <w:tab w:leader="none" w:pos="137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nothing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limit any of Post’s, BellRing Inc.’s or BellRing LLC’s (or the members of their respective Groups, as applicable) nominative use of the BellRing Marks (in the case of Post or the members of the Post Group) or the Post Marks (in the case of BellRing Inc., BellRing LLC or the other members of the BellRing Group), respectively, including for the purposes of referring to the other Party and the transactions contemplated hereby.</w:t>
      </w:r>
    </w:p>
    <w:p>
      <w:pPr>
        <w:spacing w:after="0" w:line="18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Insurance Matters</w:t>
      </w:r>
      <w:r>
        <w:rPr>
          <w:rFonts w:ascii="Arial" w:cs="Arial" w:eastAsia="Arial" w:hAnsi="Arial"/>
          <w:sz w:val="16"/>
          <w:szCs w:val="16"/>
          <w:color w:val="auto"/>
        </w:rPr>
        <w:t>. For so long as BellRing Inc. or any members of the BellRing Group continue to participate in Post’s insurance programs (including, for the avoidance of doubt, workers compensation insurance), Post shall continue to administer such insurance programs and allocate or pass through, as applicable, the premiums, claims and other costs thereunder to BellRing Inc. or BellRing LLC, as applicable, in the same manner that Post administers and allocates or passes through such premiums, claims and costs thereunder to the members of the BellRing Group as of the date hereof. BellRing Inc. or BellRing LLC may elect to discontinue participation in Post’s insurance programs, to be effective as of any policy renewal date, provided that BellRing Inc. or BellRing LLC provides Post written notice of such election at least ninety (90) days prior (or such longer period that may be required by any applicable insurance policy) to any such policy renewal date. BellRing Inc. and BellRing LLC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283" w:name="page284"/>
    <w:bookmarkEnd w:id="283"/>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provide Post with all information reasonably requested by Post as it relates to BellRing Inc.’s and the BellRing Group’s participation in Post’s insurance programs, their withdrawal therefrom or their participation in their own insurance programs, subject to the terms of the Master Services Agreement.</w:t>
      </w:r>
    </w:p>
    <w:p>
      <w:pPr>
        <w:spacing w:after="0" w:line="18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Except as expressly provided to the contrary in this Agreement or in any Ancillary Agreement, or as otherwise agreed in writing by the Parties, any amount not paid when due pursuant to this Agreement or any Ancillary Agreement (and any amounts billed or otherwise invoiced or demanded and properly payable that are not paid within forty-five (45) days of such bill, invoice or other demand) shall accrue interest at a rate per annum equal to the Prime Rate plus two (2%) percent;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of any such late payment has been provided and the other Party has been provided fifteen (15) days to cure any such late payment.</w:t>
      </w:r>
    </w:p>
    <w:p>
      <w:pPr>
        <w:spacing w:after="0" w:line="188"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Inducement</w:t>
      </w:r>
      <w:r>
        <w:rPr>
          <w:rFonts w:ascii="Arial" w:cs="Arial" w:eastAsia="Arial" w:hAnsi="Arial"/>
          <w:sz w:val="17"/>
          <w:szCs w:val="17"/>
          <w:color w:val="auto"/>
        </w:rPr>
        <w:t xml:space="preserve">. Each of BellRing Inc. and BellRing LLC acknowledges and agrees that Post’s willingness to cause, effect and consummate the Formation Transactions and the IPO has been conditioned upon and induced by BellRing Inc.’s and BellRing LLC’s covenants and agreements in this Agreement and the Ancillary Agreements, including BellRing LLC’s assumption of the BellRing Liabilities pursuant to the provisions of this Agreement and BellRing Inc.’s and BellRing LLC’s covenants and agreements contained in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No Restrictions on Competition</w:t>
      </w:r>
      <w:r>
        <w:rPr>
          <w:rFonts w:ascii="Arial" w:cs="Arial" w:eastAsia="Arial" w:hAnsi="Arial"/>
          <w:sz w:val="16"/>
          <w:szCs w:val="16"/>
          <w:color w:val="auto"/>
        </w:rPr>
        <w:t>. It is the explicit intent of each of the Parties that the provisions of this Agreement shall not include any non-competition or other similar restrictive arrangements with respect to the range of business activities that may be conducted by the Parties from and after the Effective Time. Accordingly, each of the Parties acknowledges and agrees that nothing set forth in this Agreement shall be construed to create any explicit or implied restriction or other limitation on the ability of any Party to engage in any (a) business or other activity that competes with the business of any other Party, or (b) specific line of business or engage in any business activity in any specific geographic area.</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EXCHANGE OF INFORMATION; CONFIDENTIALITY</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Agreement for Exchange of Information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and any other applicable confidentiality obligations, each of Post, BellRing LLC and BellRing Inc., on behalf of themselves and each member of their respective Groups, as applicable, agrees to use commercially reasonable efforts to provide or make available, or cause to be provided or made available, to such other Party and the members of such other Party’s Group, as applicable, at any time before, on or after the Effective Time, as soon as reasonably practicable after written request therefor is received by such Party, any information (or a copy thereof) in the possession or under the control of such Party or its Group, as applicable, which the requesting Party requests to the extent that (i) such information relates to the BellRing Business, or any BellRing Asset or BellRing Liability, if BellRing Inc. or BellRing LLC is the requesting Party, or to the Post Business, or any Post Asset or Post Liability, if Post is the requesting Party; (ii) such information is required by the requesting Party to comply with its obligations under this Agreement or any Ancillary Agreement; or (iii) such information is required by the requesting Party to comply with any obligation imposed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Party to whom the request has been made determines that any such provision of information could be detrimental to the Party providing the information, violate any Law or agreement or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expand the obligations of a Party under </w:t>
      </w:r>
      <w:r>
        <w:rPr>
          <w:rFonts w:ascii="Arial" w:cs="Arial" w:eastAsia="Arial" w:hAnsi="Arial"/>
          <w:sz w:val="16"/>
          <w:szCs w:val="16"/>
          <w:u w:val="single" w:color="auto"/>
          <w:color w:val="auto"/>
        </w:rPr>
        <w:t>Section 7.3</w:t>
      </w:r>
      <w:r>
        <w:rPr>
          <w:rFonts w:ascii="Arial" w:cs="Arial" w:eastAsia="Arial" w:hAnsi="Arial"/>
          <w:sz w:val="16"/>
          <w:szCs w:val="16"/>
          <w:color w:val="auto"/>
        </w:rPr>
        <w: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284" w:name="page285"/>
    <w:bookmarkEnd w:id="284"/>
    <w:p>
      <w:pPr>
        <w:ind w:right="1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Ownership of Information</w:t>
      </w:r>
      <w:r>
        <w:rPr>
          <w:rFonts w:ascii="Arial" w:cs="Arial" w:eastAsia="Arial" w:hAnsi="Arial"/>
          <w:sz w:val="18"/>
          <w:szCs w:val="18"/>
          <w:color w:val="auto"/>
        </w:rPr>
        <w:t xml:space="preserve">. The provision of any information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affect the ownership of such information (which shall be determined solely in accordance with the terms of this Agreement and the Ancillary Agreements), or constitute a grant of rights in or to any such information.</w:t>
      </w:r>
    </w:p>
    <w:p>
      <w:pPr>
        <w:spacing w:after="0" w:line="181"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Record Retention</w:t>
      </w:r>
      <w:r>
        <w:rPr>
          <w:rFonts w:ascii="Arial" w:cs="Arial" w:eastAsia="Arial" w:hAnsi="Arial"/>
          <w:sz w:val="18"/>
          <w:szCs w:val="18"/>
          <w:color w:val="auto"/>
        </w:rPr>
        <w:t xml:space="preserve">. To facilitate the possible exchange of information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other provisions of this Agreement after the Effective Time, Post, BellRing LLC and BellRing Inc. shall use their commercially reasonable efforts, which shall be no less rigorous than those used for retention of such Party’s own information, to retain all information in their respective possession or control at the Effective Time in accordance with their respective policies regarding retention of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any information relating to Taxes, such retention period shall be extended to the expiration of the applicable statute of limitations (giving effect to any extensions thereof). None of Post, BellRing LLC or BellRing Inc. shall destroy, or permit any of its respective Group members, as applicable, to destroy, any information which such other Party may have the right to obtain pursuant to this Agreement prior to the end of the retention period set forth in such policies without first notifying such other Party of the proposed destruction and giving such other Party the opportunity to take possession of such information prior to such destruction. Notwithstanding anything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the contrary, the Tax Matters Agreement exclusively governs the exchange of Tax-related information.</w:t>
      </w:r>
    </w:p>
    <w:p>
      <w:pPr>
        <w:spacing w:after="0" w:line="19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xml:space="preserve">. No Party shall have any Liability to any other Party in the event that any information exchanged or provided pursuant to this Agreement is found to be inaccurate in the absence of gross negligence, bad faith or willful misconduct by the Party providing such information. No Party shall have any Liability to any other Party if any information is destroyed after commercially reasonable efforts by such Party to comply with the provisions of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9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Other Agreements Providing for Exchange of Information</w:t>
      </w:r>
      <w:r>
        <w:rPr>
          <w:rFonts w:ascii="Arial" w:cs="Arial" w:eastAsia="Arial" w:hAnsi="Arial"/>
          <w:sz w:val="16"/>
          <w:szCs w:val="16"/>
          <w:color w:val="auto"/>
        </w:rPr>
        <w:t>.</w:t>
      </w:r>
    </w:p>
    <w:p>
      <w:pPr>
        <w:spacing w:after="0" w:line="117" w:lineRule="exact"/>
        <w:rPr>
          <w:sz w:val="20"/>
          <w:szCs w:val="20"/>
          <w:color w:val="auto"/>
        </w:rPr>
      </w:pPr>
    </w:p>
    <w:p>
      <w:pPr>
        <w:ind w:right="700" w:firstLine="996"/>
        <w:spacing w:after="0" w:line="277" w:lineRule="auto"/>
        <w:tabs>
          <w:tab w:leader="none" w:pos="137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 the event of any conflict between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the terms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as applicable, shall control.</w:t>
      </w:r>
    </w:p>
    <w:p>
      <w:pPr>
        <w:spacing w:after="0" w:line="170" w:lineRule="exact"/>
        <w:rPr>
          <w:rFonts w:ascii="Arial" w:cs="Arial" w:eastAsia="Arial" w:hAnsi="Arial"/>
          <w:sz w:val="18"/>
          <w:szCs w:val="18"/>
          <w:color w:val="auto"/>
        </w:rPr>
      </w:pPr>
    </w:p>
    <w:p>
      <w:pPr>
        <w:ind w:right="560" w:firstLine="996"/>
        <w:spacing w:after="0" w:line="342" w:lineRule="auto"/>
        <w:tabs>
          <w:tab w:leader="none" w:pos="137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rights and obligations granted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are subject to any specific limitations, qualifications or additional provisions on the sharing, exchange, retention, destruction or confidential treatment of information set forth in any Ancillary Agreement.</w:t>
      </w:r>
    </w:p>
    <w:p>
      <w:pPr>
        <w:spacing w:after="0" w:line="123" w:lineRule="exact"/>
        <w:rPr>
          <w:rFonts w:ascii="Arial" w:cs="Arial" w:eastAsia="Arial" w:hAnsi="Arial"/>
          <w:sz w:val="16"/>
          <w:szCs w:val="16"/>
          <w:color w:val="auto"/>
        </w:rPr>
      </w:pPr>
    </w:p>
    <w:p>
      <w:pPr>
        <w:jc w:val="both"/>
        <w:ind w:right="60" w:firstLine="996"/>
        <w:spacing w:after="0" w:line="259" w:lineRule="auto"/>
        <w:tabs>
          <w:tab w:leader="none" w:pos="136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Any Party that receives, pursuant to a request for information in accordance with this </w:t>
      </w:r>
      <w:r>
        <w:rPr>
          <w:rFonts w:ascii="Arial" w:cs="Arial" w:eastAsia="Arial" w:hAnsi="Arial"/>
          <w:sz w:val="18"/>
          <w:szCs w:val="18"/>
          <w:u w:val="single" w:color="auto"/>
          <w:color w:val="auto"/>
        </w:rPr>
        <w:t>ARTICLE VII</w:t>
      </w:r>
      <w:r>
        <w:rPr>
          <w:rFonts w:ascii="Arial" w:cs="Arial" w:eastAsia="Arial" w:hAnsi="Arial"/>
          <w:sz w:val="18"/>
          <w:szCs w:val="18"/>
          <w:color w:val="auto"/>
        </w:rPr>
        <w:t>, Tangible Information that is not relevant to its request shall, at the request of the providing Party (i) return it to the providing Party or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29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7" w:lineRule="exact"/>
        <w:rPr>
          <w:sz w:val="20"/>
          <w:szCs w:val="20"/>
          <w:color w:val="auto"/>
        </w:rPr>
      </w:pPr>
    </w:p>
    <w:p>
      <w:pPr>
        <w:ind w:right="40" w:firstLine="996"/>
        <w:spacing w:after="0" w:line="259" w:lineRule="auto"/>
        <w:tabs>
          <w:tab w:leader="none" w:pos="137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7.7</w:t>
      </w:r>
      <w:r>
        <w:rPr>
          <w:rFonts w:ascii="Arial" w:cs="Arial" w:eastAsia="Arial" w:hAnsi="Arial"/>
          <w:sz w:val="18"/>
          <w:szCs w:val="18"/>
          <w:color w:val="auto"/>
        </w:rPr>
        <w:t>, from and after the Effective Time each Party, on behalf of itself and each member of its respective Group, as applicable, agrees to hold, and to cause its respective Representatives to hold, in strict confidence, with at least the same degree of care that applies to Post’s confidential and proprietary information pursuant to policies in effect as of the Effective Time, all confidential and proprietary information concerning the other Parties or any member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285" w:name="page286"/>
    <w:bookmarkEnd w:id="285"/>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Party’s Group, as applicable, or their respective businesses (giving effect to the Formation Transactions) that is either in its possession (including confidential and proprietary information in its possession prior to the date hereof) or furnished by any such other Party or any member of such Party’s Group, as applicable, or their respective Representatives at any time pursuant to this Agreement, any Ancillary Agreement or otherwise, except to the extent that such confidential and proprietary information has been (i) in the public domain or generally available to the public, other than as a result of a disclosure by such Party or any member of such Party’s Group, as applicable, or any of their respective Representatives in violation of this Agreement,</w:t>
      </w:r>
    </w:p>
    <w:p>
      <w:pPr>
        <w:spacing w:after="0" w:line="2" w:lineRule="exact"/>
        <w:rPr>
          <w:sz w:val="20"/>
          <w:szCs w:val="20"/>
          <w:color w:val="auto"/>
        </w:rPr>
      </w:pPr>
    </w:p>
    <w:p>
      <w:pPr>
        <w:ind w:firstLine="4"/>
        <w:spacing w:after="0" w:line="271" w:lineRule="auto"/>
        <w:tabs>
          <w:tab w:leader="none" w:pos="26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later lawfully acquired from other sources by such Party (or any member of such Party’s Group, as applicable) which sources are not, to the receiving Party’s knowledge after reasonable inquiry, themselves bound by a confidentiality obligation or other contractual, legal or fiduciary obligation of confidentiality with respect to such confidential and proprietary information, (iii) independently developed or generated without reference to or use of any proprietary or confidential information of any other Party or any member of such Party’s Group, as applicable, or (iv) publicly disclosed in connection with or as part of Post’s or BellRing Inc.’s ordinary course investor relations activities.</w:t>
      </w:r>
    </w:p>
    <w:p>
      <w:pPr>
        <w:spacing w:after="0" w:line="178" w:lineRule="exact"/>
        <w:rPr>
          <w:rFonts w:ascii="Arial" w:cs="Arial" w:eastAsia="Arial" w:hAnsi="Arial"/>
          <w:sz w:val="17"/>
          <w:szCs w:val="17"/>
          <w:color w:val="auto"/>
        </w:rPr>
      </w:pPr>
    </w:p>
    <w:p>
      <w:pPr>
        <w:ind w:right="40" w:firstLine="996"/>
        <w:spacing w:after="0" w:line="286" w:lineRule="auto"/>
        <w:tabs>
          <w:tab w:leader="none" w:pos="1382"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Third Party Information; Privacy or Data Protection Laws</w:t>
      </w:r>
      <w:r>
        <w:rPr>
          <w:rFonts w:ascii="Arial" w:cs="Arial" w:eastAsia="Arial" w:hAnsi="Arial"/>
          <w:sz w:val="16"/>
          <w:szCs w:val="16"/>
          <w:color w:val="auto"/>
        </w:rPr>
        <w:t>. Each Party acknowledges that it and members of its Group, as applicable, may presently have and, following the Effective Time, may gain access to or possession of confidential or proprietary information of, or legally protected personal information relating to, Third Parties (i) that was received under privacy policies and/or confidentiality or non-disclosure agreements entered into between such Third Parties, on the one hand, and another Party or members of such Party’s Group, as applicable, on the other hand, prior to the Effective Time; or (ii) that, as between such Parties, was originally collected by the other Party or members of such other Party’s Group, as applicable, and that may be subject to and protected by privacy policies, as well as privacy, data protection or other applicable Laws. Each Party agrees that it shall hold, protect and use, and shall cause the members of its Group, as applicable, and its and their respective Representatives to hold, protect and use, in strict confidence the confidential and proprietary information of, or legally protected personal information relating to, Third Parties in accordance with privacy policies and privacy, data protection or other applicable Laws and the terms of any agreements that were either entered into before the Effective Time or affirmative commitments or representations that were made before the Effective Time by, between or among another Party or members of such Party’s Group, as applicable, on the one hand, and such Third Parties, on the other hand. With respect to legally protected personal information received from consumers before the Effective Time, each Party agrees that it shall not use data in a manner that is materially inconsistent with promises made at the time the data was collected unless it first obtains affirmative express consent from the relevant consumer.</w:t>
      </w:r>
    </w:p>
    <w:p>
      <w:pPr>
        <w:spacing w:after="0" w:line="17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Protective Arrangements</w:t>
      </w:r>
      <w:r>
        <w:rPr>
          <w:rFonts w:ascii="Arial" w:cs="Arial" w:eastAsia="Arial" w:hAnsi="Arial"/>
          <w:sz w:val="17"/>
          <w:szCs w:val="17"/>
          <w:color w:val="auto"/>
        </w:rPr>
        <w:t>. In the event that a Party or any member of its Group, as applicable, either determines on the advice of its counsel that it is required to disclose any information pursuant to applicable Law or receives any request or demand under lawful process or from any Governmental Authority to disclose or provide information of any other Party (or any member of any other Party’s Group, as applicable) that is subject to the confidentiality provisions hereof, such Party shall notify the other Parties (to the extent legally permitted) as promptly as practicable under the circumstances prior to disclosing or providing such information and shall reasonably cooperate, at the expense of the other Party(ies), in seeking any appropriate protective order requested by the other Party(ies). In the event that such other Party(ies) fails to receive such appropriate protective order in a timely manner, then the Party that received such request or demand may thereafter disclose or provide information to the extent required by such Law (as so advised by its counsel) or by lawful process or such Governmental Authority, and the disclosing Party shall promptly provide the other Parties with a copy of the information so disclosed, in the same form and format so disclosed, together with a list of all Persons to whom such information was disclosed, in each case to the extent legally permitted.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DISPUTE RESOLUTION</w:t>
      </w:r>
    </w:p>
    <w:p>
      <w:pPr>
        <w:spacing w:after="0" w:line="21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Good Faith Officer Negotiation</w:t>
      </w:r>
      <w:r>
        <w:rPr>
          <w:rFonts w:ascii="Arial" w:cs="Arial" w:eastAsia="Arial" w:hAnsi="Arial"/>
          <w:sz w:val="16"/>
          <w:szCs w:val="16"/>
          <w:color w:val="auto"/>
        </w:rPr>
        <w:t>. Any Party seeking resolution of any dispute, controversy or claim arising out of or relating to this Agreement or any Ancillary Agreement (other than the Tax Matters Agreement), including regarding whether any Assets are BellRing Assets, any Liabilities are BellRing Liabilities or the validity, interpretation, breach or termination of this Agreement or any Ancillary Agreement (a “</w:t>
      </w:r>
      <w:r>
        <w:rPr>
          <w:rFonts w:ascii="Arial" w:cs="Arial" w:eastAsia="Arial" w:hAnsi="Arial"/>
          <w:sz w:val="16"/>
          <w:szCs w:val="16"/>
          <w:u w:val="single" w:color="auto"/>
          <w:color w:val="auto"/>
        </w:rPr>
        <w:t>Dispute</w:t>
      </w:r>
      <w:r>
        <w:rPr>
          <w:rFonts w:ascii="Arial" w:cs="Arial" w:eastAsia="Arial" w:hAnsi="Arial"/>
          <w:sz w:val="16"/>
          <w:szCs w:val="16"/>
          <w:color w:val="auto"/>
        </w:rPr>
        <w:t>”), shall provide written notice thereof to the other Parties (the “</w:t>
      </w:r>
      <w:r>
        <w:rPr>
          <w:rFonts w:ascii="Arial" w:cs="Arial" w:eastAsia="Arial" w:hAnsi="Arial"/>
          <w:sz w:val="16"/>
          <w:szCs w:val="16"/>
          <w:u w:val="single" w:color="auto"/>
          <w:color w:val="auto"/>
        </w:rPr>
        <w:t>Officer Negotiation Request</w:t>
      </w:r>
      <w:r>
        <w:rPr>
          <w:rFonts w:ascii="Arial" w:cs="Arial" w:eastAsia="Arial" w:hAnsi="Arial"/>
          <w:sz w:val="16"/>
          <w:szCs w:val="16"/>
          <w:color w:val="auto"/>
        </w:rPr>
        <w:t xml:space="preserve">”). Within fifteen (15) days of the delivery of the Officer Negotiation Request, the Parties shall attempt to resolve the Dispute through good faith negotiation. All such negotiations shall be conducted by executives who hold, at a minimum, the title of Senior Vice President and who have authority to settle the Dispute. All such negotiations shall be confidential and shall be treated as compromise and settlement negotiations for purposes of applicable rules of evidence. If the Parties are unable for any reason to resolve a Dispute within thirty (30) days of receipt of the Officer Negotiation Request, and such thirty (30) day period is not extended by mutual written consent of the Parties, the Chief Executive Officers of the Parties shall enter into good faith negotiations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CEO Negotiation</w:t>
      </w:r>
      <w:r>
        <w:rPr>
          <w:rFonts w:ascii="Arial" w:cs="Arial" w:eastAsia="Arial" w:hAnsi="Arial"/>
          <w:sz w:val="18"/>
          <w:szCs w:val="18"/>
          <w:color w:val="auto"/>
        </w:rPr>
        <w:t xml:space="preserve">. If any Dispute is not resolved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the Party that delivered the Officer Negotiation Request shall provide written notice of such Dispute to the Chief Executive Officer of each Party (a “</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As soon as reasonably practicable following receipt of a CEO Negotiation Request, the Chief Executive Officers of the Parties shall begin conducting good-faith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thirty (30) days of receipt of a CEO Negotiation Request, and such thirty (30) day period is not extended by mutual written consent of the Parties, the Dispute may be resolved as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8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Dispute Resolution and Injunctive Relief</w:t>
      </w:r>
      <w:r>
        <w:rPr>
          <w:rFonts w:ascii="Arial" w:cs="Arial" w:eastAsia="Arial" w:hAnsi="Arial"/>
          <w:sz w:val="18"/>
          <w:szCs w:val="18"/>
          <w:color w:val="auto"/>
        </w:rPr>
        <w:t xml:space="preserve">. In the event that a Dispute has not been resolved within thirty (30) days of the receipt of a CEO Negotiation Request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within such longer period as the Parties may agree to in writing, then any Party may petition or file an action in a court of competent jurisdiction for resolution of such Dispute. Notwithstanding the foregoing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 a Party may seek preliminary provisional or injunctive judicial relief with respect to a Dispute without first complying with the procedures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if such action is reasonably necessary to avoid irreparable damage, and (b) a Party may petition or file an action in a court of competent jurisdiction for resolution of a Dispute before the expiration of the periods specified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if such Party has submitted a CEO Negotiation Request and the other Party(ies) has failed to comply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in good faith with respect to such negotiation.</w:t>
      </w:r>
    </w:p>
    <w:p>
      <w:pPr>
        <w:spacing w:after="0" w:line="192"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Conduct During Dispute Resolution Process</w:t>
      </w:r>
      <w:r>
        <w:rPr>
          <w:rFonts w:ascii="Arial" w:cs="Arial" w:eastAsia="Arial" w:hAnsi="Arial"/>
          <w:sz w:val="18"/>
          <w:szCs w:val="18"/>
          <w:color w:val="auto"/>
        </w:rPr>
        <w:t xml:space="preserve">. Unless otherwise agreed in writing, the Parties shall, and shall cause the respective members of their Groups, as applicable, to, continue to honor all commitments under this Agreement and each Ancillary Agreement to the extent required by such agreements during the course of dispute resolution pursuant to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unless such commitments are the specific subject of the Dispute at issue.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Termination; Waiver and Amendments</w:t>
      </w:r>
      <w:r>
        <w:rPr>
          <w:rFonts w:ascii="Arial" w:cs="Arial" w:eastAsia="Arial" w:hAnsi="Arial"/>
          <w:sz w:val="16"/>
          <w:szCs w:val="16"/>
          <w:color w:val="auto"/>
        </w:rPr>
        <w:t>.</w:t>
      </w:r>
    </w:p>
    <w:p>
      <w:pPr>
        <w:spacing w:after="0" w:line="225" w:lineRule="exact"/>
        <w:rPr>
          <w:sz w:val="20"/>
          <w:szCs w:val="20"/>
          <w:color w:val="auto"/>
        </w:rPr>
      </w:pPr>
    </w:p>
    <w:p>
      <w:pPr>
        <w:ind w:firstLine="996"/>
        <w:spacing w:after="0" w:line="264" w:lineRule="auto"/>
        <w:tabs>
          <w:tab w:leader="none" w:pos="137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Prior to the IPO Closing Date, this Agreement may be terminated by Post, in its sole discretion. In the event of any termination of this Agreement prior to the IPO Closing Date, no Party (nor any of its directors, officers, members, managers or employees) shall have any Liability or further obligation to the other Party by reason of this Agreement.</w:t>
      </w:r>
    </w:p>
    <w:p>
      <w:pPr>
        <w:spacing w:after="0" w:line="181" w:lineRule="exact"/>
        <w:rPr>
          <w:rFonts w:ascii="Arial" w:cs="Arial" w:eastAsia="Arial" w:hAnsi="Arial"/>
          <w:sz w:val="18"/>
          <w:szCs w:val="18"/>
          <w:color w:val="auto"/>
        </w:rPr>
      </w:pPr>
    </w:p>
    <w:p>
      <w:pPr>
        <w:ind w:left="1380" w:hanging="384"/>
        <w:spacing w:after="0"/>
        <w:tabs>
          <w:tab w:leader="none" w:pos="13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After the IPO Closing Date, this Agreement may be terminated only by mutual consent of each of the Parties.</w:t>
      </w:r>
    </w:p>
    <w:p>
      <w:pPr>
        <w:spacing w:after="0" w:line="225" w:lineRule="exact"/>
        <w:rPr>
          <w:rFonts w:ascii="Arial" w:cs="Arial" w:eastAsia="Arial" w:hAnsi="Arial"/>
          <w:sz w:val="18"/>
          <w:szCs w:val="18"/>
          <w:color w:val="auto"/>
        </w:rPr>
      </w:pPr>
    </w:p>
    <w:p>
      <w:pPr>
        <w:ind w:right="20" w:firstLine="996"/>
        <w:spacing w:after="0" w:line="277" w:lineRule="auto"/>
        <w:tabs>
          <w:tab w:leader="none" w:pos="137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provisions of this Agreement or any Ancillary Agreement shall be deemed waived by a Party, unless such waiver is in writing and signed by the authorized representative of the Party against whom it sought to enforce such waiver.</w:t>
      </w:r>
    </w:p>
    <w:p>
      <w:pPr>
        <w:spacing w:after="0" w:line="170" w:lineRule="exact"/>
        <w:rPr>
          <w:rFonts w:ascii="Arial" w:cs="Arial" w:eastAsia="Arial" w:hAnsi="Arial"/>
          <w:sz w:val="18"/>
          <w:szCs w:val="18"/>
          <w:color w:val="auto"/>
        </w:rPr>
      </w:pPr>
    </w:p>
    <w:p>
      <w:pPr>
        <w:ind w:right="420" w:firstLine="996"/>
        <w:spacing w:after="0" w:line="277" w:lineRule="auto"/>
        <w:tabs>
          <w:tab w:leader="none" w:pos="138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provisions of this Agreement or any Ancillary Agreement shall be deemed amended, supplemented or modified, unless such waiver, supplement or modification is in writing and signed by the authorized representative of each Party.</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 Without limiting the foregoing, prior to, on and after the Effective Time, each Party shall cooperate with the other Parties, and without any further consideration, but at the expense of the requesting Party, to execute and deliver, or use its reasonable best efforts to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Party(ies) from time to time, consistent with the terms of this Agreement and the Ancillary Agreements, in order to effectuate the provisions and purposes of this Agreement and the Ancillary Agreements and the transfers of the BellRing Assets and the Post Assets and the assignment and assumption of the BellRing Liabilities and the Post Liabilities and the other transactions contemplated hereby and thereby. Without limiting the foregoing, each Party shall, at the reasonable request, cost and expense of the other Party(ies), take such other actions as may be reasonably necessary to vest in such other Party good and marketable title to the Assets allocated to such Party under this Agreement or any of the Ancillary Agreements, free and clear of any Security Interest, if and to the extent it is practicable to do so.</w:t>
      </w:r>
    </w:p>
    <w:p>
      <w:pPr>
        <w:spacing w:after="0" w:line="2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Counterparts; Entire Agreement; Corporate Power</w:t>
      </w:r>
      <w:r>
        <w:rPr>
          <w:rFonts w:ascii="Arial" w:cs="Arial" w:eastAsia="Arial" w:hAnsi="Arial"/>
          <w:sz w:val="16"/>
          <w:szCs w:val="16"/>
          <w:color w:val="auto"/>
        </w:rPr>
        <w:t>.</w:t>
      </w:r>
    </w:p>
    <w:p>
      <w:pPr>
        <w:spacing w:after="0" w:line="117" w:lineRule="exact"/>
        <w:rPr>
          <w:sz w:val="20"/>
          <w:szCs w:val="20"/>
          <w:color w:val="auto"/>
        </w:rPr>
      </w:pPr>
    </w:p>
    <w:p>
      <w:pPr>
        <w:jc w:val="both"/>
        <w:ind w:right="220" w:firstLine="996"/>
        <w:spacing w:after="0" w:line="264" w:lineRule="auto"/>
        <w:tabs>
          <w:tab w:leader="none" w:pos="13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This Agreement and each Ancillary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81" w:lineRule="exact"/>
        <w:rPr>
          <w:rFonts w:ascii="Arial" w:cs="Arial" w:eastAsia="Arial" w:hAnsi="Arial"/>
          <w:sz w:val="18"/>
          <w:szCs w:val="18"/>
          <w:color w:val="auto"/>
        </w:rPr>
      </w:pPr>
    </w:p>
    <w:p>
      <w:pPr>
        <w:ind w:right="60" w:firstLine="996"/>
        <w:spacing w:after="0" w:line="276" w:lineRule="auto"/>
        <w:tabs>
          <w:tab w:leader="none" w:pos="137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This Agreement, the Ancillary Agreements and the Exhibits, Schedules and appendices hereto and thereto contain the entire agreement among the Parties with respect to the subject matter hereof and supersede all previous agreements, negotiations, discussions, writings, understandings, commitments and conversations with respect to such subject matter, and there are no agreements or understandings among the Parties other than those set forth or referred to herein or therein. This Agreement and the Ancillary Agreements together govern the arrangements in connection with the Formation Transactions and the IPO and would not have been entered into independently.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288" w:name="page289"/>
    <w:bookmarkEnd w:id="288"/>
    <w:p>
      <w:pPr>
        <w:ind w:right="280" w:firstLine="996"/>
        <w:spacing w:after="0" w:line="277" w:lineRule="auto"/>
        <w:tabs>
          <w:tab w:leader="none" w:pos="1372"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 represents on behalf of itself and each other member of the Post Group, BellRing LLC represents on behalf of itself and each other member of the BellRing Group, and BellRing Inc. represents on behalf of itself, as follows:</w:t>
      </w:r>
    </w:p>
    <w:p>
      <w:pPr>
        <w:spacing w:after="0" w:line="170" w:lineRule="exact"/>
        <w:rPr>
          <w:rFonts w:ascii="Arial" w:cs="Arial" w:eastAsia="Arial" w:hAnsi="Arial"/>
          <w:sz w:val="18"/>
          <w:szCs w:val="18"/>
          <w:color w:val="auto"/>
        </w:rPr>
      </w:pPr>
    </w:p>
    <w:p>
      <w:pPr>
        <w:ind w:right="120" w:firstLine="1436"/>
        <w:spacing w:after="0" w:line="264" w:lineRule="auto"/>
        <w:tabs>
          <w:tab w:leader="none" w:pos="178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81" w:lineRule="exact"/>
        <w:rPr>
          <w:rFonts w:ascii="Arial" w:cs="Arial" w:eastAsia="Arial" w:hAnsi="Arial"/>
          <w:sz w:val="18"/>
          <w:szCs w:val="18"/>
          <w:color w:val="auto"/>
        </w:rPr>
      </w:pPr>
    </w:p>
    <w:p>
      <w:pPr>
        <w:ind w:right="60" w:firstLine="1436"/>
        <w:spacing w:after="0" w:line="277" w:lineRule="auto"/>
        <w:tabs>
          <w:tab w:leader="none" w:pos="183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170" w:lineRule="exact"/>
        <w:rPr>
          <w:rFonts w:ascii="Arial" w:cs="Arial" w:eastAsia="Arial" w:hAnsi="Arial"/>
          <w:sz w:val="18"/>
          <w:szCs w:val="18"/>
          <w:color w:val="auto"/>
        </w:rPr>
      </w:pPr>
    </w:p>
    <w:p>
      <w:pPr>
        <w:ind w:right="40" w:firstLine="996"/>
        <w:spacing w:after="0" w:line="264" w:lineRule="auto"/>
        <w:tabs>
          <w:tab w:leader="none" w:pos="138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Party acknowledges that delivery of an executed counterpart of a signature page to this Agreement or any Ancillary Agreement by facsimile or by e-mail in portable document format (PDF) shall be effective as delivery of such executed counterpart of this Agreement or any Ancillary Agreement.</w:t>
      </w:r>
    </w:p>
    <w:p>
      <w:pPr>
        <w:spacing w:after="0" w:line="181"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unless expressly provided therein, each Ancillary Agreement (and any claims or disputes arising out of or related hereto or thereto or to the transactions contemplated hereby and thereby or to the inducement of any party to enter into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73"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Assignability</w:t>
      </w:r>
      <w:r>
        <w:rPr>
          <w:rFonts w:ascii="Arial" w:cs="Arial" w:eastAsia="Arial" w:hAnsi="Arial"/>
          <w:sz w:val="16"/>
          <w:szCs w:val="16"/>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nor any such party thereto may assign its rights or delegate its obligations under this Agreement or any Ancillary Agreement without the express prior written consent of the other Parties or other parties thereto, as applicable. Notwithstanding the foregoing, no such consent shall be required for the assignment of a party’s rights and obligations under this Agreement and the Ancillary Agreements (except as may be otherwise provided in any such Ancillary Agreement) in whole (i.e., the assignment of a party’s rights and obligations under this Agreement and all Ancillary Agreements all at the same time) in connection with a Change of Control of such party so long as the resulting, surviving or transferee Person assumes all of the obligations of the relevant party thereto by operation of Law or pursuant to an agreement in form and substance reasonably satisfactory to the other Parties.</w:t>
      </w:r>
    </w:p>
    <w:p>
      <w:pPr>
        <w:spacing w:after="0" w:line="166"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Except for the indemnification rights under this Agreement and each Ancillary Agreement of any Post Indemnitee or BellRing Indemnitee in their respective capacities as such, (a) the provisions of this Agreement and each Ancillary Agreement are solely for the benefit of the Parties and are not intended to confer upon any Person except the Parties any rights or remedies hereunder, and (b) there are no third party beneficiaries of this Agreement or any Ancillary Agreement and neither this Agreement nor any Ancillary Agreement shall provide any third Person with any remedy, claim, Liability, reimbursement, claim of action or other right in excess of those existing without reference to this Agreement or any Ancillary Agreement.</w:t>
      </w:r>
    </w:p>
    <w:p>
      <w:pPr>
        <w:spacing w:after="0" w:line="193"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or other communications under this Agreement and, to the extent applicable and unless otherwise provided therein, under each of the Ancillary Agreements, shall be in writing and shall be given or made (and shall be deemed to have been duly given or made upon receipt) by delivery in person, by overnight courier service or electronically,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respective Parties at the following addresses (or at such other address for a Party as shall be specified in a notice given in accordance with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(prior to, on or after the Effective Time),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LLC (prior to, on or after the Effective Time),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Inc. (prior to, on or after the Effective Time),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Party may, by notice to the other Parties, change the address to which such notices are to be given.</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7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Force Majeure</w:t>
      </w:r>
      <w:r>
        <w:rPr>
          <w:rFonts w:ascii="Arial" w:cs="Arial" w:eastAsia="Arial" w:hAnsi="Arial"/>
          <w:sz w:val="18"/>
          <w:szCs w:val="18"/>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Parties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290" w:name="page291"/>
    <w:bookmarkEnd w:id="290"/>
    <w:p>
      <w:pPr>
        <w:ind w:right="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9.10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set forth in any Ancillary Agreement or as otherwise mutually agreed to in writing by the Parties, no Party nor any member of such Party’s Group, as applicable, shall have any right of set-off or other similar rights with respect to (a) any amounts received pursuant to this Agreement or any Ancillary Agreement; or (b) any other amounts claimed to be owed to any other Party or any member of its Group, as applicable, arising out of this Agreement or any Ancillary Agreement.</w:t>
      </w:r>
    </w:p>
    <w:p>
      <w:pPr>
        <w:spacing w:after="0" w:line="18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Except as otherwise expressly set forth in this Agreement or any Ancillary Agreement, or as otherwise agreed to in writing by the Parties, all fees, costs and expenses incurred at or prior to the Effective Time in connection with the preparation, execution, delivery and implementation of this Agreement, including the Formation Transactions and the IPO, and any Ancillary Agreement, the IPO Registration Statement and the consummation of the transactions contemplated hereby and thereby, will be borne by the Party or its applicable Subsidiary incurring such fees, costs or expenses. The Parties agree that certain specified costs, expenses and reimbursements shall be allocated among the Parties, and borne and be the responsibility of the applicable Party, as set forth on </w:t>
      </w:r>
      <w:r>
        <w:rPr>
          <w:rFonts w:ascii="Arial" w:cs="Arial" w:eastAsia="Arial" w:hAnsi="Arial"/>
          <w:sz w:val="17"/>
          <w:szCs w:val="17"/>
          <w:u w:val="single" w:color="auto"/>
          <w:color w:val="auto"/>
        </w:rPr>
        <w:t>Schedule 9.11</w:t>
      </w:r>
      <w:r>
        <w:rPr>
          <w:rFonts w:ascii="Arial" w:cs="Arial" w:eastAsia="Arial" w:hAnsi="Arial"/>
          <w:sz w:val="17"/>
          <w:szCs w:val="17"/>
          <w:color w:val="auto"/>
        </w:rPr>
        <w:t>.</w:t>
      </w:r>
    </w:p>
    <w:p>
      <w:pPr>
        <w:spacing w:after="0" w:line="178" w:lineRule="exact"/>
        <w:rPr>
          <w:sz w:val="20"/>
          <w:szCs w:val="20"/>
          <w:color w:val="auto"/>
        </w:rPr>
      </w:pPr>
    </w:p>
    <w:p>
      <w:pPr>
        <w:ind w:right="380" w:firstLine="441"/>
        <w:spacing w:after="0" w:line="308"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47" w:lineRule="exact"/>
        <w:rPr>
          <w:sz w:val="20"/>
          <w:szCs w:val="20"/>
          <w:color w:val="auto"/>
        </w:rPr>
      </w:pPr>
    </w:p>
    <w:p>
      <w:pPr>
        <w:ind w:right="340" w:firstLine="441"/>
        <w:spacing w:after="0" w:line="25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xml:space="preserve">. Except as expressly set forth in this Agreement or any Ancillary Agreement, the covenants, representations and warranties contained in this Agreement and each Ancillary Agreement, and any Liabilities for the breach of any obligations contained herein, shall survive the Formation Transactions and the IPO and (subject to any agreement of the parties in connection therewith) any termination under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and shall remain in full force and effect. Notwithstanding anything to the contrary set forth in this Agreement,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the termination of this Agreement for any reason.</w:t>
      </w:r>
    </w:p>
    <w:p>
      <w:pPr>
        <w:spacing w:after="0" w:line="18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a Party of any default by any other Party of any provision of this Agreement or any Ancillary Agreement shall not be deemed a waiver by the waiving Party of any subsequent or other default, nor shall it prejudice the rights of any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7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for which a remedy at law would be adequate is waived. Any requirements for the securing or posting of any bond with such remedy are waived by each of the Parties.</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Interpretation</w:t>
      </w:r>
      <w:r>
        <w:rPr>
          <w:rFonts w:ascii="Arial" w:cs="Arial" w:eastAsia="Arial" w:hAnsi="Arial"/>
          <w:sz w:val="18"/>
          <w:szCs w:val="18"/>
          <w:color w:val="auto"/>
        </w:rPr>
        <w:t>. In this Agreement and any Ancillary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Schedule, Exhibit and Appendix references are to the Articles, Sections, Schedules, Exhibits and Appendices to this Agreement (or the applicable Ancillary Agreement) unless otherwise specified; (d) unless otherwise stated, all references to any agreement (including this Agreement and each Ancillary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shall be deemed to include the exhibits, schedules and appendices (including all Exhibits, Schedules and Appendices) to such agreement;</w:t>
      </w:r>
    </w:p>
    <w:p>
      <w:pPr>
        <w:spacing w:after="0" w:line="46" w:lineRule="exact"/>
        <w:rPr>
          <w:sz w:val="20"/>
          <w:szCs w:val="20"/>
          <w:color w:val="auto"/>
        </w:rPr>
      </w:pPr>
    </w:p>
    <w:p>
      <w:pPr>
        <w:ind w:right="120" w:firstLine="4"/>
        <w:spacing w:after="0" w:line="270" w:lineRule="auto"/>
        <w:tabs>
          <w:tab w:leader="none" w:pos="24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word “including” and words of similar import when used in this Agreement (or the applicable Ancillary Agreement) shall mean “including, without limitation,” unless otherwise specified; (f) the word “or” shall not be exclusive; (g) unless otherwise specified in a particular case, the word “days” refers to calendar days; (h) references herein to this Agreement or any other agreement contemplated herein shall be deemed to refer to this Agreement or such other agreement as of the date on which it is executed and as it may be amended, modified or supplemented thereafter, unless otherwise specified; and (i) unless expressly stated to the contrary in this Agreement or in any Ancillary Agreement, all references to “the date hereof,” “the date of this Agreement,” “hereby” and “hereupon” and words of similar import shall all be references to October 7, 2019.</w:t>
      </w:r>
    </w:p>
    <w:p>
      <w:pPr>
        <w:spacing w:after="0" w:line="17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Limitations of Liability; No Recourse</w:t>
      </w:r>
      <w:r>
        <w:rPr>
          <w:rFonts w:ascii="Arial" w:cs="Arial" w:eastAsia="Arial" w:hAnsi="Arial"/>
          <w:sz w:val="16"/>
          <w:szCs w:val="16"/>
          <w:color w:val="auto"/>
        </w:rPr>
        <w:t>. Notwithstanding anything in this Agreement to the contrary, (a) none of BellRing Inc., BellRing LLC or any other member of the BellRing Group, on the one hand, nor Post or any other member of the Post Group, on the other hand, shall be liable under this Agreement to the others for any special, indirect, punitive, exemplary, remote, speculative or similar damages in excess of compensatory damages of the other arising in connection with the transactions contemplated hereby (other than any such Liability with respect to a Third Party Claim); and (b) no individual who is a shareholder, director, member, manager, employee, officer, agent or representative of any of the Parties, in such individual’s capacity as such, shall have any liability in respect of or relating to the covenants or obligations of any Party under this Agreement or any Ancillary Agreement or in respect of any certificate delivered with respect hereto or thereto and, to the fullest extent legally permissible, each Party, for itself and its respective Subsidiaries and its and their respective shareholders, directors, members, managers, employees and officers, waives and agrees not to seek to assert or enforce any such liability that any such Person otherwise might have pursuant to applicable Law.</w:t>
      </w:r>
    </w:p>
    <w:p>
      <w:pPr>
        <w:spacing w:after="0" w:line="16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Performance</w:t>
      </w:r>
      <w:r>
        <w:rPr>
          <w:rFonts w:ascii="Arial" w:cs="Arial" w:eastAsia="Arial" w:hAnsi="Arial"/>
          <w:sz w:val="16"/>
          <w:szCs w:val="16"/>
          <w:color w:val="auto"/>
        </w:rPr>
        <w:t>. Post shall cause to be performed, and hereby guarantees the performance of, all actions, agreements and obligations set forth in this Agreement or in any Ancillary Agreement to be performed by any member of the Post Group. BellRing LLC shall cause to be performed, and hereby guarantees the performance of, all actions, agreements and obligations set forth in this Agreement or in any Ancillary Agreement to be performed by any member of the BellRing Group. Each of Post and BellRing LLC (including its permitted successors and assigns) further agrees that it shall (a) give timely notice of the terms, conditions and continuing obligations contained in this Agreement and any applicable Ancillary Agreement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6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292" w:name="page293"/>
    <w:bookmarkEnd w:id="29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Master Transaction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3660" w:right="580" w:firstLine="3314"/>
        <w:spacing w:after="0" w:line="464" w:lineRule="auto"/>
        <w:rPr>
          <w:sz w:val="20"/>
          <w:szCs w:val="20"/>
          <w:color w:val="auto"/>
        </w:rPr>
      </w:pPr>
      <w:r>
        <w:rPr>
          <w:rFonts w:ascii="Arial" w:cs="Arial" w:eastAsia="Arial" w:hAnsi="Arial"/>
          <w:sz w:val="18"/>
          <w:szCs w:val="18"/>
          <w:color w:val="auto"/>
        </w:rPr>
        <w:t xml:space="preserve">Title: President and Chief Executive Officer </w:t>
      </w:r>
      <w:r>
        <w:rPr>
          <w:rFonts w:ascii="Arial" w:cs="Arial" w:eastAsia="Arial" w:hAnsi="Arial"/>
          <w:sz w:val="18"/>
          <w:szCs w:val="18"/>
          <w:i w:val="1"/>
          <w:iCs w:val="1"/>
          <w:color w:val="auto"/>
        </w:rPr>
        <w:t>[Signature Page to Master Transaction Agreement]</w:t>
      </w:r>
    </w:p>
    <w:p>
      <w:pPr>
        <w:sectPr>
          <w:pgSz w:w="11900" w:h="16838" w:orient="portrait"/>
          <w:cols w:equalWidth="0" w:num="1">
            <w:col w:w="10880"/>
          </w:cols>
          <w:pgMar w:left="440" w:top="274" w:right="57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BRIDGE FACILITY AGREEMENT</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 xml:space="preserve">DATED AS OF </w:t>
      </w:r>
      <w:r>
        <w:rPr>
          <w:rFonts w:ascii="Arial" w:cs="Arial" w:eastAsia="Arial" w:hAnsi="Arial"/>
          <w:sz w:val="18"/>
          <w:szCs w:val="18"/>
          <w:b w:val="1"/>
          <w:bCs w:val="1"/>
          <w:color w:val="auto"/>
        </w:rPr>
        <w:t>OCTOBER 11, 2019</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5"/>
          <w:szCs w:val="15"/>
          <w:b w:val="1"/>
          <w:bCs w:val="1"/>
          <w:color w:val="auto"/>
        </w:rPr>
        <w:t>AMONG</w:t>
      </w:r>
    </w:p>
    <w:p>
      <w:pPr>
        <w:spacing w:after="0" w:line="20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POST HOLDINGS,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5"/>
          <w:szCs w:val="15"/>
          <w:b w:val="1"/>
          <w:bCs w:val="1"/>
          <w:color w:val="auto"/>
        </w:rPr>
        <w:t xml:space="preserve">AS </w:t>
      </w: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VARIOUS LENDERS,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CITIGROUP GLOBAL MARKETS INC.,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CREDIT SUISSE LOAN FUNDING LLC,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GOLDMAN SACHS BANK USA, 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AS JOINT LEAD ARRANGERS AND JOINT PHYSICAL BOOKRUNNERS,</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 xml:space="preserve">AS </w:t>
      </w:r>
      <w:r>
        <w:rPr>
          <w:rFonts w:ascii="Arial" w:cs="Arial" w:eastAsia="Arial" w:hAnsi="Arial"/>
          <w:sz w:val="18"/>
          <w:szCs w:val="18"/>
          <w:b w:val="1"/>
          <w:bCs w:val="1"/>
          <w:color w:val="auto"/>
        </w:rPr>
        <w:t>A</w:t>
      </w:r>
      <w:r>
        <w:rPr>
          <w:rFonts w:ascii="Arial" w:cs="Arial" w:eastAsia="Arial" w:hAnsi="Arial"/>
          <w:sz w:val="15"/>
          <w:szCs w:val="15"/>
          <w:b w:val="1"/>
          <w:bCs w:val="1"/>
          <w:color w:val="auto"/>
        </w:rPr>
        <w:t xml:space="preserve">DMINISTRATIVE </w:t>
      </w:r>
      <w:r>
        <w:rPr>
          <w:rFonts w:ascii="Arial" w:cs="Arial" w:eastAsia="Arial" w:hAnsi="Arial"/>
          <w:sz w:val="18"/>
          <w:szCs w:val="18"/>
          <w:b w:val="1"/>
          <w:bCs w:val="1"/>
          <w:color w:val="auto"/>
        </w:rPr>
        <w:t>A</w:t>
      </w:r>
      <w:r>
        <w:rPr>
          <w:rFonts w:ascii="Arial" w:cs="Arial" w:eastAsia="Arial" w:hAnsi="Arial"/>
          <w:sz w:val="15"/>
          <w:szCs w:val="15"/>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$1,225,000,000 B</w:t>
      </w:r>
      <w:r>
        <w:rPr>
          <w:rFonts w:ascii="Arial" w:cs="Arial" w:eastAsia="Arial" w:hAnsi="Arial"/>
          <w:sz w:val="15"/>
          <w:szCs w:val="15"/>
          <w:b w:val="1"/>
          <w:bCs w:val="1"/>
          <w:color w:val="auto"/>
        </w:rPr>
        <w:t>RIDGE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080" w:type="dxa"/>
            <w:vAlign w:val="bottom"/>
          </w:tcPr>
          <w:p>
            <w:pPr>
              <w:ind w:left="3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ACCOUNTING TERMS</w:t>
            </w: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08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080" w:type="dxa"/>
            <w:vAlign w:val="bottom"/>
          </w:tcPr>
          <w:p>
            <w:pPr>
              <w:ind w:left="240"/>
              <w:spacing w:after="0"/>
              <w:rPr>
                <w:sz w:val="20"/>
                <w:szCs w:val="20"/>
                <w:color w:val="auto"/>
              </w:rPr>
            </w:pPr>
            <w:r>
              <w:rPr>
                <w:rFonts w:ascii="Arial" w:cs="Arial" w:eastAsia="Arial" w:hAnsi="Arial"/>
                <w:sz w:val="18"/>
                <w:szCs w:val="18"/>
                <w:color w:val="auto"/>
              </w:rPr>
              <w:t>Other Interpretive Provisions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080" w:type="dxa"/>
            <w:vAlign w:val="bottom"/>
          </w:tcPr>
          <w:p>
            <w:pPr>
              <w:ind w:left="240"/>
              <w:spacing w:after="0"/>
              <w:rPr>
                <w:sz w:val="20"/>
                <w:szCs w:val="20"/>
                <w:color w:val="auto"/>
              </w:rPr>
            </w:pPr>
            <w:r>
              <w:rPr>
                <w:rFonts w:ascii="Arial" w:cs="Arial" w:eastAsia="Arial" w:hAnsi="Arial"/>
                <w:sz w:val="18"/>
                <w:szCs w:val="18"/>
                <w:color w:val="auto"/>
              </w:rPr>
              <w:t>Accounting Terms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080" w:type="dxa"/>
            <w:vAlign w:val="bottom"/>
          </w:tcPr>
          <w:p>
            <w:pPr>
              <w:ind w:left="240"/>
              <w:spacing w:after="0"/>
              <w:rPr>
                <w:sz w:val="20"/>
                <w:szCs w:val="20"/>
                <w:color w:val="auto"/>
              </w:rPr>
            </w:pPr>
            <w:r>
              <w:rPr>
                <w:rFonts w:ascii="Arial" w:cs="Arial" w:eastAsia="Arial" w:hAnsi="Arial"/>
                <w:sz w:val="18"/>
                <w:szCs w:val="18"/>
                <w:color w:val="auto"/>
              </w:rPr>
              <w:t>Rounding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080" w:type="dxa"/>
            <w:vAlign w:val="bottom"/>
          </w:tcPr>
          <w:p>
            <w:pPr>
              <w:ind w:left="240"/>
              <w:spacing w:after="0"/>
              <w:rPr>
                <w:sz w:val="20"/>
                <w:szCs w:val="20"/>
                <w:color w:val="auto"/>
              </w:rPr>
            </w:pPr>
            <w:r>
              <w:rPr>
                <w:rFonts w:ascii="Arial" w:cs="Arial" w:eastAsia="Arial" w:hAnsi="Arial"/>
                <w:sz w:val="18"/>
                <w:szCs w:val="18"/>
                <w:color w:val="auto"/>
              </w:rPr>
              <w:t>Times of Day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080" w:type="dxa"/>
            <w:vAlign w:val="bottom"/>
          </w:tcPr>
          <w:p>
            <w:pPr>
              <w:ind w:left="240"/>
              <w:spacing w:after="0"/>
              <w:rPr>
                <w:sz w:val="20"/>
                <w:szCs w:val="20"/>
                <w:color w:val="auto"/>
              </w:rPr>
            </w:pPr>
            <w:r>
              <w:rPr>
                <w:rFonts w:ascii="Arial" w:cs="Arial" w:eastAsia="Arial" w:hAnsi="Arial"/>
                <w:sz w:val="18"/>
                <w:szCs w:val="18"/>
                <w:color w:val="auto"/>
              </w:rPr>
              <w:t>Schedules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080" w:type="dxa"/>
            <w:vAlign w:val="bottom"/>
          </w:tcPr>
          <w:p>
            <w:pPr>
              <w:ind w:left="240"/>
              <w:spacing w:after="0"/>
              <w:rPr>
                <w:sz w:val="20"/>
                <w:szCs w:val="20"/>
                <w:color w:val="auto"/>
              </w:rPr>
            </w:pPr>
            <w:r>
              <w:rPr>
                <w:rFonts w:ascii="Arial" w:cs="Arial" w:eastAsia="Arial" w:hAnsi="Arial"/>
                <w:sz w:val="18"/>
                <w:szCs w:val="18"/>
                <w:color w:val="auto"/>
              </w:rPr>
              <w:t>Currency Equivalents Generally; Change of Currency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080" w:type="dxa"/>
            <w:vAlign w:val="bottom"/>
          </w:tcPr>
          <w:p>
            <w:pPr>
              <w:ind w:left="240"/>
              <w:spacing w:after="0"/>
              <w:rPr>
                <w:sz w:val="20"/>
                <w:szCs w:val="20"/>
                <w:color w:val="auto"/>
              </w:rPr>
            </w:pPr>
            <w:r>
              <w:rPr>
                <w:rFonts w:ascii="Arial" w:cs="Arial" w:eastAsia="Arial" w:hAnsi="Arial"/>
                <w:sz w:val="18"/>
                <w:szCs w:val="18"/>
                <w:color w:val="auto"/>
              </w:rPr>
              <w:t>Timing of Payment and Performance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080" w:type="dxa"/>
            <w:vAlign w:val="bottom"/>
          </w:tcPr>
          <w:p>
            <w:pPr>
              <w:ind w:left="240"/>
              <w:spacing w:after="0"/>
              <w:rPr>
                <w:sz w:val="20"/>
                <w:szCs w:val="20"/>
                <w:color w:val="auto"/>
              </w:rPr>
            </w:pPr>
            <w:r>
              <w:rPr>
                <w:rFonts w:ascii="Arial" w:cs="Arial" w:eastAsia="Arial" w:hAnsi="Arial"/>
                <w:sz w:val="18"/>
                <w:szCs w:val="18"/>
                <w:color w:val="auto"/>
              </w:rPr>
              <w:t>Certain Calculations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2. THE LOANS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080" w:type="dxa"/>
            <w:vAlign w:val="bottom"/>
          </w:tcPr>
          <w:p>
            <w:pPr>
              <w:ind w:left="240"/>
              <w:spacing w:after="0"/>
              <w:rPr>
                <w:sz w:val="20"/>
                <w:szCs w:val="20"/>
                <w:color w:val="auto"/>
              </w:rPr>
            </w:pPr>
            <w:r>
              <w:rPr>
                <w:rFonts w:ascii="Arial" w:cs="Arial" w:eastAsia="Arial" w:hAnsi="Arial"/>
                <w:sz w:val="18"/>
                <w:szCs w:val="18"/>
                <w:color w:val="auto"/>
              </w:rPr>
              <w:t>Loans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080" w:type="dxa"/>
            <w:vAlign w:val="bottom"/>
          </w:tcPr>
          <w:p>
            <w:pPr>
              <w:ind w:left="240"/>
              <w:spacing w:after="0"/>
              <w:rPr>
                <w:sz w:val="20"/>
                <w:szCs w:val="20"/>
                <w:color w:val="auto"/>
              </w:rPr>
            </w:pPr>
            <w:r>
              <w:rPr>
                <w:rFonts w:ascii="Arial" w:cs="Arial" w:eastAsia="Arial" w:hAnsi="Arial"/>
                <w:sz w:val="18"/>
                <w:szCs w:val="18"/>
                <w:color w:val="auto"/>
              </w:rPr>
              <w:t>Borrowing Mechanics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0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0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080" w:type="dxa"/>
            <w:vAlign w:val="bottom"/>
          </w:tcPr>
          <w:p>
            <w:pPr>
              <w:ind w:left="240"/>
              <w:spacing w:after="0"/>
              <w:rPr>
                <w:sz w:val="20"/>
                <w:szCs w:val="20"/>
                <w:color w:val="auto"/>
              </w:rPr>
            </w:pPr>
            <w:r>
              <w:rPr>
                <w:rFonts w:ascii="Arial" w:cs="Arial" w:eastAsia="Arial" w:hAnsi="Arial"/>
                <w:sz w:val="18"/>
                <w:szCs w:val="18"/>
                <w:color w:val="auto"/>
              </w:rPr>
              <w:t>Prepayments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0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0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080" w:type="dxa"/>
            <w:vAlign w:val="bottom"/>
          </w:tcPr>
          <w:p>
            <w:pPr>
              <w:ind w:left="240"/>
              <w:spacing w:after="0"/>
              <w:rPr>
                <w:sz w:val="20"/>
                <w:szCs w:val="20"/>
                <w:color w:val="auto"/>
              </w:rPr>
            </w:pPr>
            <w:r>
              <w:rPr>
                <w:rFonts w:ascii="Arial" w:cs="Arial" w:eastAsia="Arial" w:hAnsi="Arial"/>
                <w:sz w:val="18"/>
                <w:szCs w:val="18"/>
                <w:color w:val="auto"/>
              </w:rPr>
              <w:t>Interest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080" w:type="dxa"/>
            <w:vAlign w:val="bottom"/>
          </w:tcPr>
          <w:p>
            <w:pPr>
              <w:ind w:left="240"/>
              <w:spacing w:after="0"/>
              <w:rPr>
                <w:sz w:val="20"/>
                <w:szCs w:val="20"/>
                <w:color w:val="auto"/>
              </w:rPr>
            </w:pPr>
            <w:r>
              <w:rPr>
                <w:rFonts w:ascii="Arial" w:cs="Arial" w:eastAsia="Arial" w:hAnsi="Arial"/>
                <w:sz w:val="18"/>
                <w:szCs w:val="18"/>
                <w:color w:val="auto"/>
              </w:rPr>
              <w:t>Fees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08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080" w:type="dxa"/>
            <w:vAlign w:val="bottom"/>
          </w:tcPr>
          <w:p>
            <w:pPr>
              <w:ind w:left="240"/>
              <w:spacing w:after="0"/>
              <w:rPr>
                <w:sz w:val="20"/>
                <w:szCs w:val="20"/>
                <w:color w:val="auto"/>
              </w:rPr>
            </w:pPr>
            <w:r>
              <w:rPr>
                <w:rFonts w:ascii="Arial" w:cs="Arial" w:eastAsia="Arial" w:hAnsi="Arial"/>
                <w:sz w:val="18"/>
                <w:szCs w:val="18"/>
                <w:color w:val="auto"/>
              </w:rPr>
              <w:t>Evidence of Debt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080" w:type="dxa"/>
            <w:vAlign w:val="bottom"/>
          </w:tcPr>
          <w:p>
            <w:pPr>
              <w:ind w:left="240"/>
              <w:spacing w:after="0"/>
              <w:rPr>
                <w:sz w:val="20"/>
                <w:szCs w:val="20"/>
                <w:color w:val="auto"/>
              </w:rPr>
            </w:pPr>
            <w:r>
              <w:rPr>
                <w:rFonts w:ascii="Arial" w:cs="Arial" w:eastAsia="Arial" w:hAnsi="Arial"/>
                <w:sz w:val="18"/>
                <w:szCs w:val="18"/>
                <w:color w:val="auto"/>
              </w:rPr>
              <w:t>Payments Generally; Administrative Agent’s Clawback</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7080" w:type="dxa"/>
            <w:vAlign w:val="bottom"/>
          </w:tcPr>
          <w:p>
            <w:pPr>
              <w:ind w:left="240"/>
              <w:spacing w:after="0"/>
              <w:rPr>
                <w:sz w:val="20"/>
                <w:szCs w:val="20"/>
                <w:color w:val="auto"/>
              </w:rPr>
            </w:pPr>
            <w:r>
              <w:rPr>
                <w:rFonts w:ascii="Arial" w:cs="Arial" w:eastAsia="Arial" w:hAnsi="Arial"/>
                <w:sz w:val="18"/>
                <w:szCs w:val="18"/>
                <w:color w:val="auto"/>
              </w:rPr>
              <w:t>Sharing of Payments by Lenders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7080" w:type="dxa"/>
            <w:vAlign w:val="bottom"/>
          </w:tcPr>
          <w:p>
            <w:pPr>
              <w:ind w:left="240"/>
              <w:spacing w:after="0"/>
              <w:rPr>
                <w:sz w:val="20"/>
                <w:szCs w:val="20"/>
                <w:color w:val="auto"/>
              </w:rPr>
            </w:pPr>
            <w:r>
              <w:rPr>
                <w:rFonts w:ascii="Arial" w:cs="Arial" w:eastAsia="Arial" w:hAnsi="Arial"/>
                <w:sz w:val="18"/>
                <w:szCs w:val="18"/>
                <w:color w:val="auto"/>
              </w:rPr>
              <w:t>Benchmark Replacement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70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7080" w:type="dxa"/>
            <w:vAlign w:val="bottom"/>
          </w:tcPr>
          <w:p>
            <w:pPr>
              <w:ind w:left="240"/>
              <w:spacing w:after="0"/>
              <w:rPr>
                <w:sz w:val="20"/>
                <w:szCs w:val="20"/>
                <w:color w:val="auto"/>
              </w:rPr>
            </w:pPr>
            <w:r>
              <w:rPr>
                <w:rFonts w:ascii="Arial" w:cs="Arial" w:eastAsia="Arial" w:hAnsi="Arial"/>
                <w:sz w:val="18"/>
                <w:szCs w:val="18"/>
                <w:color w:val="auto"/>
              </w:rPr>
              <w:t>Defaulting Lenders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3. TAXES, YIELD PROTECTION AND ILLEGALITY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080" w:type="dxa"/>
            <w:vAlign w:val="bottom"/>
          </w:tcPr>
          <w:p>
            <w:pPr>
              <w:ind w:left="240"/>
              <w:spacing w:after="0"/>
              <w:rPr>
                <w:sz w:val="20"/>
                <w:szCs w:val="20"/>
                <w:color w:val="auto"/>
              </w:rPr>
            </w:pPr>
            <w:r>
              <w:rPr>
                <w:rFonts w:ascii="Arial" w:cs="Arial" w:eastAsia="Arial" w:hAnsi="Arial"/>
                <w:sz w:val="18"/>
                <w:szCs w:val="18"/>
                <w:color w:val="auto"/>
              </w:rPr>
              <w:t>Taxes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08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080" w:type="dxa"/>
            <w:vAlign w:val="bottom"/>
          </w:tcPr>
          <w:p>
            <w:pPr>
              <w:ind w:left="240"/>
              <w:spacing w:after="0"/>
              <w:rPr>
                <w:sz w:val="20"/>
                <w:szCs w:val="20"/>
                <w:color w:val="auto"/>
              </w:rPr>
            </w:pPr>
            <w:r>
              <w:rPr>
                <w:rFonts w:ascii="Arial" w:cs="Arial" w:eastAsia="Arial" w:hAnsi="Arial"/>
                <w:sz w:val="18"/>
                <w:szCs w:val="18"/>
                <w:color w:val="auto"/>
              </w:rPr>
              <w:t>Inability to Determine Rates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080" w:type="dxa"/>
            <w:vAlign w:val="bottom"/>
          </w:tcPr>
          <w:p>
            <w:pPr>
              <w:ind w:left="240"/>
              <w:spacing w:after="0"/>
              <w:rPr>
                <w:sz w:val="20"/>
                <w:szCs w:val="20"/>
                <w:color w:val="auto"/>
              </w:rPr>
            </w:pPr>
            <w:r>
              <w:rPr>
                <w:rFonts w:ascii="Arial" w:cs="Arial" w:eastAsia="Arial" w:hAnsi="Arial"/>
                <w:sz w:val="18"/>
                <w:szCs w:val="18"/>
                <w:color w:val="auto"/>
              </w:rPr>
              <w:t>Increased Costs; Reserves on Eurodollar Rate Loans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080" w:type="dxa"/>
            <w:vAlign w:val="bottom"/>
          </w:tcPr>
          <w:p>
            <w:pPr>
              <w:ind w:left="240"/>
              <w:spacing w:after="0"/>
              <w:rPr>
                <w:sz w:val="20"/>
                <w:szCs w:val="20"/>
                <w:color w:val="auto"/>
              </w:rPr>
            </w:pPr>
            <w:r>
              <w:rPr>
                <w:rFonts w:ascii="Arial" w:cs="Arial" w:eastAsia="Arial" w:hAnsi="Arial"/>
                <w:sz w:val="18"/>
                <w:szCs w:val="18"/>
                <w:color w:val="auto"/>
              </w:rPr>
              <w:t>Compensation for Losses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708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708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080" w:type="dxa"/>
            <w:vAlign w:val="bottom"/>
          </w:tcPr>
          <w:p>
            <w:pPr>
              <w:ind w:left="240"/>
              <w:spacing w:after="0"/>
              <w:rPr>
                <w:sz w:val="20"/>
                <w:szCs w:val="20"/>
                <w:color w:val="auto"/>
              </w:rPr>
            </w:pPr>
            <w:r>
              <w:rPr>
                <w:rFonts w:ascii="Arial" w:cs="Arial" w:eastAsia="Arial" w:hAnsi="Arial"/>
                <w:sz w:val="18"/>
                <w:szCs w:val="18"/>
                <w:color w:val="auto"/>
              </w:rPr>
              <w:t>Conditions Precedent to the Credit Extension on the Closing Date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080" w:type="dxa"/>
            <w:vAlign w:val="bottom"/>
          </w:tcPr>
          <w:p>
            <w:pPr>
              <w:ind w:left="240"/>
              <w:spacing w:after="0"/>
              <w:rPr>
                <w:sz w:val="20"/>
                <w:szCs w:val="20"/>
                <w:color w:val="auto"/>
              </w:rPr>
            </w:pPr>
            <w:r>
              <w:rPr>
                <w:rFonts w:ascii="Arial" w:cs="Arial" w:eastAsia="Arial" w:hAnsi="Arial"/>
                <w:sz w:val="18"/>
                <w:szCs w:val="18"/>
                <w:color w:val="auto"/>
              </w:rPr>
              <w:t>Conditions Precedent to the Debt Assumption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w:t>
            </w:r>
          </w:p>
        </w:tc>
        <w:tc>
          <w:tcPr>
            <w:tcW w:w="2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6720" w:type="dxa"/>
            <w:vAlign w:val="bottom"/>
          </w:tcPr>
          <w:p>
            <w:pPr>
              <w:ind w:left="240"/>
              <w:spacing w:after="0"/>
              <w:rPr>
                <w:sz w:val="20"/>
                <w:szCs w:val="20"/>
                <w:color w:val="auto"/>
              </w:rPr>
            </w:pPr>
            <w:r>
              <w:rPr>
                <w:rFonts w:ascii="Arial" w:cs="Arial" w:eastAsia="Arial" w:hAnsi="Arial"/>
                <w:sz w:val="18"/>
                <w:szCs w:val="18"/>
                <w:color w:val="auto"/>
              </w:rPr>
              <w:t>Existence, Qualification and Power</w:t>
            </w:r>
          </w:p>
        </w:tc>
        <w:tc>
          <w:tcPr>
            <w:tcW w:w="2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672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2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6720" w:type="dxa"/>
            <w:vAlign w:val="bottom"/>
          </w:tcPr>
          <w:p>
            <w:pPr>
              <w:ind w:left="240"/>
              <w:spacing w:after="0"/>
              <w:rPr>
                <w:sz w:val="20"/>
                <w:szCs w:val="20"/>
                <w:color w:val="auto"/>
              </w:rPr>
            </w:pPr>
            <w:r>
              <w:rPr>
                <w:rFonts w:ascii="Arial" w:cs="Arial" w:eastAsia="Arial" w:hAnsi="Arial"/>
                <w:sz w:val="18"/>
                <w:szCs w:val="18"/>
                <w:color w:val="auto"/>
              </w:rPr>
              <w:t>Governmental Authorization; Other Consents</w:t>
            </w:r>
          </w:p>
        </w:tc>
        <w:tc>
          <w:tcPr>
            <w:tcW w:w="2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672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2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6720" w:type="dxa"/>
            <w:vAlign w:val="bottom"/>
          </w:tcPr>
          <w:p>
            <w:pPr>
              <w:ind w:left="240"/>
              <w:spacing w:after="0"/>
              <w:rPr>
                <w:sz w:val="20"/>
                <w:szCs w:val="20"/>
                <w:color w:val="auto"/>
              </w:rPr>
            </w:pPr>
            <w:r>
              <w:rPr>
                <w:rFonts w:ascii="Arial" w:cs="Arial" w:eastAsia="Arial" w:hAnsi="Arial"/>
                <w:sz w:val="18"/>
                <w:szCs w:val="18"/>
                <w:color w:val="auto"/>
              </w:rPr>
              <w:t>Financial Statements; No Material Adverse Effect</w:t>
            </w:r>
          </w:p>
        </w:tc>
        <w:tc>
          <w:tcPr>
            <w:tcW w:w="2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672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672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2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672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2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6720" w:type="dxa"/>
            <w:vAlign w:val="bottom"/>
          </w:tcPr>
          <w:p>
            <w:pPr>
              <w:ind w:left="240"/>
              <w:spacing w:after="0"/>
              <w:rPr>
                <w:sz w:val="20"/>
                <w:szCs w:val="20"/>
                <w:color w:val="auto"/>
              </w:rPr>
            </w:pPr>
            <w:r>
              <w:rPr>
                <w:rFonts w:ascii="Arial" w:cs="Arial" w:eastAsia="Arial" w:hAnsi="Arial"/>
                <w:sz w:val="18"/>
                <w:szCs w:val="18"/>
                <w:color w:val="auto"/>
              </w:rPr>
              <w:t>Environmental</w:t>
            </w:r>
          </w:p>
        </w:tc>
        <w:tc>
          <w:tcPr>
            <w:tcW w:w="2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7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720" w:type="dxa"/>
            <w:vAlign w:val="bottom"/>
          </w:tcPr>
          <w:p>
            <w:pPr>
              <w:ind w:left="240"/>
              <w:spacing w:after="0"/>
              <w:rPr>
                <w:sz w:val="20"/>
                <w:szCs w:val="20"/>
                <w:color w:val="auto"/>
              </w:rPr>
            </w:pPr>
            <w:r>
              <w:rPr>
                <w:rFonts w:ascii="Arial" w:cs="Arial" w:eastAsia="Arial" w:hAnsi="Arial"/>
                <w:sz w:val="18"/>
                <w:szCs w:val="18"/>
                <w:color w:val="auto"/>
              </w:rPr>
              <w:t>Taxes</w:t>
            </w:r>
          </w:p>
        </w:tc>
        <w:tc>
          <w:tcPr>
            <w:tcW w:w="27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72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27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720" w:type="dxa"/>
            <w:vAlign w:val="bottom"/>
          </w:tcPr>
          <w:p>
            <w:pPr>
              <w:ind w:left="240"/>
              <w:spacing w:after="0"/>
              <w:rPr>
                <w:sz w:val="20"/>
                <w:szCs w:val="20"/>
                <w:color w:val="auto"/>
              </w:rPr>
            </w:pPr>
            <w:r>
              <w:rPr>
                <w:rFonts w:ascii="Arial" w:cs="Arial" w:eastAsia="Arial" w:hAnsi="Arial"/>
                <w:sz w:val="18"/>
                <w:szCs w:val="18"/>
                <w:color w:val="auto"/>
              </w:rPr>
              <w:t>Subsidiaries; Equity Interests</w:t>
            </w:r>
          </w:p>
        </w:tc>
        <w:tc>
          <w:tcPr>
            <w:tcW w:w="2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720" w:type="dxa"/>
            <w:vAlign w:val="bottom"/>
          </w:tcPr>
          <w:p>
            <w:pPr>
              <w:ind w:left="240"/>
              <w:spacing w:after="0"/>
              <w:rPr>
                <w:sz w:val="20"/>
                <w:szCs w:val="20"/>
                <w:color w:val="auto"/>
              </w:rPr>
            </w:pPr>
            <w:r>
              <w:rPr>
                <w:rFonts w:ascii="Arial" w:cs="Arial" w:eastAsia="Arial" w:hAnsi="Arial"/>
                <w:sz w:val="18"/>
                <w:szCs w:val="18"/>
                <w:color w:val="auto"/>
              </w:rPr>
              <w:t>Margin Regulations; Investment Company Act</w:t>
            </w:r>
          </w:p>
        </w:tc>
        <w:tc>
          <w:tcPr>
            <w:tcW w:w="2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672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2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67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6720" w:type="dxa"/>
            <w:vAlign w:val="bottom"/>
          </w:tcPr>
          <w:p>
            <w:pPr>
              <w:ind w:left="240"/>
              <w:spacing w:after="0"/>
              <w:rPr>
                <w:sz w:val="20"/>
                <w:szCs w:val="20"/>
                <w:color w:val="auto"/>
              </w:rPr>
            </w:pPr>
            <w:r>
              <w:rPr>
                <w:rFonts w:ascii="Arial" w:cs="Arial" w:eastAsia="Arial" w:hAnsi="Arial"/>
                <w:sz w:val="18"/>
                <w:szCs w:val="18"/>
                <w:color w:val="auto"/>
              </w:rPr>
              <w:t>Taxpayer Identification Number</w:t>
            </w:r>
          </w:p>
        </w:tc>
        <w:tc>
          <w:tcPr>
            <w:tcW w:w="2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6720" w:type="dxa"/>
            <w:vAlign w:val="bottom"/>
          </w:tcPr>
          <w:p>
            <w:pPr>
              <w:ind w:left="240"/>
              <w:spacing w:after="0"/>
              <w:rPr>
                <w:sz w:val="20"/>
                <w:szCs w:val="20"/>
                <w:color w:val="auto"/>
              </w:rPr>
            </w:pPr>
            <w:r>
              <w:rPr>
                <w:rFonts w:ascii="Arial" w:cs="Arial" w:eastAsia="Arial" w:hAnsi="Arial"/>
                <w:sz w:val="18"/>
                <w:szCs w:val="18"/>
                <w:color w:val="auto"/>
              </w:rPr>
              <w:t>Intellectual Property; Licenses, Etc.</w:t>
            </w:r>
          </w:p>
        </w:tc>
        <w:tc>
          <w:tcPr>
            <w:tcW w:w="2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672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5.20</w:t>
            </w:r>
          </w:p>
        </w:tc>
        <w:tc>
          <w:tcPr>
            <w:tcW w:w="6720" w:type="dxa"/>
            <w:vAlign w:val="bottom"/>
          </w:tcPr>
          <w:p>
            <w:pPr>
              <w:ind w:left="240"/>
              <w:spacing w:after="0"/>
              <w:rPr>
                <w:sz w:val="20"/>
                <w:szCs w:val="20"/>
                <w:color w:val="auto"/>
              </w:rPr>
            </w:pPr>
            <w:r>
              <w:rPr>
                <w:rFonts w:ascii="Arial" w:cs="Arial" w:eastAsia="Arial" w:hAnsi="Arial"/>
                <w:sz w:val="18"/>
                <w:szCs w:val="18"/>
                <w:color w:val="auto"/>
              </w:rPr>
              <w:t>Collateral Documents</w:t>
            </w:r>
          </w:p>
        </w:tc>
        <w:tc>
          <w:tcPr>
            <w:tcW w:w="2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5.21</w:t>
            </w:r>
          </w:p>
        </w:tc>
        <w:tc>
          <w:tcPr>
            <w:tcW w:w="6720" w:type="dxa"/>
            <w:vAlign w:val="bottom"/>
          </w:tcPr>
          <w:p>
            <w:pPr>
              <w:ind w:left="240"/>
              <w:spacing w:after="0"/>
              <w:rPr>
                <w:sz w:val="20"/>
                <w:szCs w:val="20"/>
                <w:color w:val="auto"/>
              </w:rPr>
            </w:pPr>
            <w:r>
              <w:rPr>
                <w:rFonts w:ascii="Arial" w:cs="Arial" w:eastAsia="Arial" w:hAnsi="Arial"/>
                <w:sz w:val="18"/>
                <w:szCs w:val="18"/>
                <w:color w:val="auto"/>
              </w:rPr>
              <w:t>Senior Debt</w:t>
            </w:r>
          </w:p>
        </w:tc>
        <w:tc>
          <w:tcPr>
            <w:tcW w:w="2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5.22</w:t>
            </w:r>
          </w:p>
        </w:tc>
        <w:tc>
          <w:tcPr>
            <w:tcW w:w="6720" w:type="dxa"/>
            <w:vAlign w:val="bottom"/>
          </w:tcPr>
          <w:p>
            <w:pPr>
              <w:ind w:left="240"/>
              <w:spacing w:after="0"/>
              <w:rPr>
                <w:sz w:val="20"/>
                <w:szCs w:val="20"/>
                <w:color w:val="auto"/>
              </w:rPr>
            </w:pPr>
            <w:r>
              <w:rPr>
                <w:rFonts w:ascii="Arial" w:cs="Arial" w:eastAsia="Arial" w:hAnsi="Arial"/>
                <w:sz w:val="18"/>
                <w:szCs w:val="18"/>
                <w:color w:val="auto"/>
              </w:rPr>
              <w:t>Anti-Terrorism; Anti-Money Laundering; Etc.</w:t>
            </w:r>
          </w:p>
        </w:tc>
        <w:tc>
          <w:tcPr>
            <w:tcW w:w="2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5.23</w:t>
            </w:r>
          </w:p>
        </w:tc>
        <w:tc>
          <w:tcPr>
            <w:tcW w:w="6720" w:type="dxa"/>
            <w:vAlign w:val="bottom"/>
          </w:tcPr>
          <w:p>
            <w:pPr>
              <w:ind w:left="240"/>
              <w:spacing w:after="0"/>
              <w:rPr>
                <w:sz w:val="20"/>
                <w:szCs w:val="20"/>
                <w:color w:val="auto"/>
              </w:rPr>
            </w:pPr>
            <w:r>
              <w:rPr>
                <w:rFonts w:ascii="Arial" w:cs="Arial" w:eastAsia="Arial" w:hAnsi="Arial"/>
                <w:sz w:val="18"/>
                <w:szCs w:val="18"/>
                <w:color w:val="auto"/>
              </w:rPr>
              <w:t>Foreign Corrupt Practices Act</w:t>
            </w:r>
          </w:p>
        </w:tc>
        <w:tc>
          <w:tcPr>
            <w:tcW w:w="2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5.24</w:t>
            </w:r>
          </w:p>
        </w:tc>
        <w:tc>
          <w:tcPr>
            <w:tcW w:w="6720" w:type="dxa"/>
            <w:vAlign w:val="bottom"/>
          </w:tcPr>
          <w:p>
            <w:pPr>
              <w:ind w:left="240"/>
              <w:spacing w:after="0"/>
              <w:rPr>
                <w:sz w:val="20"/>
                <w:szCs w:val="20"/>
                <w:color w:val="auto"/>
              </w:rPr>
            </w:pPr>
            <w:r>
              <w:rPr>
                <w:rFonts w:ascii="Arial" w:cs="Arial" w:eastAsia="Arial" w:hAnsi="Arial"/>
                <w:sz w:val="18"/>
                <w:szCs w:val="18"/>
                <w:color w:val="auto"/>
              </w:rPr>
              <w:t>EEA Financial Institution</w:t>
            </w:r>
          </w:p>
        </w:tc>
        <w:tc>
          <w:tcPr>
            <w:tcW w:w="2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6. AFFIRMATIVE COVENANTS</w:t>
            </w:r>
          </w:p>
        </w:tc>
        <w:tc>
          <w:tcPr>
            <w:tcW w:w="2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672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672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27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6720" w:type="dxa"/>
            <w:vAlign w:val="bottom"/>
          </w:tcPr>
          <w:p>
            <w:pPr>
              <w:ind w:left="240"/>
              <w:spacing w:after="0"/>
              <w:rPr>
                <w:sz w:val="20"/>
                <w:szCs w:val="20"/>
                <w:color w:val="auto"/>
              </w:rPr>
            </w:pPr>
            <w:r>
              <w:rPr>
                <w:rFonts w:ascii="Arial" w:cs="Arial" w:eastAsia="Arial" w:hAnsi="Arial"/>
                <w:sz w:val="18"/>
                <w:szCs w:val="18"/>
                <w:color w:val="auto"/>
              </w:rPr>
              <w:t>Notices</w:t>
            </w:r>
          </w:p>
        </w:tc>
        <w:tc>
          <w:tcPr>
            <w:tcW w:w="27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672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27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672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2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672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67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672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2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672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2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67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6720" w:type="dxa"/>
            <w:vAlign w:val="bottom"/>
          </w:tcPr>
          <w:p>
            <w:pPr>
              <w:ind w:left="240"/>
              <w:spacing w:after="0"/>
              <w:rPr>
                <w:sz w:val="20"/>
                <w:szCs w:val="20"/>
                <w:color w:val="auto"/>
              </w:rPr>
            </w:pPr>
            <w:r>
              <w:rPr>
                <w:rFonts w:ascii="Arial" w:cs="Arial" w:eastAsia="Arial" w:hAnsi="Arial"/>
                <w:sz w:val="18"/>
                <w:szCs w:val="18"/>
                <w:color w:val="auto"/>
              </w:rPr>
              <w:t>Covenant to Guarantee Obligations and Give Security</w:t>
            </w:r>
          </w:p>
        </w:tc>
        <w:tc>
          <w:tcPr>
            <w:tcW w:w="2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6720" w:type="dxa"/>
            <w:vAlign w:val="bottom"/>
          </w:tcPr>
          <w:p>
            <w:pPr>
              <w:ind w:left="240"/>
              <w:spacing w:after="0"/>
              <w:rPr>
                <w:sz w:val="20"/>
                <w:szCs w:val="20"/>
                <w:color w:val="auto"/>
              </w:rPr>
            </w:pPr>
            <w:r>
              <w:rPr>
                <w:rFonts w:ascii="Arial" w:cs="Arial" w:eastAsia="Arial" w:hAnsi="Arial"/>
                <w:sz w:val="18"/>
                <w:szCs w:val="18"/>
                <w:color w:val="auto"/>
              </w:rPr>
              <w:t>Compliance with Environmental Laws</w:t>
            </w:r>
          </w:p>
        </w:tc>
        <w:tc>
          <w:tcPr>
            <w:tcW w:w="2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6720" w:type="dxa"/>
            <w:vAlign w:val="bottom"/>
          </w:tcPr>
          <w:p>
            <w:pPr>
              <w:ind w:left="240"/>
              <w:spacing w:after="0"/>
              <w:rPr>
                <w:sz w:val="20"/>
                <w:szCs w:val="20"/>
                <w:color w:val="auto"/>
              </w:rPr>
            </w:pPr>
            <w:r>
              <w:rPr>
                <w:rFonts w:ascii="Arial" w:cs="Arial" w:eastAsia="Arial" w:hAnsi="Arial"/>
                <w:sz w:val="18"/>
                <w:szCs w:val="18"/>
                <w:color w:val="auto"/>
              </w:rPr>
              <w:t>Preparation of Environmental Reports</w:t>
            </w:r>
          </w:p>
        </w:tc>
        <w:tc>
          <w:tcPr>
            <w:tcW w:w="2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6720" w:type="dxa"/>
            <w:vAlign w:val="bottom"/>
          </w:tcPr>
          <w:p>
            <w:pPr>
              <w:ind w:left="240"/>
              <w:spacing w:after="0"/>
              <w:rPr>
                <w:sz w:val="20"/>
                <w:szCs w:val="20"/>
                <w:color w:val="auto"/>
              </w:rPr>
            </w:pPr>
            <w:r>
              <w:rPr>
                <w:rFonts w:ascii="Arial" w:cs="Arial" w:eastAsia="Arial" w:hAnsi="Arial"/>
                <w:sz w:val="18"/>
                <w:szCs w:val="18"/>
                <w:color w:val="auto"/>
              </w:rPr>
              <w:t>Lender Calls</w:t>
            </w:r>
          </w:p>
        </w:tc>
        <w:tc>
          <w:tcPr>
            <w:tcW w:w="2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672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6.16</w:t>
            </w:r>
          </w:p>
        </w:tc>
        <w:tc>
          <w:tcPr>
            <w:tcW w:w="672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6720" w:type="dxa"/>
            <w:vAlign w:val="bottom"/>
          </w:tcPr>
          <w:p>
            <w:pPr>
              <w:ind w:left="240"/>
              <w:spacing w:after="0"/>
              <w:rPr>
                <w:sz w:val="20"/>
                <w:szCs w:val="20"/>
                <w:color w:val="auto"/>
              </w:rPr>
            </w:pPr>
            <w:r>
              <w:rPr>
                <w:rFonts w:ascii="Arial" w:cs="Arial" w:eastAsia="Arial" w:hAnsi="Arial"/>
                <w:sz w:val="18"/>
                <w:szCs w:val="18"/>
                <w:color w:val="auto"/>
              </w:rPr>
              <w:t>Designation of Restricted and Unrestricted Subsidiaries</w:t>
            </w:r>
          </w:p>
        </w:tc>
        <w:tc>
          <w:tcPr>
            <w:tcW w:w="2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6.18</w:t>
            </w:r>
          </w:p>
        </w:tc>
        <w:tc>
          <w:tcPr>
            <w:tcW w:w="6720" w:type="dxa"/>
            <w:vAlign w:val="bottom"/>
          </w:tcPr>
          <w:p>
            <w:pPr>
              <w:ind w:left="240"/>
              <w:spacing w:after="0"/>
              <w:rPr>
                <w:sz w:val="20"/>
                <w:szCs w:val="20"/>
                <w:color w:val="auto"/>
              </w:rPr>
            </w:pPr>
            <w:r>
              <w:rPr>
                <w:rFonts w:ascii="Arial" w:cs="Arial" w:eastAsia="Arial" w:hAnsi="Arial"/>
                <w:sz w:val="18"/>
                <w:szCs w:val="18"/>
                <w:color w:val="auto"/>
              </w:rPr>
              <w:t>Post-Closing Covenants</w:t>
            </w:r>
          </w:p>
        </w:tc>
        <w:tc>
          <w:tcPr>
            <w:tcW w:w="27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ARTICLE 7. NEGATIVE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200" w:type="dxa"/>
            <w:vAlign w:val="bottom"/>
          </w:tcPr>
          <w:p>
            <w:pPr>
              <w:spacing w:after="0"/>
              <w:rPr>
                <w:sz w:val="20"/>
                <w:szCs w:val="20"/>
                <w:color w:val="auto"/>
              </w:rPr>
            </w:pPr>
            <w:r>
              <w:rPr>
                <w:rFonts w:ascii="Arial" w:cs="Arial" w:eastAsia="Arial" w:hAnsi="Arial"/>
                <w:sz w:val="18"/>
                <w:szCs w:val="18"/>
                <w:color w:val="auto"/>
              </w:rPr>
              <w:t>Restricted 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200" w:type="dxa"/>
            <w:vAlign w:val="bottom"/>
          </w:tcPr>
          <w:p>
            <w:pPr>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200" w:type="dxa"/>
            <w:vAlign w:val="bottom"/>
          </w:tcPr>
          <w:p>
            <w:pPr>
              <w:spacing w:after="0"/>
              <w:rPr>
                <w:sz w:val="20"/>
                <w:szCs w:val="20"/>
                <w:color w:val="auto"/>
              </w:rPr>
            </w:pPr>
            <w:r>
              <w:rPr>
                <w:rFonts w:ascii="Arial" w:cs="Arial" w:eastAsia="Arial" w:hAnsi="Arial"/>
                <w:sz w:val="18"/>
                <w:szCs w:val="18"/>
                <w:color w:val="auto"/>
              </w:rPr>
              <w:t>Indebtedness</w:t>
            </w:r>
          </w:p>
        </w:tc>
        <w:tc>
          <w:tcPr>
            <w:tcW w:w="20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200" w:type="dxa"/>
            <w:vAlign w:val="bottom"/>
          </w:tcPr>
          <w:p>
            <w:pPr>
              <w:spacing w:after="0"/>
              <w:rPr>
                <w:sz w:val="20"/>
                <w:szCs w:val="20"/>
                <w:color w:val="auto"/>
              </w:rPr>
            </w:pPr>
            <w:r>
              <w:rPr>
                <w:rFonts w:ascii="Arial" w:cs="Arial" w:eastAsia="Arial" w:hAnsi="Arial"/>
                <w:sz w:val="18"/>
                <w:szCs w:val="18"/>
                <w:color w:val="auto"/>
              </w:rPr>
              <w:t>Asset Sales</w:t>
            </w:r>
          </w:p>
        </w:tc>
        <w:tc>
          <w:tcPr>
            <w:tcW w:w="2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200" w:type="dxa"/>
            <w:vAlign w:val="bottom"/>
          </w:tcPr>
          <w:p>
            <w:pPr>
              <w:spacing w:after="0"/>
              <w:rPr>
                <w:sz w:val="20"/>
                <w:szCs w:val="20"/>
                <w:color w:val="auto"/>
              </w:rPr>
            </w:pPr>
            <w:r>
              <w:rPr>
                <w:rFonts w:ascii="Arial" w:cs="Arial" w:eastAsia="Arial" w:hAnsi="Arial"/>
                <w:sz w:val="18"/>
                <w:szCs w:val="18"/>
                <w:color w:val="auto"/>
              </w:rPr>
              <w:t>Transactions with Affiliates</w:t>
            </w:r>
          </w:p>
        </w:tc>
        <w:tc>
          <w:tcPr>
            <w:tcW w:w="20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200" w:type="dxa"/>
            <w:vAlign w:val="bottom"/>
          </w:tcPr>
          <w:p>
            <w:pPr>
              <w:spacing w:after="0"/>
              <w:rPr>
                <w:sz w:val="20"/>
                <w:szCs w:val="20"/>
                <w:color w:val="auto"/>
              </w:rPr>
            </w:pPr>
            <w:r>
              <w:rPr>
                <w:rFonts w:ascii="Arial" w:cs="Arial" w:eastAsia="Arial" w:hAnsi="Arial"/>
                <w:sz w:val="18"/>
                <w:szCs w:val="18"/>
                <w:color w:val="auto"/>
              </w:rPr>
              <w:t>Liens</w:t>
            </w:r>
          </w:p>
        </w:tc>
        <w:tc>
          <w:tcPr>
            <w:tcW w:w="20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200" w:type="dxa"/>
            <w:vAlign w:val="bottom"/>
          </w:tcPr>
          <w:p>
            <w:pPr>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7200" w:type="dxa"/>
            <w:vAlign w:val="bottom"/>
          </w:tcPr>
          <w:p>
            <w:pPr>
              <w:spacing w:after="0"/>
              <w:rPr>
                <w:sz w:val="20"/>
                <w:szCs w:val="20"/>
                <w:color w:val="auto"/>
              </w:rPr>
            </w:pPr>
            <w:r>
              <w:rPr>
                <w:rFonts w:ascii="Arial" w:cs="Arial" w:eastAsia="Arial" w:hAnsi="Arial"/>
                <w:sz w:val="18"/>
                <w:szCs w:val="18"/>
                <w:color w:val="auto"/>
              </w:rPr>
              <w:t>Merger, Consolidation or Sale of Assets</w:t>
            </w:r>
          </w:p>
        </w:tc>
        <w:tc>
          <w:tcPr>
            <w:tcW w:w="20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8. EVENTS OF DEFAULT AND REMEDIES</w:t>
            </w:r>
          </w:p>
        </w:tc>
        <w:tc>
          <w:tcPr>
            <w:tcW w:w="20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00" w:type="dxa"/>
            <w:vAlign w:val="bottom"/>
          </w:tcPr>
          <w:p>
            <w:pPr>
              <w:spacing w:after="0"/>
              <w:rPr>
                <w:sz w:val="20"/>
                <w:szCs w:val="20"/>
                <w:color w:val="auto"/>
              </w:rPr>
            </w:pPr>
            <w:r>
              <w:rPr>
                <w:rFonts w:ascii="Arial" w:cs="Arial" w:eastAsia="Arial" w:hAnsi="Arial"/>
                <w:sz w:val="18"/>
                <w:szCs w:val="18"/>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00" w:type="dxa"/>
            <w:vAlign w:val="bottom"/>
          </w:tcPr>
          <w:p>
            <w:pPr>
              <w:spacing w:after="0"/>
              <w:rPr>
                <w:sz w:val="20"/>
                <w:szCs w:val="20"/>
                <w:color w:val="auto"/>
              </w:rPr>
            </w:pPr>
            <w:r>
              <w:rPr>
                <w:rFonts w:ascii="Arial" w:cs="Arial" w:eastAsia="Arial" w:hAnsi="Arial"/>
                <w:sz w:val="18"/>
                <w:szCs w:val="18"/>
                <w:color w:val="auto"/>
              </w:rPr>
              <w:t>Remedies Upon Event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200" w:type="dxa"/>
            <w:vAlign w:val="bottom"/>
          </w:tcPr>
          <w:p>
            <w:pPr>
              <w:spacing w:after="0"/>
              <w:rPr>
                <w:sz w:val="20"/>
                <w:szCs w:val="20"/>
                <w:color w:val="auto"/>
              </w:rPr>
            </w:pPr>
            <w:r>
              <w:rPr>
                <w:rFonts w:ascii="Arial" w:cs="Arial" w:eastAsia="Arial" w:hAnsi="Arial"/>
                <w:sz w:val="18"/>
                <w:szCs w:val="18"/>
                <w:color w:val="auto"/>
              </w:rPr>
              <w:t>Application of Funds</w:t>
            </w:r>
          </w:p>
        </w:tc>
        <w:tc>
          <w:tcPr>
            <w:tcW w:w="20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w w:val="97"/>
              </w:rPr>
              <w:t>ARTICLE 9. AGENCY</w:t>
            </w:r>
          </w:p>
        </w:tc>
        <w:tc>
          <w:tcPr>
            <w:tcW w:w="7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200" w:type="dxa"/>
            <w:vAlign w:val="bottom"/>
          </w:tcPr>
          <w:p>
            <w:pPr>
              <w:spacing w:after="0"/>
              <w:rPr>
                <w:sz w:val="20"/>
                <w:szCs w:val="20"/>
                <w:color w:val="auto"/>
              </w:rPr>
            </w:pPr>
            <w:r>
              <w:rPr>
                <w:rFonts w:ascii="Arial" w:cs="Arial" w:eastAsia="Arial" w:hAnsi="Arial"/>
                <w:sz w:val="18"/>
                <w:szCs w:val="18"/>
                <w:color w:val="auto"/>
              </w:rPr>
              <w:t>Appointment and Authority</w:t>
            </w:r>
          </w:p>
        </w:tc>
        <w:tc>
          <w:tcPr>
            <w:tcW w:w="20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200" w:type="dxa"/>
            <w:vAlign w:val="bottom"/>
          </w:tcPr>
          <w:p>
            <w:pPr>
              <w:spacing w:after="0"/>
              <w:rPr>
                <w:sz w:val="20"/>
                <w:szCs w:val="20"/>
                <w:color w:val="auto"/>
              </w:rPr>
            </w:pPr>
            <w:r>
              <w:rPr>
                <w:rFonts w:ascii="Arial" w:cs="Arial" w:eastAsia="Arial" w:hAnsi="Arial"/>
                <w:sz w:val="18"/>
                <w:szCs w:val="18"/>
                <w:color w:val="auto"/>
              </w:rPr>
              <w:t>Rights as a Lender</w:t>
            </w:r>
          </w:p>
        </w:tc>
        <w:tc>
          <w:tcPr>
            <w:tcW w:w="20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200" w:type="dxa"/>
            <w:vAlign w:val="bottom"/>
          </w:tcPr>
          <w:p>
            <w:pPr>
              <w:spacing w:after="0"/>
              <w:rPr>
                <w:sz w:val="20"/>
                <w:szCs w:val="20"/>
                <w:color w:val="auto"/>
              </w:rPr>
            </w:pPr>
            <w:r>
              <w:rPr>
                <w:rFonts w:ascii="Arial" w:cs="Arial" w:eastAsia="Arial" w:hAnsi="Arial"/>
                <w:sz w:val="18"/>
                <w:szCs w:val="18"/>
                <w:color w:val="auto"/>
              </w:rPr>
              <w:t>Exculpatory Provisions</w:t>
            </w:r>
          </w:p>
        </w:tc>
        <w:tc>
          <w:tcPr>
            <w:tcW w:w="20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200" w:type="dxa"/>
            <w:vAlign w:val="bottom"/>
          </w:tcPr>
          <w:p>
            <w:pPr>
              <w:spacing w:after="0"/>
              <w:rPr>
                <w:sz w:val="20"/>
                <w:szCs w:val="20"/>
                <w:color w:val="auto"/>
              </w:rPr>
            </w:pPr>
            <w:r>
              <w:rPr>
                <w:rFonts w:ascii="Arial" w:cs="Arial" w:eastAsia="Arial" w:hAnsi="Arial"/>
                <w:sz w:val="18"/>
                <w:szCs w:val="18"/>
                <w:color w:val="auto"/>
              </w:rPr>
              <w:t>Reliance</w:t>
            </w:r>
          </w:p>
        </w:tc>
        <w:tc>
          <w:tcPr>
            <w:tcW w:w="20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200" w:type="dxa"/>
            <w:vAlign w:val="bottom"/>
          </w:tcPr>
          <w:p>
            <w:pPr>
              <w:spacing w:after="0"/>
              <w:rPr>
                <w:sz w:val="20"/>
                <w:szCs w:val="20"/>
                <w:color w:val="auto"/>
              </w:rPr>
            </w:pPr>
            <w:r>
              <w:rPr>
                <w:rFonts w:ascii="Arial" w:cs="Arial" w:eastAsia="Arial" w:hAnsi="Arial"/>
                <w:sz w:val="18"/>
                <w:szCs w:val="18"/>
                <w:color w:val="auto"/>
              </w:rPr>
              <w:t>Delegation of Duties</w:t>
            </w:r>
          </w:p>
        </w:tc>
        <w:tc>
          <w:tcPr>
            <w:tcW w:w="20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200" w:type="dxa"/>
            <w:vAlign w:val="bottom"/>
          </w:tcPr>
          <w:p>
            <w:pPr>
              <w:spacing w:after="0"/>
              <w:rPr>
                <w:sz w:val="20"/>
                <w:szCs w:val="20"/>
                <w:color w:val="auto"/>
              </w:rPr>
            </w:pPr>
            <w:r>
              <w:rPr>
                <w:rFonts w:ascii="Arial" w:cs="Arial" w:eastAsia="Arial" w:hAnsi="Arial"/>
                <w:sz w:val="18"/>
                <w:szCs w:val="18"/>
                <w:color w:val="auto"/>
              </w:rPr>
              <w:t>Resignation of Administrative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7200" w:type="dxa"/>
            <w:vAlign w:val="bottom"/>
          </w:tcPr>
          <w:p>
            <w:pPr>
              <w:spacing w:after="0"/>
              <w:rPr>
                <w:sz w:val="20"/>
                <w:szCs w:val="20"/>
                <w:color w:val="auto"/>
              </w:rPr>
            </w:pPr>
            <w:r>
              <w:rPr>
                <w:rFonts w:ascii="Arial" w:cs="Arial" w:eastAsia="Arial" w:hAnsi="Arial"/>
                <w:sz w:val="18"/>
                <w:szCs w:val="18"/>
                <w:color w:val="auto"/>
              </w:rPr>
              <w:t>Non-Reliance on Administrative Agent and Other Lenders</w:t>
            </w:r>
          </w:p>
        </w:tc>
        <w:tc>
          <w:tcPr>
            <w:tcW w:w="20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7200" w:type="dxa"/>
            <w:vAlign w:val="bottom"/>
          </w:tcPr>
          <w:p>
            <w:pPr>
              <w:spacing w:after="0"/>
              <w:rPr>
                <w:sz w:val="20"/>
                <w:szCs w:val="20"/>
                <w:color w:val="auto"/>
              </w:rPr>
            </w:pPr>
            <w:r>
              <w:rPr>
                <w:rFonts w:ascii="Arial" w:cs="Arial" w:eastAsia="Arial" w:hAnsi="Arial"/>
                <w:sz w:val="18"/>
                <w:szCs w:val="18"/>
                <w:color w:val="auto"/>
              </w:rPr>
              <w:t>No Other Duties, Etc.</w:t>
            </w:r>
          </w:p>
        </w:tc>
        <w:tc>
          <w:tcPr>
            <w:tcW w:w="20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7200" w:type="dxa"/>
            <w:vAlign w:val="bottom"/>
          </w:tcPr>
          <w:p>
            <w:pPr>
              <w:spacing w:after="0"/>
              <w:rPr>
                <w:sz w:val="20"/>
                <w:szCs w:val="20"/>
                <w:color w:val="auto"/>
              </w:rPr>
            </w:pPr>
            <w:r>
              <w:rPr>
                <w:rFonts w:ascii="Arial" w:cs="Arial" w:eastAsia="Arial" w:hAnsi="Arial"/>
                <w:sz w:val="18"/>
                <w:szCs w:val="18"/>
                <w:color w:val="auto"/>
              </w:rPr>
              <w:t>Administrative Agent May File Proofs of Claim</w:t>
            </w:r>
          </w:p>
        </w:tc>
        <w:tc>
          <w:tcPr>
            <w:tcW w:w="2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7200" w:type="dxa"/>
            <w:vAlign w:val="bottom"/>
          </w:tcPr>
          <w:p>
            <w:pPr>
              <w:spacing w:after="0"/>
              <w:rPr>
                <w:sz w:val="20"/>
                <w:szCs w:val="20"/>
                <w:color w:val="auto"/>
              </w:rPr>
            </w:pPr>
            <w:r>
              <w:rPr>
                <w:rFonts w:ascii="Arial" w:cs="Arial" w:eastAsia="Arial" w:hAnsi="Arial"/>
                <w:sz w:val="18"/>
                <w:szCs w:val="18"/>
                <w:color w:val="auto"/>
              </w:rPr>
              <w:t>Collateral and Guaranty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7200" w:type="dxa"/>
            <w:vAlign w:val="bottom"/>
          </w:tcPr>
          <w:p>
            <w:pPr>
              <w:spacing w:after="0"/>
              <w:rPr>
                <w:sz w:val="20"/>
                <w:szCs w:val="20"/>
                <w:color w:val="auto"/>
              </w:rPr>
            </w:pPr>
            <w:r>
              <w:rPr>
                <w:rFonts w:ascii="Arial" w:cs="Arial" w:eastAsia="Arial" w:hAnsi="Arial"/>
                <w:sz w:val="18"/>
                <w:szCs w:val="18"/>
                <w:color w:val="auto"/>
              </w:rPr>
              <w:t>Additional Secured Parties</w:t>
            </w:r>
          </w:p>
        </w:tc>
        <w:tc>
          <w:tcPr>
            <w:tcW w:w="2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10. EXCHANGE NOTES</w:t>
            </w:r>
          </w:p>
        </w:tc>
        <w:tc>
          <w:tcPr>
            <w:tcW w:w="2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200" w:type="dxa"/>
            <w:vAlign w:val="bottom"/>
          </w:tcPr>
          <w:p>
            <w:pPr>
              <w:spacing w:after="0"/>
              <w:rPr>
                <w:sz w:val="20"/>
                <w:szCs w:val="20"/>
                <w:color w:val="auto"/>
              </w:rPr>
            </w:pPr>
            <w:r>
              <w:rPr>
                <w:rFonts w:ascii="Arial" w:cs="Arial" w:eastAsia="Arial" w:hAnsi="Arial"/>
                <w:sz w:val="18"/>
                <w:szCs w:val="18"/>
                <w:color w:val="auto"/>
              </w:rPr>
              <w:t>Exchange for Exchange Notes</w:t>
            </w:r>
          </w:p>
        </w:tc>
        <w:tc>
          <w:tcPr>
            <w:tcW w:w="2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200" w:type="dxa"/>
            <w:vAlign w:val="bottom"/>
          </w:tcPr>
          <w:p>
            <w:pPr>
              <w:spacing w:after="0"/>
              <w:rPr>
                <w:sz w:val="20"/>
                <w:szCs w:val="20"/>
                <w:color w:val="auto"/>
              </w:rPr>
            </w:pPr>
            <w:r>
              <w:rPr>
                <w:rFonts w:ascii="Arial" w:cs="Arial" w:eastAsia="Arial" w:hAnsi="Arial"/>
                <w:sz w:val="18"/>
                <w:szCs w:val="18"/>
                <w:color w:val="auto"/>
              </w:rPr>
              <w:t>Exchange Notes Indenture</w:t>
            </w:r>
          </w:p>
        </w:tc>
        <w:tc>
          <w:tcPr>
            <w:tcW w:w="20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200" w:type="dxa"/>
            <w:vAlign w:val="bottom"/>
          </w:tcPr>
          <w:p>
            <w:pPr>
              <w:spacing w:after="0"/>
              <w:rPr>
                <w:sz w:val="20"/>
                <w:szCs w:val="20"/>
                <w:color w:val="auto"/>
              </w:rPr>
            </w:pPr>
            <w:r>
              <w:rPr>
                <w:rFonts w:ascii="Arial" w:cs="Arial" w:eastAsia="Arial" w:hAnsi="Arial"/>
                <w:sz w:val="18"/>
                <w:szCs w:val="18"/>
                <w:color w:val="auto"/>
              </w:rPr>
              <w:t>Not a Registered Security</w:t>
            </w:r>
          </w:p>
        </w:tc>
        <w:tc>
          <w:tcPr>
            <w:tcW w:w="20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0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200" w:type="dxa"/>
            <w:vAlign w:val="bottom"/>
          </w:tcPr>
          <w:p>
            <w:pPr>
              <w:spacing w:after="0"/>
              <w:rPr>
                <w:sz w:val="20"/>
                <w:szCs w:val="20"/>
                <w:color w:val="auto"/>
              </w:rPr>
            </w:pPr>
            <w:r>
              <w:rPr>
                <w:rFonts w:ascii="Arial" w:cs="Arial" w:eastAsia="Arial" w:hAnsi="Arial"/>
                <w:sz w:val="18"/>
                <w:szCs w:val="18"/>
                <w:color w:val="auto"/>
              </w:rPr>
              <w:t>Amendments, Etc.</w:t>
            </w:r>
          </w:p>
        </w:tc>
        <w:tc>
          <w:tcPr>
            <w:tcW w:w="20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200" w:type="dxa"/>
            <w:vAlign w:val="bottom"/>
          </w:tcPr>
          <w:p>
            <w:pPr>
              <w:spacing w:after="0"/>
              <w:rPr>
                <w:sz w:val="20"/>
                <w:szCs w:val="20"/>
                <w:color w:val="auto"/>
              </w:rPr>
            </w:pPr>
            <w:r>
              <w:rPr>
                <w:rFonts w:ascii="Arial" w:cs="Arial" w:eastAsia="Arial" w:hAnsi="Arial"/>
                <w:sz w:val="18"/>
                <w:szCs w:val="18"/>
                <w:color w:val="auto"/>
              </w:rPr>
              <w:t>Notices; Effectiveness; Electronic Communication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200" w:type="dxa"/>
            <w:vAlign w:val="bottom"/>
          </w:tcPr>
          <w:p>
            <w:pPr>
              <w:spacing w:after="0"/>
              <w:rPr>
                <w:sz w:val="20"/>
                <w:szCs w:val="20"/>
                <w:color w:val="auto"/>
              </w:rPr>
            </w:pPr>
            <w:r>
              <w:rPr>
                <w:rFonts w:ascii="Arial" w:cs="Arial" w:eastAsia="Arial" w:hAnsi="Arial"/>
                <w:sz w:val="18"/>
                <w:szCs w:val="18"/>
                <w:color w:val="auto"/>
              </w:rPr>
              <w:t>No Waiver; Cumulative Remedies; Enforcement</w:t>
            </w:r>
          </w:p>
        </w:tc>
        <w:tc>
          <w:tcPr>
            <w:tcW w:w="20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200" w:type="dxa"/>
            <w:vAlign w:val="bottom"/>
          </w:tcPr>
          <w:p>
            <w:pPr>
              <w:spacing w:after="0"/>
              <w:rPr>
                <w:sz w:val="20"/>
                <w:szCs w:val="20"/>
                <w:color w:val="auto"/>
              </w:rPr>
            </w:pPr>
            <w:r>
              <w:rPr>
                <w:rFonts w:ascii="Arial" w:cs="Arial" w:eastAsia="Arial" w:hAnsi="Arial"/>
                <w:sz w:val="18"/>
                <w:szCs w:val="18"/>
                <w:color w:val="auto"/>
              </w:rPr>
              <w:t>Expenses; Indemnity; Damage Waiver</w:t>
            </w:r>
          </w:p>
        </w:tc>
        <w:tc>
          <w:tcPr>
            <w:tcW w:w="20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200" w:type="dxa"/>
            <w:vAlign w:val="bottom"/>
          </w:tcPr>
          <w:p>
            <w:pPr>
              <w:spacing w:after="0"/>
              <w:rPr>
                <w:sz w:val="20"/>
                <w:szCs w:val="20"/>
                <w:color w:val="auto"/>
              </w:rPr>
            </w:pPr>
            <w:r>
              <w:rPr>
                <w:rFonts w:ascii="Arial" w:cs="Arial" w:eastAsia="Arial" w:hAnsi="Arial"/>
                <w:sz w:val="18"/>
                <w:szCs w:val="18"/>
                <w:color w:val="auto"/>
              </w:rPr>
              <w:t>Payments Set Aside</w:t>
            </w:r>
          </w:p>
        </w:tc>
        <w:tc>
          <w:tcPr>
            <w:tcW w:w="2040" w:type="dxa"/>
            <w:vAlign w:val="bottom"/>
          </w:tcPr>
          <w:p>
            <w:pPr>
              <w:jc w:val="right"/>
              <w:spacing w:after="0"/>
              <w:rPr>
                <w:sz w:val="20"/>
                <w:szCs w:val="20"/>
                <w:color w:val="auto"/>
              </w:rPr>
            </w:pPr>
            <w:r>
              <w:rPr>
                <w:rFonts w:ascii="Arial" w:cs="Arial" w:eastAsia="Arial" w:hAnsi="Arial"/>
                <w:sz w:val="18"/>
                <w:szCs w:val="18"/>
                <w:color w:val="auto"/>
              </w:rPr>
              <w:t>148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11.06</w:t>
            </w:r>
          </w:p>
        </w:tc>
        <w:tc>
          <w:tcPr>
            <w:tcW w:w="728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1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11.07</w:t>
            </w:r>
          </w:p>
        </w:tc>
        <w:tc>
          <w:tcPr>
            <w:tcW w:w="7280" w:type="dxa"/>
            <w:vAlign w:val="bottom"/>
          </w:tcPr>
          <w:p>
            <w:pPr>
              <w:ind w:left="200"/>
              <w:spacing w:after="0"/>
              <w:rPr>
                <w:sz w:val="20"/>
                <w:szCs w:val="20"/>
                <w:color w:val="auto"/>
              </w:rPr>
            </w:pPr>
            <w:r>
              <w:rPr>
                <w:rFonts w:ascii="Arial" w:cs="Arial" w:eastAsia="Arial" w:hAnsi="Arial"/>
                <w:sz w:val="18"/>
                <w:szCs w:val="18"/>
                <w:color w:val="auto"/>
              </w:rPr>
              <w:t>Treatment of Certain Information; 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11.08</w:t>
            </w:r>
          </w:p>
        </w:tc>
        <w:tc>
          <w:tcPr>
            <w:tcW w:w="7280" w:type="dxa"/>
            <w:vAlign w:val="bottom"/>
          </w:tcPr>
          <w:p>
            <w:pPr>
              <w:ind w:left="200"/>
              <w:spacing w:after="0"/>
              <w:rPr>
                <w:sz w:val="20"/>
                <w:szCs w:val="20"/>
                <w:color w:val="auto"/>
              </w:rPr>
            </w:pPr>
            <w:r>
              <w:rPr>
                <w:rFonts w:ascii="Arial" w:cs="Arial" w:eastAsia="Arial" w:hAnsi="Arial"/>
                <w:sz w:val="18"/>
                <w:szCs w:val="18"/>
                <w:color w:val="auto"/>
              </w:rPr>
              <w:t>Right of Setoff</w:t>
            </w:r>
          </w:p>
        </w:tc>
        <w:tc>
          <w:tcPr>
            <w:tcW w:w="21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11.09</w:t>
            </w:r>
          </w:p>
        </w:tc>
        <w:tc>
          <w:tcPr>
            <w:tcW w:w="728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11.10</w:t>
            </w:r>
          </w:p>
        </w:tc>
        <w:tc>
          <w:tcPr>
            <w:tcW w:w="7280" w:type="dxa"/>
            <w:vAlign w:val="bottom"/>
          </w:tcPr>
          <w:p>
            <w:pPr>
              <w:ind w:left="200"/>
              <w:spacing w:after="0"/>
              <w:rPr>
                <w:sz w:val="20"/>
                <w:szCs w:val="20"/>
                <w:color w:val="auto"/>
              </w:rPr>
            </w:pPr>
            <w:r>
              <w:rPr>
                <w:rFonts w:ascii="Arial" w:cs="Arial" w:eastAsia="Arial" w:hAnsi="Arial"/>
                <w:sz w:val="18"/>
                <w:szCs w:val="18"/>
                <w:color w:val="auto"/>
              </w:rPr>
              <w:t>Counterparts; Integration; Effectiveness</w:t>
            </w:r>
          </w:p>
        </w:tc>
        <w:tc>
          <w:tcPr>
            <w:tcW w:w="2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11.11</w:t>
            </w:r>
          </w:p>
        </w:tc>
        <w:tc>
          <w:tcPr>
            <w:tcW w:w="7280" w:type="dxa"/>
            <w:vAlign w:val="bottom"/>
          </w:tcPr>
          <w:p>
            <w:pPr>
              <w:ind w:left="200"/>
              <w:spacing w:after="0"/>
              <w:rPr>
                <w:sz w:val="20"/>
                <w:szCs w:val="20"/>
                <w:color w:val="auto"/>
              </w:rPr>
            </w:pPr>
            <w:r>
              <w:rPr>
                <w:rFonts w:ascii="Arial" w:cs="Arial" w:eastAsia="Arial" w:hAnsi="Arial"/>
                <w:sz w:val="18"/>
                <w:szCs w:val="18"/>
                <w:color w:val="auto"/>
              </w:rPr>
              <w:t>Survival of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11.12</w:t>
            </w:r>
          </w:p>
        </w:tc>
        <w:tc>
          <w:tcPr>
            <w:tcW w:w="72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11.13</w:t>
            </w:r>
          </w:p>
        </w:tc>
        <w:tc>
          <w:tcPr>
            <w:tcW w:w="7280" w:type="dxa"/>
            <w:vAlign w:val="bottom"/>
          </w:tcPr>
          <w:p>
            <w:pPr>
              <w:ind w:left="200"/>
              <w:spacing w:after="0"/>
              <w:rPr>
                <w:sz w:val="20"/>
                <w:szCs w:val="20"/>
                <w:color w:val="auto"/>
              </w:rPr>
            </w:pPr>
            <w:r>
              <w:rPr>
                <w:rFonts w:ascii="Arial" w:cs="Arial" w:eastAsia="Arial" w:hAnsi="Arial"/>
                <w:sz w:val="18"/>
                <w:szCs w:val="18"/>
                <w:color w:val="auto"/>
              </w:rPr>
              <w:t>Replacement of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11.14</w:t>
            </w:r>
          </w:p>
        </w:tc>
        <w:tc>
          <w:tcPr>
            <w:tcW w:w="7280" w:type="dxa"/>
            <w:vAlign w:val="bottom"/>
          </w:tcPr>
          <w:p>
            <w:pPr>
              <w:ind w:left="200"/>
              <w:spacing w:after="0"/>
              <w:rPr>
                <w:sz w:val="20"/>
                <w:szCs w:val="20"/>
                <w:color w:val="auto"/>
              </w:rPr>
            </w:pPr>
            <w:r>
              <w:rPr>
                <w:rFonts w:ascii="Arial" w:cs="Arial" w:eastAsia="Arial" w:hAnsi="Arial"/>
                <w:sz w:val="18"/>
                <w:szCs w:val="18"/>
                <w:color w:val="auto"/>
              </w:rPr>
              <w:t>Governing Law; Jurisdiction; Etc.</w:t>
            </w:r>
          </w:p>
        </w:tc>
        <w:tc>
          <w:tcPr>
            <w:tcW w:w="21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11.15</w:t>
            </w:r>
          </w:p>
        </w:tc>
        <w:tc>
          <w:tcPr>
            <w:tcW w:w="728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11.16</w:t>
            </w:r>
          </w:p>
        </w:tc>
        <w:tc>
          <w:tcPr>
            <w:tcW w:w="7280" w:type="dxa"/>
            <w:vAlign w:val="bottom"/>
          </w:tcPr>
          <w:p>
            <w:pPr>
              <w:ind w:left="200"/>
              <w:spacing w:after="0"/>
              <w:rPr>
                <w:sz w:val="20"/>
                <w:szCs w:val="20"/>
                <w:color w:val="auto"/>
              </w:rPr>
            </w:pPr>
            <w:r>
              <w:rPr>
                <w:rFonts w:ascii="Arial" w:cs="Arial" w:eastAsia="Arial" w:hAnsi="Arial"/>
                <w:sz w:val="18"/>
                <w:szCs w:val="18"/>
                <w:color w:val="auto"/>
              </w:rPr>
              <w:t>California Judicial Reference</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11.17</w:t>
            </w:r>
          </w:p>
        </w:tc>
        <w:tc>
          <w:tcPr>
            <w:tcW w:w="7280" w:type="dxa"/>
            <w:vAlign w:val="bottom"/>
          </w:tcPr>
          <w:p>
            <w:pPr>
              <w:ind w:left="200"/>
              <w:spacing w:after="0"/>
              <w:rPr>
                <w:sz w:val="20"/>
                <w:szCs w:val="20"/>
                <w:color w:val="auto"/>
              </w:rPr>
            </w:pPr>
            <w:r>
              <w:rPr>
                <w:rFonts w:ascii="Arial" w:cs="Arial" w:eastAsia="Arial" w:hAnsi="Arial"/>
                <w:sz w:val="18"/>
                <w:szCs w:val="18"/>
                <w:color w:val="auto"/>
              </w:rPr>
              <w:t>No Advisory or Fiduciary Responsibility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11.18</w:t>
            </w:r>
          </w:p>
        </w:tc>
        <w:tc>
          <w:tcPr>
            <w:tcW w:w="7280" w:type="dxa"/>
            <w:vAlign w:val="bottom"/>
          </w:tcPr>
          <w:p>
            <w:pPr>
              <w:ind w:left="2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11.19</w:t>
            </w:r>
          </w:p>
        </w:tc>
        <w:tc>
          <w:tcPr>
            <w:tcW w:w="7280" w:type="dxa"/>
            <w:vAlign w:val="bottom"/>
          </w:tcPr>
          <w:p>
            <w:pPr>
              <w:ind w:left="200"/>
              <w:spacing w:after="0"/>
              <w:rPr>
                <w:sz w:val="20"/>
                <w:szCs w:val="20"/>
                <w:color w:val="auto"/>
              </w:rPr>
            </w:pPr>
            <w:r>
              <w:rPr>
                <w:rFonts w:ascii="Arial" w:cs="Arial" w:eastAsia="Arial" w:hAnsi="Arial"/>
                <w:sz w:val="18"/>
                <w:szCs w:val="18"/>
                <w:color w:val="auto"/>
              </w:rPr>
              <w:t>USA PATRIOT Act</w:t>
            </w:r>
          </w:p>
        </w:tc>
        <w:tc>
          <w:tcPr>
            <w:tcW w:w="21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11.20</w:t>
            </w:r>
          </w:p>
        </w:tc>
        <w:tc>
          <w:tcPr>
            <w:tcW w:w="7280" w:type="dxa"/>
            <w:vAlign w:val="bottom"/>
          </w:tcPr>
          <w:p>
            <w:pPr>
              <w:ind w:left="200"/>
              <w:spacing w:after="0"/>
              <w:rPr>
                <w:sz w:val="20"/>
                <w:szCs w:val="20"/>
                <w:color w:val="auto"/>
              </w:rPr>
            </w:pPr>
            <w:r>
              <w:rPr>
                <w:rFonts w:ascii="Arial" w:cs="Arial" w:eastAsia="Arial" w:hAnsi="Arial"/>
                <w:sz w:val="18"/>
                <w:szCs w:val="18"/>
                <w:color w:val="auto"/>
              </w:rPr>
              <w:t>Judgment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11.21</w:t>
            </w:r>
          </w:p>
        </w:tc>
        <w:tc>
          <w:tcPr>
            <w:tcW w:w="7280" w:type="dxa"/>
            <w:vAlign w:val="bottom"/>
          </w:tcPr>
          <w:p>
            <w:pPr>
              <w:ind w:left="200"/>
              <w:spacing w:after="0"/>
              <w:rPr>
                <w:sz w:val="20"/>
                <w:szCs w:val="20"/>
                <w:color w:val="auto"/>
              </w:rPr>
            </w:pPr>
            <w:r>
              <w:rPr>
                <w:rFonts w:ascii="Arial" w:cs="Arial" w:eastAsia="Arial" w:hAnsi="Arial"/>
                <w:sz w:val="18"/>
                <w:szCs w:val="18"/>
                <w:color w:val="auto"/>
              </w:rPr>
              <w:t>Pari Passu Intercreditor Agreement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11.22</w:t>
            </w:r>
          </w:p>
        </w:tc>
        <w:tc>
          <w:tcPr>
            <w:tcW w:w="7280" w:type="dxa"/>
            <w:vAlign w:val="bottom"/>
          </w:tcPr>
          <w:p>
            <w:pPr>
              <w:ind w:left="2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11.23</w:t>
            </w:r>
          </w:p>
        </w:tc>
        <w:tc>
          <w:tcPr>
            <w:tcW w:w="7280" w:type="dxa"/>
            <w:vAlign w:val="bottom"/>
          </w:tcPr>
          <w:p>
            <w:pPr>
              <w:ind w:left="200"/>
              <w:spacing w:after="0"/>
              <w:rPr>
                <w:sz w:val="20"/>
                <w:szCs w:val="20"/>
                <w:color w:val="auto"/>
              </w:rPr>
            </w:pPr>
            <w:r>
              <w:rPr>
                <w:rFonts w:ascii="Arial" w:cs="Arial" w:eastAsia="Arial" w:hAnsi="Arial"/>
                <w:sz w:val="18"/>
                <w:szCs w:val="18"/>
                <w:color w:val="auto"/>
              </w:rPr>
              <w:t>Acknowledgement Regarding Any Supported QFCs</w:t>
            </w:r>
          </w:p>
        </w:tc>
        <w:tc>
          <w:tcPr>
            <w:tcW w:w="216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20"/>
          </w:cols>
          <w:pgMar w:left="800" w:top="274" w:right="47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ANNEX</w:t>
            </w:r>
          </w:p>
        </w:tc>
        <w:tc>
          <w:tcPr>
            <w:tcW w:w="10140" w:type="dxa"/>
            <w:vAlign w:val="bottom"/>
          </w:tcPr>
          <w:p>
            <w:pPr>
              <w:spacing w:after="0"/>
              <w:rPr>
                <w:sz w:val="20"/>
                <w:szCs w:val="20"/>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Annex A</w:t>
            </w:r>
          </w:p>
        </w:tc>
        <w:tc>
          <w:tcPr>
            <w:tcW w:w="10140" w:type="dxa"/>
            <w:vAlign w:val="bottom"/>
          </w:tcPr>
          <w:p>
            <w:pPr>
              <w:ind w:left="120"/>
              <w:spacing w:after="0"/>
              <w:rPr>
                <w:sz w:val="20"/>
                <w:szCs w:val="20"/>
                <w:color w:val="auto"/>
              </w:rPr>
            </w:pPr>
            <w:r>
              <w:rPr>
                <w:rFonts w:ascii="Arial" w:cs="Arial" w:eastAsia="Arial" w:hAnsi="Arial"/>
                <w:sz w:val="18"/>
                <w:szCs w:val="18"/>
                <w:color w:val="auto"/>
              </w:rPr>
              <w:t>Commitments</w:t>
            </w:r>
          </w:p>
        </w:tc>
      </w:tr>
      <w:tr>
        <w:trPr>
          <w:trHeight w:val="540"/>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COMPANY SCHEDULES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4.02(a)(ii)</w:t>
            </w:r>
          </w:p>
        </w:tc>
        <w:tc>
          <w:tcPr>
            <w:tcW w:w="10140" w:type="dxa"/>
            <w:vAlign w:val="bottom"/>
          </w:tcPr>
          <w:p>
            <w:pPr>
              <w:ind w:left="120"/>
              <w:spacing w:after="0"/>
              <w:rPr>
                <w:sz w:val="20"/>
                <w:szCs w:val="20"/>
                <w:color w:val="auto"/>
              </w:rPr>
            </w:pPr>
            <w:r>
              <w:rPr>
                <w:rFonts w:ascii="Arial" w:cs="Arial" w:eastAsia="Arial" w:hAnsi="Arial"/>
                <w:sz w:val="18"/>
                <w:szCs w:val="18"/>
                <w:color w:val="auto"/>
              </w:rPr>
              <w:t>Debt Assumption Date Collateral Documents [on the Closing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5.13</w:t>
            </w:r>
          </w:p>
        </w:tc>
        <w:tc>
          <w:tcPr>
            <w:tcW w:w="10140" w:type="dxa"/>
            <w:vAlign w:val="bottom"/>
          </w:tcPr>
          <w:p>
            <w:pPr>
              <w:ind w:left="120"/>
              <w:spacing w:after="0"/>
              <w:rPr>
                <w:sz w:val="20"/>
                <w:szCs w:val="20"/>
                <w:color w:val="auto"/>
              </w:rPr>
            </w:pPr>
            <w:r>
              <w:rPr>
                <w:rFonts w:ascii="Arial" w:cs="Arial" w:eastAsia="Arial" w:hAnsi="Arial"/>
                <w:sz w:val="18"/>
                <w:szCs w:val="18"/>
                <w:color w:val="auto"/>
              </w:rPr>
              <w:t>Subsidiaries; Other Equity Investments [on the Closing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5.17</w:t>
            </w:r>
          </w:p>
        </w:tc>
        <w:tc>
          <w:tcPr>
            <w:tcW w:w="10140" w:type="dxa"/>
            <w:vAlign w:val="bottom"/>
          </w:tcPr>
          <w:p>
            <w:pPr>
              <w:ind w:left="120"/>
              <w:spacing w:after="0"/>
              <w:rPr>
                <w:sz w:val="20"/>
                <w:szCs w:val="20"/>
                <w:color w:val="auto"/>
              </w:rPr>
            </w:pPr>
            <w:r>
              <w:rPr>
                <w:rFonts w:ascii="Arial" w:cs="Arial" w:eastAsia="Arial" w:hAnsi="Arial"/>
                <w:sz w:val="18"/>
                <w:szCs w:val="18"/>
                <w:color w:val="auto"/>
              </w:rPr>
              <w:t>U.S. Taxpayer Identification Number for the Company [on the Closing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11.02</w:t>
            </w:r>
          </w:p>
        </w:tc>
        <w:tc>
          <w:tcPr>
            <w:tcW w:w="10140" w:type="dxa"/>
            <w:vAlign w:val="bottom"/>
          </w:tcPr>
          <w:p>
            <w:pPr>
              <w:ind w:left="120"/>
              <w:spacing w:after="0"/>
              <w:rPr>
                <w:sz w:val="20"/>
                <w:szCs w:val="20"/>
                <w:color w:val="auto"/>
              </w:rPr>
            </w:pPr>
            <w:r>
              <w:rPr>
                <w:rFonts w:ascii="Arial" w:cs="Arial" w:eastAsia="Arial" w:hAnsi="Arial"/>
                <w:sz w:val="18"/>
                <w:szCs w:val="18"/>
                <w:color w:val="auto"/>
              </w:rPr>
              <w:t>Administrative Agent’s Office; Certain Addresses for Notices [on the Closing Date]</w:t>
            </w:r>
          </w:p>
        </w:tc>
      </w:tr>
      <w:tr>
        <w:trPr>
          <w:trHeight w:val="540"/>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BELLRING BRANDS SCHEDULES</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1.01B</w:t>
            </w:r>
          </w:p>
        </w:tc>
        <w:tc>
          <w:tcPr>
            <w:tcW w:w="10140" w:type="dxa"/>
            <w:vAlign w:val="bottom"/>
          </w:tcPr>
          <w:p>
            <w:pPr>
              <w:ind w:left="120"/>
              <w:spacing w:after="0"/>
              <w:rPr>
                <w:sz w:val="20"/>
                <w:szCs w:val="20"/>
                <w:color w:val="auto"/>
              </w:rPr>
            </w:pPr>
            <w:r>
              <w:rPr>
                <w:rFonts w:ascii="Arial" w:cs="Arial" w:eastAsia="Arial" w:hAnsi="Arial"/>
                <w:sz w:val="18"/>
                <w:szCs w:val="18"/>
                <w:color w:val="auto"/>
                <w:w w:val="97"/>
              </w:rPr>
              <w:t>Mortgaged Properties [within 10 Business Days (or such later date as the Administrative Agent may agree to in its sole discretion)</w:t>
            </w:r>
          </w:p>
        </w:tc>
      </w:tr>
      <w:tr>
        <w:trPr>
          <w:trHeight w:val="230"/>
        </w:trPr>
        <w:tc>
          <w:tcPr>
            <w:tcW w:w="88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following the Closing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5.08(b)</w:t>
            </w:r>
          </w:p>
        </w:tc>
        <w:tc>
          <w:tcPr>
            <w:tcW w:w="10140" w:type="dxa"/>
            <w:vAlign w:val="bottom"/>
          </w:tcPr>
          <w:p>
            <w:pPr>
              <w:ind w:left="120"/>
              <w:spacing w:after="0"/>
              <w:rPr>
                <w:sz w:val="20"/>
                <w:szCs w:val="20"/>
                <w:color w:val="auto"/>
              </w:rPr>
            </w:pPr>
            <w:r>
              <w:rPr>
                <w:rFonts w:ascii="Arial" w:cs="Arial" w:eastAsia="Arial" w:hAnsi="Arial"/>
                <w:sz w:val="18"/>
                <w:szCs w:val="18"/>
                <w:color w:val="auto"/>
              </w:rPr>
              <w:t>Liens [on the Debt Assumption Date]</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5.08(c)</w:t>
            </w:r>
          </w:p>
        </w:tc>
        <w:tc>
          <w:tcPr>
            <w:tcW w:w="10140" w:type="dxa"/>
            <w:vAlign w:val="bottom"/>
          </w:tcPr>
          <w:p>
            <w:pPr>
              <w:ind w:left="120"/>
              <w:spacing w:after="0"/>
              <w:rPr>
                <w:sz w:val="20"/>
                <w:szCs w:val="20"/>
                <w:color w:val="auto"/>
              </w:rPr>
            </w:pPr>
            <w:r>
              <w:rPr>
                <w:rFonts w:ascii="Arial" w:cs="Arial" w:eastAsia="Arial" w:hAnsi="Arial"/>
                <w:sz w:val="18"/>
                <w:szCs w:val="18"/>
                <w:color w:val="auto"/>
                <w:w w:val="97"/>
              </w:rPr>
              <w:t>Owned Real Property [within 10 Business Days (or such later date as the Administrative Agent may agree to in its sole discretion)</w:t>
            </w:r>
          </w:p>
        </w:tc>
      </w:tr>
      <w:tr>
        <w:trPr>
          <w:trHeight w:val="230"/>
        </w:trPr>
        <w:tc>
          <w:tcPr>
            <w:tcW w:w="88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following the Closing Date]</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5.08(d)(i)</w:t>
            </w:r>
          </w:p>
        </w:tc>
        <w:tc>
          <w:tcPr>
            <w:tcW w:w="10140" w:type="dxa"/>
            <w:vAlign w:val="bottom"/>
          </w:tcPr>
          <w:p>
            <w:pPr>
              <w:ind w:left="120"/>
              <w:spacing w:after="0"/>
              <w:rPr>
                <w:sz w:val="20"/>
                <w:szCs w:val="20"/>
                <w:color w:val="auto"/>
              </w:rPr>
            </w:pPr>
            <w:r>
              <w:rPr>
                <w:rFonts w:ascii="Arial" w:cs="Arial" w:eastAsia="Arial" w:hAnsi="Arial"/>
                <w:sz w:val="18"/>
                <w:szCs w:val="18"/>
                <w:color w:val="auto"/>
                <w:w w:val="98"/>
              </w:rPr>
              <w:t>Leased Real Property (Lessee) [within 10 Business Days (or such later date as the Administrative Agent may agree to in its sole</w:t>
            </w:r>
          </w:p>
        </w:tc>
      </w:tr>
      <w:tr>
        <w:trPr>
          <w:trHeight w:val="230"/>
        </w:trPr>
        <w:tc>
          <w:tcPr>
            <w:tcW w:w="88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discretion) following the Closing Date]</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5.08(d)(ii)</w:t>
            </w:r>
          </w:p>
        </w:tc>
        <w:tc>
          <w:tcPr>
            <w:tcW w:w="10140" w:type="dxa"/>
            <w:vAlign w:val="bottom"/>
          </w:tcPr>
          <w:p>
            <w:pPr>
              <w:ind w:left="120"/>
              <w:spacing w:after="0"/>
              <w:rPr>
                <w:sz w:val="20"/>
                <w:szCs w:val="20"/>
                <w:color w:val="auto"/>
              </w:rPr>
            </w:pPr>
            <w:r>
              <w:rPr>
                <w:rFonts w:ascii="Arial" w:cs="Arial" w:eastAsia="Arial" w:hAnsi="Arial"/>
                <w:sz w:val="18"/>
                <w:szCs w:val="18"/>
                <w:color w:val="auto"/>
                <w:w w:val="90"/>
              </w:rPr>
              <w:t>Leased Real Property (Lessor) [within 10 Business Days (or such later date as the Administrative Agent may agree to in its sole discretion)</w:t>
            </w:r>
          </w:p>
        </w:tc>
      </w:tr>
      <w:tr>
        <w:trPr>
          <w:trHeight w:val="230"/>
        </w:trPr>
        <w:tc>
          <w:tcPr>
            <w:tcW w:w="88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following the Closing Date]</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5.08(e)</w:t>
            </w:r>
          </w:p>
        </w:tc>
        <w:tc>
          <w:tcPr>
            <w:tcW w:w="10140" w:type="dxa"/>
            <w:vAlign w:val="bottom"/>
          </w:tcPr>
          <w:p>
            <w:pPr>
              <w:ind w:left="120"/>
              <w:spacing w:after="0"/>
              <w:rPr>
                <w:sz w:val="20"/>
                <w:szCs w:val="20"/>
                <w:color w:val="auto"/>
              </w:rPr>
            </w:pPr>
            <w:r>
              <w:rPr>
                <w:rFonts w:ascii="Arial" w:cs="Arial" w:eastAsia="Arial" w:hAnsi="Arial"/>
                <w:sz w:val="18"/>
                <w:szCs w:val="18"/>
                <w:color w:val="auto"/>
                <w:w w:val="97"/>
              </w:rPr>
              <w:t>Existing Investments [within 10 Business Days (or such later date as the Administrative Agent may agree to in its sole discretion)</w:t>
            </w:r>
          </w:p>
        </w:tc>
      </w:tr>
      <w:tr>
        <w:trPr>
          <w:trHeight w:val="230"/>
        </w:trPr>
        <w:tc>
          <w:tcPr>
            <w:tcW w:w="88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following the Closing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5.13</w:t>
            </w:r>
          </w:p>
        </w:tc>
        <w:tc>
          <w:tcPr>
            <w:tcW w:w="10140" w:type="dxa"/>
            <w:vAlign w:val="bottom"/>
          </w:tcPr>
          <w:p>
            <w:pPr>
              <w:ind w:left="120"/>
              <w:spacing w:after="0"/>
              <w:rPr>
                <w:sz w:val="20"/>
                <w:szCs w:val="20"/>
                <w:color w:val="auto"/>
              </w:rPr>
            </w:pPr>
            <w:r>
              <w:rPr>
                <w:rFonts w:ascii="Arial" w:cs="Arial" w:eastAsia="Arial" w:hAnsi="Arial"/>
                <w:sz w:val="18"/>
                <w:szCs w:val="18"/>
                <w:color w:val="auto"/>
              </w:rPr>
              <w:t>Subsidiaries; Other Equity Investments [on the Debt Assumption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5.17</w:t>
            </w:r>
          </w:p>
        </w:tc>
        <w:tc>
          <w:tcPr>
            <w:tcW w:w="10140" w:type="dxa"/>
            <w:vAlign w:val="bottom"/>
          </w:tcPr>
          <w:p>
            <w:pPr>
              <w:ind w:left="120"/>
              <w:spacing w:after="0"/>
              <w:rPr>
                <w:sz w:val="20"/>
                <w:szCs w:val="20"/>
                <w:color w:val="auto"/>
              </w:rPr>
            </w:pPr>
            <w:r>
              <w:rPr>
                <w:rFonts w:ascii="Arial" w:cs="Arial" w:eastAsia="Arial" w:hAnsi="Arial"/>
                <w:sz w:val="18"/>
                <w:szCs w:val="18"/>
                <w:color w:val="auto"/>
              </w:rPr>
              <w:t>U.S. Taxpayer Identification Number for BellRing Brands [on the Debt Assumption Date]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11.02</w:t>
            </w:r>
          </w:p>
        </w:tc>
        <w:tc>
          <w:tcPr>
            <w:tcW w:w="10140" w:type="dxa"/>
            <w:vAlign w:val="bottom"/>
          </w:tcPr>
          <w:p>
            <w:pPr>
              <w:ind w:left="120"/>
              <w:spacing w:after="0"/>
              <w:rPr>
                <w:sz w:val="20"/>
                <w:szCs w:val="20"/>
                <w:color w:val="auto"/>
              </w:rPr>
            </w:pPr>
            <w:r>
              <w:rPr>
                <w:rFonts w:ascii="Arial" w:cs="Arial" w:eastAsia="Arial" w:hAnsi="Arial"/>
                <w:sz w:val="18"/>
                <w:szCs w:val="18"/>
                <w:color w:val="auto"/>
              </w:rPr>
              <w:t>Administrative Agent’s Office; Certain Addresses for Notices [on the Debt Assumption Date]</w:t>
            </w:r>
          </w:p>
        </w:tc>
      </w:tr>
      <w:tr>
        <w:trPr>
          <w:trHeight w:val="365"/>
        </w:trPr>
        <w:tc>
          <w:tcPr>
            <w:tcW w:w="880" w:type="dxa"/>
            <w:vAlign w:val="bottom"/>
          </w:tcPr>
          <w:p>
            <w:pPr>
              <w:spacing w:after="0"/>
              <w:rPr>
                <w:sz w:val="24"/>
                <w:szCs w:val="24"/>
                <w:color w:val="auto"/>
              </w:rPr>
            </w:pPr>
          </w:p>
        </w:tc>
        <w:tc>
          <w:tcPr>
            <w:tcW w:w="10140" w:type="dxa"/>
            <w:vAlign w:val="bottom"/>
          </w:tcPr>
          <w:p>
            <w:pPr>
              <w:ind w:left="4580"/>
              <w:spacing w:after="0"/>
              <w:rPr>
                <w:sz w:val="20"/>
                <w:szCs w:val="20"/>
                <w:color w:val="auto"/>
              </w:rPr>
            </w:pPr>
            <w:r>
              <w:rPr>
                <w:rFonts w:ascii="Arial" w:cs="Arial" w:eastAsia="Arial" w:hAnsi="Arial"/>
                <w:sz w:val="18"/>
                <w:szCs w:val="18"/>
                <w:color w:val="auto"/>
              </w:rPr>
              <w:t>v</w:t>
            </w:r>
          </w:p>
        </w:tc>
      </w:tr>
    </w:tbl>
    <w:p>
      <w:pPr>
        <w:ind w:left="458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9" w:name="page300"/>
    <w:bookmarkEnd w:id="2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16"/>
          <w:szCs w:val="16"/>
          <w:b w:val="1"/>
          <w:bCs w:val="1"/>
          <w:i w:val="1"/>
          <w:iCs w:val="1"/>
          <w:color w:val="auto"/>
        </w:rPr>
        <w:t>Form of</w:t>
      </w:r>
    </w:p>
    <w:p>
      <w:pPr>
        <w:sectPr>
          <w:pgSz w:w="11900" w:h="16838" w:orient="portrait"/>
          <w:cols w:equalWidth="0" w:num="1">
            <w:col w:w="10019"/>
          </w:cols>
          <w:pgMar w:left="440" w:top="270" w:right="1440"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H-1 through H-4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Borrowing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Prepayment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Lender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and Collateral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 Passu Intercreditor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Solvency Certificate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Borrower Assignment and Assumption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Notice</w:t>
      </w:r>
    </w:p>
    <w:p>
      <w:pPr>
        <w:spacing w:after="0" w:line="143" w:lineRule="exact"/>
        <w:rPr>
          <w:sz w:val="20"/>
          <w:szCs w:val="20"/>
          <w:color w:val="auto"/>
        </w:rPr>
      </w:pPr>
    </w:p>
    <w:p>
      <w:pPr>
        <w:sectPr>
          <w:pgSz w:w="11900" w:h="16838" w:orient="portrait"/>
          <w:cols w:equalWidth="0" w:num="2">
            <w:col w:w="1220" w:space="440"/>
            <w:col w:w="8359"/>
          </w:cols>
          <w:pgMar w:left="440" w:top="270" w:right="1440" w:bottom="1440" w:gutter="0" w:footer="0" w:header="0"/>
          <w:type w:val="continuous"/>
        </w:sectPr>
      </w:pPr>
    </w:p>
    <w:p>
      <w:pPr>
        <w:jc w:val="right"/>
        <w:ind w:right="44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19"/>
          </w:cols>
          <w:pgMar w:left="440" w:top="270" w:right="1440" w:bottom="1440" w:gutter="0" w:footer="0" w:header="0"/>
          <w:type w:val="continuous"/>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BRIDGE FACILITY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BRIDGE FACILITY AGREEMENT, dated as of October 11, 2019 (as amended, restated, amended and restated, supplemented or otherwise modified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among POST HOLDINGS, INC., a Missouri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CERTAIN SUBSIDIARIES OF THE COMPANY, as guarantors (the “</w:t>
      </w:r>
      <w:r>
        <w:rPr>
          <w:rFonts w:ascii="Arial" w:cs="Arial" w:eastAsia="Arial" w:hAnsi="Arial"/>
          <w:sz w:val="18"/>
          <w:szCs w:val="18"/>
          <w:b w:val="1"/>
          <w:bCs w:val="1"/>
          <w:color w:val="auto"/>
        </w:rPr>
        <w:t>Pre-Assumption Guarantors</w:t>
      </w:r>
      <w:r>
        <w:rPr>
          <w:rFonts w:ascii="Arial" w:cs="Arial" w:eastAsia="Arial" w:hAnsi="Arial"/>
          <w:sz w:val="18"/>
          <w:szCs w:val="18"/>
          <w:color w:val="auto"/>
        </w:rPr>
        <w:t>”),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 and Morgan Stanley Senior Funding, Inc. (“</w:t>
      </w:r>
      <w:r>
        <w:rPr>
          <w:rFonts w:ascii="Arial" w:cs="Arial" w:eastAsia="Arial" w:hAnsi="Arial"/>
          <w:sz w:val="18"/>
          <w:szCs w:val="18"/>
          <w:b w:val="1"/>
          <w:bCs w:val="1"/>
          <w:color w:val="auto"/>
        </w:rPr>
        <w:t>Morgan Stanley</w:t>
      </w:r>
      <w:r>
        <w:rPr>
          <w:rFonts w:ascii="Arial" w:cs="Arial" w:eastAsia="Arial" w:hAnsi="Arial"/>
          <w:sz w:val="18"/>
          <w:szCs w:val="18"/>
          <w:color w:val="auto"/>
        </w:rPr>
        <w:t>”), as Administrative Agent (together with its permitted successors in such 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capitalized terms used in these Recitals shall have the respective meanings set forth for such terms in Section 1.01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Lenders have agreed to extend a Loan to the Company in an aggregate principal amount not to exceed $1,225,000,000;</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WHEREAS, the Company expects to use the proceeds of the Loan to repay a portion of the term loan Indebtedness of the Company under the Existing Credit Agreement, which is expected to be treated as a “qualified liability” (within the meaning of Treasury Regulations Section 1.707-5(a)(6), 1.707-5(c), and 1.163-8T); and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WHEREAS, subject to the consummation of the Active Nutrition Transaction, if it occurs, and the satisfaction of the other conditions set forth herein,</w:t>
      </w:r>
    </w:p>
    <w:p>
      <w:pPr>
        <w:spacing w:after="0" w:line="46" w:lineRule="exact"/>
        <w:rPr>
          <w:sz w:val="20"/>
          <w:szCs w:val="20"/>
          <w:color w:val="auto"/>
        </w:rPr>
      </w:pPr>
    </w:p>
    <w:p>
      <w:pPr>
        <w:ind w:right="260" w:firstLine="4"/>
        <w:spacing w:after="0" w:line="281" w:lineRule="auto"/>
        <w:tabs>
          <w:tab w:leader="none" w:pos="21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this Agreement and the Loans hereunder will be assumed by BellRing Brands, (ii) the Guarantees of the Loans by the Pre-Assumption Guarantors (other than the Post-Assumption Guarantors) will be released, (iii) the Post-Assumption Guarantors will Guarantee all Obligations hereunder and</w:t>
      </w:r>
    </w:p>
    <w:p>
      <w:pPr>
        <w:spacing w:after="0" w:line="1" w:lineRule="exact"/>
        <w:rPr>
          <w:rFonts w:ascii="Arial" w:cs="Arial" w:eastAsia="Arial" w:hAnsi="Arial"/>
          <w:sz w:val="16"/>
          <w:szCs w:val="16"/>
          <w:color w:val="auto"/>
        </w:rPr>
      </w:pPr>
    </w:p>
    <w:p>
      <w:pPr>
        <w:ind w:left="300" w:hanging="296"/>
        <w:spacing w:after="0"/>
        <w:tabs>
          <w:tab w:leader="none" w:pos="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Loans will be secured as provided in the Guarantee and Collateral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113" w:lineRule="exact"/>
        <w:rPr>
          <w:sz w:val="20"/>
          <w:szCs w:val="20"/>
          <w:color w:val="auto"/>
        </w:rPr>
      </w:pPr>
    </w:p>
    <w:p>
      <w:pPr>
        <w:ind w:right="8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2025 5.50% Senior Notes</w:t>
      </w:r>
      <w:r>
        <w:rPr>
          <w:rFonts w:ascii="Arial" w:cs="Arial" w:eastAsia="Arial" w:hAnsi="Arial"/>
          <w:sz w:val="18"/>
          <w:szCs w:val="18"/>
          <w:color w:val="auto"/>
        </w:rPr>
        <w:t>” means the Company’s 5.50% Senior Notes due 2025 issued pursuant to that certain Indenture, dated as of February 14, 2017, between the Company and Wells Fargo, as trustee.</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2025 8.00% Senior Notes</w:t>
      </w:r>
      <w:r>
        <w:rPr>
          <w:rFonts w:ascii="Arial" w:cs="Arial" w:eastAsia="Arial" w:hAnsi="Arial"/>
          <w:sz w:val="18"/>
          <w:szCs w:val="18"/>
          <w:color w:val="auto"/>
        </w:rPr>
        <w:t>” means the Company’s 8.00% Senior Notes due 2025 issued pursuant to that certain Indenture, dated as of August 18, 2015, between the Company and Wells Fargo, as trustee.</w:t>
      </w:r>
    </w:p>
    <w:p>
      <w:pPr>
        <w:sectPr>
          <w:pgSz w:w="11900" w:h="16838" w:orient="portrait"/>
          <w:cols w:equalWidth="0" w:num="1">
            <w:col w:w="11000"/>
          </w:cols>
          <w:pgMar w:left="440" w:top="270" w:right="459" w:bottom="1440" w:gutter="0" w:footer="0" w:header="0"/>
        </w:sectPr>
      </w:pPr>
    </w:p>
    <w:bookmarkStart w:id="301" w:name="page302"/>
    <w:bookmarkEnd w:id="301"/>
    <w:p>
      <w:pPr>
        <w:ind w:right="2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2026 Senior Notes</w:t>
      </w:r>
      <w:r>
        <w:rPr>
          <w:rFonts w:ascii="Arial" w:cs="Arial" w:eastAsia="Arial" w:hAnsi="Arial"/>
          <w:sz w:val="18"/>
          <w:szCs w:val="18"/>
          <w:color w:val="auto"/>
        </w:rPr>
        <w:t>” means the Company’s 5.00% Senior Notes due 2026 issued pursuant to that certain Indenture, dated as of August 3, 2016, between the Company and Wells Fargo, as trustee.</w:t>
      </w:r>
    </w:p>
    <w:p>
      <w:pPr>
        <w:spacing w:after="0" w:line="162"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2027 Senior Notes</w:t>
      </w:r>
      <w:r>
        <w:rPr>
          <w:rFonts w:ascii="Arial" w:cs="Arial" w:eastAsia="Arial" w:hAnsi="Arial"/>
          <w:sz w:val="18"/>
          <w:szCs w:val="18"/>
          <w:color w:val="auto"/>
        </w:rPr>
        <w:t>” means the Company’s 5.75% Senior Notes due 2027 issued pursuant to that certain Indenture, dated as of February 14, 2017, between the Company and Wells Fargo, as trustee.</w:t>
      </w:r>
    </w:p>
    <w:p>
      <w:pPr>
        <w:spacing w:after="0" w:line="162"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2028 Senior Notes</w:t>
      </w:r>
      <w:r>
        <w:rPr>
          <w:rFonts w:ascii="Arial" w:cs="Arial" w:eastAsia="Arial" w:hAnsi="Arial"/>
          <w:sz w:val="18"/>
          <w:szCs w:val="18"/>
          <w:color w:val="auto"/>
        </w:rPr>
        <w:t>” means the Company’s 5.625% Senior Notes due 2028 issued pursuant to that certain Indenture, dated as of December 1, 2017, between the Company and Wells Fargo, as trustee.</w:t>
      </w:r>
    </w:p>
    <w:p>
      <w:pPr>
        <w:spacing w:after="0" w:line="162"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2029 Senior Notes</w:t>
      </w:r>
      <w:r>
        <w:rPr>
          <w:rFonts w:ascii="Arial" w:cs="Arial" w:eastAsia="Arial" w:hAnsi="Arial"/>
          <w:sz w:val="18"/>
          <w:szCs w:val="18"/>
          <w:color w:val="auto"/>
        </w:rPr>
        <w:t>” means the Company’s 5.50% Senior Notes due 2029 issued pursuant to that certain Indenture, dated as of July 3, 2019, between the Company and Wells Fargo, as trustee.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Debt</w:t>
      </w:r>
      <w:r>
        <w:rPr>
          <w:rFonts w:ascii="Arial" w:cs="Arial" w:eastAsia="Arial" w:hAnsi="Arial"/>
          <w:sz w:val="18"/>
          <w:szCs w:val="18"/>
          <w:color w:val="auto"/>
        </w:rPr>
        <w:t>” means, with respect to any specified Person:</w:t>
      </w:r>
    </w:p>
    <w:p>
      <w:pPr>
        <w:spacing w:after="0" w:line="121" w:lineRule="exact"/>
        <w:rPr>
          <w:sz w:val="20"/>
          <w:szCs w:val="20"/>
          <w:color w:val="auto"/>
        </w:rPr>
      </w:pPr>
    </w:p>
    <w:p>
      <w:pPr>
        <w:ind w:left="440" w:right="140" w:firstLine="428"/>
        <w:spacing w:after="0" w:line="264" w:lineRule="auto"/>
        <w:tabs>
          <w:tab w:leader="none" w:pos="11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Indebtedness of such other Person that is redeemed, defeased, retired or otherwise repaid at the time, or immediately upon consummation,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transaction by which such other Person is merged with or into or became a Restricted Subsidiary of such Person will not be Acquired Debt.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specified in Section 11.19.</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Nutrition Business</w:t>
      </w:r>
      <w:r>
        <w:rPr>
          <w:rFonts w:ascii="Arial" w:cs="Arial" w:eastAsia="Arial" w:hAnsi="Arial"/>
          <w:sz w:val="18"/>
          <w:szCs w:val="18"/>
          <w:color w:val="auto"/>
        </w:rPr>
        <w:t>” means (i) prior to the consummation of the Active Nutrition Transaction, the active nutrition business and operations of the Company and certain of its Subsidiaries and (ii) after the consummation of the Active Nutrition Transaction, the business and operations of BellRing Brands and its Subsidiaries.</w:t>
      </w:r>
    </w:p>
    <w:p>
      <w:pPr>
        <w:spacing w:after="0" w:line="176"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Nutrition Business Material Adverse Effect</w:t>
      </w:r>
      <w:r>
        <w:rPr>
          <w:rFonts w:ascii="Arial" w:cs="Arial" w:eastAsia="Arial" w:hAnsi="Arial"/>
          <w:sz w:val="18"/>
          <w:szCs w:val="18"/>
          <w:color w:val="auto"/>
        </w:rPr>
        <w:t>” means (a) a material adverse change in, or a material adverse effect upon, the results of operations, business, properties, liabilities (actual or contingent) or financial condition of the Active Nutrition Business taken as a whole; (b) a material impairment of the rights and remedies of the Administrative Agent or any Lender under any Loan Document (after giving effect to the Debt Assumption); or (c) a material adverse effect upon the legality, validity, binding effect or enforceability against any Loan Party of any Loan Document to which it is a party (after giving effect to the Debt Assumption).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02" w:name="page303"/>
    <w:bookmarkEnd w:id="302"/>
    <w:p>
      <w:pPr>
        <w:ind w:right="40" w:firstLine="44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Active Nutrition Transaction</w:t>
      </w:r>
      <w:r>
        <w:rPr>
          <w:rFonts w:ascii="Arial" w:cs="Arial" w:eastAsia="Arial" w:hAnsi="Arial"/>
          <w:sz w:val="16"/>
          <w:szCs w:val="16"/>
          <w:color w:val="auto"/>
        </w:rPr>
        <w:t>” means the capitalization of BellRing Brands and BRBR, the contribution of assets to BellRing Brands, the IPO, and the transactions relating to any of the foregoing all of which are to be consummated on or before the Debt Assumption Date, in each case substantially as described in the Registration Statement (but excluding the Debt Assumption and the consummation of the Permanent Financing).</w:t>
      </w:r>
    </w:p>
    <w:p>
      <w:pPr>
        <w:spacing w:after="0" w:line="142"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Morgan Stanley, in its capacity as administrative agent under any of the Loan Documents, or any successor administrative agent.</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means the Administrative Agent’s address and, as appropriate, account as set forth on Schedule 11.02, or such other address or account as the Administrative Agent may from time to time notify the Borrower and the Lenders.</w:t>
      </w:r>
    </w:p>
    <w:p>
      <w:pPr>
        <w:spacing w:after="0" w:line="16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substantially the form of Exhibit E-2 or any other form approved by the Administrative Agent.</w:t>
      </w:r>
    </w:p>
    <w:p>
      <w:pPr>
        <w:spacing w:after="0" w:line="162"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Transaction</w:t>
      </w:r>
      <w:r>
        <w:rPr>
          <w:rFonts w:ascii="Arial" w:cs="Arial" w:eastAsia="Arial" w:hAnsi="Arial"/>
          <w:sz w:val="18"/>
          <w:szCs w:val="18"/>
          <w:color w:val="auto"/>
        </w:rPr>
        <w:t>” has the meaning specified in Section 7.11.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each of the Administrative Agent and the Arrangers.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has the meaning specified in Section 11.02(c).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Bridge Facility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Currency</w:t>
      </w:r>
      <w:r>
        <w:rPr>
          <w:rFonts w:ascii="Arial" w:cs="Arial" w:eastAsia="Arial" w:hAnsi="Arial"/>
          <w:sz w:val="18"/>
          <w:szCs w:val="18"/>
          <w:color w:val="auto"/>
        </w:rPr>
        <w:t>” has the meaning specified in Section 11.20.</w:t>
      </w:r>
    </w:p>
    <w:p>
      <w:pPr>
        <w:spacing w:after="0" w:line="225"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means (i) with respect to the Company, the audited consolidated balance sheets of the Company and its Subsidiaries and the consolidated statements of operations, Stockholders’ Equity and cash flows of the Company and its Subsidiaries for the three latest Fiscal Years ending more than 90 days prior to the Closing Date and (ii) with respect to BellRing Brands, the audited consolidated balance sheets of the Active Nutrition Business and the consolidated statements of operations, Stockholders’ Equity and cash flows of the Active Nutrition Business for the two latest Fiscal Years ending more than 90 days prior to the Closing Date.</w:t>
      </w:r>
    </w:p>
    <w:p>
      <w:pPr>
        <w:spacing w:after="0" w:line="184"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any laws, rules and regulations of any jurisdiction applicable to the Borrower or any of its Restricted Subsidiaries from time to time concerning or relating to bribery or corruption of public officials, including without limitation the U.S. Foreign Corrupt Practices Act of 1977, as amended.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specified in Section 5.22.</w:t>
      </w:r>
    </w:p>
    <w:p>
      <w:pPr>
        <w:spacing w:after="0" w:line="225" w:lineRule="exact"/>
        <w:rPr>
          <w:sz w:val="20"/>
          <w:szCs w:val="20"/>
          <w:color w:val="auto"/>
        </w:rPr>
      </w:pPr>
    </w:p>
    <w:p>
      <w:pPr>
        <w:ind w:right="1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Percentage</w:t>
      </w:r>
      <w:r>
        <w:rPr>
          <w:rFonts w:ascii="Arial" w:cs="Arial" w:eastAsia="Arial" w:hAnsi="Arial"/>
          <w:sz w:val="17"/>
          <w:szCs w:val="17"/>
          <w:color w:val="auto"/>
        </w:rPr>
        <w:t>” means with respect to any Lender at any time, the percentage (carried out to the ninth decimal place) of the aggregate principal amount of all Loans then outstanding represented by the principal amount of such Loans held by such Lender at such time.</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303" w:name="page304"/>
    <w:bookmarkEnd w:id="30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Applicable Premium</w:t>
      </w:r>
      <w:r>
        <w:rPr>
          <w:rFonts w:ascii="Arial" w:cs="Arial" w:eastAsia="Arial" w:hAnsi="Arial"/>
          <w:sz w:val="17"/>
          <w:szCs w:val="17"/>
          <w:color w:val="auto"/>
        </w:rPr>
        <w:t>” means, with respect to any Loan on the date of any prepayment to which the Applicable Premium is applicable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accordance with Section 2.05, (a) prior to October 11, 2022, the Make-Whole Premium;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any such prepayment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funded with an amount equal to the net proceeds of an Equity Offering within 90 days of such Equity Offering, the Borrower may elect to deem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Premium to be an amount equal to the Total Cap at such time of the principal amount of the Loans being prepaid, with respect to up to 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principal amount of the Loans funded on the Closing Date (and, for avoidance of doubt, if more than 40% of the principal amount of the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funded on the Closing Date are being or have been prepaid at such Applicable Premium of the Total Cap at such time in accordance with this proviso,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additional amount of Loans being prepaid will be subject to the Make-Whole Premium), (b) beginning October 11, 2022 to but excluding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11, 2023, an amount equal to 6.125% of the principal amount of such Loan, (c) beginning October 11, 2023, to but excluding October 11, 2024,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amount equal to 3.0625% of the principal amount of such Loan, and (d) beginning October 11, 2024, an amount equal to 0.00%.</w:t>
      </w:r>
    </w:p>
    <w:p>
      <w:pPr>
        <w:spacing w:after="0" w:line="20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Reserve Requirement</w:t>
      </w:r>
      <w:r>
        <w:rPr>
          <w:rFonts w:ascii="Arial" w:cs="Arial" w:eastAsia="Arial" w:hAnsi="Arial"/>
          <w:sz w:val="18"/>
          <w:szCs w:val="18"/>
          <w:color w:val="auto"/>
        </w:rPr>
        <w:t>” means, at any time, for any Eurodollar Rate Loan, the maximum rate, expressed as a decimal, at which reserves (including any basic marginal, special, supplemental, emergency or other reserves) are required to be maintained with respect thereto against “</w:t>
      </w:r>
      <w:r>
        <w:rPr>
          <w:rFonts w:ascii="Arial" w:cs="Arial" w:eastAsia="Arial" w:hAnsi="Arial"/>
          <w:sz w:val="18"/>
          <w:szCs w:val="18"/>
          <w:b w:val="1"/>
          <w:bCs w:val="1"/>
          <w:color w:val="auto"/>
        </w:rPr>
        <w:t>Eurocurrency liabilities</w:t>
      </w:r>
      <w:r>
        <w:rPr>
          <w:rFonts w:ascii="Arial" w:cs="Arial" w:eastAsia="Arial" w:hAnsi="Arial"/>
          <w:sz w:val="18"/>
          <w:szCs w:val="18"/>
          <w:color w:val="auto"/>
        </w:rPr>
        <w:t>” (as such term is defined in Regulation D of the FRB) under regulations issued from time to time by the FRB or other applicable banking regulator. A Eurodollar Rate Loan shall be deemed to constitute Eurocurrency liabilities and as such shall be deemed subject to reserve requirements without benefits of credit for proration, exceptions or offsets that may be available from time to time to the applicable Lender. The rate of interest on Eurodollar Rate Loans shall be adjusted automatically on and as of the effective date of any change in the Applicable Reserve Requirement.</w:t>
      </w:r>
    </w:p>
    <w:p>
      <w:pPr>
        <w:spacing w:after="0" w:line="189"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3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Arrangers</w:t>
      </w:r>
      <w:r>
        <w:rPr>
          <w:rFonts w:ascii="Arial" w:cs="Arial" w:eastAsia="Arial" w:hAnsi="Arial"/>
          <w:sz w:val="17"/>
          <w:szCs w:val="17"/>
          <w:color w:val="auto"/>
        </w:rPr>
        <w:t>” means Morgan Stanley, BofA Securities, Inc., Citigroup Global Markets Inc., Credit Suisse Loan Funding LLC, Goldman Sachs Bank USA and JPMorgan Chase Bank, N.A., in their capacities as joint lead arrangers and joint physical bookrunners.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means:</w:t>
      </w:r>
    </w:p>
    <w:p>
      <w:pPr>
        <w:spacing w:after="0" w:line="121" w:lineRule="exact"/>
        <w:rPr>
          <w:sz w:val="20"/>
          <w:szCs w:val="20"/>
          <w:color w:val="auto"/>
        </w:rPr>
      </w:pPr>
    </w:p>
    <w:p>
      <w:pPr>
        <w:ind w:left="440" w:firstLine="428"/>
        <w:spacing w:after="0" w:line="264" w:lineRule="auto"/>
        <w:tabs>
          <w:tab w:leader="none" w:pos="11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or rights; provided that the sale, lease, conveyance or other disposition of all or substantially all of the assets of the Borrower and its Restricted Subsidiaries taken as a whole will be governed by Section 2.05(c) and/or Section 7.15 and not by Section 7.10; and</w:t>
      </w:r>
    </w:p>
    <w:p>
      <w:pPr>
        <w:spacing w:after="0" w:line="73" w:lineRule="exact"/>
        <w:rPr>
          <w:rFonts w:ascii="Arial" w:cs="Arial" w:eastAsia="Arial" w:hAnsi="Arial"/>
          <w:sz w:val="18"/>
          <w:szCs w:val="18"/>
          <w:color w:val="auto"/>
        </w:rPr>
      </w:pPr>
    </w:p>
    <w:p>
      <w:pPr>
        <w:ind w:left="440" w:right="580" w:firstLine="428"/>
        <w:spacing w:after="0" w:line="277" w:lineRule="auto"/>
        <w:tabs>
          <w:tab w:leader="none" w:pos="111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issuance or sale of Equity Interests by any of the Borrower’s Restricted Subsidiaries or the sale by the Borrower or any of the Borrower’s Restricted Subsidiaries of Equity Interests in any of the Borrower’s Restricted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preceding, the following items shall not be deemed to be Asset Sales:</w:t>
      </w:r>
    </w:p>
    <w:p>
      <w:pPr>
        <w:spacing w:after="0" w:line="117" w:lineRule="exact"/>
        <w:rPr>
          <w:sz w:val="20"/>
          <w:szCs w:val="20"/>
          <w:color w:val="auto"/>
        </w:rPr>
      </w:pPr>
    </w:p>
    <w:p>
      <w:pPr>
        <w:ind w:firstLine="428"/>
        <w:spacing w:after="0" w:line="264" w:lineRule="auto"/>
        <w:tabs>
          <w:tab w:leader="none" w:pos="6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(a) involves assets (including, if applicable, the Equity Interests of a Restricted Subsidiary) having an aggregate fair market value of less than the greater of (i) $150.0 million ($20.0 million) and (ii) 1.75% of Consolidated Total Assets or (b) generates net proceeds of less than $150.0 million ($20.0 million);</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transfer of assets or rights between or among the Borrower and its Restricted Subsidiaries;</w:t>
      </w:r>
    </w:p>
    <w:p>
      <w:pPr>
        <w:spacing w:after="0" w:line="117" w:lineRule="exact"/>
        <w:rPr>
          <w:rFonts w:ascii="Arial" w:cs="Arial" w:eastAsia="Arial" w:hAnsi="Arial"/>
          <w:sz w:val="18"/>
          <w:szCs w:val="18"/>
          <w:color w:val="auto"/>
        </w:rPr>
      </w:pPr>
    </w:p>
    <w:p>
      <w:pPr>
        <w:ind w:right="640" w:firstLine="428"/>
        <w:spacing w:after="0" w:line="277" w:lineRule="auto"/>
        <w:tabs>
          <w:tab w:leader="none" w:pos="6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sales of inventory in the ordinary course of business and sales of accounts receivable that the Borrower determines are no longer collectible in the ordinary course of business;</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Borrower or to another Restricted Subsidiary;</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Permitted Investment or any Restricted Payment, in each case, that is permitted by Section 7.07;</w:t>
      </w:r>
    </w:p>
    <w:p>
      <w:pPr>
        <w:spacing w:after="0" w:line="117" w:lineRule="exact"/>
        <w:rPr>
          <w:rFonts w:ascii="Arial" w:cs="Arial" w:eastAsia="Arial" w:hAnsi="Arial"/>
          <w:sz w:val="18"/>
          <w:szCs w:val="18"/>
          <w:color w:val="auto"/>
        </w:rPr>
      </w:pPr>
    </w:p>
    <w:p>
      <w:pPr>
        <w:ind w:right="40" w:firstLine="428"/>
        <w:spacing w:after="0" w:line="264" w:lineRule="auto"/>
        <w:tabs>
          <w:tab w:leader="none" w:pos="6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disposition of products, services, equipment or inventory in the ordinary course of business or a disposition of damaged or obsolete equipment or equipment that is no longer useful in the conduct of the business of the Borrower and its Restricted Subsidiaries and that is disposed of in the ordinary course of business;</w:t>
      </w:r>
    </w:p>
    <w:p>
      <w:pPr>
        <w:spacing w:after="0" w:line="73" w:lineRule="exact"/>
        <w:rPr>
          <w:rFonts w:ascii="Arial" w:cs="Arial" w:eastAsia="Arial" w:hAnsi="Arial"/>
          <w:sz w:val="18"/>
          <w:szCs w:val="18"/>
          <w:color w:val="auto"/>
        </w:rPr>
      </w:pPr>
    </w:p>
    <w:p>
      <w:pPr>
        <w:ind w:right="880" w:firstLine="428"/>
        <w:spacing w:after="0" w:line="277" w:lineRule="auto"/>
        <w:tabs>
          <w:tab w:leader="none" w:pos="6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grant of Liens (or foreclosure thereon, or the enforcement with respect thereto, including by deed or assignment in lieu of foreclosure) permitted by Section 7.12;</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sale or transfer of Receivables Program Assets or rights therein in connection with a Qualified Receivables Transaction;</w:t>
      </w:r>
    </w:p>
    <w:p>
      <w:pPr>
        <w:spacing w:after="0" w:line="117" w:lineRule="exact"/>
        <w:rPr>
          <w:rFonts w:ascii="Arial" w:cs="Arial" w:eastAsia="Arial" w:hAnsi="Arial"/>
          <w:sz w:val="18"/>
          <w:szCs w:val="18"/>
          <w:color w:val="auto"/>
        </w:rPr>
      </w:pPr>
    </w:p>
    <w:p>
      <w:pPr>
        <w:ind w:right="560" w:firstLine="428"/>
        <w:spacing w:after="0" w:line="277" w:lineRule="auto"/>
        <w:tabs>
          <w:tab w:leader="none" w:pos="63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surrender or waiver of contractual rights or the settlement, release or surrender of contract, tort or other litigation claims in the ordinary course of business;</w:t>
      </w:r>
    </w:p>
    <w:p>
      <w:pPr>
        <w:spacing w:after="0" w:line="62" w:lineRule="exact"/>
        <w:rPr>
          <w:rFonts w:ascii="Arial" w:cs="Arial" w:eastAsia="Arial" w:hAnsi="Arial"/>
          <w:sz w:val="18"/>
          <w:szCs w:val="18"/>
          <w:color w:val="auto"/>
        </w:rPr>
      </w:pPr>
    </w:p>
    <w:p>
      <w:pPr>
        <w:ind w:left="640" w:hanging="212"/>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right="80" w:firstLine="428"/>
        <w:spacing w:after="0" w:line="277" w:lineRule="auto"/>
        <w:tabs>
          <w:tab w:leader="none" w:pos="6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grants of licenses or sublicenses of intellectual property of the Borrower or any of its Restricted Subsidiaries to the extent not materially interfering with the business of the Borrower and its Restricted Subsidiaries;</w:t>
      </w:r>
    </w:p>
    <w:p>
      <w:pPr>
        <w:spacing w:after="0" w:line="62" w:lineRule="exact"/>
        <w:rPr>
          <w:rFonts w:ascii="Arial" w:cs="Arial" w:eastAsia="Arial" w:hAnsi="Arial"/>
          <w:sz w:val="18"/>
          <w:szCs w:val="18"/>
          <w:color w:val="auto"/>
        </w:rPr>
      </w:pPr>
    </w:p>
    <w:p>
      <w:pPr>
        <w:ind w:left="640" w:hanging="212"/>
        <w:spacing w:after="0"/>
        <w:tabs>
          <w:tab w:leader="none" w:pos="6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exchange of like-kind property pursuant to Section 1031 of the Internal Revenue Code that is used or useful in a Permitted Business;</w:t>
      </w:r>
    </w:p>
    <w:p>
      <w:pPr>
        <w:spacing w:after="0" w:line="140" w:lineRule="exact"/>
        <w:rPr>
          <w:rFonts w:ascii="Arial" w:cs="Arial" w:eastAsia="Arial" w:hAnsi="Arial"/>
          <w:sz w:val="16"/>
          <w:szCs w:val="16"/>
          <w:color w:val="auto"/>
        </w:rPr>
      </w:pPr>
    </w:p>
    <w:p>
      <w:pPr>
        <w:ind w:left="740" w:hanging="312"/>
        <w:spacing w:after="0"/>
        <w:tabs>
          <w:tab w:leader="none" w:pos="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117" w:lineRule="exact"/>
        <w:rPr>
          <w:rFonts w:ascii="Arial" w:cs="Arial" w:eastAsia="Arial" w:hAnsi="Arial"/>
          <w:sz w:val="18"/>
          <w:szCs w:val="18"/>
          <w:color w:val="auto"/>
        </w:rPr>
      </w:pPr>
    </w:p>
    <w:p>
      <w:pPr>
        <w:jc w:val="both"/>
        <w:ind w:right="220" w:firstLine="428"/>
        <w:spacing w:after="0" w:line="264" w:lineRule="auto"/>
        <w:tabs>
          <w:tab w:leader="none" w:pos="6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abandonment of intellectual property rights in the ordinary course of business, which in the reasonable good faith determination of the Borrower or any of its Restricted Subsidiaries are not material to the conduct of the business of the Borrower and its Restricted Subsidiaries taken as a whole;</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3" w:right="459" w:bottom="1440" w:gutter="0" w:footer="0" w:header="0"/>
        </w:sectPr>
      </w:pPr>
    </w:p>
    <w:bookmarkStart w:id="305" w:name="page306"/>
    <w:bookmarkEnd w:id="305"/>
    <w:p>
      <w:pPr>
        <w:ind w:left="1120" w:hanging="252"/>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condemnations, appropriations or any similar action (including by deed in lieu of condemnation) on assets;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financing transaction with respect to real property constructed, acquired, replaced, repaired or improved (including any</w:t>
      </w:r>
    </w:p>
    <w:p>
      <w:pPr>
        <w:spacing w:after="0" w:line="23" w:lineRule="exact"/>
        <w:rPr>
          <w:rFonts w:ascii="Arial" w:cs="Arial" w:eastAsia="Arial" w:hAnsi="Arial"/>
          <w:sz w:val="18"/>
          <w:szCs w:val="18"/>
          <w:color w:val="auto"/>
        </w:rPr>
      </w:pPr>
    </w:p>
    <w:p>
      <w:pPr>
        <w:ind w:left="440" w:right="300"/>
        <w:spacing w:after="0" w:line="261" w:lineRule="auto"/>
        <w:rPr>
          <w:rFonts w:ascii="Arial" w:cs="Arial" w:eastAsia="Arial" w:hAnsi="Arial"/>
          <w:sz w:val="18"/>
          <w:szCs w:val="18"/>
          <w:color w:val="auto"/>
        </w:rPr>
      </w:pPr>
      <w:r>
        <w:rPr>
          <w:rFonts w:ascii="Arial" w:cs="Arial" w:eastAsia="Arial" w:hAnsi="Arial"/>
          <w:sz w:val="18"/>
          <w:szCs w:val="18"/>
          <w:color w:val="auto"/>
        </w:rPr>
        <w:t>reconstruction, refurbishment, renovation and/or development of real property) by the Borrower or any Restricted Subsidiary after the Closing Date, including any Sale and Leaseback Transaction;</w:t>
      </w:r>
    </w:p>
    <w:p>
      <w:pPr>
        <w:spacing w:after="0" w:line="75" w:lineRule="exact"/>
        <w:rPr>
          <w:rFonts w:ascii="Arial" w:cs="Arial" w:eastAsia="Arial" w:hAnsi="Arial"/>
          <w:sz w:val="18"/>
          <w:szCs w:val="18"/>
          <w:color w:val="auto"/>
        </w:rPr>
      </w:pPr>
    </w:p>
    <w:p>
      <w:pPr>
        <w:ind w:left="440" w:right="20" w:firstLine="428"/>
        <w:spacing w:after="0" w:line="277" w:lineRule="auto"/>
        <w:tabs>
          <w:tab w:leader="none" w:pos="108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sales, transfers and other dispositions of Investments in joint ventures to the extent required by customary buy/sell arrangements between the joint venture parties as set forth in joint venture agreements; and</w:t>
      </w:r>
    </w:p>
    <w:p>
      <w:pPr>
        <w:spacing w:after="0" w:line="62" w:lineRule="exact"/>
        <w:rPr>
          <w:rFonts w:ascii="Arial" w:cs="Arial" w:eastAsia="Arial" w:hAnsi="Arial"/>
          <w:sz w:val="18"/>
          <w:szCs w:val="18"/>
          <w:color w:val="auto"/>
        </w:rPr>
      </w:pPr>
    </w:p>
    <w:p>
      <w:pPr>
        <w:ind w:left="440" w:right="580" w:firstLine="428"/>
        <w:spacing w:after="0" w:line="342" w:lineRule="auto"/>
        <w:tabs>
          <w:tab w:leader="none" w:pos="109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liquidation or dissolution of a Restricted Subsidiary, provided that such Restricted Subsidiary’s direct parent is also either the Borrower or a Restricted Subsidiary of the Borrower and immediately becomes the owner of such Restricted Subsidiary’s assets.</w:t>
      </w:r>
    </w:p>
    <w:p>
      <w:pPr>
        <w:spacing w:after="0" w:line="12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entered into by a Lender and an Eligible Assignee (with the consent of any party whose consent is required by Section 11.06(b)), and accepted by the Administrative Agent, in substantially the form of Exhibit E-1 or any other form approved by the Administrative Agent.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w:t>
      </w:r>
      <w:r>
        <w:rPr>
          <w:rFonts w:ascii="Arial" w:cs="Arial" w:eastAsia="Arial" w:hAnsi="Arial"/>
          <w:sz w:val="18"/>
          <w:szCs w:val="18"/>
          <w:color w:val="auto"/>
        </w:rPr>
        <w:t>” has the meaning specified in Section 11.06(b)(vii).</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 Down and Conversion Powers by the applicable EEA Resolution Authority in respect of any liability of an EEA Financial Institution.</w:t>
      </w:r>
    </w:p>
    <w:p>
      <w:pPr>
        <w:spacing w:after="0" w:line="16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jc w:val="both"/>
        <w:ind w:right="120" w:firstLine="441"/>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xml:space="preserve">” means, with respect to Loans denominated in U.S. Dollars, for any day, a rate per annum equal to the greatest of (a) the Prime Rate in effect on such day, (b) the Federal Funds Effective Rate in effect on such day plus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of 1.00% and (c) the Eurodollar Rate that would be payable on such day for a Eurodollar Rate Loan with a one-month Interest Period plus 1.00%.</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that bears interest based on the definition of “</w:t>
      </w:r>
      <w:r>
        <w:rPr>
          <w:rFonts w:ascii="Arial" w:cs="Arial" w:eastAsia="Arial" w:hAnsi="Arial"/>
          <w:sz w:val="18"/>
          <w:szCs w:val="18"/>
          <w:b w:val="1"/>
          <w:bCs w:val="1"/>
          <w:color w:val="auto"/>
        </w:rPr>
        <w:t>Base Rate.</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BellRing Brands</w:t>
      </w:r>
      <w:r>
        <w:rPr>
          <w:rFonts w:ascii="Arial" w:cs="Arial" w:eastAsia="Arial" w:hAnsi="Arial"/>
          <w:sz w:val="18"/>
          <w:szCs w:val="18"/>
          <w:color w:val="auto"/>
        </w:rPr>
        <w:t>” means BellRing Brands, LLC, a Delaware limited liability company.</w:t>
      </w:r>
    </w:p>
    <w:p>
      <w:pPr>
        <w:spacing w:after="0" w:line="225" w:lineRule="exact"/>
        <w:rPr>
          <w:sz w:val="20"/>
          <w:szCs w:val="20"/>
          <w:color w:val="auto"/>
        </w:rPr>
      </w:pPr>
    </w:p>
    <w:p>
      <w:pPr>
        <w:jc w:val="both"/>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0"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the certification regarding beneficial ownership (as required by the Beneficial Ownership Regulation) most recently delivered pursuant to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has the meaning given to such term in Section 11.19.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w:t>
      </w:r>
    </w:p>
    <w:p>
      <w:pPr>
        <w:spacing w:after="0" w:line="121" w:lineRule="exact"/>
        <w:rPr>
          <w:sz w:val="20"/>
          <w:szCs w:val="20"/>
          <w:color w:val="auto"/>
        </w:rPr>
      </w:pPr>
    </w:p>
    <w:p>
      <w:pPr>
        <w:ind w:left="1120" w:hanging="252"/>
        <w:spacing w:after="0"/>
        <w:tabs>
          <w:tab w:leader="none" w:pos="11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2" w:lineRule="exact"/>
        <w:rPr>
          <w:rFonts w:ascii="Arial" w:cs="Arial" w:eastAsia="Arial" w:hAnsi="Arial"/>
          <w:sz w:val="16"/>
          <w:szCs w:val="16"/>
          <w:color w:val="auto"/>
        </w:rPr>
      </w:pPr>
    </w:p>
    <w:p>
      <w:pPr>
        <w:ind w:left="1120" w:hanging="252"/>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440" w:right="320" w:firstLine="428"/>
        <w:spacing w:after="0" w:line="277" w:lineRule="auto"/>
        <w:tabs>
          <w:tab w:leader="none" w:pos="110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managers or the board of directors or managers thereof;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means (i) the Company prior to the Debt Assumption (if any) or (ii) BellRing Brands as of and after the Debt Assumption (if any).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Assignment and Assumption</w:t>
      </w:r>
      <w:r>
        <w:rPr>
          <w:rFonts w:ascii="Arial" w:cs="Arial" w:eastAsia="Arial" w:hAnsi="Arial"/>
          <w:sz w:val="18"/>
          <w:szCs w:val="18"/>
          <w:color w:val="auto"/>
        </w:rPr>
        <w:t>” means a Borrower Assignment and Assumption Agreement, in the form of Exhibit 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Notice</w:t>
      </w:r>
      <w:r>
        <w:rPr>
          <w:rFonts w:ascii="Arial" w:cs="Arial" w:eastAsia="Arial" w:hAnsi="Arial"/>
          <w:sz w:val="18"/>
          <w:szCs w:val="18"/>
          <w:color w:val="auto"/>
        </w:rPr>
        <w:t>” has the meaning specified in Section 6.11(b)(vii).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Notice</w:t>
      </w:r>
      <w:r>
        <w:rPr>
          <w:rFonts w:ascii="Arial" w:cs="Arial" w:eastAsia="Arial" w:hAnsi="Arial"/>
          <w:sz w:val="18"/>
          <w:szCs w:val="18"/>
          <w:color w:val="auto"/>
        </w:rPr>
        <w:t>” has the meaning given to such term in Section 2.02(a).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BRBR</w:t>
      </w:r>
      <w:r>
        <w:rPr>
          <w:rFonts w:ascii="Arial" w:cs="Arial" w:eastAsia="Arial" w:hAnsi="Arial"/>
          <w:sz w:val="18"/>
          <w:szCs w:val="18"/>
          <w:color w:val="auto"/>
        </w:rPr>
        <w:t>” means BellRing Brands,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Takeout Notice</w:t>
      </w:r>
      <w:r>
        <w:rPr>
          <w:rFonts w:ascii="Arial" w:cs="Arial" w:eastAsia="Arial" w:hAnsi="Arial"/>
          <w:sz w:val="18"/>
          <w:szCs w:val="18"/>
          <w:color w:val="auto"/>
        </w:rPr>
        <w:t>” has the meaning given to such term in the Fee Letter.</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0" w:right="559" w:bottom="1440" w:gutter="0" w:footer="0" w:header="0"/>
        </w:sectPr>
      </w:pPr>
    </w:p>
    <w:bookmarkStart w:id="307" w:name="page308"/>
    <w:bookmarkEnd w:id="307"/>
    <w:p>
      <w:pPr>
        <w:ind w:right="20" w:firstLine="44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Business Day</w:t>
      </w:r>
      <w:r>
        <w:rPr>
          <w:rFonts w:ascii="Arial" w:cs="Arial" w:eastAsia="Arial" w:hAnsi="Arial"/>
          <w:sz w:val="16"/>
          <w:szCs w:val="16"/>
          <w:color w:val="auto"/>
        </w:rPr>
        <w:t>” means (a) any day excluding Saturday, Sunday and any day which is a legal holiday under the laws of the State of New York or is a day on which banking institutions located in such state are authorized or required by law or other governmental action to close, and (b) with respect to all notices, determinations, fundings and payments in connection with the Eurodollar Rate or any Eurodollar Rate Loans, means any day which is a Business Day described in clause (a) and which is also a day for trading by and between banks in U.S. Dollar deposits in the London interbank market.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with respect to any Person, any lease that is required by GAAP to be capitalized on a balance sheet of such Person.</w:t>
      </w:r>
    </w:p>
    <w:p>
      <w:pPr>
        <w:spacing w:after="0" w:line="248"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w:t>
      </w:r>
      <w:r>
        <w:rPr>
          <w:rFonts w:ascii="Arial" w:cs="Arial" w:eastAsia="Arial" w:hAnsi="Arial"/>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the Borrower or any of its Restricted Subsidiaries free and clear of all Liens (other than Liens created under the Collateral Documents and other Liens permitted hereunder):</w:t>
      </w:r>
    </w:p>
    <w:p>
      <w:pPr>
        <w:spacing w:after="0" w:line="58" w:lineRule="exact"/>
        <w:rPr>
          <w:sz w:val="20"/>
          <w:szCs w:val="20"/>
          <w:color w:val="auto"/>
        </w:rPr>
      </w:pPr>
    </w:p>
    <w:p>
      <w:pPr>
        <w:ind w:left="440" w:right="180" w:firstLine="428"/>
        <w:spacing w:after="0" w:line="264" w:lineRule="auto"/>
        <w:tabs>
          <w:tab w:leader="none" w:pos="110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readily marketable obligations issued or directly and fully guaranteed or insured by the United States of America or any agency or instrumentality thereof having maturities of not more than 360 days from the date of acquisition thereof; provided that the full faith and credit of the United States of America is pledged in support thereof;</w:t>
      </w:r>
    </w:p>
    <w:p>
      <w:pPr>
        <w:spacing w:after="0" w:line="73" w:lineRule="exact"/>
        <w:rPr>
          <w:rFonts w:ascii="Arial" w:cs="Arial" w:eastAsia="Arial" w:hAnsi="Arial"/>
          <w:sz w:val="18"/>
          <w:szCs w:val="18"/>
          <w:color w:val="auto"/>
        </w:rPr>
      </w:pPr>
    </w:p>
    <w:p>
      <w:pPr>
        <w:ind w:left="440" w:right="20" w:firstLine="428"/>
        <w:spacing w:after="0" w:line="255" w:lineRule="auto"/>
        <w:tabs>
          <w:tab w:leader="none" w:pos="111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or (B) is organized under the laws of the United States of America or Canada, any state or province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365 days from the date of acquisition thereof;</w:t>
      </w:r>
    </w:p>
    <w:p>
      <w:pPr>
        <w:spacing w:after="0" w:line="85" w:lineRule="exact"/>
        <w:rPr>
          <w:rFonts w:ascii="Arial" w:cs="Arial" w:eastAsia="Arial" w:hAnsi="Arial"/>
          <w:sz w:val="18"/>
          <w:szCs w:val="18"/>
          <w:color w:val="auto"/>
        </w:rPr>
      </w:pPr>
    </w:p>
    <w:p>
      <w:pPr>
        <w:ind w:left="440" w:firstLine="428"/>
        <w:spacing w:after="0" w:line="264" w:lineRule="auto"/>
        <w:tabs>
          <w:tab w:leader="none" w:pos="110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maturing no more than 365 days from the time of the acquisition thereof, and having, at the time of acquisition thereof, a rating of A-1 (or the then equivalent grade) or better from S&amp;P or P-1 (or the then equivalent grade) or better from Moody’s; and</w:t>
      </w:r>
    </w:p>
    <w:p>
      <w:pPr>
        <w:spacing w:after="0" w:line="73" w:lineRule="exact"/>
        <w:rPr>
          <w:rFonts w:ascii="Arial" w:cs="Arial" w:eastAsia="Arial" w:hAnsi="Arial"/>
          <w:sz w:val="18"/>
          <w:szCs w:val="18"/>
          <w:color w:val="auto"/>
        </w:rPr>
      </w:pPr>
    </w:p>
    <w:p>
      <w:pPr>
        <w:ind w:left="440" w:right="40" w:firstLine="428"/>
        <w:spacing w:after="0" w:line="259" w:lineRule="auto"/>
        <w:tabs>
          <w:tab w:leader="none" w:pos="111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308" w:name="page309"/>
    <w:bookmarkEnd w:id="308"/>
    <w:p>
      <w:pPr>
        <w:ind w:right="240" w:firstLine="44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Cash Management Agreement</w:t>
      </w:r>
      <w:r>
        <w:rPr>
          <w:rFonts w:ascii="Arial" w:cs="Arial" w:eastAsia="Arial" w:hAnsi="Arial"/>
          <w:sz w:val="17"/>
          <w:szCs w:val="17"/>
          <w:color w:val="auto"/>
        </w:rPr>
        <w:t>” means any agreement to provide cash management services, including treasury, depository, overdraft, card services (including services related to credit cards, including purchasing and commercial cards, prepaid cards, including payroll, stored value and gift cards, merchant services processing and debit cards), electronic funds transfer and other cash management arrangements.</w:t>
      </w:r>
    </w:p>
    <w:p>
      <w:pPr>
        <w:spacing w:after="0" w:line="158"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Bank</w:t>
      </w:r>
      <w:r>
        <w:rPr>
          <w:rFonts w:ascii="Arial" w:cs="Arial" w:eastAsia="Arial" w:hAnsi="Arial"/>
          <w:sz w:val="16"/>
          <w:szCs w:val="16"/>
          <w:color w:val="auto"/>
        </w:rPr>
        <w:t>” means any Person that, (a) at the time it enters into a Cash Management Agreement with any Loan Party, is a Lender, the Administrative Agent or an Arranger or an Affiliate of a Lender, the Administrative Agent or an Arranger, in its capacity as a party to such Cash Management Agreement, and (b) in the case of any Cash Management Agreement entered into prior to, and existing on, the Closing Date or the Debt Assumption Date, any Person that is, on the Closing Date or the Debt Assumption Date, as applicable, a Lender, the Administrative Agent or an Arranger or Affiliate of a Lender, the Administrative Agent or an Arranger, in its capacity as a party to such Cash Management Agreement.</w:t>
      </w:r>
    </w:p>
    <w:p>
      <w:pPr>
        <w:spacing w:after="0" w:line="154" w:lineRule="exact"/>
        <w:rPr>
          <w:sz w:val="20"/>
          <w:szCs w:val="20"/>
          <w:color w:val="auto"/>
        </w:rPr>
      </w:pPr>
    </w:p>
    <w:p>
      <w:pPr>
        <w:ind w:right="5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Casualty Event</w:t>
      </w:r>
      <w:r>
        <w:rPr>
          <w:rFonts w:ascii="Arial" w:cs="Arial" w:eastAsia="Arial" w:hAnsi="Arial"/>
          <w:sz w:val="16"/>
          <w:szCs w:val="16"/>
          <w:color w:val="auto"/>
        </w:rPr>
        <w:t>” means any event that gives rise to the receipt by the Borrower or any Restricted Subsidiary of any insurance proceeds or condemnation awards in respect of any equipment, fixed assets or real property (including any improvements thereon) constituting Collateral.</w:t>
      </w:r>
    </w:p>
    <w:p>
      <w:pPr>
        <w:spacing w:after="0" w:line="116" w:lineRule="exact"/>
        <w:rPr>
          <w:sz w:val="20"/>
          <w:szCs w:val="20"/>
          <w:color w:val="auto"/>
        </w:rPr>
      </w:pPr>
    </w:p>
    <w:p>
      <w:pPr>
        <w:ind w:right="6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means the Comprehensive Environmental Response, Compensation, and Liability Act of 1980, as amended, and any rules or regulations promulgated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has the meaning assigned to such term in the definition of “Excluded Subsidiary”.</w:t>
      </w:r>
    </w:p>
    <w:p>
      <w:pPr>
        <w:spacing w:after="0" w:line="225"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or foreign regulatory authorities, in each case pursuant to Basel III, shall in each case be deemed to be a “</w:t>
      </w:r>
      <w:r>
        <w:rPr>
          <w:rFonts w:ascii="Arial" w:cs="Arial" w:eastAsia="Arial" w:hAnsi="Arial"/>
          <w:sz w:val="17"/>
          <w:szCs w:val="17"/>
          <w:b w:val="1"/>
          <w:bCs w:val="1"/>
          <w:color w:val="auto"/>
        </w:rPr>
        <w:t>Change in Law,</w:t>
      </w:r>
      <w:r>
        <w:rPr>
          <w:rFonts w:ascii="Arial" w:cs="Arial" w:eastAsia="Arial" w:hAnsi="Arial"/>
          <w:sz w:val="17"/>
          <w:szCs w:val="17"/>
          <w:color w:val="auto"/>
        </w:rPr>
        <w:t>” regardless of the date enacted, adopted or issued.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121" w:lineRule="exact"/>
        <w:rPr>
          <w:sz w:val="20"/>
          <w:szCs w:val="20"/>
          <w:color w:val="auto"/>
        </w:rPr>
      </w:pPr>
    </w:p>
    <w:p>
      <w:pPr>
        <w:ind w:left="440" w:firstLine="428"/>
        <w:spacing w:after="0" w:line="264" w:lineRule="auto"/>
        <w:tabs>
          <w:tab w:leader="none" w:pos="110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Borrower and its Restricted Subsidiaries, taken as a whole, to any “person” (as such term is used in Section 13(d)(3) of the Exchange Act), other than a Permitted Holder;</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Borrower;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09" w:name="page310"/>
    <w:bookmarkEnd w:id="309"/>
    <w:p>
      <w:pPr>
        <w:ind w:left="440" w:firstLine="428"/>
        <w:spacing w:after="0" w:line="276" w:lineRule="auto"/>
        <w:tabs>
          <w:tab w:leader="none" w:pos="1108" w:val="left"/>
        </w:tabs>
        <w:numPr>
          <w:ilvl w:val="0"/>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any transaction (including, without limitation, any merger or consolidation) the result of which is that any “person” (as defined above) other than a Permitted Holder becomes the Beneficial Owner, directly or indirectly, of 50% or more of the Voting Stock of the Borrower, measured by voting power rather than number of shares; provided, however, that an entity that conducts no other material activities other than holding Equity Interests in the Borrower or any direct or indirect parent of the Borrower and has no other material assets or liabilities other than such Equity Interests will not itself be considered a “person” for purposes of this clause (3); or</w:t>
      </w:r>
    </w:p>
    <w:p>
      <w:pPr>
        <w:spacing w:after="0" w:line="64" w:lineRule="exact"/>
        <w:rPr>
          <w:rFonts w:ascii="Arial" w:cs="Arial" w:eastAsia="Arial" w:hAnsi="Arial"/>
          <w:sz w:val="17"/>
          <w:szCs w:val="17"/>
          <w:color w:val="auto"/>
        </w:rPr>
      </w:pPr>
    </w:p>
    <w:p>
      <w:pPr>
        <w:ind w:left="1120" w:hanging="252"/>
        <w:spacing w:after="0"/>
        <w:tabs>
          <w:tab w:leader="none" w:pos="11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the Borrower are not Continuing Directors.</w:t>
      </w:r>
    </w:p>
    <w:p>
      <w:pPr>
        <w:spacing w:after="0" w:line="221"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first date all the conditions precedent referred to in Section 4.01 are satisfied or waived in accordance with Section 11.01 and the Loans are funded.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all of the “</w:t>
      </w:r>
      <w:r>
        <w:rPr>
          <w:rFonts w:ascii="Arial" w:cs="Arial" w:eastAsia="Arial" w:hAnsi="Arial"/>
          <w:sz w:val="18"/>
          <w:szCs w:val="18"/>
          <w:b w:val="1"/>
          <w:bCs w:val="1"/>
          <w:color w:val="auto"/>
        </w:rPr>
        <w:t>Collateral</w:t>
      </w:r>
      <w:r>
        <w:rPr>
          <w:rFonts w:ascii="Arial" w:cs="Arial" w:eastAsia="Arial" w:hAnsi="Arial"/>
          <w:sz w:val="18"/>
          <w:szCs w:val="18"/>
          <w:color w:val="auto"/>
        </w:rPr>
        <w:t>” and “</w:t>
      </w:r>
      <w:r>
        <w:rPr>
          <w:rFonts w:ascii="Arial" w:cs="Arial" w:eastAsia="Arial" w:hAnsi="Arial"/>
          <w:sz w:val="18"/>
          <w:szCs w:val="18"/>
          <w:b w:val="1"/>
          <w:bCs w:val="1"/>
          <w:color w:val="auto"/>
        </w:rPr>
        <w:t>Mortgaged Property</w:t>
      </w:r>
      <w:r>
        <w:rPr>
          <w:rFonts w:ascii="Arial" w:cs="Arial" w:eastAsia="Arial" w:hAnsi="Arial"/>
          <w:sz w:val="18"/>
          <w:szCs w:val="18"/>
          <w:color w:val="auto"/>
        </w:rPr>
        <w:t>” referred to in the Collateral Documents and all of the other property provided as collateral security under the terms of the Collateral Documents.</w:t>
      </w:r>
    </w:p>
    <w:p>
      <w:pPr>
        <w:spacing w:after="0" w:line="162"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Documents</w:t>
      </w:r>
      <w:r>
        <w:rPr>
          <w:rFonts w:ascii="Arial" w:cs="Arial" w:eastAsia="Arial" w:hAnsi="Arial"/>
          <w:sz w:val="16"/>
          <w:szCs w:val="16"/>
          <w:color w:val="auto"/>
        </w:rPr>
        <w:t>” means, collectively, the Guarantee and Collateral Agreement, the Mortgages, the Foreign Security Documents, each of the mortgages, collateral assignments, supplements to all of the foregoing, security agreements, pledge agreements, control agreements or other similar agreements delivered to the Administrative Agent pursuant to Section 4.02(a)(ii) or 6.11, and each of the other agreements, instruments or documents that, from and after the Debt Assumption, creates or purports to create a Lien in favor of the Administrative Agent for the benefit of the Secured Parties.</w:t>
      </w:r>
    </w:p>
    <w:p>
      <w:pPr>
        <w:spacing w:after="0" w:line="151" w:lineRule="exact"/>
        <w:rPr>
          <w:sz w:val="20"/>
          <w:szCs w:val="20"/>
          <w:color w:val="auto"/>
        </w:rPr>
      </w:pPr>
    </w:p>
    <w:p>
      <w:pPr>
        <w:ind w:right="3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the commitment of a Lender to make or otherwise fund a Loan and “</w:t>
      </w:r>
      <w:r>
        <w:rPr>
          <w:rFonts w:ascii="Arial" w:cs="Arial" w:eastAsia="Arial" w:hAnsi="Arial"/>
          <w:sz w:val="18"/>
          <w:szCs w:val="18"/>
          <w:b w:val="1"/>
          <w:bCs w:val="1"/>
          <w:color w:val="auto"/>
        </w:rPr>
        <w:t>Commitments</w:t>
      </w:r>
      <w:r>
        <w:rPr>
          <w:rFonts w:ascii="Arial" w:cs="Arial" w:eastAsia="Arial" w:hAnsi="Arial"/>
          <w:sz w:val="18"/>
          <w:szCs w:val="18"/>
          <w:color w:val="auto"/>
        </w:rPr>
        <w:t>” means such commitments of all Lenders in the aggregate. The amount of each Lender’s Commitment is set forth on Annex A, subject to any adjustment or reduction pursuant to the terms and conditions hereof. The aggregate amount of the Commitments as of the date hereof, prior to the funding of the Loans hereunder, is $1,225.0 million.</w:t>
      </w:r>
    </w:p>
    <w:p>
      <w:pPr>
        <w:spacing w:after="0" w:line="180"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Closing Date or the Debt Assumption Date, and includes, without limitation, all series and classes of such common stock.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of Exhibit D.</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310" w:name="page311"/>
    <w:bookmarkEnd w:id="310"/>
    <w:p>
      <w:pPr>
        <w:ind w:right="14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58" w:lineRule="exact"/>
        <w:rPr>
          <w:sz w:val="20"/>
          <w:szCs w:val="20"/>
          <w:color w:val="auto"/>
        </w:rPr>
      </w:pPr>
    </w:p>
    <w:p>
      <w:pPr>
        <w:ind w:left="440" w:right="440" w:firstLine="428"/>
        <w:spacing w:after="0" w:line="277" w:lineRule="auto"/>
        <w:tabs>
          <w:tab w:leader="none" w:pos="11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100" w:firstLine="428"/>
        <w:spacing w:after="0" w:line="255" w:lineRule="auto"/>
        <w:tabs>
          <w:tab w:leader="none" w:pos="111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discounts, yield and other fees and charges (including any interest expense) related to any Qualified Receivables Transaction, and net payments, if any, pursuant to Hedging Obligations, but excluding amortization of debt issuance costs), to the extent that any such expense was deducted in computing such Consolidated Net Income; </w:t>
      </w:r>
      <w:r>
        <w:rPr>
          <w:rFonts w:ascii="Arial" w:cs="Arial" w:eastAsia="Arial" w:hAnsi="Arial"/>
          <w:sz w:val="18"/>
          <w:szCs w:val="18"/>
          <w:i w:val="1"/>
          <w:iCs w:val="1"/>
          <w:color w:val="auto"/>
        </w:rPr>
        <w:t>plus</w:t>
      </w:r>
    </w:p>
    <w:p>
      <w:pPr>
        <w:spacing w:after="0" w:line="81" w:lineRule="exact"/>
        <w:rPr>
          <w:rFonts w:ascii="Arial" w:cs="Arial" w:eastAsia="Arial" w:hAnsi="Arial"/>
          <w:sz w:val="18"/>
          <w:szCs w:val="18"/>
          <w:color w:val="auto"/>
        </w:rPr>
      </w:pPr>
    </w:p>
    <w:p>
      <w:pPr>
        <w:ind w:left="440" w:firstLine="428"/>
        <w:spacing w:after="0" w:line="273" w:lineRule="auto"/>
        <w:tabs>
          <w:tab w:leader="none" w:pos="110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depreciation, amortization (including amortization of goodwill and other intangibles but excluding amortization of prepaid cash expenses that were paid in a prior period) and other non-cash expenses, write-offs, write-downs or impairment charges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w:t>
      </w:r>
      <w:r>
        <w:rPr>
          <w:rFonts w:ascii="Arial" w:cs="Arial" w:eastAsia="Arial" w:hAnsi="Arial"/>
          <w:sz w:val="17"/>
          <w:szCs w:val="17"/>
          <w:i w:val="1"/>
          <w:iCs w:val="1"/>
          <w:color w:val="auto"/>
        </w:rPr>
        <w:t>plus</w:t>
      </w:r>
    </w:p>
    <w:p>
      <w:pPr>
        <w:spacing w:after="0" w:line="70" w:lineRule="exact"/>
        <w:rPr>
          <w:rFonts w:ascii="Arial" w:cs="Arial" w:eastAsia="Arial" w:hAnsi="Arial"/>
          <w:sz w:val="17"/>
          <w:szCs w:val="17"/>
          <w:color w:val="auto"/>
        </w:rPr>
      </w:pPr>
    </w:p>
    <w:p>
      <w:pPr>
        <w:ind w:left="1120" w:hanging="252"/>
        <w:spacing w:after="0"/>
        <w:tabs>
          <w:tab w:leader="none" w:pos="11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non-cash losses and expenses resulting from fair value accounting (as permitted by Accounting Standard Codification Topic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No. 825-10-25 – Fair Value Option or any similar accounting standard) to the extent deducted in computing such Consolidated Net Income; </w:t>
      </w:r>
      <w:r>
        <w:rPr>
          <w:rFonts w:ascii="Arial" w:cs="Arial" w:eastAsia="Arial" w:hAnsi="Arial"/>
          <w:sz w:val="16"/>
          <w:szCs w:val="16"/>
          <w:i w:val="1"/>
          <w:iCs w:val="1"/>
          <w:color w:val="auto"/>
        </w:rPr>
        <w:t>plus</w:t>
      </w:r>
    </w:p>
    <w:p>
      <w:pPr>
        <w:spacing w:after="0" w:line="126" w:lineRule="exact"/>
        <w:rPr>
          <w:sz w:val="20"/>
          <w:szCs w:val="20"/>
          <w:color w:val="auto"/>
        </w:rPr>
      </w:pPr>
    </w:p>
    <w:p>
      <w:pPr>
        <w:ind w:left="440" w:right="120" w:firstLine="428"/>
        <w:spacing w:after="0" w:line="277" w:lineRule="auto"/>
        <w:tabs>
          <w:tab w:leader="none" w:pos="11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unrealized losses relating to hedging transactions and mark-to-market of Indebtedness denominated in foreign currencies resulting from the application of FASB ASC 830 or any similar accounting standard shall be excluded; </w:t>
      </w:r>
      <w:r>
        <w:rPr>
          <w:rFonts w:ascii="Arial" w:cs="Arial" w:eastAsia="Arial" w:hAnsi="Arial"/>
          <w:sz w:val="18"/>
          <w:szCs w:val="18"/>
          <w:i w:val="1"/>
          <w:iCs w:val="1"/>
          <w:color w:val="auto"/>
        </w:rPr>
        <w:t>minus</w:t>
      </w:r>
    </w:p>
    <w:p>
      <w:pPr>
        <w:spacing w:after="0" w:line="62" w:lineRule="exact"/>
        <w:rPr>
          <w:rFonts w:ascii="Arial" w:cs="Arial" w:eastAsia="Arial" w:hAnsi="Arial"/>
          <w:sz w:val="18"/>
          <w:szCs w:val="18"/>
          <w:color w:val="auto"/>
        </w:rPr>
      </w:pPr>
    </w:p>
    <w:p>
      <w:pPr>
        <w:ind w:left="440" w:right="260" w:firstLine="428"/>
        <w:spacing w:after="0" w:line="342" w:lineRule="auto"/>
        <w:tabs>
          <w:tab w:leader="none" w:pos="108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 business, in each case, on a consolidated basis for such Person and its Restricted Subsidiaries and determined in accordance with GAAP.</w:t>
      </w:r>
    </w:p>
    <w:p>
      <w:pPr>
        <w:spacing w:after="0" w:line="120" w:lineRule="exact"/>
        <w:rPr>
          <w:sz w:val="20"/>
          <w:szCs w:val="20"/>
          <w:color w:val="auto"/>
        </w:rPr>
      </w:pPr>
    </w:p>
    <w:p>
      <w:pPr>
        <w:ind w:right="1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Leverage Ratio</w:t>
      </w:r>
      <w:r>
        <w:rPr>
          <w:rFonts w:ascii="Arial" w:cs="Arial" w:eastAsia="Arial" w:hAnsi="Arial"/>
          <w:sz w:val="17"/>
          <w:szCs w:val="17"/>
          <w:color w:val="auto"/>
        </w:rPr>
        <w:t>” means, with respect to any specified Person for any period, the ratio of (i) funded Indebtedness for borrowed money of such Person (net of any unrestricted cash and Cash Equivalents of the Borrower and its Restricted Subsidiaries, excluding any cash proceeds from an incurrence of Indebtedness on the Consolidated Leverage Ratio Calculation Date (as defined below)) on such date to (ii) Consolidated Cash Flow for the period of four consecutive fiscal quarters for which internal financial statements are available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9" w:right="459" w:bottom="1440" w:gutter="0" w:footer="0" w:header="0"/>
        </w:sectPr>
      </w:pPr>
    </w:p>
    <w:bookmarkStart w:id="311" w:name="page312"/>
    <w:bookmarkEnd w:id="311"/>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preceding the date of the event for which the calculation of the Consolidated Leverage Ratio is made (for purposes of this definition, the “</w:t>
      </w:r>
      <w:r>
        <w:rPr>
          <w:rFonts w:ascii="Arial" w:cs="Arial" w:eastAsia="Arial" w:hAnsi="Arial"/>
          <w:sz w:val="16"/>
          <w:szCs w:val="16"/>
          <w:b w:val="1"/>
          <w:bCs w:val="1"/>
          <w:color w:val="auto"/>
        </w:rPr>
        <w:t>Consolidated Leverage Ratio Reference Period</w:t>
      </w:r>
      <w:r>
        <w:rPr>
          <w:rFonts w:ascii="Arial" w:cs="Arial" w:eastAsia="Arial" w:hAnsi="Arial"/>
          <w:sz w:val="16"/>
          <w:szCs w:val="16"/>
          <w:color w:val="auto"/>
        </w:rPr>
        <w:t>”). In the event that the specified Person or any of its Restricted Subsidiaries incurs, assumes, Guarantees, repays, repurchases, redeems, defeases or otherwise discharges any funded Indebtedness for borrowed money (other than ordinary working capital borrowings) or issues, repurchases or redeems preferred stock, in each case, subsequent to the commencement of the Consolidated Leverage Ratio Reference Period and on or prior to the date of the event for which the calculation of the Consolidated Leverage Ratio is made (for purposes of this definition, the “</w:t>
      </w:r>
      <w:r>
        <w:rPr>
          <w:rFonts w:ascii="Arial" w:cs="Arial" w:eastAsia="Arial" w:hAnsi="Arial"/>
          <w:sz w:val="16"/>
          <w:szCs w:val="16"/>
          <w:b w:val="1"/>
          <w:bCs w:val="1"/>
          <w:color w:val="auto"/>
        </w:rPr>
        <w:t>Consolidated Leverage Ratio Calculation Date</w:t>
      </w:r>
      <w:r>
        <w:rPr>
          <w:rFonts w:ascii="Arial" w:cs="Arial" w:eastAsia="Arial" w:hAnsi="Arial"/>
          <w:sz w:val="16"/>
          <w:szCs w:val="16"/>
          <w:color w:val="auto"/>
        </w:rPr>
        <w:t>”), then the Consolidated Leverage Ratio shall be calculated giving pro forma effect to such incurrence, assumption, Guarantee, repayment, repurchase, redemption, defeasance or other discharge of funded Indebtedness for borrowed money, or such issuance, repurchase or redemption of preferred stock, and the use of the proceeds therefrom, as if the same had occurred at the beginning of the Consolidated Leverage Ratio Reference Period. In addition, the Consolidated Leverage Ratio shall be determined with such pro forma adjustments as are consistent with the pro forma adjustment provisions set forth in the definition of Fixed Charge Coverage Ratio.</w:t>
      </w:r>
    </w:p>
    <w:p>
      <w:pPr>
        <w:spacing w:after="0" w:line="165"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(or loss) of such Person and its Restricted Subsidiaries for such period, on a consolidated basis, determined in accordance with GAAP and before any reduction in respect of preferred stock dividends;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2" w:lineRule="exact"/>
        <w:rPr>
          <w:sz w:val="20"/>
          <w:szCs w:val="20"/>
          <w:color w:val="auto"/>
        </w:rPr>
      </w:pPr>
    </w:p>
    <w:p>
      <w:pPr>
        <w:jc w:val="both"/>
        <w:ind w:left="440" w:right="60" w:firstLine="428"/>
        <w:spacing w:after="0" w:line="302" w:lineRule="auto"/>
        <w:tabs>
          <w:tab w:leader="none" w:pos="110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net income of any Restricted Subsidiary (other than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46" w:lineRule="exact"/>
        <w:rPr>
          <w:rFonts w:ascii="Arial" w:cs="Arial" w:eastAsia="Arial" w:hAnsi="Arial"/>
          <w:sz w:val="16"/>
          <w:szCs w:val="16"/>
          <w:color w:val="auto"/>
        </w:rPr>
      </w:pPr>
    </w:p>
    <w:p>
      <w:pPr>
        <w:ind w:left="440" w:right="60" w:firstLine="428"/>
        <w:spacing w:after="0" w:line="279" w:lineRule="auto"/>
        <w:tabs>
          <w:tab w:leader="none" w:pos="111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net income (or loss) for such period of any Person that is not a Restricted Subsidiary, or that is accounted for by the equity method of accounting, shall be excluded; provided that Consolidated Net Income of the specified Person shall be increased by the amount of dividends or distributions or other payments that are actually paid in cash (or to the extent converted into cash) made by such Person that is a not a Restricted Subsidiary to the referent Person or a Restricted Subsidiary thereof in respect of such period;</w:t>
      </w:r>
    </w:p>
    <w:p>
      <w:pPr>
        <w:spacing w:after="0" w:line="63" w:lineRule="exact"/>
        <w:rPr>
          <w:rFonts w:ascii="Arial" w:cs="Arial" w:eastAsia="Arial" w:hAnsi="Arial"/>
          <w:sz w:val="17"/>
          <w:szCs w:val="17"/>
          <w:color w:val="auto"/>
        </w:rPr>
      </w:pPr>
    </w:p>
    <w:p>
      <w:pPr>
        <w:ind w:left="1120" w:hanging="252"/>
        <w:spacing w:after="0"/>
        <w:tabs>
          <w:tab w:leader="none" w:pos="11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440" w:right="140" w:firstLine="428"/>
        <w:spacing w:after="0" w:line="277" w:lineRule="auto"/>
        <w:tabs>
          <w:tab w:leader="none" w:pos="111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income or loss attributable to discontinued operations (including, without limitation, operations disposed of during such period whether or not such operations were classified as discontinued) shall be excluded;</w:t>
      </w:r>
    </w:p>
    <w:p>
      <w:pPr>
        <w:spacing w:after="0" w:line="62" w:lineRule="exact"/>
        <w:rPr>
          <w:rFonts w:ascii="Arial" w:cs="Arial" w:eastAsia="Arial" w:hAnsi="Arial"/>
          <w:sz w:val="18"/>
          <w:szCs w:val="18"/>
          <w:color w:val="auto"/>
        </w:rPr>
      </w:pPr>
    </w:p>
    <w:p>
      <w:pPr>
        <w:ind w:left="440" w:firstLine="428"/>
        <w:spacing w:after="0" w:line="264" w:lineRule="auto"/>
        <w:tabs>
          <w:tab w:leader="none" w:pos="11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gain (or loss) realized upon the sale or other disposition of assets of such Person or its consolidated Subsidiaries, other than a sale or disposition in the ordinary course of business, and any gain (or loss) realized upon the sale or disposition of any Equity Interest of any Person shall be excluded;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12" w:name="page313"/>
    <w:bookmarkEnd w:id="312"/>
    <w:p>
      <w:pPr>
        <w:ind w:right="20" w:firstLine="428"/>
        <w:spacing w:after="0" w:line="286" w:lineRule="auto"/>
        <w:tabs>
          <w:tab w:leader="none" w:pos="648"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impairment charge or asset write-off, including impairment charges or asset write-offs or write-downs related to intangible assets, long-lived assets, investments in debt and equity securities (including any losses with respect to the foregoing in bankruptcy, insolvency or similar proceedings) or as a result of a Change in Law or regulation, in each case pursuant to GAAP, shall be excluded;</w:t>
      </w:r>
    </w:p>
    <w:p>
      <w:pPr>
        <w:spacing w:after="0" w:line="57" w:lineRule="exact"/>
        <w:rPr>
          <w:rFonts w:ascii="Arial" w:cs="Arial" w:eastAsia="Arial" w:hAnsi="Arial"/>
          <w:sz w:val="17"/>
          <w:szCs w:val="17"/>
          <w:color w:val="auto"/>
        </w:rPr>
      </w:pPr>
    </w:p>
    <w:p>
      <w:pPr>
        <w:ind w:firstLine="428"/>
        <w:spacing w:after="0" w:line="264" w:lineRule="auto"/>
        <w:tabs>
          <w:tab w:leader="none" w:pos="67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non-cash compensation expense realized from employee benefit plans or postemployment benefit plans, grants of stock appreciation, restricted stock or similar rights, stock options or other rights to directors, officers, managers and employees of such Person or any of its Restricted Subsidiaries shall be excluded;</w:t>
      </w:r>
    </w:p>
    <w:p>
      <w:pPr>
        <w:spacing w:after="0" w:line="73" w:lineRule="exact"/>
        <w:rPr>
          <w:rFonts w:ascii="Arial" w:cs="Arial" w:eastAsia="Arial" w:hAnsi="Arial"/>
          <w:sz w:val="18"/>
          <w:szCs w:val="18"/>
          <w:color w:val="auto"/>
        </w:rPr>
      </w:pPr>
    </w:p>
    <w:p>
      <w:pPr>
        <w:ind w:firstLine="428"/>
        <w:spacing w:after="0" w:line="255" w:lineRule="auto"/>
        <w:tabs>
          <w:tab w:leader="none" w:pos="67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prior to or after the Closing Date or Debt Assumption Date, as applicable (including integration costs), including all fees, commissions, expenses and other similar charges of accountants, attorneys, brokers and other financial advisors related thereto and cash severance payments made in connection with acquisitions, all fees, costs and expenses incurred in connection with or relating to the Active Nutrition Transaction, and any expense or charge related to the repurchase of Equity Interest or warrants or options to purchase Equity Interest), together with any related provision for taxes, shall be excluded;</w:t>
      </w:r>
    </w:p>
    <w:p>
      <w:pPr>
        <w:spacing w:after="0" w:line="81" w:lineRule="exact"/>
        <w:rPr>
          <w:rFonts w:ascii="Arial" w:cs="Arial" w:eastAsia="Arial" w:hAnsi="Arial"/>
          <w:sz w:val="18"/>
          <w:szCs w:val="18"/>
          <w:color w:val="auto"/>
        </w:rPr>
      </w:pPr>
    </w:p>
    <w:p>
      <w:pPr>
        <w:ind w:right="20" w:firstLine="428"/>
        <w:spacing w:after="0" w:line="264" w:lineRule="auto"/>
        <w:tabs>
          <w:tab w:leader="none" w:pos="63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effects of purchase accounting adjustments, in amounts required or permitted by GAAP and related authoritative pronouncement, and amortization, write-off or impairment charges resulting therefrom, in each case from the application of purchase accounting in relation to any acquisition, shall be excluded;</w:t>
      </w:r>
    </w:p>
    <w:p>
      <w:pPr>
        <w:spacing w:after="0" w:line="73" w:lineRule="exact"/>
        <w:rPr>
          <w:rFonts w:ascii="Arial" w:cs="Arial" w:eastAsia="Arial" w:hAnsi="Arial"/>
          <w:sz w:val="18"/>
          <w:szCs w:val="18"/>
          <w:color w:val="auto"/>
        </w:rPr>
      </w:pPr>
    </w:p>
    <w:p>
      <w:pPr>
        <w:ind w:firstLine="428"/>
        <w:spacing w:after="0" w:line="259" w:lineRule="auto"/>
        <w:tabs>
          <w:tab w:leader="none" w:pos="63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fees and expenses, including prepayment premiums and similar amounts, incurred during such period, or any amortization thereof for such period, in connection with any acquisition, disposition, recapitalization, Investment, asset sale, issuance or repayment of Indebtedness (including any incurrence of Loans under this Agreement), financing transaction or amendment or modification of any debt instrument (including, in each case, any such transaction undertaken but not completed), shall be excluded;</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unrealized gains and losses and with respect to Hedging Obligations for such period shall be excluded;</w:t>
      </w:r>
    </w:p>
    <w:p>
      <w:pPr>
        <w:spacing w:after="0" w:line="117" w:lineRule="exact"/>
        <w:rPr>
          <w:rFonts w:ascii="Arial" w:cs="Arial" w:eastAsia="Arial" w:hAnsi="Arial"/>
          <w:sz w:val="18"/>
          <w:szCs w:val="18"/>
          <w:color w:val="auto"/>
        </w:rPr>
      </w:pPr>
    </w:p>
    <w:p>
      <w:pPr>
        <w:ind w:left="640" w:hanging="212"/>
        <w:spacing w:after="0"/>
        <w:tabs>
          <w:tab w:leader="none" w:pos="6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unrealized gains and losses related to fluctuations in currency exchange rates for such period shall be excluded;</w:t>
      </w:r>
    </w:p>
    <w:p>
      <w:pPr>
        <w:spacing w:after="0" w:line="117" w:lineRule="exact"/>
        <w:rPr>
          <w:rFonts w:ascii="Arial" w:cs="Arial" w:eastAsia="Arial" w:hAnsi="Arial"/>
          <w:sz w:val="18"/>
          <w:szCs w:val="18"/>
          <w:color w:val="auto"/>
        </w:rPr>
      </w:pPr>
    </w:p>
    <w:p>
      <w:pPr>
        <w:ind w:left="740" w:hanging="312"/>
        <w:spacing w:after="0"/>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gains and losses from any early extinguishment of Indebtedness shall be excluded;</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gains and losses from any repayment or repurchase premiums paid with respect to the Loans shall be excluded; and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3" w:right="459" w:bottom="1440" w:gutter="0" w:footer="0" w:header="0"/>
        </w:sectPr>
      </w:pPr>
    </w:p>
    <w:bookmarkStart w:id="313" w:name="page314"/>
    <w:bookmarkEnd w:id="313"/>
    <w:p>
      <w:pPr>
        <w:ind w:left="440" w:right="720" w:firstLine="428"/>
        <w:spacing w:after="0" w:line="277" w:lineRule="auto"/>
        <w:tabs>
          <w:tab w:leader="none" w:pos="11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write-off or amortization of deferred financing costs (including the amortization of original issue discount) associated with Indebtedness shall be excluded.</w:t>
      </w:r>
    </w:p>
    <w:p>
      <w:pPr>
        <w:spacing w:after="0" w:line="166"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Senior Secured Leverage Ratio</w:t>
      </w:r>
      <w:r>
        <w:rPr>
          <w:rFonts w:ascii="Arial" w:cs="Arial" w:eastAsia="Arial" w:hAnsi="Arial"/>
          <w:sz w:val="16"/>
          <w:szCs w:val="16"/>
          <w:color w:val="auto"/>
        </w:rPr>
        <w:t>” means, with respect to any specified Person for any period, the ratio of (i) Senior Secured Indebtedness of such Person (net of any unrestricted cash and Cash Equivalents of the Borrower and its Restricted Subsidiaries, excluding any cash proceeds from an incurrence of Indebtedness on the Consolidated Senior Secured Leverage Ratio Calculation Date (as defined below)) on such date to</w:t>
      </w:r>
    </w:p>
    <w:p>
      <w:pPr>
        <w:spacing w:after="0" w:line="2" w:lineRule="exact"/>
        <w:rPr>
          <w:sz w:val="20"/>
          <w:szCs w:val="20"/>
          <w:color w:val="auto"/>
        </w:rPr>
      </w:pPr>
    </w:p>
    <w:p>
      <w:pPr>
        <w:ind w:firstLine="4"/>
        <w:spacing w:after="0" w:line="285" w:lineRule="auto"/>
        <w:tabs>
          <w:tab w:leader="none" w:pos="26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Consolidated Cash Flow for the period of four consecutive fiscal quarters for which internal financial statements are available immediately preceding the date of the event for which the calculation of the Consolidated Senior Secured Leverage Ratio is made (for purposes of this definition, the “</w:t>
      </w:r>
      <w:r>
        <w:rPr>
          <w:rFonts w:ascii="Arial" w:cs="Arial" w:eastAsia="Arial" w:hAnsi="Arial"/>
          <w:sz w:val="16"/>
          <w:szCs w:val="16"/>
          <w:b w:val="1"/>
          <w:bCs w:val="1"/>
          <w:color w:val="auto"/>
        </w:rPr>
        <w:t>Consolidated Senior Secured Leverage Ratio Reference Period</w:t>
      </w:r>
      <w:r>
        <w:rPr>
          <w:rFonts w:ascii="Arial" w:cs="Arial" w:eastAsia="Arial" w:hAnsi="Arial"/>
          <w:sz w:val="16"/>
          <w:szCs w:val="16"/>
          <w:color w:val="auto"/>
        </w:rPr>
        <w:t>”). In the event that the specified Person or any of its Restricted Subsidiaries incurs, assumes, Guarantees, repays, repurchases, redeems, defeases or otherwise discharges any funded Indebtedness for borrowed money (other than ordinary working capital borrowings) or issues, repurchases or redeems preferred stock, in each case, subsequent to the commencement of the Consolidated Senior Secured Leverage Ratio Reference Period and on or prior to the date of the event for which the calculation of the Consolidated Senior Secured Leverage Ratio is made (for purposes of this definition, the “</w:t>
      </w:r>
      <w:r>
        <w:rPr>
          <w:rFonts w:ascii="Arial" w:cs="Arial" w:eastAsia="Arial" w:hAnsi="Arial"/>
          <w:sz w:val="16"/>
          <w:szCs w:val="16"/>
          <w:b w:val="1"/>
          <w:bCs w:val="1"/>
          <w:color w:val="auto"/>
        </w:rPr>
        <w:t>Consolidated Senior Secured Leverage Ratio Calculation Date</w:t>
      </w:r>
      <w:r>
        <w:rPr>
          <w:rFonts w:ascii="Arial" w:cs="Arial" w:eastAsia="Arial" w:hAnsi="Arial"/>
          <w:sz w:val="16"/>
          <w:szCs w:val="16"/>
          <w:color w:val="auto"/>
        </w:rPr>
        <w:t>”), then the Consolidated Senior Secured Leverage Ratio shall be calculated giving pro forma effect to such incurrence, assumption, Guarantee, repayment, repurchase, redemption, defeasance or other discharge of funded Indebtedness for borrowed money, or such issuance, repurchase or redemption of preferred stock, and the use of the proceeds therefrom, as if the same had occurred at the beginning of the Consolidated Senior Secured Leverage Ratio Reference Period. In addition, the Consolidated Senior Secured Leverage Ratio shall be determined with such pro forma adjustments as are consistent with the pro forma adjustment provisions set forth in the definition of Fixed Charge Coverage Ratio.</w:t>
      </w:r>
    </w:p>
    <w:p>
      <w:pPr>
        <w:spacing w:after="0" w:line="169" w:lineRule="exact"/>
        <w:rPr>
          <w:sz w:val="20"/>
          <w:szCs w:val="20"/>
          <w:color w:val="auto"/>
        </w:rPr>
      </w:pPr>
    </w:p>
    <w:p>
      <w:pPr>
        <w:ind w:right="2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means, as of any date of determination, the consolidated total assets of the Borrower and its Restricted Subsidiaries, as shown on the most recent balance sheet of the Borrower then available, after giving pro forma effect for acquisitions or dispositions of Persons, divisions or lines of business that occurred on or after such balance sheet date and on or prior to such date of determination.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Directors</w:t>
      </w:r>
      <w:r>
        <w:rPr>
          <w:rFonts w:ascii="Arial" w:cs="Arial" w:eastAsia="Arial" w:hAnsi="Arial"/>
          <w:sz w:val="18"/>
          <w:szCs w:val="18"/>
          <w:color w:val="auto"/>
        </w:rPr>
        <w:t>” means:</w:t>
      </w:r>
    </w:p>
    <w:p>
      <w:pPr>
        <w:spacing w:after="0" w:line="121" w:lineRule="exact"/>
        <w:rPr>
          <w:sz w:val="20"/>
          <w:szCs w:val="20"/>
          <w:color w:val="auto"/>
        </w:rPr>
      </w:pPr>
    </w:p>
    <w:p>
      <w:pPr>
        <w:ind w:left="700" w:hanging="256"/>
        <w:spacing w:after="0"/>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of any time of determination prior to the Debt Assumption, any member of the Board of Directors of the Company who:</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was a member of such Board of Directors on the Closing Date; or</w:t>
      </w:r>
    </w:p>
    <w:p>
      <w:pPr>
        <w:spacing w:after="0" w:line="117" w:lineRule="exact"/>
        <w:rPr>
          <w:rFonts w:ascii="Arial" w:cs="Arial" w:eastAsia="Arial" w:hAnsi="Arial"/>
          <w:sz w:val="18"/>
          <w:szCs w:val="18"/>
          <w:color w:val="auto"/>
        </w:rPr>
      </w:pPr>
    </w:p>
    <w:p>
      <w:pPr>
        <w:ind w:left="440" w:right="140" w:firstLine="428"/>
        <w:spacing w:after="0" w:line="277" w:lineRule="auto"/>
        <w:tabs>
          <w:tab w:leader="none" w:pos="111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14" w:name="page315"/>
    <w:bookmarkEnd w:id="314"/>
    <w:p>
      <w:pPr>
        <w:ind w:left="700" w:hanging="256"/>
        <w:spacing w:after="0"/>
        <w:tabs>
          <w:tab w:leader="none" w:pos="7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any time of determination from and after the Debt Assumption, any member of the Board of Directors of BellRing Brands who:</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was a member of such Board of Directors at any time on the Debt Assumption Date; or</w:t>
      </w:r>
    </w:p>
    <w:p>
      <w:pPr>
        <w:spacing w:after="0" w:line="117" w:lineRule="exact"/>
        <w:rPr>
          <w:rFonts w:ascii="Arial" w:cs="Arial" w:eastAsia="Arial" w:hAnsi="Arial"/>
          <w:sz w:val="18"/>
          <w:szCs w:val="18"/>
          <w:color w:val="auto"/>
        </w:rPr>
      </w:pPr>
    </w:p>
    <w:p>
      <w:pPr>
        <w:ind w:left="440" w:right="120" w:firstLine="428"/>
        <w:spacing w:after="0" w:line="277" w:lineRule="auto"/>
        <w:tabs>
          <w:tab w:leader="none" w:pos="111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66"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Without limiting the generality of the foregoing, “</w:t>
      </w:r>
      <w:r>
        <w:rPr>
          <w:rFonts w:ascii="Arial" w:cs="Arial" w:eastAsia="Arial" w:hAnsi="Arial"/>
          <w:sz w:val="17"/>
          <w:szCs w:val="17"/>
          <w:b w:val="1"/>
          <w:bCs w:val="1"/>
          <w:color w:val="auto"/>
        </w:rPr>
        <w:t>Continuing Director</w:t>
      </w:r>
      <w:r>
        <w:rPr>
          <w:rFonts w:ascii="Arial" w:cs="Arial" w:eastAsia="Arial" w:hAnsi="Arial"/>
          <w:sz w:val="17"/>
          <w:szCs w:val="17"/>
          <w:color w:val="auto"/>
        </w:rPr>
        <w:t>” shall include one or more directors or nominees who are part of a dissident slate of directors in connection with a proxy contest, which director or nominee is approved by the applicable Borrower’s Board of Directors as a Continuing Director, even if such Board of Directors opposed or opposes the directors for purposes of such proxy contest.</w:t>
      </w:r>
    </w:p>
    <w:p>
      <w:pPr>
        <w:spacing w:after="0" w:line="158"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2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means October 11,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Transaction</w:t>
      </w:r>
      <w:r>
        <w:rPr>
          <w:rFonts w:ascii="Arial" w:cs="Arial" w:eastAsia="Arial" w:hAnsi="Arial"/>
          <w:sz w:val="18"/>
          <w:szCs w:val="18"/>
          <w:color w:val="auto"/>
        </w:rPr>
        <w:t>” has the meaning specified in Section 1.09(c).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the making of a Loan.</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Facility</w:t>
      </w:r>
      <w:r>
        <w:rPr>
          <w:rFonts w:ascii="Arial" w:cs="Arial" w:eastAsia="Arial" w:hAnsi="Arial"/>
          <w:sz w:val="17"/>
          <w:szCs w:val="17"/>
          <w:color w:val="auto"/>
        </w:rPr>
        <w:t>” means, with respect to the Borrower or any of its Restricted Subsidiaries, one or more debt facilities (which may be outstanding at the same time) or other financing arrangements (including, without limitation, commercial paper facilities, indentures, note purchase agreements or other agreements) providing for revolving credit loans, term loans, debt securities, letters of credit, bankers’ acceptances or other indebtedness, including any notes, mortgages, guarantees, collateral documents, instruments and agreements executed in connection therewith, and, in each case, any amendments, supplements, modifications, extensions, renewals, restatements or refundings thereof and any debt facilities or other financing arrangements (including, without limitation, commercial paper facilities, indentures, note purchase agreements or other agreements) that replace, refund or refinance any part of the refinancing facility or indenture that increases the amount permitted to be borrowed thereunder (provided that such increase in borrowings is permitted under Section 7.09 or alters the maturity thereof or adds Restricted Subsidiaries as additional borrowers or guarantors thereunder and whether by the same or any other agent, lender or group of lenders.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Cumulative Credit</w:t>
      </w:r>
      <w:r>
        <w:rPr>
          <w:rFonts w:ascii="Arial" w:cs="Arial" w:eastAsia="Arial" w:hAnsi="Arial"/>
          <w:sz w:val="18"/>
          <w:szCs w:val="18"/>
          <w:color w:val="auto"/>
        </w:rPr>
        <w:t>” has the meaning given to such term in Section 7.07(a).</w:t>
      </w:r>
    </w:p>
    <w:p>
      <w:pPr>
        <w:spacing w:after="0" w:line="225" w:lineRule="exact"/>
        <w:rPr>
          <w:sz w:val="20"/>
          <w:szCs w:val="20"/>
          <w:color w:val="auto"/>
        </w:rPr>
      </w:pPr>
    </w:p>
    <w:p>
      <w:pPr>
        <w:ind w:right="2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 Assumption</w:t>
      </w:r>
      <w:r>
        <w:rPr>
          <w:rFonts w:ascii="Arial" w:cs="Arial" w:eastAsia="Arial" w:hAnsi="Arial"/>
          <w:sz w:val="16"/>
          <w:szCs w:val="16"/>
          <w:color w:val="auto"/>
        </w:rPr>
        <w:t>” means the assumption by BellRing Brands of this Agreement and the Loans hereunder pursuant to Section 11.06(a)(i) and the Borrower Assignment and Assumption, subject to the satisfaction of the conditions precedent set forth in Section 4.02 hereof.</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3" w:right="499" w:bottom="1440" w:gutter="0" w:footer="0" w:header="0"/>
        </w:sectPr>
      </w:pPr>
    </w:p>
    <w:bookmarkStart w:id="315" w:name="page316"/>
    <w:bookmarkEnd w:id="3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Debt Assumption Date</w:t>
      </w:r>
      <w:r>
        <w:rPr>
          <w:rFonts w:ascii="Arial" w:cs="Arial" w:eastAsia="Arial" w:hAnsi="Arial"/>
          <w:sz w:val="18"/>
          <w:szCs w:val="18"/>
          <w:color w:val="auto"/>
        </w:rPr>
        <w:t>” means the date, if any, that the Debt Assumption occurs.</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means, as of any date of determination, the interest rate otherwise applicable to the Loans plus 2.0% per annum.</w:t>
      </w:r>
    </w:p>
    <w:p>
      <w:pPr>
        <w:spacing w:after="0" w:line="225"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means, subject to Section 2.16(b), any Lender that, as determined by the Administrative Agent, (a) has failed to perform any of its funding obligations hereunder, including in respect of its Loans, within three Business Days of the date required to be funded by it hereunder, unless, with respect to funding obligations in respect of Loans,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(b) has provided written notice to the Borrower and the Administrative Agent that it does not intend to comply with its funding obligations or has made a public statement to that effect with respect to its funding obligations hereunder (unless such written notice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made in good faith belief that such Lender may not honor its funding obligations, to confirm in a manner reasonably satisfactory to the Administrative Agent that it will comply with its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w:t>
      </w:r>
    </w:p>
    <w:p>
      <w:pPr>
        <w:spacing w:after="0" w:line="5" w:lineRule="exact"/>
        <w:rPr>
          <w:sz w:val="20"/>
          <w:szCs w:val="20"/>
          <w:color w:val="auto"/>
        </w:rPr>
      </w:pPr>
    </w:p>
    <w:p>
      <w:pPr>
        <w:ind w:right="80" w:firstLine="4"/>
        <w:spacing w:after="0" w:line="253" w:lineRule="auto"/>
        <w:tabs>
          <w:tab w:leader="none" w:pos="30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become the subject of a Bail-In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judgements or writs of attachment on its assets or permits such Lender (or such Governmental Authority) to reject, repudiate, disavow or disaffirm any contracts or agreements made with such Lender.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Failure Event</w:t>
      </w:r>
      <w:r>
        <w:rPr>
          <w:rFonts w:ascii="Arial" w:cs="Arial" w:eastAsia="Arial" w:hAnsi="Arial"/>
          <w:sz w:val="18"/>
          <w:szCs w:val="18"/>
          <w:color w:val="auto"/>
        </w:rPr>
        <w:t>” has the meaning given to such term in the Fee Letter.</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69" w:right="439" w:bottom="1440" w:gutter="0" w:footer="0" w:header="0"/>
        </w:sectPr>
      </w:pPr>
    </w:p>
    <w:bookmarkStart w:id="316" w:name="page317"/>
    <w:bookmarkEnd w:id="316"/>
    <w:p>
      <w:pPr>
        <w:jc w:val="both"/>
        <w:ind w:right="260" w:firstLine="44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means the fair market value of noncash consideration received by the Borrower or one of its Restricted Subsidiaries in connection with an Asset Sale that is so designated as Designated Noncash Consideration pursuant to an Officer’s Certificate, setting forth the basis of such valuation, executed by the principal executive officer or the principal financial officer of the Borrower, less the amount of cash and Cash Equivalents received in connection with a sale or collection of such Designated Noncash Consideration.</w:t>
      </w:r>
    </w:p>
    <w:p>
      <w:pPr>
        <w:spacing w:after="0" w:line="16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means preferred stock of the Borrower (other than Disqualified Equity Interests) that is issued for cash (other than to a Restricted Subsidiary or an employee stock ownership plan or trust established by the Borrower or any of its Subsidiaries) and is so designated as Designated Preferred Stock pursuant to an Officer’s Certificate on or prior to the issuance thereof.</w:t>
      </w:r>
    </w:p>
    <w:p>
      <w:pPr>
        <w:spacing w:after="0" w:line="176"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Interests</w:t>
      </w:r>
      <w:r>
        <w:rPr>
          <w:rFonts w:ascii="Arial" w:cs="Arial" w:eastAsia="Arial" w:hAnsi="Arial"/>
          <w:sz w:val="17"/>
          <w:szCs w:val="17"/>
          <w:color w:val="auto"/>
        </w:rPr>
        <w:t xml:space="preserve">”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Loans mature; </w:t>
      </w:r>
      <w:r>
        <w:rPr>
          <w:rFonts w:ascii="Arial" w:cs="Arial" w:eastAsia="Arial" w:hAnsi="Arial"/>
          <w:sz w:val="17"/>
          <w:szCs w:val="17"/>
          <w:i w:val="1"/>
          <w:iCs w:val="1"/>
          <w:color w:val="auto"/>
        </w:rPr>
        <w:t>provided, however</w:t>
      </w:r>
      <w:r>
        <w:rPr>
          <w:rFonts w:ascii="Arial" w:cs="Arial" w:eastAsia="Arial" w:hAnsi="Arial"/>
          <w:sz w:val="17"/>
          <w:szCs w:val="17"/>
          <w:color w:val="auto"/>
        </w:rPr>
        <w:t>, that only the portion of the Equity Interest which so matures, is mandatorily redeemable or is redeemable at the option of the holder prior to such date shall be deemed to be Disqualified Equity Interests. Notwithstanding the preceding sentence, any Equity Interest that would constitute Disqualified Equity Interests solely because the holders thereof have the right to require the Borrower to repurchase such Equity Interest upon the occurrence of a change of control or an asset sale or as a result of the bankruptcy, insolvency or similar event of the issuer shall not constitute Disqualified Equity Interests if the terms of such Equity Interest provide that the Borrower may not repurchase or redeem such Equity Interest pursuant to such provision unless such repurchase or redemption complies with Section 7.07. Notwithstanding the foregoing, Disqualified Equity Interests shall not include (Equity Interests which are issued to any plan for the benefit of employees of the Borrower or its Restricted Subsidiaries or by any such plan to such employees solely because it may be required to be repurchased by the Borrower or its Subsidiaries in order to satisfy applicable statutory or regulatory obligations.</w:t>
      </w:r>
    </w:p>
    <w:p>
      <w:pPr>
        <w:spacing w:after="0" w:line="180"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w:t>
      </w:r>
      <w:r>
        <w:rPr>
          <w:rFonts w:ascii="Arial" w:cs="Arial" w:eastAsia="Arial" w:hAnsi="Arial"/>
          <w:sz w:val="16"/>
          <w:szCs w:val="16"/>
          <w:color w:val="auto"/>
        </w:rPr>
        <w:t xml:space="preserve">” means (a) any Person who is an operating competitor of the Borrower or its Subsidiaries and that is separately identified by the Borrower to the Administrative Agent by name in writing prior to the Closing Date (which list of operating competitors may be supplemented by the Borrower after the Closing Date by means of a written notice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supplementation shall not apply retroactively to disqualify any Persons that have previously acquired an assignment or participation in the Loans or Commitments hereunder) and</w:t>
      </w:r>
    </w:p>
    <w:p>
      <w:pPr>
        <w:spacing w:after="0" w:line="3" w:lineRule="exact"/>
        <w:rPr>
          <w:sz w:val="20"/>
          <w:szCs w:val="20"/>
          <w:color w:val="auto"/>
        </w:rPr>
      </w:pPr>
    </w:p>
    <w:p>
      <w:pPr>
        <w:ind w:right="60" w:firstLine="4"/>
        <w:spacing w:after="0" w:line="270" w:lineRule="auto"/>
        <w:tabs>
          <w:tab w:leader="none" w:pos="25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with respect to each Person that is a “</w:t>
      </w:r>
      <w:r>
        <w:rPr>
          <w:rFonts w:ascii="Arial" w:cs="Arial" w:eastAsia="Arial" w:hAnsi="Arial"/>
          <w:sz w:val="17"/>
          <w:szCs w:val="17"/>
          <w:b w:val="1"/>
          <w:bCs w:val="1"/>
          <w:color w:val="auto"/>
        </w:rPr>
        <w:t>Disqualified Lender</w:t>
      </w:r>
      <w:r>
        <w:rPr>
          <w:rFonts w:ascii="Arial" w:cs="Arial" w:eastAsia="Arial" w:hAnsi="Arial"/>
          <w:sz w:val="17"/>
          <w:szCs w:val="17"/>
          <w:color w:val="auto"/>
        </w:rPr>
        <w:t>” pursuant to clause (a) above, any of its Affiliates (other than any Affiliate of a Person that is solely a “</w:t>
      </w:r>
      <w:r>
        <w:rPr>
          <w:rFonts w:ascii="Arial" w:cs="Arial" w:eastAsia="Arial" w:hAnsi="Arial"/>
          <w:sz w:val="17"/>
          <w:szCs w:val="17"/>
          <w:b w:val="1"/>
          <w:bCs w:val="1"/>
          <w:color w:val="auto"/>
        </w:rPr>
        <w:t>Disqualified Lender</w:t>
      </w:r>
      <w:r>
        <w:rPr>
          <w:rFonts w:ascii="Arial" w:cs="Arial" w:eastAsia="Arial" w:hAnsi="Arial"/>
          <w:sz w:val="17"/>
          <w:szCs w:val="17"/>
          <w:color w:val="auto"/>
        </w:rPr>
        <w:t>” pursuant to clause (a) above and is a bona fide debt fund or an investment vehicle that is primarily engaged in making, purchasing, holding or otherwise investing in commercial loans, bonds and similar extensions of credit in the ordinary course of its business and for purposes hereof, a “vulture fund” or Person that purchases distressed debt in the ordinary course of its business shall be deemed not to be a bona fide debt fund or an investment vehicle that is primarily engaged in making, purchasing, holding or otherwise investing in commercial loans, bonds and similar extensions of credit in the ordinary course of its business) that is either (i)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317" w:name="page318"/>
    <w:bookmarkEnd w:id="31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identified to the Administrative Agent by name in writing by the Borrower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supplementation shall not apply retroactively to disqualify any Persons that have previously acquired an assignment or participation in the Loans hereunder) or (ii) clearly identifiable as an Affiliate of such Disqualified Lender solely on the basis of such Affiliate’s name.</w:t>
      </w:r>
    </w:p>
    <w:p>
      <w:pPr>
        <w:spacing w:after="0" w:line="177" w:lineRule="exact"/>
        <w:rPr>
          <w:sz w:val="20"/>
          <w:szCs w:val="20"/>
          <w:color w:val="auto"/>
        </w:rPr>
      </w:pPr>
    </w:p>
    <w:p>
      <w:pPr>
        <w:ind w:right="2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Domestic Subsidiary</w:t>
      </w:r>
      <w:r>
        <w:rPr>
          <w:rFonts w:ascii="Arial" w:cs="Arial" w:eastAsia="Arial" w:hAnsi="Arial"/>
          <w:sz w:val="17"/>
          <w:szCs w:val="17"/>
          <w:color w:val="auto"/>
        </w:rPr>
        <w:t>” means, with respect to the Borrower, any Restricted Subsidiary that was formed under the laws of the United States of America or any State thereof, or the District of Columbia, but excluding any direct or indirect Subsidiary of a Foreign Subsidiary.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and its successors.</w:t>
      </w:r>
    </w:p>
    <w:p>
      <w:pPr>
        <w:spacing w:after="0" w:line="22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any Person (other than a natural person) that meets the requirements to be an assignee under Sections 11.06(b)(v) and (vi) (subject to such consents, if any, as may be required under Section 11.06(b)(iii)).</w:t>
      </w:r>
    </w:p>
    <w:p>
      <w:pPr>
        <w:spacing w:after="0" w:line="16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Engagement Letters</w:t>
      </w:r>
      <w:r>
        <w:rPr>
          <w:rFonts w:ascii="Arial" w:cs="Arial" w:eastAsia="Arial" w:hAnsi="Arial"/>
          <w:sz w:val="18"/>
          <w:szCs w:val="18"/>
          <w:color w:val="auto"/>
        </w:rPr>
        <w:t>” means (i) the Engagement Letter with respect to the Takeout Loans (as defined therein), dated October 11, 2019, among the Company, Morgan Stanley Senior Funding, Inc., BofA Securities, Inc., Citigroup Global Markets Inc., Credit Suisse Loan Funding LLC, Goldman Sachs Bank USA and JPMorgan Chase Bank, N.A., as amended, supplemented, restated, assigned, assumed, or otherwise modified in accordance with its terms from time to time (the “</w:t>
      </w:r>
      <w:r>
        <w:rPr>
          <w:rFonts w:ascii="Arial" w:cs="Arial" w:eastAsia="Arial" w:hAnsi="Arial"/>
          <w:sz w:val="18"/>
          <w:szCs w:val="18"/>
          <w:b w:val="1"/>
          <w:bCs w:val="1"/>
          <w:color w:val="auto"/>
        </w:rPr>
        <w:t>Takeout Loans Engagement Letter</w:t>
      </w:r>
      <w:r>
        <w:rPr>
          <w:rFonts w:ascii="Arial" w:cs="Arial" w:eastAsia="Arial" w:hAnsi="Arial"/>
          <w:sz w:val="18"/>
          <w:szCs w:val="18"/>
          <w:color w:val="auto"/>
        </w:rPr>
        <w:t>”) and (ii) the Engagement Letter with respect to the Takeout Notes (as defined therein) and Takeout Equity (as defined therein), dated October 11, 2019, among the Company, Morgan Stanley &amp; Co. LLC, BofA Securities, Inc., Citigroup Global Markets Inc., Credit Suisse Securities (USA) LLC, Goldman Sachs &amp; Co. LLC and J.P. Morgan Securities LLC, as amended, supplemented, restated, assigned, assumed, or otherwise modified in accordance with its terms from time to time (the “</w:t>
      </w:r>
      <w:r>
        <w:rPr>
          <w:rFonts w:ascii="Arial" w:cs="Arial" w:eastAsia="Arial" w:hAnsi="Arial"/>
          <w:sz w:val="18"/>
          <w:szCs w:val="18"/>
          <w:b w:val="1"/>
          <w:bCs w:val="1"/>
          <w:color w:val="auto"/>
        </w:rPr>
        <w:t>Takeout Securities Engagement</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w:t>
      </w:r>
    </w:p>
    <w:p>
      <w:pPr>
        <w:spacing w:after="0" w:line="18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written notice, claim, demand, action, litigation, toxic tort, proceeding, demand, request for information, complaint, citation, summons, investigation, notice of non-compliance or violation, cause of action, consent order, consent decree, investigation, or other proceeding by any Governmental Authority or any other Person, arising out of, based on or pursuant to any Environmental Law or related in any way to any actual, alleged or threatened Environmental Liability.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318" w:name="page319"/>
    <w:bookmarkEnd w:id="318"/>
    <w:p>
      <w:pPr>
        <w:ind w:right="140" w:firstLine="44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Federal, state, local, and foreign statutes, laws, regulations, ordinances, rules, judgments, orders, decrees, agreements or governmental restrictions relating to human health and safety, pollution, the protection of the environment or the release of any materials into the environment, including those related to hazardous materials, substances or wastes and air and water emissions and discharges.</w:t>
      </w:r>
    </w:p>
    <w:p>
      <w:pPr>
        <w:spacing w:after="0" w:line="142"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obligation, responsibility or cost directly or indirectly resulting from or based upon (a) any violation of, or liability under, any Environmental Law, (b) the generation, use, handling, transportation, storage, distribution, treatment or disposal of any Hazardous Materials,</w:t>
      </w:r>
    </w:p>
    <w:p>
      <w:pPr>
        <w:spacing w:after="0" w:line="2" w:lineRule="exact"/>
        <w:rPr>
          <w:sz w:val="20"/>
          <w:szCs w:val="20"/>
          <w:color w:val="auto"/>
        </w:rPr>
      </w:pPr>
    </w:p>
    <w:p>
      <w:pPr>
        <w:jc w:val="both"/>
        <w:ind w:right="340" w:firstLine="4"/>
        <w:spacing w:after="0" w:line="255" w:lineRule="auto"/>
        <w:tabs>
          <w:tab w:leader="none" w:pos="24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(e) natural resource damage or (f) any contract, agreement or other consensual arrangement pursuant to which liability is assumed or imposed with respect to any of the foregoing.</w:t>
      </w:r>
    </w:p>
    <w:p>
      <w:pPr>
        <w:spacing w:after="0" w:line="186"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approval, identification number, license or other authorization issued pursuant to or required under any Environmental Law.</w:t>
      </w:r>
    </w:p>
    <w:p>
      <w:pPr>
        <w:spacing w:after="0" w:line="162" w:lineRule="exact"/>
        <w:rPr>
          <w:sz w:val="20"/>
          <w:szCs w:val="20"/>
          <w:color w:val="auto"/>
        </w:rPr>
      </w:pPr>
    </w:p>
    <w:p>
      <w:pPr>
        <w:ind w:right="12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5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means a public or private sale for cash by the Borrower of its Common Stock (other than Disqualified Equity Interests), or options, warrants or rights with respect to its Common Stock, other than public offerings registered on Form S-4 or S-8.</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24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16"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the occurrence of any of the following (a) a material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ind w:right="100" w:firstLine="4"/>
        <w:spacing w:after="0" w:line="261" w:lineRule="auto"/>
        <w:tabs>
          <w:tab w:leader="none" w:pos="24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complete or partial withdrawal by the Borrower or any ERISA Affiliate from a Multiemployer Plan or notification that a Multiemployer Plan is in reorganization; (d) the filing of a notice of intent to terminate, 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319" w:name="page320"/>
    <w:bookmarkEnd w:id="31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the adjusted funding target attainment percentage (as defined in Section 436(j)(2) of the Code) of any Pension Plan is both less than 80% and such Pension Plan is more than $20,000,000 underfunded on an adjusted funding target attainment percentage basis; or (h) the imposition of any liability under Title IV of ERISA, other than for PBGC premiums due but not delinquent under Section 4007 of ERISA, upon the Borrower or any ERISA Affiliate.</w:t>
      </w:r>
    </w:p>
    <w:p>
      <w:pPr>
        <w:spacing w:after="0" w:line="174"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Subsidiary</w:t>
      </w:r>
      <w:r>
        <w:rPr>
          <w:rFonts w:ascii="Arial" w:cs="Arial" w:eastAsia="Arial" w:hAnsi="Arial"/>
          <w:sz w:val="17"/>
          <w:szCs w:val="17"/>
          <w:color w:val="auto"/>
        </w:rPr>
        <w:t xml:space="preserve">” means a wholly-owned Subsidiary (i) created by the Borrower or any Subsidiary for the sole purpose of issuing debt securities the net proceeds of which must be deposited into a secured escrow account of such Subsidiary pending consummation of an acquisition permitted hereunder and which debt securities must be redeemed if such acquisition is not consummated, (ii) engaged in no activities other than those incidental to the issuance of such debt securities, (iii) owning no assets other than amounts that have been deposited into such secured escrow account and (iv) which has been designated as an Escrow Subsidiary by the Borrower’s Board of Directors as evidenced by a filing with the Administrative Agent of (1) a board resolution of the Borrower giving effect to such designation and (2) an officers’ certificate certifying that such designation, and the transactions in which such Subsidiary will engage (including the terms of the debt securities issued by such Subsidiary), comply with the requirements of this definition;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(x) such Subsidiary ceases to comply with the requirements of this definition or (y) the debt securities become guaranteed by (or secured by assets of) any Person other than such Subsidiary, such designated Subsidiary shall no longer constitute an Escrow Subsidiary under this Agreement.</w:t>
      </w:r>
    </w:p>
    <w:p>
      <w:pPr>
        <w:spacing w:after="0" w:line="178"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Eurodollar Rate</w:t>
      </w:r>
      <w:r>
        <w:rPr>
          <w:rFonts w:ascii="Arial" w:cs="Arial" w:eastAsia="Arial" w:hAnsi="Arial"/>
          <w:sz w:val="16"/>
          <w:szCs w:val="16"/>
          <w:color w:val="auto"/>
        </w:rPr>
        <w:t>” means for any Interest Rate Determination Date with respect to an Interest Period for a Eurodollar Rate Loan, (i) the rate per annum determined by the Administrative Agent to be the offered rate which appears on the page of the Reuters Screen which displays the London interbank offered rate administered by ICE Benchmark Administration Limited (such page currently being the LIBOR01 page) (the “</w:t>
      </w:r>
      <w:r>
        <w:rPr>
          <w:rFonts w:ascii="Arial" w:cs="Arial" w:eastAsia="Arial" w:hAnsi="Arial"/>
          <w:sz w:val="16"/>
          <w:szCs w:val="16"/>
          <w:b w:val="1"/>
          <w:bCs w:val="1"/>
          <w:color w:val="auto"/>
        </w:rPr>
        <w:t>LIBO Rate</w:t>
      </w:r>
      <w:r>
        <w:rPr>
          <w:rFonts w:ascii="Arial" w:cs="Arial" w:eastAsia="Arial" w:hAnsi="Arial"/>
          <w:sz w:val="16"/>
          <w:szCs w:val="16"/>
          <w:color w:val="auto"/>
        </w:rPr>
        <w:t xml:space="preserve">”) for deposits (for delivery on the first day of such Interest Period) with a term equivalent to such Interest Period in U.S. Dollars, determined as of approximately 11:00 a.m. (London, England time), on such Interest Rate Determination Date,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the LIBO Rate for deposits (for delivery on the first day of such Interest Period) with a term equivalent to such Interest Period in U.S. Dollars, determined as of approximately 11:00 a.m. (London, England time) two Business Days prior to the commencement of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LIBO Rates are quoted under either of the preceding clauses (i) or (ii), but there is no such quotation for the applicable Interest Period, the LIBO Rate shall be equal to the Interpolated Rate;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such rate determined pursuant to the preceding clauses (i) or (ii) is less than zero, the Eurodollar Rate will be deemed to be zero.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20" w:name="page321"/>
    <w:bookmarkEnd w:id="3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Eurodollar Rate Loan</w:t>
      </w:r>
      <w:r>
        <w:rPr>
          <w:rFonts w:ascii="Arial" w:cs="Arial" w:eastAsia="Arial" w:hAnsi="Arial"/>
          <w:sz w:val="18"/>
          <w:szCs w:val="18"/>
          <w:color w:val="auto"/>
        </w:rPr>
        <w:t>” means a Loan that bears interest at a rate based on the definition of “</w:t>
      </w:r>
      <w:r>
        <w:rPr>
          <w:rFonts w:ascii="Arial" w:cs="Arial" w:eastAsia="Arial" w:hAnsi="Arial"/>
          <w:sz w:val="18"/>
          <w:szCs w:val="18"/>
          <w:b w:val="1"/>
          <w:bCs w:val="1"/>
          <w:color w:val="auto"/>
        </w:rPr>
        <w:t>Eurodollar Rate.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8.01.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Evidence of Flood Insurance</w:t>
      </w:r>
      <w:r>
        <w:rPr>
          <w:rFonts w:ascii="Arial" w:cs="Arial" w:eastAsia="Arial" w:hAnsi="Arial"/>
          <w:sz w:val="18"/>
          <w:szCs w:val="18"/>
          <w:color w:val="auto"/>
        </w:rPr>
        <w:t>” has the meaning specified in Section 6.11(b)(vii).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Proceeds</w:t>
      </w:r>
      <w:r>
        <w:rPr>
          <w:rFonts w:ascii="Arial" w:cs="Arial" w:eastAsia="Arial" w:hAnsi="Arial"/>
          <w:sz w:val="18"/>
          <w:szCs w:val="18"/>
          <w:color w:val="auto"/>
        </w:rPr>
        <w:t>” has the meaning specified in Section 7.10(d).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Proceeds Threshold</w:t>
      </w:r>
      <w:r>
        <w:rPr>
          <w:rFonts w:ascii="Arial" w:cs="Arial" w:eastAsia="Arial" w:hAnsi="Arial"/>
          <w:sz w:val="18"/>
          <w:szCs w:val="18"/>
          <w:color w:val="auto"/>
        </w:rPr>
        <w:t>” means $200.0 million ($40.0 million).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Date</w:t>
      </w:r>
      <w:r>
        <w:rPr>
          <w:rFonts w:ascii="Arial" w:cs="Arial" w:eastAsia="Arial" w:hAnsi="Arial"/>
          <w:sz w:val="18"/>
          <w:szCs w:val="18"/>
          <w:color w:val="auto"/>
        </w:rPr>
        <w:t>” has the meaning specified in Section 10.01(b).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w:t>
      </w:r>
      <w:r>
        <w:rPr>
          <w:rFonts w:ascii="Arial" w:cs="Arial" w:eastAsia="Arial" w:hAnsi="Arial"/>
          <w:sz w:val="18"/>
          <w:szCs w:val="18"/>
          <w:color w:val="auto"/>
        </w:rPr>
        <w:t>” and “</w:t>
      </w:r>
      <w:r>
        <w:rPr>
          <w:rFonts w:ascii="Arial" w:cs="Arial" w:eastAsia="Arial" w:hAnsi="Arial"/>
          <w:sz w:val="18"/>
          <w:szCs w:val="18"/>
          <w:b w:val="1"/>
          <w:bCs w:val="1"/>
          <w:color w:val="auto"/>
        </w:rPr>
        <w:t>Exchange Notes</w:t>
      </w:r>
      <w:r>
        <w:rPr>
          <w:rFonts w:ascii="Arial" w:cs="Arial" w:eastAsia="Arial" w:hAnsi="Arial"/>
          <w:sz w:val="18"/>
          <w:szCs w:val="18"/>
          <w:color w:val="auto"/>
        </w:rPr>
        <w:t>” are defined in Section 10.01(a).</w:t>
      </w:r>
    </w:p>
    <w:p>
      <w:pPr>
        <w:spacing w:after="0" w:line="225" w:lineRule="exact"/>
        <w:rPr>
          <w:sz w:val="20"/>
          <w:szCs w:val="20"/>
          <w:color w:val="auto"/>
        </w:rPr>
      </w:pPr>
    </w:p>
    <w:p>
      <w:pPr>
        <w:ind w:right="1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Notes Indenture</w:t>
      </w:r>
      <w:r>
        <w:rPr>
          <w:rFonts w:ascii="Arial" w:cs="Arial" w:eastAsia="Arial" w:hAnsi="Arial"/>
          <w:sz w:val="17"/>
          <w:szCs w:val="17"/>
          <w:color w:val="auto"/>
        </w:rPr>
        <w:t>” means an indenture, in the form negotiated and agreed pursuant to Section 10.02, to be entered into by Borrower, the Guarantors, the trustee thereunder and, if applicable, the collateral agent, governing and pursuant to which the Exchange Notes are issued, as the same may be amended, restated, supplemented, replaced, refinanced or otherwise modified from time to time.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Notes Trustee</w:t>
      </w:r>
      <w:r>
        <w:rPr>
          <w:rFonts w:ascii="Arial" w:cs="Arial" w:eastAsia="Arial" w:hAnsi="Arial"/>
          <w:sz w:val="18"/>
          <w:szCs w:val="18"/>
          <w:color w:val="auto"/>
        </w:rPr>
        <w:t>” has the meaning specified in Section 10.01(d)(i).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Amount</w:t>
      </w:r>
      <w:r>
        <w:rPr>
          <w:rFonts w:ascii="Arial" w:cs="Arial" w:eastAsia="Arial" w:hAnsi="Arial"/>
          <w:sz w:val="18"/>
          <w:szCs w:val="18"/>
          <w:color w:val="auto"/>
        </w:rPr>
        <w:t>” has the meaning given to such term in Section 4.01(i).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specified in the Guarantee and Collateral Agreement.</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(a) any Foreign Subsidiary in respect of which either (i) the pledge of greater than 65.0% of the voting Equity Interests of such Subsidiary as Collateral (</w:t>
      </w:r>
      <w:r>
        <w:rPr>
          <w:rFonts w:ascii="Arial" w:cs="Arial" w:eastAsia="Arial" w:hAnsi="Arial"/>
          <w:sz w:val="17"/>
          <w:szCs w:val="17"/>
          <w:i w:val="1"/>
          <w:iCs w:val="1"/>
          <w:color w:val="auto"/>
        </w:rPr>
        <w:t>provided</w:t>
      </w:r>
      <w:r>
        <w:rPr>
          <w:rFonts w:ascii="Arial" w:cs="Arial" w:eastAsia="Arial" w:hAnsi="Arial"/>
          <w:sz w:val="17"/>
          <w:szCs w:val="17"/>
          <w:color w:val="auto"/>
        </w:rPr>
        <w:t>, that this clause (i) shall be disregarded and of no effect prior to the Debt Assumption) or (ii) the guaranteeing by such Subsidiary of the Obligations would be likely to, in the good faith judgment of the Borrower, result in an adverse tax consequence to the Borrower or its Subsidiaries, as reasonably determined by the Borrower in consultation with the Administrative Agent, as a result of Section 956 of the Code and the Treasury Regulations promulgated thereunder (each a “CFC”), (b) any direct or indirect Subsidiary of a Foreign Subsidiary described in the immediately preceding clause (a), including any Domestic Subsidiary owned by any Foreign Subsidiary described therein, (c) any Receivables Subsidiary, (d) any Escrow Subsidiary or (e) any Unrestricted Subsidiary.</w:t>
      </w:r>
    </w:p>
    <w:p>
      <w:pPr>
        <w:spacing w:after="0" w:line="172"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overall net income (however denominated), franchise Taxes (in lieu of net income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 required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321" w:name="page322"/>
    <w:bookmarkEnd w:id="321"/>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Code to be withheld from amounts payable to a Lender that has failed to comply with clause (A) of Section 3.01(e)(ii), (c) in the case of a Foreign Lender (other than an assignee pursuant to a request by the Borrower under Section 11.13), any United States federal withholding Tax that (i) is required to be imposed on amounts payable to such Foreign Lender pursuant to the Laws in force at the time such Foreign Lender becomes a party hereto (or designates a new Lending Office) or (ii) is attributable to such Foreign Lender’s failure or inability (other than as a result of a Change in Law) to comply with clause (B) of Section 3.01(e)(ii), except that in the case of a Foreign Lender that designates a new Lending Office or becomes a party to this Agreement pursuant to an assignment, withholding Taxes shall not be Excluded Taxes to the extent that such Taxes were not Excluded Taxes with respect to such Foreign Lender or its assignor, as the case may be, immediately before such designation of a new Lending Office or assignment; and (d) any U.S. federal withholding Taxes imposed under FATCA.</w:t>
      </w:r>
    </w:p>
    <w:p>
      <w:pPr>
        <w:spacing w:after="0" w:line="17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means that certain Amended and Restated Credit Agreement, dated as of March 28, 2017, among the Company, Barclays Bank PLC, as administrative agent, various lenders, and the other financial institutions party thereto, as amended or supplemented from time to time.</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Indebtedness</w:t>
      </w:r>
      <w:r>
        <w:rPr>
          <w:rFonts w:ascii="Arial" w:cs="Arial" w:eastAsia="Arial" w:hAnsi="Arial"/>
          <w:sz w:val="18"/>
          <w:szCs w:val="18"/>
          <w:color w:val="auto"/>
        </w:rPr>
        <w:t>” means (i) all Indebtedness (other than the Loans) of the Company’s and the Company’s Subsidiaries in existence on the date of this Agreement and (ii) all Indebtedness (other than the Loans and the Permanent Financing) of BellRing Brands and its Subsidiaries in existence as of the Debt Assumption (if any), in each case until such amounts are repaid.</w:t>
      </w:r>
    </w:p>
    <w:p>
      <w:pPr>
        <w:spacing w:after="0" w:line="176"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Farm Credit Lender</w:t>
      </w:r>
      <w:r>
        <w:rPr>
          <w:rFonts w:ascii="Arial" w:cs="Arial" w:eastAsia="Arial" w:hAnsi="Arial"/>
          <w:sz w:val="18"/>
          <w:szCs w:val="18"/>
          <w:color w:val="auto"/>
        </w:rPr>
        <w:t>” means a lending institution organized and existing pursuant to the provisions of the Farm Credit Act of 1971 and under the regulation of the Farm Credit Administration.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4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116"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the Fee Letter, dated October 11, 2019, between the Company and the Arrangers, as amended, supplemented, restated, assigned, assumed or otherwise modified in accordance with its terms from time to time.</w:t>
      </w:r>
    </w:p>
    <w:p>
      <w:pPr>
        <w:spacing w:after="0" w:line="162" w:lineRule="exact"/>
        <w:rPr>
          <w:sz w:val="20"/>
          <w:szCs w:val="20"/>
          <w:color w:val="auto"/>
        </w:rPr>
      </w:pPr>
    </w:p>
    <w:p>
      <w:pPr>
        <w:ind w:right="8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Effective Rate</w:t>
      </w:r>
      <w:r>
        <w:rPr>
          <w:rFonts w:ascii="Arial" w:cs="Arial" w:eastAsia="Arial" w:hAnsi="Arial"/>
          <w:sz w:val="16"/>
          <w:szCs w:val="16"/>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Federal Funds Effective Rate for any day is less than zero, the Federal Funds Effective Rate for such day will be deemed zero.</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22" w:name="page323"/>
    <w:bookmarkEnd w:id="3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Borrower and its Restricted Subsidiaries ending on September 30 of each calendar year.</w:t>
      </w:r>
    </w:p>
    <w:p>
      <w:pPr>
        <w:spacing w:after="0" w:line="225"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 Coverage Ratio</w:t>
      </w:r>
      <w:r>
        <w:rPr>
          <w:rFonts w:ascii="Arial" w:cs="Arial" w:eastAsia="Arial" w:hAnsi="Arial"/>
          <w:sz w:val="17"/>
          <w:szCs w:val="17"/>
          <w:color w:val="auto"/>
        </w:rPr>
        <w:t>” means, with respect to any specified Person for any period (for purposes of this definition, the “</w:t>
      </w:r>
      <w:r>
        <w:rPr>
          <w:rFonts w:ascii="Arial" w:cs="Arial" w:eastAsia="Arial" w:hAnsi="Arial"/>
          <w:sz w:val="17"/>
          <w:szCs w:val="17"/>
          <w:b w:val="1"/>
          <w:bCs w:val="1"/>
          <w:color w:val="auto"/>
        </w:rPr>
        <w:t>Reference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ratio of Consolidated Cash Flow of such Person for the Reference Period to the Fixed Charges of such Person for the Reference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that the specified Person or any of its Restricted Subsidiaries incurs, assumes, Guarantees, repays, repurchases, redeems, defeases or otherwise discharges any Indebtedness (other than ordinary working capital borrowings) or issues, repurchases or redeems preferred stock, in each case, subsequent to the commencement of the Reference Period and on or prior to the date of the event for which the calculation of the Fixed Charge Coverage Ratio is made (for purposes of this definition, the “</w:t>
      </w:r>
      <w:r>
        <w:rPr>
          <w:rFonts w:ascii="Arial" w:cs="Arial" w:eastAsia="Arial" w:hAnsi="Arial"/>
          <w:sz w:val="17"/>
          <w:szCs w:val="17"/>
          <w:b w:val="1"/>
          <w:bCs w:val="1"/>
          <w:color w:val="auto"/>
        </w:rPr>
        <w:t>Calculation Date</w:t>
      </w:r>
      <w:r>
        <w:rPr>
          <w:rFonts w:ascii="Arial" w:cs="Arial" w:eastAsia="Arial" w:hAnsi="Arial"/>
          <w:sz w:val="17"/>
          <w:szCs w:val="17"/>
          <w:color w:val="auto"/>
        </w:rPr>
        <w:t>”), then the Fixed Charge Coverage Ratio shall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Reference Period; provided that the pro forma calculation of the Fixed Charge Coverage Ratio shall not give effect to (i) any Indebtedness incurred on the Calculation Date in reliance on the provisions described in the definition of Permitted Debt (provided, however, that such calculation shall give effect to Indebtedness incurred on the Calculation Date in reliance on clauses (2), (3) and (20) of the definition of Permitted Debt) or (ii) any Indebtedness discharged on the Calculation Date to the extent that such discharge results from the proceeds of Indebtedness incurred on the Calculation Date in reliance on the provisions described in the definition of Permitted Debt.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40" w:firstLine="428"/>
        <w:spacing w:after="0" w:line="276" w:lineRule="auto"/>
        <w:tabs>
          <w:tab w:leader="none" w:pos="110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Reference Period or subsequent to the Reference Period and on or prior to the Calculation Date will be given pro forma effect as if they had occurred on the first day of the Reference Period, and Consolidated Cash Flow for such Reference Period will be calculated on a pro forma basis;</w:t>
      </w:r>
    </w:p>
    <w:p>
      <w:pPr>
        <w:spacing w:after="0" w:line="64" w:lineRule="exact"/>
        <w:rPr>
          <w:rFonts w:ascii="Arial" w:cs="Arial" w:eastAsia="Arial" w:hAnsi="Arial"/>
          <w:sz w:val="17"/>
          <w:szCs w:val="17"/>
          <w:color w:val="auto"/>
        </w:rPr>
      </w:pPr>
    </w:p>
    <w:p>
      <w:pPr>
        <w:ind w:left="440" w:right="700" w:firstLine="428"/>
        <w:spacing w:after="0" w:line="277" w:lineRule="auto"/>
        <w:tabs>
          <w:tab w:leader="none" w:pos="111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ownerships therein) disposed of prior to the Calculation Date, shall be excluded; and</w:t>
      </w:r>
    </w:p>
    <w:p>
      <w:pPr>
        <w:spacing w:after="0" w:line="62" w:lineRule="exact"/>
        <w:rPr>
          <w:rFonts w:ascii="Arial" w:cs="Arial" w:eastAsia="Arial" w:hAnsi="Arial"/>
          <w:sz w:val="18"/>
          <w:szCs w:val="18"/>
          <w:color w:val="auto"/>
        </w:rPr>
      </w:pPr>
    </w:p>
    <w:p>
      <w:pPr>
        <w:ind w:left="440" w:right="260" w:firstLine="428"/>
        <w:spacing w:after="0" w:line="312" w:lineRule="auto"/>
        <w:tabs>
          <w:tab w:leader="none" w:pos="110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69" w:right="439" w:bottom="1440" w:gutter="0" w:footer="0" w:header="0"/>
        </w:sectPr>
      </w:pPr>
    </w:p>
    <w:bookmarkStart w:id="323" w:name="page324"/>
    <w:bookmarkEnd w:id="323"/>
    <w:p>
      <w:pPr>
        <w:ind w:firstLine="428"/>
        <w:spacing w:after="0" w:line="267" w:lineRule="auto"/>
        <w:tabs>
          <w:tab w:leader="none" w:pos="678"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definition, whenever pro forma effect is to be given to a transaction or a calculation is to be made on a pro forma basis, the pro forma calculations shall be made in good faith by a responsible financial or accounting officer of the Borrower and may include, without duplication, cost savings, synergies and operating expense reductions resulting from such transaction that have been realized or are expected, in the reasonable judgment of such financial or accounting officer, to be realized within 12 months of the date of calculation. Any such pro forma calculation may include adjustments appropriate, in the reasonable determination of the Borrower as set forth in an Officer’s Certificate, to reflect all adjustments included in the calculation of Adjusted EBITDA as set forth in notes (5) and (6) to the “</w:t>
      </w:r>
      <w:r>
        <w:rPr>
          <w:rFonts w:ascii="Arial" w:cs="Arial" w:eastAsia="Arial" w:hAnsi="Arial"/>
          <w:sz w:val="17"/>
          <w:szCs w:val="17"/>
          <w:b w:val="1"/>
          <w:bCs w:val="1"/>
          <w:color w:val="auto"/>
        </w:rPr>
        <w:t>Summary Historical 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in the Offering Memorandum to the extent such adjustments, without duplication, continue to be applicable to such four-quarter</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and for the avoidance of doubt, if any Indebtedness bears a fixed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Interest on a Capital Lease Obligation shall be deemed to accrue at an interest rate reasonably determined by a responsible financial or accounting officer of the Borrower to be the rate of interest implicit in such Capital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offering rate, or other rate, shall be deemed to have been based upon the rate actually chosen, or, if none, then based upon such optional rate chosen as the Borrower may designate.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121" w:lineRule="exact"/>
        <w:rPr>
          <w:sz w:val="20"/>
          <w:szCs w:val="20"/>
          <w:color w:val="auto"/>
        </w:rPr>
      </w:pPr>
    </w:p>
    <w:p>
      <w:pPr>
        <w:ind w:right="80" w:firstLine="428"/>
        <w:spacing w:after="0" w:line="276" w:lineRule="auto"/>
        <w:tabs>
          <w:tab w:leader="none" w:pos="66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and any redemption or repurchase premiums paid; </w:t>
      </w:r>
      <w:r>
        <w:rPr>
          <w:rFonts w:ascii="Arial" w:cs="Arial" w:eastAsia="Arial" w:hAnsi="Arial"/>
          <w:sz w:val="17"/>
          <w:szCs w:val="17"/>
          <w:i w:val="1"/>
          <w:iCs w:val="1"/>
          <w:color w:val="auto"/>
        </w:rPr>
        <w:t>plus</w:t>
      </w:r>
    </w:p>
    <w:p>
      <w:pPr>
        <w:spacing w:after="0" w:line="64" w:lineRule="exact"/>
        <w:rPr>
          <w:rFonts w:ascii="Arial" w:cs="Arial" w:eastAsia="Arial" w:hAnsi="Arial"/>
          <w:sz w:val="17"/>
          <w:szCs w:val="17"/>
          <w:color w:val="auto"/>
        </w:rPr>
      </w:pPr>
    </w:p>
    <w:p>
      <w:pPr>
        <w:ind w:left="680" w:hanging="252"/>
        <w:spacing w:after="0"/>
        <w:tabs>
          <w:tab w:leader="none" w:pos="6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that was capitalized during such period;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right="40" w:firstLine="428"/>
        <w:spacing w:after="0" w:line="308" w:lineRule="auto"/>
        <w:tabs>
          <w:tab w:leader="none" w:pos="66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7"/>
          <w:szCs w:val="17"/>
          <w:i w:val="1"/>
          <w:iCs w:val="1"/>
          <w:color w:val="auto"/>
        </w:rPr>
        <w:t>plus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3" w:right="439" w:bottom="1440" w:gutter="0" w:footer="0" w:header="0"/>
        </w:sectPr>
      </w:pPr>
    </w:p>
    <w:bookmarkStart w:id="324" w:name="page325"/>
    <w:bookmarkEnd w:id="324"/>
    <w:p>
      <w:pPr>
        <w:jc w:val="both"/>
        <w:ind w:left="440" w:right="60" w:firstLine="428"/>
        <w:spacing w:after="0" w:line="286" w:lineRule="auto"/>
        <w:tabs>
          <w:tab w:leader="none" w:pos="1118" w:val="left"/>
        </w:tabs>
        <w:numPr>
          <w:ilvl w:val="1"/>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dividend payments, whether paid or accrued and whether or not in cash, on any series of Disqualified Equity Interests of such Person or its Restricted Subsidiaries or on any series of preferred stock of any of its Restricted Subsidiaries (other than a Guarantor), other than dividend payments on any such Equity Interests payable solely (i) in Equity Interests of the Borrower or its Restricted Subsidiaries (other than Disqualified Equity Interests of such Person or its Restricted Subsidiaries or preferred stock of any of its Restricted Subsidiaries (other than a Guarantor)) or</w:t>
      </w:r>
    </w:p>
    <w:p>
      <w:pPr>
        <w:spacing w:after="0" w:line="1" w:lineRule="exact"/>
        <w:rPr>
          <w:rFonts w:ascii="Arial" w:cs="Arial" w:eastAsia="Arial" w:hAnsi="Arial"/>
          <w:sz w:val="16"/>
          <w:szCs w:val="16"/>
          <w:color w:val="auto"/>
        </w:rPr>
      </w:pPr>
    </w:p>
    <w:p>
      <w:pPr>
        <w:ind w:left="700" w:hanging="256"/>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to the Borrower or a Restricted Subsidiary of the Borrower; </w:t>
      </w:r>
      <w:r>
        <w:rPr>
          <w:rFonts w:ascii="Arial" w:cs="Arial" w:eastAsia="Arial" w:hAnsi="Arial"/>
          <w:sz w:val="18"/>
          <w:szCs w:val="18"/>
          <w:i w:val="1"/>
          <w:iCs w:val="1"/>
          <w:color w:val="auto"/>
        </w:rPr>
        <w:t>minus</w:t>
      </w:r>
    </w:p>
    <w:p>
      <w:pPr>
        <w:spacing w:after="0" w:line="102" w:lineRule="exact"/>
        <w:rPr>
          <w:rFonts w:ascii="Arial" w:cs="Arial" w:eastAsia="Arial" w:hAnsi="Arial"/>
          <w:sz w:val="18"/>
          <w:szCs w:val="18"/>
          <w:color w:val="auto"/>
        </w:rPr>
      </w:pPr>
    </w:p>
    <w:p>
      <w:pPr>
        <w:ind w:left="1120" w:hanging="252"/>
        <w:spacing w:after="0"/>
        <w:tabs>
          <w:tab w:leader="none" w:pos="11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 Loans</w:t>
      </w:r>
      <w:r>
        <w:rPr>
          <w:rFonts w:ascii="Arial" w:cs="Arial" w:eastAsia="Arial" w:hAnsi="Arial"/>
          <w:sz w:val="18"/>
          <w:szCs w:val="18"/>
          <w:color w:val="auto"/>
        </w:rPr>
        <w:t>” means the Loans beginning on the first day the Loans bear interest at the Total Cap for any reason.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Determination Form</w:t>
      </w:r>
      <w:r>
        <w:rPr>
          <w:rFonts w:ascii="Arial" w:cs="Arial" w:eastAsia="Arial" w:hAnsi="Arial"/>
          <w:sz w:val="18"/>
          <w:szCs w:val="18"/>
          <w:color w:val="auto"/>
        </w:rPr>
        <w:t>” has the meaning specified in Section 6.11(b)(vii).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Documents</w:t>
      </w:r>
      <w:r>
        <w:rPr>
          <w:rFonts w:ascii="Arial" w:cs="Arial" w:eastAsia="Arial" w:hAnsi="Arial"/>
          <w:sz w:val="18"/>
          <w:szCs w:val="18"/>
          <w:color w:val="auto"/>
        </w:rPr>
        <w:t>” has the meaning specified in Section 6.11(b)(vii).</w:t>
      </w:r>
    </w:p>
    <w:p>
      <w:pPr>
        <w:spacing w:after="0" w:line="225" w:lineRule="exact"/>
        <w:rPr>
          <w:sz w:val="20"/>
          <w:szCs w:val="20"/>
          <w:color w:val="auto"/>
        </w:rPr>
      </w:pPr>
    </w:p>
    <w:p>
      <w:pPr>
        <w:ind w:right="1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Flood Laws</w:t>
      </w:r>
      <w:r>
        <w:rPr>
          <w:rFonts w:ascii="Arial" w:cs="Arial" w:eastAsia="Arial" w:hAnsi="Arial"/>
          <w:sz w:val="17"/>
          <w:szCs w:val="17"/>
          <w:color w:val="auto"/>
        </w:rPr>
        <w:t>” means (i) the National Flood Insurance Act of 1968, (ii) the Flood Disaster Protection Act of 1973, (iii) the National Flood Insurance Reform Act of 1994, (iv) the Flood Insurance Reform Act of 2004 and (v) the Biggert –Waters Flood Insurance Reform Act of 2012, in each case, together with all regulations promulgated thereunder, as such statutes or regulations may be amended or modified from time to time.</w:t>
      </w:r>
    </w:p>
    <w:p>
      <w:pPr>
        <w:spacing w:after="0" w:line="158"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Security Documents</w:t>
      </w:r>
      <w:r>
        <w:rPr>
          <w:rFonts w:ascii="Arial" w:cs="Arial" w:eastAsia="Arial" w:hAnsi="Arial"/>
          <w:sz w:val="17"/>
          <w:szCs w:val="17"/>
          <w:color w:val="auto"/>
        </w:rPr>
        <w:t>” means the collective reference to the security agreements, debentures, pledge agreements, charges, and other similar documents and agreements pursuant to which any Loan Party purports, from and after the Debt Assumption, to pledge or grant a security interest in any property or assets located outside the United States (including the equity interests of any Person formed or existing under the laws of any jurisdiction other than the United States or any political subdivision thereof) securing the Obligations.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25" w:name="page326"/>
    <w:bookmarkEnd w:id="325"/>
    <w:p>
      <w:pPr>
        <w:ind w:right="80" w:firstLine="44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National Association of Insurance Commissioners and any supra-national bodies such as the European Union or the European Central Bank).</w:t>
      </w:r>
    </w:p>
    <w:p>
      <w:pPr>
        <w:spacing w:after="0" w:line="165"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5" w:lineRule="exact"/>
        <w:rPr>
          <w:sz w:val="20"/>
          <w:szCs w:val="20"/>
          <w:color w:val="auto"/>
        </w:rPr>
      </w:pPr>
    </w:p>
    <w:p>
      <w:pPr>
        <w:ind w:right="20" w:firstLine="4"/>
        <w:spacing w:after="0" w:line="268" w:lineRule="auto"/>
        <w:tabs>
          <w:tab w:leader="none" w:pos="25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provided that the term “</w:t>
      </w:r>
      <w:r>
        <w:rPr>
          <w:rFonts w:ascii="Arial" w:cs="Arial" w:eastAsia="Arial" w:hAnsi="Arial"/>
          <w:sz w:val="17"/>
          <w:szCs w:val="17"/>
          <w:b w:val="1"/>
          <w:bCs w:val="1"/>
          <w:color w:val="auto"/>
        </w:rPr>
        <w:t>Guarantee</w:t>
      </w:r>
      <w:r>
        <w:rPr>
          <w:rFonts w:ascii="Arial" w:cs="Arial" w:eastAsia="Arial" w:hAnsi="Arial"/>
          <w:sz w:val="17"/>
          <w:szCs w:val="17"/>
          <w:color w:val="auto"/>
        </w:rPr>
        <w:t>” shall not include endorsements for collection or deposit, in either case in the ordinary course of business, or customary and reasonable indemnity obligations in effect on the Closing Date or Debt Assumption Date, as applicable,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b w:val="1"/>
          <w:bCs w:val="1"/>
          <w:color w:val="auto"/>
        </w:rPr>
        <w:t>Guarantee</w:t>
      </w:r>
      <w:r>
        <w:rPr>
          <w:rFonts w:ascii="Arial" w:cs="Arial" w:eastAsia="Arial" w:hAnsi="Arial"/>
          <w:sz w:val="17"/>
          <w:szCs w:val="17"/>
          <w:color w:val="auto"/>
        </w:rPr>
        <w:t>” as a verb has a corresponding meaning.</w:t>
      </w:r>
    </w:p>
    <w:p>
      <w:pPr>
        <w:spacing w:after="0" w:line="18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and Collateral Agreement</w:t>
      </w:r>
      <w:r>
        <w:rPr>
          <w:rFonts w:ascii="Arial" w:cs="Arial" w:eastAsia="Arial" w:hAnsi="Arial"/>
          <w:sz w:val="18"/>
          <w:szCs w:val="18"/>
          <w:color w:val="auto"/>
        </w:rPr>
        <w:t>” means the guarantee and collateral agreement of even date herewith executed and delivered by the Loan Parties and substantially in the form of Exhibit G.</w:t>
      </w:r>
    </w:p>
    <w:p>
      <w:pPr>
        <w:spacing w:after="0" w:line="162"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collectively, each existing and future direct or indirect Subsidiary of the Borrower (other than any Excluded Subsidiary or any Immaterial Subsidiary).</w:t>
      </w:r>
    </w:p>
    <w:p>
      <w:pPr>
        <w:spacing w:after="0" w:line="162" w:lineRule="exact"/>
        <w:rPr>
          <w:sz w:val="20"/>
          <w:szCs w:val="20"/>
          <w:color w:val="auto"/>
        </w:rPr>
      </w:pPr>
    </w:p>
    <w:p>
      <w:pPr>
        <w:ind w:right="4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all explosive or radioactive substances or wastes, contaminants, pollutants or any other hazardous or toxic substances, wastes or materials regulated under or defined in any Environmental Law, including petroleum, its derivatives or petroleum distillates, asbestos or asbestos-containing materials, polychlorinated biphenyls, radon gas, and infectious or medical wastes.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26" w:name="page327"/>
    <w:bookmarkEnd w:id="326"/>
    <w:p>
      <w:pPr>
        <w:ind w:right="8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Hedge Bank</w:t>
      </w:r>
      <w:r>
        <w:rPr>
          <w:rFonts w:ascii="Arial" w:cs="Arial" w:eastAsia="Arial" w:hAnsi="Arial"/>
          <w:sz w:val="17"/>
          <w:szCs w:val="17"/>
          <w:color w:val="auto"/>
        </w:rPr>
        <w:t>” means any Person that, at the time it enters into a Swap Contract permitted hereunder, is a Lender, the Administrative Agent or an Arranger or an Affiliate of a Lender, the Administrative Agent or an Arranger in its capacity as a party to such Swap Contract.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obligations under any Swap Contract.</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means, as of any date, any Subsidiary that, (a) as of the last date of the most recent fiscal quarter of the Borrower for which financial statements have been delivered, accounts for less than 2.5% of the Consolidated Total Assets of the Borrower and less than 2.5% of the net sales of the Borrower and its Subsidiaries on a consolidated basis, in each case, as measured as of the last day of the most recent fiscal quarter of the Borrower for which financial statements have been delivered and (b) does not, directly or indirectly, hold Equity Interests in any Subsidiary that is not an Immaterial Subsidiary as of such date; provided that if, as of the last date of the most recent fiscal quarter of the Borrower for which financial statements have been delivered, the aggregate amount of Consolidated Total Assets or net sales attributable to all Subsidiaries that are Immaterial Subsidiaries exceeds 5% of the Consolidated Total Assets of the Borrower or 5% of the net sales of the Borrower and its Subsidiaries on a consolidated basis, then a sufficient number of Subsidiaries shall be designated by the Borrower (or, in the event the Borrower has failed to do so within twenty days, the Administrative Agent) to eliminate such excess, and such designated Subsidiaries shall no longer constitute Immaterial Subsidiaries under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103" w:lineRule="exact"/>
        <w:rPr>
          <w:sz w:val="20"/>
          <w:szCs w:val="20"/>
          <w:color w:val="auto"/>
        </w:rPr>
      </w:pPr>
    </w:p>
    <w:p>
      <w:pPr>
        <w:ind w:left="440" w:right="20" w:firstLine="428"/>
        <w:spacing w:after="0" w:line="264" w:lineRule="auto"/>
        <w:tabs>
          <w:tab w:leader="none" w:pos="11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 any trade payables or other current liabilities incurred in the ordinary course of business and (B) any earn-out obligations until such obligation becomes a liability on the balance sheet of such Person in accordance with GAAP;</w:t>
      </w:r>
    </w:p>
    <w:p>
      <w:pPr>
        <w:spacing w:after="0" w:line="73" w:lineRule="exact"/>
        <w:rPr>
          <w:rFonts w:ascii="Arial" w:cs="Arial" w:eastAsia="Arial" w:hAnsi="Arial"/>
          <w:sz w:val="18"/>
          <w:szCs w:val="18"/>
          <w:color w:val="auto"/>
        </w:rPr>
      </w:pPr>
    </w:p>
    <w:p>
      <w:pPr>
        <w:ind w:left="440" w:right="860" w:firstLine="428"/>
        <w:spacing w:after="0" w:line="277" w:lineRule="auto"/>
        <w:tabs>
          <w:tab w:leader="none" w:pos="111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(including purchase-money obligations);</w:t>
      </w:r>
    </w:p>
    <w:p>
      <w:pPr>
        <w:spacing w:after="0" w:line="62" w:lineRule="exact"/>
        <w:rPr>
          <w:rFonts w:ascii="Arial" w:cs="Arial" w:eastAsia="Arial" w:hAnsi="Arial"/>
          <w:sz w:val="18"/>
          <w:szCs w:val="18"/>
          <w:color w:val="auto"/>
        </w:rPr>
      </w:pPr>
    </w:p>
    <w:p>
      <w:pPr>
        <w:ind w:left="440" w:right="420" w:firstLine="428"/>
        <w:spacing w:after="0" w:line="264" w:lineRule="auto"/>
        <w:tabs>
          <w:tab w:leader="none" w:pos="11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Obligations of such Person with respect to letters of credit, bankers’ acceptances or similar facilities (including reimbursement obligations with respect thereto, except to the extent such reimbursement Obligation relates to a trade payable) issued for the account of such Person;</w:t>
      </w:r>
    </w:p>
    <w:p>
      <w:pPr>
        <w:spacing w:after="0" w:line="73"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Capital Lease Obligations of such Person;</w:t>
      </w:r>
    </w:p>
    <w:p>
      <w:pPr>
        <w:spacing w:after="0" w:line="117" w:lineRule="exact"/>
        <w:rPr>
          <w:rFonts w:ascii="Arial" w:cs="Arial" w:eastAsia="Arial" w:hAnsi="Arial"/>
          <w:sz w:val="18"/>
          <w:szCs w:val="18"/>
          <w:color w:val="auto"/>
        </w:rPr>
      </w:pPr>
    </w:p>
    <w:p>
      <w:pPr>
        <w:ind w:left="440" w:right="560" w:firstLine="428"/>
        <w:spacing w:after="0" w:line="277" w:lineRule="auto"/>
        <w:tabs>
          <w:tab w:leader="none" w:pos="108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maximum fixed redemption, repayment or other repurchase price of Disqualified Equity Interests in such Person at the time of determination;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327" w:name="page328"/>
    <w:bookmarkEnd w:id="327"/>
    <w:p>
      <w:pPr>
        <w:ind w:left="440" w:right="80" w:firstLine="428"/>
        <w:spacing w:after="0" w:line="342" w:lineRule="auto"/>
        <w:tabs>
          <w:tab w:leader="none" w:pos="1118"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Hedging Obligations of such Person at the time of determination (the amount of any such Obligations to be equal to the termination value of such agreement or arrangement giving rise to such Obligation that would be payable by such Person at such time); and</w:t>
      </w:r>
    </w:p>
    <w:p>
      <w:pPr>
        <w:spacing w:after="0" w:line="15" w:lineRule="exact"/>
        <w:rPr>
          <w:rFonts w:ascii="Arial" w:cs="Arial" w:eastAsia="Arial" w:hAnsi="Arial"/>
          <w:sz w:val="16"/>
          <w:szCs w:val="16"/>
          <w:color w:val="auto"/>
        </w:rPr>
      </w:pPr>
    </w:p>
    <w:p>
      <w:pPr>
        <w:ind w:left="440" w:firstLine="428"/>
        <w:spacing w:after="0" w:line="271" w:lineRule="auto"/>
        <w:tabs>
          <w:tab w:leader="none" w:pos="111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all Obligations of the types referred to in clauses (a) through (g) of this definition of another Person and all dividends and other distributions of another Person, the payment of which, in either case, (A) such Person has Guaranteed, directly or indirectly, or that is otherwise its legal liability or which such Person has agreed to purchase or repurchase or in respect of which such Person has agreed contingently to supply or advance funds or (B)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 provided that if the holder of such Indebtedness has no recourse to such Person other than to the asset, the amount of such Indebtedness will be deemed to equal the lesser of the value of such asset and the amount of the obligation so secured);</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all purposes of the foregoing:</w:t>
      </w:r>
    </w:p>
    <w:p>
      <w:pPr>
        <w:spacing w:after="0" w:line="117" w:lineRule="exact"/>
        <w:rPr>
          <w:sz w:val="20"/>
          <w:szCs w:val="20"/>
          <w:color w:val="auto"/>
        </w:rPr>
      </w:pPr>
    </w:p>
    <w:p>
      <w:pPr>
        <w:ind w:left="440" w:right="60" w:firstLine="428"/>
        <w:spacing w:after="0" w:line="302" w:lineRule="auto"/>
        <w:tabs>
          <w:tab w:leader="none" w:pos="110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maximum fixed repurchase price of any Disqualified Equity Interests that does not have a fixed repurchase price shall be calculated in accordance with the terms of such Disqualified Equity Interests as if such Disqualified Equity Interests were repurchased on any date on which Indebtedness shall be required to be determined pursuant to this Agreement; provided, however, that, if such Disqualified Equity Interest is not then permitted to be repurchased, the repurchase price shall be the book value of such Disqualified Equity Interests;</w:t>
      </w:r>
    </w:p>
    <w:p>
      <w:pPr>
        <w:spacing w:after="0" w:line="46" w:lineRule="exact"/>
        <w:rPr>
          <w:rFonts w:ascii="Arial" w:cs="Arial" w:eastAsia="Arial" w:hAnsi="Arial"/>
          <w:sz w:val="16"/>
          <w:szCs w:val="16"/>
          <w:color w:val="auto"/>
        </w:rPr>
      </w:pPr>
    </w:p>
    <w:p>
      <w:pPr>
        <w:jc w:val="both"/>
        <w:ind w:left="440" w:right="80" w:firstLine="428"/>
        <w:spacing w:after="0" w:line="286" w:lineRule="auto"/>
        <w:tabs>
          <w:tab w:leader="none" w:pos="111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57" w:lineRule="exact"/>
        <w:rPr>
          <w:rFonts w:ascii="Arial" w:cs="Arial" w:eastAsia="Arial" w:hAnsi="Arial"/>
          <w:sz w:val="17"/>
          <w:szCs w:val="17"/>
          <w:color w:val="auto"/>
        </w:rPr>
      </w:pPr>
    </w:p>
    <w:p>
      <w:pPr>
        <w:ind w:left="440" w:right="160" w:firstLine="428"/>
        <w:spacing w:after="0" w:line="342" w:lineRule="auto"/>
        <w:tabs>
          <w:tab w:leader="none" w:pos="110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the case of any Indebtedness not issued with original issue discount, the amount of any such Indebtedness outstanding as of any date will be the principal amount of the Indebtedness, together with any interest on the Indebtedness that is more than 30 days past due;</w:t>
      </w:r>
    </w:p>
    <w:p>
      <w:pPr>
        <w:spacing w:after="0" w:line="15" w:lineRule="exact"/>
        <w:rPr>
          <w:rFonts w:ascii="Arial" w:cs="Arial" w:eastAsia="Arial" w:hAnsi="Arial"/>
          <w:sz w:val="16"/>
          <w:szCs w:val="16"/>
          <w:color w:val="auto"/>
        </w:rPr>
      </w:pPr>
    </w:p>
    <w:p>
      <w:pPr>
        <w:ind w:left="1120" w:hanging="252"/>
        <w:spacing w:after="0"/>
        <w:tabs>
          <w:tab w:leader="none" w:pos="11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(h)(A) above shall be the maximum liability under any such Guarantee;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328" w:name="page329"/>
    <w:bookmarkEnd w:id="328"/>
    <w:p>
      <w:pPr>
        <w:ind w:left="440" w:right="300" w:firstLine="428"/>
        <w:spacing w:after="0" w:line="277" w:lineRule="auto"/>
        <w:tabs>
          <w:tab w:leader="none" w:pos="1108"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Indebtedness described in clause (h)(B) above shall be the lesser of (I) the maximum amount of the Obligations so secured and (II) the fair market value of such property or other assets; and</w:t>
      </w:r>
    </w:p>
    <w:p>
      <w:pPr>
        <w:spacing w:after="0" w:line="62" w:lineRule="exact"/>
        <w:rPr>
          <w:rFonts w:ascii="Arial" w:cs="Arial" w:eastAsia="Arial" w:hAnsi="Arial"/>
          <w:sz w:val="18"/>
          <w:szCs w:val="18"/>
          <w:color w:val="auto"/>
        </w:rPr>
      </w:pPr>
    </w:p>
    <w:p>
      <w:pPr>
        <w:ind w:left="440" w:right="640" w:firstLine="428"/>
        <w:spacing w:after="0" w:line="277" w:lineRule="auto"/>
        <w:tabs>
          <w:tab w:leader="none" w:pos="108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except as described in clause (e) above, interest, fees, premium, and expenses and additional payments, if any, will not constitute Indebtedness.</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Notwithstanding the foregoing, in connection with the purchase or sale by the Borrower or any Restricted Subsidiary of any assets or business, the term “</w:t>
      </w:r>
      <w:r>
        <w:rPr>
          <w:rFonts w:ascii="Arial" w:cs="Arial" w:eastAsia="Arial" w:hAnsi="Arial"/>
          <w:sz w:val="16"/>
          <w:szCs w:val="16"/>
          <w:b w:val="1"/>
          <w:bCs w:val="1"/>
          <w:color w:val="auto"/>
        </w:rPr>
        <w:t>Indebtedness</w:t>
      </w:r>
      <w:r>
        <w:rPr>
          <w:rFonts w:ascii="Arial" w:cs="Arial" w:eastAsia="Arial" w:hAnsi="Arial"/>
          <w:sz w:val="16"/>
          <w:szCs w:val="16"/>
          <w:color w:val="auto"/>
        </w:rPr>
        <w:t>” will exclude (x) customary indemnification obligations and (y) post-closing payment adjustments to which the other party may become entitled to the extent such payment is determined by a final closing balance sheet or such payment is otherwise contingent; provided, however, that, such amount would not be required to be reflected on the face of a balance sheet prepared in accordance with GAAP.</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has the meaning specified in Section 11.04(b).</w:t>
      </w:r>
    </w:p>
    <w:p>
      <w:pPr>
        <w:spacing w:after="0" w:line="225" w:lineRule="exact"/>
        <w:rPr>
          <w:sz w:val="20"/>
          <w:szCs w:val="20"/>
          <w:color w:val="auto"/>
        </w:rPr>
      </w:pPr>
    </w:p>
    <w:p>
      <w:pPr>
        <w:ind w:right="3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specified in Section 11.04(b).</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Lenders</w:t>
      </w:r>
      <w:r>
        <w:rPr>
          <w:rFonts w:ascii="Arial" w:cs="Arial" w:eastAsia="Arial" w:hAnsi="Arial"/>
          <w:sz w:val="18"/>
          <w:szCs w:val="18"/>
          <w:color w:val="auto"/>
        </w:rPr>
        <w:t>” means Morgan Stanley, Bank of America, N.A., Citibank, N.A., Credit Suisse AG, Cayman Islands Branch, Goldman Sachs Bank USA and JPMorgan Chase Bank, N.A.</w:t>
      </w:r>
      <w:r>
        <w:rPr>
          <w:rFonts w:ascii="Arial" w:cs="Arial" w:eastAsia="Arial" w:hAnsi="Arial"/>
          <w:sz w:val="18"/>
          <w:szCs w:val="18"/>
          <w:b w:val="1"/>
          <w:bCs w:val="1"/>
          <w:color w:val="auto"/>
        </w:rPr>
        <w:t>,</w:t>
      </w:r>
      <w:r>
        <w:rPr>
          <w:rFonts w:ascii="Arial" w:cs="Arial" w:eastAsia="Arial" w:hAnsi="Arial"/>
          <w:sz w:val="18"/>
          <w:szCs w:val="18"/>
          <w:color w:val="auto"/>
        </w:rPr>
        <w:t xml:space="preserve"> as Lenders.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as to any Loan, the last day of each Interest Period and the Maturity Date.</w:t>
      </w:r>
    </w:p>
    <w:p>
      <w:pPr>
        <w:spacing w:after="0" w:line="225" w:lineRule="exact"/>
        <w:rPr>
          <w:sz w:val="20"/>
          <w:szCs w:val="20"/>
          <w:color w:val="auto"/>
        </w:rPr>
      </w:pPr>
    </w:p>
    <w:p>
      <w:pPr>
        <w:ind w:right="10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means, as to each Loan: (i) the period commencing on the Closing Date to but excluding October 21, 2019 (the “</w:t>
      </w:r>
      <w:r>
        <w:rPr>
          <w:rFonts w:ascii="Arial" w:cs="Arial" w:eastAsia="Arial" w:hAnsi="Arial"/>
          <w:sz w:val="17"/>
          <w:szCs w:val="17"/>
          <w:b w:val="1"/>
          <w:bCs w:val="1"/>
          <w:color w:val="auto"/>
        </w:rPr>
        <w:t>first Interest</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(ii) the period commencing on October 21, 2019 to but excluding October 25, 2019 (the “</w:t>
      </w:r>
      <w:r>
        <w:rPr>
          <w:rFonts w:ascii="Arial" w:cs="Arial" w:eastAsia="Arial" w:hAnsi="Arial"/>
          <w:sz w:val="17"/>
          <w:szCs w:val="17"/>
          <w:b w:val="1"/>
          <w:bCs w:val="1"/>
          <w:color w:val="auto"/>
        </w:rPr>
        <w:t>second Interest Period</w:t>
      </w:r>
      <w:r>
        <w:rPr>
          <w:rFonts w:ascii="Arial" w:cs="Arial" w:eastAsia="Arial" w:hAnsi="Arial"/>
          <w:sz w:val="17"/>
          <w:szCs w:val="17"/>
          <w:color w:val="auto"/>
        </w:rPr>
        <w:t>”), (iii) the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commencing on October 25, 2019 and ending on December 31, 2019 and (iv) thereafter until the Maturity Date, the period commencing on the last day of the prior Interest Period and ending on the last day of each fiscal quarter of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61" w:lineRule="exact"/>
        <w:rPr>
          <w:sz w:val="20"/>
          <w:szCs w:val="20"/>
          <w:color w:val="auto"/>
        </w:rPr>
      </w:pPr>
    </w:p>
    <w:p>
      <w:pPr>
        <w:ind w:left="440" w:right="120" w:firstLine="428"/>
        <w:spacing w:after="0" w:line="342" w:lineRule="auto"/>
        <w:tabs>
          <w:tab w:leader="none" w:pos="110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fiscal quarter, in which case such Interest Period shall end on the next preceding Business Day; and</w:t>
      </w:r>
    </w:p>
    <w:p>
      <w:pPr>
        <w:spacing w:after="0" w:line="15" w:lineRule="exact"/>
        <w:rPr>
          <w:rFonts w:ascii="Arial" w:cs="Arial" w:eastAsia="Arial" w:hAnsi="Arial"/>
          <w:sz w:val="16"/>
          <w:szCs w:val="16"/>
          <w:color w:val="auto"/>
        </w:rPr>
      </w:pPr>
    </w:p>
    <w:p>
      <w:pPr>
        <w:ind w:left="1120" w:hanging="252"/>
        <w:spacing w:after="0"/>
        <w:tabs>
          <w:tab w:leader="none" w:pos="11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such Loan.</w:t>
      </w:r>
    </w:p>
    <w:p>
      <w:pPr>
        <w:spacing w:after="0" w:line="221"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with respect to any Interest Period in respect of Loans, the date that is two Business Days prior to the first day of such Interest Period.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3" w:right="459" w:bottom="1440" w:gutter="0" w:footer="0" w:header="0"/>
        </w:sectPr>
      </w:pPr>
    </w:p>
    <w:bookmarkStart w:id="329" w:name="page330"/>
    <w:bookmarkEnd w:id="3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Interpolated Rate</w:t>
      </w:r>
      <w:r>
        <w:rPr>
          <w:rFonts w:ascii="Arial" w:cs="Arial" w:eastAsia="Arial" w:hAnsi="Arial"/>
          <w:sz w:val="18"/>
          <w:szCs w:val="18"/>
          <w:color w:val="auto"/>
        </w:rPr>
        <w:t>” means, in relation to the LIBO Rate, the rate which results from interpolating on a linear basis between:</w:t>
      </w:r>
    </w:p>
    <w:p>
      <w:pPr>
        <w:spacing w:after="0" w:line="121" w:lineRule="exact"/>
        <w:rPr>
          <w:sz w:val="20"/>
          <w:szCs w:val="20"/>
          <w:color w:val="auto"/>
        </w:rPr>
      </w:pPr>
    </w:p>
    <w:p>
      <w:pPr>
        <w:ind w:left="440" w:right="400" w:firstLine="428"/>
        <w:spacing w:after="0" w:line="277" w:lineRule="auto"/>
        <w:tabs>
          <w:tab w:leader="none" w:pos="110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applicable LIBO Rate for the longest period (for which that LIBO Rate is available) which is less than the Interest Period of that Loan;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applicable LIBO Rate for the shortest period (for which that LIBO Rate is available) which exceeds the Interest Period of that Loan,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each as of approximately 11:00 a.m. (London, England time) on the Interest Rate Determination Date.</w:t>
      </w:r>
    </w:p>
    <w:p>
      <w:pPr>
        <w:spacing w:after="0" w:line="2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accounts receivable, trade credit and advances to customers in the ordinary course of business and commission, travel and similar advances to officers and employees made in the ordinary course of business), prepaid expenses and accounts receivable, purchases or other acquisitions for consideration of Indebtedness, Equity Interests or other securities, together with all items that are or would be classified as investments on a balance sheet prepared in accordance with GAAP. If the Borrower or any Subsidiary of the Borrower sells or otherwise disposes of any Equity Interests of any direct or indirect Subsidiary of the Borrower such that, after giving effect to any such sale or disposition, such Person is no longer a direct or indirect Subsidiary of the Borrower, the Borrower shall be deemed to have made an Investment on the date of any such sale or disposition equal to the fair market value of the Equity Interests of such Subsidiary not sold or disposed of in an amount determined as provided in the last paragraph of Section 7.07.</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has the meaning specified in Section 5.18.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initial public offering of BRBR pursuant to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has the meaning specified in Section 11.20.</w:t>
      </w:r>
    </w:p>
    <w:p>
      <w:pPr>
        <w:spacing w:after="0" w:line="225"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330" w:name="page331"/>
    <w:bookmarkEnd w:id="330"/>
    <w:p>
      <w:pPr>
        <w:ind w:right="20"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provided that in no event will an operating lease be deemed to constitute a Lien.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bridge loan made by a Lender to Borrower pursuant to Section 2.01.</w:t>
      </w:r>
    </w:p>
    <w:p>
      <w:pPr>
        <w:spacing w:after="0" w:line="225" w:lineRule="exact"/>
        <w:rPr>
          <w:sz w:val="20"/>
          <w:szCs w:val="20"/>
          <w:color w:val="auto"/>
        </w:rPr>
      </w:pPr>
    </w:p>
    <w:p>
      <w:pPr>
        <w:ind w:right="7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each Note, the Collateral Documents, the Pari Passu Intercreditor Agreement, and any other agreement or instrument designated as a “</w:t>
      </w:r>
      <w:r>
        <w:rPr>
          <w:rFonts w:ascii="Arial" w:cs="Arial" w:eastAsia="Arial" w:hAnsi="Arial"/>
          <w:sz w:val="18"/>
          <w:szCs w:val="18"/>
          <w:b w:val="1"/>
          <w:bCs w:val="1"/>
          <w:color w:val="auto"/>
        </w:rPr>
        <w:t>Loan Document</w:t>
      </w:r>
      <w:r>
        <w:rPr>
          <w:rFonts w:ascii="Arial" w:cs="Arial" w:eastAsia="Arial" w:hAnsi="Arial"/>
          <w:sz w:val="18"/>
          <w:szCs w:val="18"/>
          <w:color w:val="auto"/>
        </w:rPr>
        <w:t>” by its terms.</w:t>
      </w:r>
    </w:p>
    <w:p>
      <w:pPr>
        <w:spacing w:after="0" w:line="162"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the Borrower and each Guarantor, and each of the aforementioned, individually, a “</w:t>
      </w:r>
      <w:r>
        <w:rPr>
          <w:rFonts w:ascii="Arial" w:cs="Arial" w:eastAsia="Arial" w:hAnsi="Arial"/>
          <w:sz w:val="18"/>
          <w:szCs w:val="18"/>
          <w:b w:val="1"/>
          <w:bCs w:val="1"/>
          <w:color w:val="auto"/>
        </w:rPr>
        <w:t>Loan Party.</w:t>
      </w:r>
      <w:r>
        <w:rPr>
          <w:rFonts w:ascii="Arial" w:cs="Arial" w:eastAsia="Arial" w:hAnsi="Arial"/>
          <w:sz w:val="18"/>
          <w:szCs w:val="18"/>
          <w:color w:val="auto"/>
        </w:rPr>
        <w:t>” For avoidance of doubt, prior to the Debt Assumption, references to the Loan Parties exclude all Unrestricted Subsidiaries and BRBR, and after the Debt Assumption, references to the Loan Parties exclude all Unrestricted Subsidiaries, the Company, BRBR, and the Pre-Assumption Guarantors (other than the Post-Assumption Guarantors).</w:t>
      </w:r>
    </w:p>
    <w:p>
      <w:pPr>
        <w:spacing w:after="0" w:line="180"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Premium</w:t>
      </w:r>
      <w:r>
        <w:rPr>
          <w:rFonts w:ascii="Arial" w:cs="Arial" w:eastAsia="Arial" w:hAnsi="Arial"/>
          <w:sz w:val="18"/>
          <w:szCs w:val="18"/>
          <w:color w:val="auto"/>
        </w:rPr>
        <w:t>” means, with respect to any Loan on the date of any prepayment to which the Make-Whole Premium is applicable in accordance with Section 2.05(a), the greater of:</w:t>
      </w:r>
    </w:p>
    <w:p>
      <w:pPr>
        <w:spacing w:after="0" w:line="58" w:lineRule="exact"/>
        <w:rPr>
          <w:sz w:val="20"/>
          <w:szCs w:val="20"/>
          <w:color w:val="auto"/>
        </w:rPr>
      </w:pPr>
    </w:p>
    <w:p>
      <w:pPr>
        <w:ind w:left="1120" w:hanging="252"/>
        <w:spacing w:after="0"/>
        <w:tabs>
          <w:tab w:leader="none" w:pos="11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1.0% of the principal amount of such Loan; or</w:t>
      </w:r>
    </w:p>
    <w:p>
      <w:pPr>
        <w:spacing w:after="0" w:line="117" w:lineRule="exact"/>
        <w:rPr>
          <w:rFonts w:ascii="Arial" w:cs="Arial" w:eastAsia="Arial" w:hAnsi="Arial"/>
          <w:sz w:val="18"/>
          <w:szCs w:val="18"/>
          <w:color w:val="auto"/>
        </w:rPr>
      </w:pPr>
    </w:p>
    <w:p>
      <w:pPr>
        <w:ind w:left="440" w:right="140" w:firstLine="428"/>
        <w:spacing w:after="0" w:line="259" w:lineRule="auto"/>
        <w:tabs>
          <w:tab w:leader="none" w:pos="111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excess of: (i) the present value at such prepayment date of (A) 106.125% of the principal amount of such Loan at October 11, 2022 plus (B) all required interest payments due on such Loan through October 11, 2022 (excluding accrued but unpaid interest to the date of prepayment), computed using a discount rate equal to the Treasury Rate as of such prepayment date plus 50 basis points; over (ii) the principal amount of such Loan.</w:t>
      </w:r>
    </w:p>
    <w:p>
      <w:pPr>
        <w:spacing w:after="0" w:line="183"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Capitalization</w:t>
      </w:r>
      <w:r>
        <w:rPr>
          <w:rFonts w:ascii="Arial" w:cs="Arial" w:eastAsia="Arial" w:hAnsi="Arial"/>
          <w:sz w:val="17"/>
          <w:szCs w:val="17"/>
          <w:color w:val="auto"/>
        </w:rPr>
        <w:t>” means an amount equal to (a) the total number of issued and outstanding shares of the Borrower’s Common Stock that are issued and outstanding on the date of the relevant Restricted Payment and listed on The New York Stock Exchange (or, if the primary listing of such Common Stock is on another exchange, on such other exchange) multiplied by (b) the arithmetic mean of the closing price per share of such Common Stock as reported by The New York Stock Exchange (or, if the primary listing of such Common Stock is on another exchange, on such other exchange) for each of the 30 consecutive trading days immediately preceding the date of such Restricted Payment.</w:t>
      </w:r>
    </w:p>
    <w:p>
      <w:pPr>
        <w:spacing w:after="0" w:line="168"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a material adverse change in, or a material adverse effect upon, the results of operations, business, properties, liabilities (actual or contingent) or financial condition of the Borrower and its Subsidiaries taken as a whole; (b) a material impairment of the rights and remedies of the Administrative Agent or any Lender under any Loan Document; or (c) a material adverse effect upon the legality, validity, binding effect or enforceability against any Loan Party of any Loan Document to which it is a party.</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0" w:right="499" w:bottom="1440" w:gutter="0" w:footer="0" w:header="0"/>
        </w:sectPr>
      </w:pPr>
    </w:p>
    <w:bookmarkStart w:id="331" w:name="page332"/>
    <w:bookmarkEnd w:id="331"/>
    <w:p>
      <w:pPr>
        <w:jc w:val="both"/>
        <w:ind w:right="20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Material Real Estate Asset</w:t>
      </w:r>
      <w:r>
        <w:rPr>
          <w:rFonts w:ascii="Arial" w:cs="Arial" w:eastAsia="Arial" w:hAnsi="Arial"/>
          <w:sz w:val="18"/>
          <w:szCs w:val="18"/>
          <w:color w:val="auto"/>
        </w:rPr>
        <w:t>” means from and after the Debt Assumption, (i) any fee-owned real property with a fair market value in excess of $40,000,000 and (ii) any leased real property where inventory, machinery and equipment with a value in excess of $20,000,000 is or is expected to be maintained.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August 23, 2024.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specified in Section 11.09.</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MIRE Event</w:t>
      </w:r>
      <w:r>
        <w:rPr>
          <w:rFonts w:ascii="Arial" w:cs="Arial" w:eastAsia="Arial" w:hAnsi="Arial"/>
          <w:sz w:val="18"/>
          <w:szCs w:val="18"/>
          <w:color w:val="auto"/>
        </w:rPr>
        <w:t>” means, if there are any Mortgaged Properties at such time, any increase in the amount, extension of the maturity or renewal of, any of the Loans (other than any conversion or continuation of any borrowing from one type into another type).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MNPI</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Policy</w:t>
      </w:r>
      <w:r>
        <w:rPr>
          <w:rFonts w:ascii="Arial" w:cs="Arial" w:eastAsia="Arial" w:hAnsi="Arial"/>
          <w:sz w:val="18"/>
          <w:szCs w:val="18"/>
          <w:color w:val="auto"/>
        </w:rPr>
        <w:t>” has the meaning specified in Section 6.11(b)(iv).</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means the real properties listed on Schedule 1.01B and any real property which becomes subject to a Mortgage pursuant to Section 6.11(b).</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has the meaning specified in Section 6.11(b).</w:t>
      </w:r>
    </w:p>
    <w:p>
      <w:pPr>
        <w:spacing w:after="0" w:line="225" w:lineRule="exact"/>
        <w:rPr>
          <w:sz w:val="20"/>
          <w:szCs w:val="20"/>
          <w:color w:val="auto"/>
        </w:rPr>
      </w:pPr>
    </w:p>
    <w:p>
      <w:pPr>
        <w:ind w:right="1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an employee benefit plan defined in Section 4001(a)(3) of ERISA to which the Borrower or any ERISA Affiliate makes or is obligated to make contributions, or during the preceding five plan years has made or been obligated to make contributions.</w:t>
      </w:r>
    </w:p>
    <w:p>
      <w:pPr>
        <w:spacing w:after="0" w:line="138"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Interest Accrual</w:t>
      </w:r>
      <w:r>
        <w:rPr>
          <w:rFonts w:ascii="Arial" w:cs="Arial" w:eastAsia="Arial" w:hAnsi="Arial"/>
          <w:sz w:val="18"/>
          <w:szCs w:val="18"/>
          <w:color w:val="auto"/>
        </w:rPr>
        <w:t>” means, with respect to any date of exchange of Loans for Exchange Notes pursuant to Article 10 other than the date of the first such exchange, an amount equal to:</w:t>
      </w:r>
    </w:p>
    <w:p>
      <w:pPr>
        <w:spacing w:after="0" w:line="58" w:lineRule="exact"/>
        <w:rPr>
          <w:sz w:val="20"/>
          <w:szCs w:val="20"/>
          <w:color w:val="auto"/>
        </w:rPr>
      </w:pPr>
    </w:p>
    <w:p>
      <w:pPr>
        <w:ind w:left="260" w:hanging="256"/>
        <w:spacing w:after="0"/>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amount of accrued and unpaid interest, if any, with respect to the principal amount of Loans being exchanged;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right="400" w:firstLine="4"/>
        <w:spacing w:after="0" w:line="264" w:lineRule="auto"/>
        <w:tabs>
          <w:tab w:leader="none" w:pos="2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amount of accrued and unpaid interest from and including the last date interest was paid on the Exchange Notes previously issued under the Exchange Notes Indenture through but excluding the date of exchange, with respect to the principal amount of Exchange Notes to be received in exchange.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32" w:name="page333"/>
    <w:bookmarkEnd w:id="332"/>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Net Proceeds</w:t>
      </w:r>
      <w:r>
        <w:rPr>
          <w:rFonts w:ascii="Arial" w:cs="Arial" w:eastAsia="Arial" w:hAnsi="Arial"/>
          <w:sz w:val="17"/>
          <w:szCs w:val="17"/>
          <w:color w:val="auto"/>
        </w:rPr>
        <w:t>” means the aggregate cash proceeds received by the Borrower or any of its Restricted Subsidiaries in respect of any Asset Sale (including, without limitation, any cash received upon the sale or other disposition of any non-cash consideration received in any Asset Sale) or, after the Debt Assumption, Casualty Event, net of all costs relating to such Asset Sale or such Casualty Event, including, without limitation, legal, accounting, investment banking fees and broker fees, and sales and underwriting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Indebtedness under a Credit Facility, secured by a Lien on the asset or assets that were the subject of such Asset Sale, any costs associated with unwinding any related Hedging Obligations in connection with such repayment and any reserve for adjustment in respect of the sale price of such asset or assets established in accordance with GAAP or in respect of liabilities associated with the asset disposed of and retained by the Borrower or its Restricted Subsidiaries.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NFIP</w:t>
      </w:r>
      <w:r>
        <w:rPr>
          <w:rFonts w:ascii="Arial" w:cs="Arial" w:eastAsia="Arial" w:hAnsi="Arial"/>
          <w:sz w:val="18"/>
          <w:szCs w:val="18"/>
          <w:color w:val="auto"/>
        </w:rPr>
        <w:t>” has the meaning specified in Section 6.11(b)(vii).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Debt</w:t>
      </w:r>
      <w:r>
        <w:rPr>
          <w:rFonts w:ascii="Arial" w:cs="Arial" w:eastAsia="Arial" w:hAnsi="Arial"/>
          <w:sz w:val="18"/>
          <w:szCs w:val="18"/>
          <w:color w:val="auto"/>
        </w:rPr>
        <w:t>” means Indebtedness:</w:t>
      </w:r>
    </w:p>
    <w:p>
      <w:pPr>
        <w:spacing w:after="0" w:line="121" w:lineRule="exact"/>
        <w:rPr>
          <w:sz w:val="20"/>
          <w:szCs w:val="20"/>
          <w:color w:val="auto"/>
        </w:rPr>
      </w:pPr>
    </w:p>
    <w:p>
      <w:pPr>
        <w:ind w:left="440" w:right="600" w:firstLine="428"/>
        <w:spacing w:after="0" w:line="342" w:lineRule="auto"/>
        <w:tabs>
          <w:tab w:leader="none" w:pos="110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as to which neither the Borrower nor any of its Restricted Subsidiaries (a) provides credit support of any kind (including any undertaking, agreement or instrument that would constitute Indebtedness), or (b) is directly or indirectly liable as a guarantor or otherwise;</w:t>
      </w:r>
    </w:p>
    <w:p>
      <w:pPr>
        <w:spacing w:after="0" w:line="15" w:lineRule="exact"/>
        <w:rPr>
          <w:rFonts w:ascii="Arial" w:cs="Arial" w:eastAsia="Arial" w:hAnsi="Arial"/>
          <w:sz w:val="16"/>
          <w:szCs w:val="16"/>
          <w:color w:val="auto"/>
        </w:rPr>
      </w:pPr>
    </w:p>
    <w:p>
      <w:pPr>
        <w:ind w:left="440" w:right="20" w:firstLine="428"/>
        <w:spacing w:after="0" w:line="259" w:lineRule="auto"/>
        <w:tabs>
          <w:tab w:leader="none" w:pos="11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default with respect to which (including any rights that the holders thereof may have to take enforcement action against an Unrestricted Subsidiary) would not permit upon notice, lapse of time or both any holder of any other Indebtedness (other than the Obligations) of the Borrower or any of its Restricted Subsidiaries to declare a default on such other Indebtedness or cause the payment thereof to be accelerated or payable prior to its stated maturity; and</w:t>
      </w:r>
    </w:p>
    <w:p>
      <w:pPr>
        <w:spacing w:after="0" w:line="78" w:lineRule="exact"/>
        <w:rPr>
          <w:rFonts w:ascii="Arial" w:cs="Arial" w:eastAsia="Arial" w:hAnsi="Arial"/>
          <w:sz w:val="18"/>
          <w:szCs w:val="18"/>
          <w:color w:val="auto"/>
        </w:rPr>
      </w:pPr>
    </w:p>
    <w:p>
      <w:pPr>
        <w:ind w:left="440" w:right="100" w:firstLine="428"/>
        <w:spacing w:after="0" w:line="277" w:lineRule="auto"/>
        <w:tabs>
          <w:tab w:leader="none" w:pos="110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Borrower or any of its Restricted Subsidiaries.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w:t>
      </w:r>
      <w:r>
        <w:rPr>
          <w:rFonts w:ascii="Arial" w:cs="Arial" w:eastAsia="Arial" w:hAnsi="Arial"/>
          <w:sz w:val="17"/>
          <w:szCs w:val="17"/>
          <w:color w:val="auto"/>
        </w:rPr>
        <w:t>” means a promissory note in favor of a Lender evidencing the Loan made by such Lender, substantially in the form of Exhibit C-2.</w:t>
      </w:r>
    </w:p>
    <w:p>
      <w:pPr>
        <w:spacing w:after="0" w:line="237"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advances to, and debts, liabilities, obligations, covenants and duties of, any Loan Party arising under any Loan Document or otherwise with respect to any Loan,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Loans</w:t>
      </w:r>
      <w:r>
        <w:rPr>
          <w:rFonts w:ascii="Arial" w:cs="Arial" w:eastAsia="Arial" w:hAnsi="Arial"/>
          <w:sz w:val="18"/>
          <w:szCs w:val="18"/>
          <w:color w:val="auto"/>
        </w:rPr>
        <w:t>” has the meaning specified in Section 11.06(b)(vii).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69" w:right="439" w:bottom="1440" w:gutter="0" w:footer="0" w:header="0"/>
        </w:sectPr>
      </w:pPr>
    </w:p>
    <w:bookmarkStart w:id="333" w:name="page334"/>
    <w:bookmarkEnd w:id="3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June 24, 2019, relating to the 2029 Senior Notes.</w:t>
      </w:r>
    </w:p>
    <w:p>
      <w:pPr>
        <w:spacing w:after="0" w:line="225"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any Person, the Chairman of the Board, the Chief Executive Officer, the President, the Chief Operating Officer, the Chief Financial Officer, the Treasurer, any Assistant Treasurer, the Controller, the Secretary, any Assistant Secretary, the General Counsel or any Vice President of such Person.</w:t>
      </w:r>
    </w:p>
    <w:p>
      <w:pPr>
        <w:spacing w:after="0" w:line="176"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on behalf of the Borrower by an Officer of the Borrower, who must be the principal executive officer, the principal financial officer, the principal accounting officer, the treasurer or the general counsel of the Borrower.</w:t>
      </w:r>
    </w:p>
    <w:p>
      <w:pPr>
        <w:spacing w:after="0" w:line="13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from legal counsel, who may be internal or external counsel for the Borrower, or other counsel reasonably acceptable to the Administrative Agent.</w:t>
      </w:r>
    </w:p>
    <w:p>
      <w:pPr>
        <w:spacing w:after="0" w:line="162"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 Documents</w:t>
      </w:r>
      <w:r>
        <w:rPr>
          <w:rFonts w:ascii="Arial" w:cs="Arial" w:eastAsia="Arial" w:hAnsi="Arial"/>
          <w:sz w:val="16"/>
          <w:szCs w:val="16"/>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limited liability company agreement and/or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6" w:lineRule="exact"/>
        <w:rPr>
          <w:sz w:val="20"/>
          <w:szCs w:val="20"/>
          <w:color w:val="auto"/>
        </w:rPr>
      </w:pPr>
    </w:p>
    <w:p>
      <w:pPr>
        <w:ind w:right="46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solely from one or more of the following: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1"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mortgage or mortgage recording Taxes, any other excise or property Taxes, or similar Taxes arising from any payment made hereunder or under any other Loan Document or from the execution, delivery, performance, or enforcement or registration of, from the receipt or perfection of a security interest under, or otherwise with respect to, this Agreement or any other Loan Document.</w:t>
      </w:r>
    </w:p>
    <w:p>
      <w:pPr>
        <w:spacing w:after="0" w:line="180"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Intercreditor Agreement</w:t>
      </w:r>
      <w:r>
        <w:rPr>
          <w:rFonts w:ascii="Arial" w:cs="Arial" w:eastAsia="Arial" w:hAnsi="Arial"/>
          <w:sz w:val="18"/>
          <w:szCs w:val="18"/>
          <w:color w:val="auto"/>
        </w:rPr>
        <w:t>” means an intercreditor agreement among the Administrative Agent and the other parties from time to time party thereto, substantially in the form of Exhibit I.</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specified in Section 11.06(d).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specified in Section 11.06(d).</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69" w:right="439" w:bottom="1440" w:gutter="0" w:footer="0" w:header="0"/>
        </w:sectPr>
      </w:pPr>
    </w:p>
    <w:bookmarkStart w:id="334" w:name="page335"/>
    <w:bookmarkEnd w:id="3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80"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pension benefit plan (including, but not limited to, Multiple Employer Plans, Multiemployer Plans, defined benefit plans or defined contribution plans) that is maintained or is contributed to by the Borrower and any ERISA Affiliate and is either covered by Title IV of ERISA or is subject to the minimum funding standards under Section 412 of the Code.</w:t>
      </w:r>
    </w:p>
    <w:p>
      <w:pPr>
        <w:spacing w:after="0" w:line="176"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Permanent Debt Financing</w:t>
      </w:r>
      <w:r>
        <w:rPr>
          <w:rFonts w:ascii="Arial" w:cs="Arial" w:eastAsia="Arial" w:hAnsi="Arial"/>
          <w:sz w:val="16"/>
          <w:szCs w:val="16"/>
          <w:color w:val="auto"/>
        </w:rPr>
        <w:t>” means the permanent debt financing for the Active Nutrition Business, which is expected to consist of not less than $700.0 million of term debt financing and revolving credit facilities of not less than $200.0 million, in each case excluding any refinancing thereof.</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Permanent Financing</w:t>
      </w:r>
      <w:r>
        <w:rPr>
          <w:rFonts w:ascii="Arial" w:cs="Arial" w:eastAsia="Arial" w:hAnsi="Arial"/>
          <w:sz w:val="18"/>
          <w:szCs w:val="18"/>
          <w:color w:val="auto"/>
        </w:rPr>
        <w:t>” means, collectively, the Permanent Debt Financing and the IPO.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Permanent Revolving Financing</w:t>
      </w:r>
      <w:r>
        <w:rPr>
          <w:rFonts w:ascii="Arial" w:cs="Arial" w:eastAsia="Arial" w:hAnsi="Arial"/>
          <w:sz w:val="18"/>
          <w:szCs w:val="18"/>
          <w:color w:val="auto"/>
        </w:rPr>
        <w:t>” means any Permanent Debt Financing that consists of revolving credit facilities.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Permanent Term Financing</w:t>
      </w:r>
      <w:r>
        <w:rPr>
          <w:rFonts w:ascii="Arial" w:cs="Arial" w:eastAsia="Arial" w:hAnsi="Arial"/>
          <w:sz w:val="18"/>
          <w:szCs w:val="18"/>
          <w:color w:val="auto"/>
        </w:rPr>
        <w:t>” means the Permanent Debt Financing, excluding any Permanent Revolving Financing.</w:t>
      </w:r>
    </w:p>
    <w:p>
      <w:pPr>
        <w:spacing w:after="0" w:line="225" w:lineRule="exact"/>
        <w:rPr>
          <w:sz w:val="20"/>
          <w:szCs w:val="20"/>
          <w:color w:val="auto"/>
        </w:rPr>
      </w:pPr>
    </w:p>
    <w:p>
      <w:pPr>
        <w:ind w:right="4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w:t>
      </w:r>
      <w:r>
        <w:rPr>
          <w:rFonts w:ascii="Arial" w:cs="Arial" w:eastAsia="Arial" w:hAnsi="Arial"/>
          <w:sz w:val="16"/>
          <w:szCs w:val="16"/>
          <w:color w:val="auto"/>
        </w:rPr>
        <w:t>” means any business that is the same as, or reasonably related, ancillary or complementary to, any of the businesses in which the Borrower and its Restricted Subsidiaries are engaged on the Closing Date or the Debt Assumption Date, as applicable.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w:t>
      </w:r>
      <w:r>
        <w:rPr>
          <w:rFonts w:ascii="Arial" w:cs="Arial" w:eastAsia="Arial" w:hAnsi="Arial"/>
          <w:sz w:val="18"/>
          <w:szCs w:val="18"/>
          <w:color w:val="auto"/>
        </w:rPr>
        <w:t>” has the meaning specified in Section 7.09(b).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means:</w:t>
      </w:r>
    </w:p>
    <w:p>
      <w:pPr>
        <w:spacing w:after="0" w:line="121" w:lineRule="exact"/>
        <w:rPr>
          <w:sz w:val="20"/>
          <w:szCs w:val="20"/>
          <w:color w:val="auto"/>
        </w:rPr>
      </w:pPr>
    </w:p>
    <w:p>
      <w:pPr>
        <w:ind w:right="160" w:firstLine="4"/>
        <w:spacing w:after="0" w:line="264" w:lineRule="auto"/>
        <w:tabs>
          <w:tab w:leader="none" w:pos="2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William P. Stiritz, (b) any of his immediate family members or his or their respective heirs by operation of law, will or intestacy or (c) any trust, corporation, partnership or other entity, the beneficiaries, stockholders, partners, owners or Persons beneficially holding a 50.1% or more controlling interest of which consist of William P. Stiritz and/or his immediate family members;</w:t>
      </w:r>
    </w:p>
    <w:p>
      <w:pPr>
        <w:spacing w:after="0" w:line="73" w:lineRule="exact"/>
        <w:rPr>
          <w:rFonts w:ascii="Arial" w:cs="Arial" w:eastAsia="Arial" w:hAnsi="Arial"/>
          <w:sz w:val="18"/>
          <w:szCs w:val="18"/>
          <w:color w:val="auto"/>
        </w:rPr>
      </w:pPr>
    </w:p>
    <w:p>
      <w:pPr>
        <w:ind w:left="260" w:hanging="256"/>
        <w:spacing w:after="0"/>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any of its Affiliates; and</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of and after the Debt Assumption, BRBR.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0" w:right="4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21" w:lineRule="exact"/>
        <w:rPr>
          <w:sz w:val="20"/>
          <w:szCs w:val="20"/>
          <w:color w:val="auto"/>
        </w:rPr>
      </w:pPr>
    </w:p>
    <w:p>
      <w:pPr>
        <w:ind w:firstLine="428"/>
        <w:spacing w:after="0" w:line="291" w:lineRule="auto"/>
        <w:tabs>
          <w:tab w:leader="none" w:pos="66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any Investment in the Borrower or in a Restricted Subsidiary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the Debt Assumption, the aggregate fair market value (measured on the date each such Investment was made and without giving effect to subsequent changes in value) of Investments that may be made pursuant to this clause (a) in Restricted Subsidiaries that are not Guarantors, when taken together with all other Investments made in Restricted Subsidiaries that are not Guarantors pursuant to this clause (a) that (x) are at any time outstanding and/or (y) that have been disposed of (but, in the case of this clause (y), only to the extent that the return of capital, if any, directly to the Loan Parties upon such disposition is less than the fair market value of such disposed Investment, with such fair market value measured on the date such Investment was made and without giving effect to subsequent changes in value), shall not exceed the greater of (x) $60.0 million and (y) 4.0% of Consolidated Total Assets;</w:t>
      </w:r>
    </w:p>
    <w:p>
      <w:pPr>
        <w:spacing w:after="0" w:line="59" w:lineRule="exact"/>
        <w:rPr>
          <w:rFonts w:ascii="Arial" w:cs="Arial" w:eastAsia="Arial" w:hAnsi="Arial"/>
          <w:sz w:val="16"/>
          <w:szCs w:val="16"/>
          <w:color w:val="auto"/>
        </w:rPr>
      </w:pPr>
    </w:p>
    <w:p>
      <w:pPr>
        <w:ind w:left="680" w:hanging="252"/>
        <w:spacing w:after="0"/>
        <w:tabs>
          <w:tab w:leader="none" w:pos="6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jc w:val="both"/>
        <w:ind w:right="20" w:firstLine="428"/>
        <w:spacing w:after="0" w:line="259" w:lineRule="auto"/>
        <w:tabs>
          <w:tab w:leader="none" w:pos="66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Investment by the Borrower or any Restricted Subsidiary of the Borrower in a Person engaged in a Related Business, if as a result of such Investment: (i) such Person in one transaction or a series of related transactions becomes a Restricted Subsidiary of the Borrower; or (ii) such Person is merged, consolidated or amalgamated with or into, or transfers or conveys substantially all of its assets to, or is liquidated into, the Borrower or a Restricted Subsidiary of the Borrower;</w:t>
      </w:r>
    </w:p>
    <w:p>
      <w:pPr>
        <w:spacing w:after="0" w:line="78" w:lineRule="exact"/>
        <w:rPr>
          <w:rFonts w:ascii="Arial" w:cs="Arial" w:eastAsia="Arial" w:hAnsi="Arial"/>
          <w:sz w:val="18"/>
          <w:szCs w:val="18"/>
          <w:color w:val="auto"/>
        </w:rPr>
      </w:pPr>
    </w:p>
    <w:p>
      <w:pPr>
        <w:ind w:firstLine="428"/>
        <w:spacing w:after="0" w:line="277" w:lineRule="auto"/>
        <w:tabs>
          <w:tab w:leader="none" w:pos="67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7.10;</w:t>
      </w:r>
    </w:p>
    <w:p>
      <w:pPr>
        <w:spacing w:after="0" w:line="62" w:lineRule="exact"/>
        <w:rPr>
          <w:rFonts w:ascii="Arial" w:cs="Arial" w:eastAsia="Arial" w:hAnsi="Arial"/>
          <w:sz w:val="18"/>
          <w:szCs w:val="18"/>
          <w:color w:val="auto"/>
        </w:rPr>
      </w:pPr>
    </w:p>
    <w:p>
      <w:pPr>
        <w:ind w:right="20" w:firstLine="428"/>
        <w:spacing w:after="0" w:line="279" w:lineRule="auto"/>
        <w:tabs>
          <w:tab w:leader="none" w:pos="66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Investments by the Borrower or any Restricted Subsidiary in a Receivables Subsidiary or a Special Purpose Vehicle or any Investment by a Receivables Subsidiary in any other Person in connection with a Qualified Receivables Transaction; provided that any Investment in a Receivables Subsidiary or a Special Purpose Vehicle is in the form of a Purchase Money Note or an Equity Interest or in the form of a purchase of Receivables and Receivables Related Assets pursuant to a Receivables Repurchase Obligation;</w:t>
      </w:r>
    </w:p>
    <w:p>
      <w:pPr>
        <w:spacing w:after="0" w:line="63" w:lineRule="exact"/>
        <w:rPr>
          <w:rFonts w:ascii="Arial" w:cs="Arial" w:eastAsia="Arial" w:hAnsi="Arial"/>
          <w:sz w:val="17"/>
          <w:szCs w:val="17"/>
          <w:color w:val="auto"/>
        </w:rPr>
      </w:pPr>
    </w:p>
    <w:p>
      <w:pPr>
        <w:ind w:left="660" w:hanging="232"/>
        <w:spacing w:after="0"/>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Investment solely in exchange for the issuance of Equity Interests (other than Disqualified Equity Interests) of the Borrower;</w:t>
      </w:r>
    </w:p>
    <w:p>
      <w:pPr>
        <w:spacing w:after="0" w:line="128" w:lineRule="exact"/>
        <w:rPr>
          <w:rFonts w:ascii="Arial" w:cs="Arial" w:eastAsia="Arial" w:hAnsi="Arial"/>
          <w:sz w:val="17"/>
          <w:szCs w:val="17"/>
          <w:color w:val="auto"/>
        </w:rPr>
      </w:pPr>
    </w:p>
    <w:p>
      <w:pPr>
        <w:ind w:right="40" w:firstLine="428"/>
        <w:spacing w:after="0" w:line="312" w:lineRule="auto"/>
        <w:tabs>
          <w:tab w:leader="none" w:pos="67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Investments in accounts or notes receivable owing to the Borrower or any Restricted Subsidiary of the Borrower acquired in the ordinary course of business and payable or dischargeable in accordance with customary trade terms; provided, however, that such trade terms may include such concessionary trade terms as the Borrower or any such Restricted Subsidiary deems reasonable under the circumstances;</w:t>
      </w:r>
    </w:p>
    <w:p>
      <w:pPr>
        <w:spacing w:after="0" w:line="38" w:lineRule="exact"/>
        <w:rPr>
          <w:rFonts w:ascii="Arial" w:cs="Arial" w:eastAsia="Arial" w:hAnsi="Arial"/>
          <w:sz w:val="16"/>
          <w:szCs w:val="16"/>
          <w:color w:val="auto"/>
        </w:rPr>
      </w:pPr>
    </w:p>
    <w:p>
      <w:pPr>
        <w:ind w:right="340" w:firstLine="428"/>
        <w:spacing w:after="0" w:line="342" w:lineRule="auto"/>
        <w:tabs>
          <w:tab w:leader="none" w:pos="67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loans and advances to directors, officers, managers, employees and consultants of the Borrower and its Restricted Subsidiaries in the ordinary course of business for bona fide business purposes not in excess of $25.0 million ($5.0 million) at any one time outstanding;</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880" w:top="270" w:right="439" w:bottom="1440" w:gutter="0" w:footer="0" w:header="0"/>
        </w:sectPr>
      </w:pPr>
    </w:p>
    <w:bookmarkStart w:id="336" w:name="page337"/>
    <w:bookmarkEnd w:id="336"/>
    <w:p>
      <w:pPr>
        <w:ind w:right="40" w:firstLine="428"/>
        <w:spacing w:after="0" w:line="264" w:lineRule="auto"/>
        <w:tabs>
          <w:tab w:leader="none" w:pos="638"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w:t>
      </w:r>
    </w:p>
    <w:p>
      <w:pPr>
        <w:spacing w:after="0" w:line="73" w:lineRule="exact"/>
        <w:rPr>
          <w:rFonts w:ascii="Arial" w:cs="Arial" w:eastAsia="Arial" w:hAnsi="Arial"/>
          <w:sz w:val="18"/>
          <w:szCs w:val="18"/>
          <w:color w:val="auto"/>
        </w:rPr>
      </w:pPr>
    </w:p>
    <w:p>
      <w:pPr>
        <w:ind w:right="180" w:firstLine="428"/>
        <w:spacing w:after="0" w:line="277" w:lineRule="auto"/>
        <w:tabs>
          <w:tab w:leader="none" w:pos="63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commission, payroll, travel and similar advances to employees in the ordinary course of business;</w:t>
      </w:r>
    </w:p>
    <w:p>
      <w:pPr>
        <w:spacing w:after="0" w:line="117" w:lineRule="exact"/>
        <w:rPr>
          <w:rFonts w:ascii="Arial" w:cs="Arial" w:eastAsia="Arial" w:hAnsi="Arial"/>
          <w:sz w:val="18"/>
          <w:szCs w:val="18"/>
          <w:color w:val="auto"/>
        </w:rPr>
      </w:pPr>
    </w:p>
    <w:p>
      <w:pPr>
        <w:ind w:right="740" w:firstLine="428"/>
        <w:spacing w:after="0" w:line="277" w:lineRule="auto"/>
        <w:tabs>
          <w:tab w:leader="none" w:pos="63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the Borrower’s or its Restricted Subsidiaries’ businesses and not for speculative purposes and otherwise in compliance with this Agreement;</w:t>
      </w:r>
    </w:p>
    <w:p>
      <w:pPr>
        <w:spacing w:after="0" w:line="62" w:lineRule="exact"/>
        <w:rPr>
          <w:rFonts w:ascii="Arial" w:cs="Arial" w:eastAsia="Arial" w:hAnsi="Arial"/>
          <w:sz w:val="18"/>
          <w:szCs w:val="18"/>
          <w:color w:val="auto"/>
        </w:rPr>
      </w:pPr>
    </w:p>
    <w:p>
      <w:pPr>
        <w:ind w:right="60" w:firstLine="428"/>
        <w:spacing w:after="0" w:line="277" w:lineRule="auto"/>
        <w:tabs>
          <w:tab w:leader="none" w:pos="72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Investments represented by Guarantees of Indebtedness that are otherwise permitted under this Agreement and performance guarantees in the ordinary course of business;</w:t>
      </w:r>
    </w:p>
    <w:p>
      <w:pPr>
        <w:spacing w:after="0" w:line="62" w:lineRule="exact"/>
        <w:rPr>
          <w:rFonts w:ascii="Arial" w:cs="Arial" w:eastAsia="Arial" w:hAnsi="Arial"/>
          <w:sz w:val="18"/>
          <w:szCs w:val="18"/>
          <w:color w:val="auto"/>
        </w:rPr>
      </w:pPr>
    </w:p>
    <w:p>
      <w:pPr>
        <w:ind w:firstLine="428"/>
        <w:spacing w:after="0" w:line="289" w:lineRule="auto"/>
        <w:tabs>
          <w:tab w:leader="none" w:pos="67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when taken together with all other Investments made pursuant to this clause (n) that are at any time outstanding, not to exceed (i) the greater of (x) $300.0 million ($60.0 million) and (y) 4.0% of Consolidated Total Assets plus (ii) 100% of the aggregate cash dividends and distributions received by the Borrower or any Restricted Subsidiary from any such Investments that are at any time outstanding pursuant to this clause (n), but only to the extent the Borrower elects to include such dividends or distributions in this clause (n) (ii), as evidenced by an Officer’s Certificate delivered to the Administrative Agent within 10 Business Days of the date of the dividend or distribution; provided that if an Investment made pursuant to this clause (n) is made in any Person that is not a Restricted Subsidiary of the Borrower at the date of the making of the Investment and such Person becomes a Restricted Subsidiary after such date, such Investment will thereafter be deemed to have been made pursuant to clause (a) above and shall cease to have been made pursuant to this clause (n);</w:t>
      </w:r>
    </w:p>
    <w:p>
      <w:pPr>
        <w:spacing w:after="0" w:line="58" w:lineRule="exact"/>
        <w:rPr>
          <w:rFonts w:ascii="Arial" w:cs="Arial" w:eastAsia="Arial" w:hAnsi="Arial"/>
          <w:sz w:val="16"/>
          <w:szCs w:val="16"/>
          <w:color w:val="auto"/>
        </w:rPr>
      </w:pPr>
    </w:p>
    <w:p>
      <w:pPr>
        <w:ind w:left="680" w:hanging="252"/>
        <w:spacing w:after="0"/>
        <w:tabs>
          <w:tab w:leader="none" w:pos="68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Persons;</w:t>
      </w:r>
    </w:p>
    <w:p>
      <w:pPr>
        <w:spacing w:after="0" w:line="102" w:lineRule="exact"/>
        <w:rPr>
          <w:rFonts w:ascii="Arial" w:cs="Arial" w:eastAsia="Arial" w:hAnsi="Arial"/>
          <w:sz w:val="17"/>
          <w:szCs w:val="17"/>
          <w:color w:val="auto"/>
        </w:rPr>
      </w:pPr>
    </w:p>
    <w:p>
      <w:pPr>
        <w:ind w:right="120" w:firstLine="428"/>
        <w:spacing w:after="0" w:line="286" w:lineRule="auto"/>
        <w:tabs>
          <w:tab w:leader="none" w:pos="67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loans by the Borrower in an aggregate principal amount not exceeding $25.0 million ($5.0 million) to employees of the Borrower or its Restricted Subsidiaries to finance the sale of the Borrower’s Equity Interests by the Borrower to such employees; provided that the net cash proceeds from such sales respecting such loaned amounts will not be included in the calculation described in Section 7.07(a)(2);</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880" w:top="274" w:right="479" w:bottom="1440" w:gutter="0" w:footer="0" w:header="0"/>
        </w:sectPr>
      </w:pPr>
    </w:p>
    <w:bookmarkStart w:id="337" w:name="page338"/>
    <w:bookmarkEnd w:id="337"/>
    <w:p>
      <w:pPr>
        <w:ind w:left="680" w:hanging="252"/>
        <w:spacing w:after="0"/>
        <w:tabs>
          <w:tab w:leader="none" w:pos="6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Investment:</w:t>
      </w:r>
    </w:p>
    <w:p>
      <w:pPr>
        <w:spacing w:after="0" w:line="117" w:lineRule="exact"/>
        <w:rPr>
          <w:rFonts w:ascii="Arial" w:cs="Arial" w:eastAsia="Arial" w:hAnsi="Arial"/>
          <w:sz w:val="18"/>
          <w:szCs w:val="18"/>
          <w:color w:val="auto"/>
        </w:rPr>
      </w:pPr>
    </w:p>
    <w:p>
      <w:pPr>
        <w:ind w:left="560" w:right="300" w:firstLine="397"/>
        <w:spacing w:after="0" w:line="259" w:lineRule="auto"/>
        <w:tabs>
          <w:tab w:leader="none" w:pos="1216" w:val="left"/>
        </w:tabs>
        <w:numPr>
          <w:ilvl w:val="2"/>
          <w:numId w:val="234"/>
        </w:numPr>
        <w:rPr>
          <w:rFonts w:ascii="Arial" w:cs="Arial" w:eastAsia="Arial" w:hAnsi="Arial"/>
          <w:sz w:val="18"/>
          <w:szCs w:val="18"/>
          <w:color w:val="auto"/>
        </w:rPr>
      </w:pPr>
      <w:r>
        <w:rPr>
          <w:rFonts w:ascii="Arial" w:cs="Arial" w:eastAsia="Arial" w:hAnsi="Arial"/>
          <w:sz w:val="18"/>
          <w:szCs w:val="18"/>
          <w:color w:val="auto"/>
        </w:rPr>
        <w:t>of the Company or its Restricted Subsidiaries (x) existing on the Closing Date, (y) made pursuant to binding commitments in effect on the Closing Date or (z) that replaces, refinances, refunds, renews or extends any Investment described under either of the immediately preceding clauses (x) or (y), provided that any such Investment is in an amount that does not exceed the amount replaced, refinanced, refunded, renewed or extended; or</w:t>
      </w:r>
    </w:p>
    <w:p>
      <w:pPr>
        <w:spacing w:after="0" w:line="78" w:lineRule="exact"/>
        <w:rPr>
          <w:rFonts w:ascii="Arial" w:cs="Arial" w:eastAsia="Arial" w:hAnsi="Arial"/>
          <w:sz w:val="18"/>
          <w:szCs w:val="18"/>
          <w:color w:val="auto"/>
        </w:rPr>
      </w:pPr>
    </w:p>
    <w:p>
      <w:pPr>
        <w:ind w:left="560" w:right="80" w:firstLine="397"/>
        <w:spacing w:after="0" w:line="259" w:lineRule="auto"/>
        <w:tabs>
          <w:tab w:leader="none" w:pos="1216" w:val="left"/>
        </w:tabs>
        <w:numPr>
          <w:ilvl w:val="2"/>
          <w:numId w:val="234"/>
        </w:numPr>
        <w:rPr>
          <w:rFonts w:ascii="Arial" w:cs="Arial" w:eastAsia="Arial" w:hAnsi="Arial"/>
          <w:sz w:val="18"/>
          <w:szCs w:val="18"/>
          <w:color w:val="auto"/>
        </w:rPr>
      </w:pPr>
      <w:r>
        <w:rPr>
          <w:rFonts w:ascii="Arial" w:cs="Arial" w:eastAsia="Arial" w:hAnsi="Arial"/>
          <w:sz w:val="18"/>
          <w:szCs w:val="18"/>
          <w:color w:val="auto"/>
        </w:rPr>
        <w:t>of BellRing Brands or its Restricted Subsidiaries (x) existing on the Debt Assumption Date, (y) made pursuant to binding commitments in effect on the Debt Assumption Date or (z) that replaces, refinances, refunds, renews or extends any Investment described under either of the immediately preceding clauses (x) or (y), provided that any such Investment is in an amount that does not exceed the amount replaced, refinanced, refunded, renewed or extended;</w:t>
      </w:r>
    </w:p>
    <w:p>
      <w:pPr>
        <w:spacing w:after="0" w:line="78" w:lineRule="exact"/>
        <w:rPr>
          <w:rFonts w:ascii="Arial" w:cs="Arial" w:eastAsia="Arial" w:hAnsi="Arial"/>
          <w:sz w:val="18"/>
          <w:szCs w:val="18"/>
          <w:color w:val="auto"/>
        </w:rPr>
      </w:pPr>
    </w:p>
    <w:p>
      <w:pPr>
        <w:ind w:right="20" w:firstLine="428"/>
        <w:spacing w:after="0" w:line="277" w:lineRule="auto"/>
        <w:tabs>
          <w:tab w:leader="none" w:pos="64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Investments comprised of intercompany loans between the Borrower and any Restricted Subsidiary or between any Restricted Subsidiary and any other Restricted Subsidiary;</w:t>
      </w:r>
    </w:p>
    <w:p>
      <w:pPr>
        <w:spacing w:after="0" w:line="62" w:lineRule="exact"/>
        <w:rPr>
          <w:rFonts w:ascii="Arial" w:cs="Arial" w:eastAsia="Arial" w:hAnsi="Arial"/>
          <w:sz w:val="18"/>
          <w:szCs w:val="18"/>
          <w:color w:val="auto"/>
        </w:rPr>
      </w:pPr>
    </w:p>
    <w:p>
      <w:pPr>
        <w:ind w:left="660" w:hanging="232"/>
        <w:spacing w:after="0"/>
        <w:tabs>
          <w:tab w:leader="none" w:pos="6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Investments in the Loans; and</w:t>
      </w:r>
    </w:p>
    <w:p>
      <w:pPr>
        <w:spacing w:after="0" w:line="117" w:lineRule="exact"/>
        <w:rPr>
          <w:rFonts w:ascii="Arial" w:cs="Arial" w:eastAsia="Arial" w:hAnsi="Arial"/>
          <w:sz w:val="18"/>
          <w:szCs w:val="18"/>
          <w:color w:val="auto"/>
        </w:rPr>
      </w:pPr>
    </w:p>
    <w:p>
      <w:pPr>
        <w:ind w:firstLine="428"/>
        <w:spacing w:after="0" w:line="283" w:lineRule="auto"/>
        <w:tabs>
          <w:tab w:leader="none" w:pos="638" w:val="left"/>
        </w:tabs>
        <w:numPr>
          <w:ilvl w:val="1"/>
          <w:numId w:val="234"/>
        </w:numPr>
        <w:rPr>
          <w:rFonts w:ascii="Arial" w:cs="Arial" w:eastAsia="Arial" w:hAnsi="Arial"/>
          <w:sz w:val="16"/>
          <w:szCs w:val="16"/>
          <w:color w:val="auto"/>
        </w:rPr>
      </w:pPr>
      <w:r>
        <w:rPr>
          <w:rFonts w:ascii="Arial" w:cs="Arial" w:eastAsia="Arial" w:hAnsi="Arial"/>
          <w:sz w:val="16"/>
          <w:szCs w:val="16"/>
          <w:color w:val="auto"/>
        </w:rPr>
        <w:t>other Investments in any Unrestricted Subsidiary or joint venture of the Borrower or of any of its Restricted Subsidiaries having an aggregate fair market value (measured on the date each such Investment was made and without giving effect to subsequent changes in value), when taken together with all other Investments made pursuant to this clause (v) that are at any time outstanding, not to exceed (i) the greater of (x) $370.0 million ($75.0 million) and (y) 4.0% of Consolidated Total Assets plus (ii) 100% of the aggregate cash dividends and distributions received by the Borrower or any Restricted Subsidiary from any such Investments that are at any time outstanding pursuant to this clause (t), but only to the extent the Borrower elects to include such dividends or distributions in this clause (t)(ii), as evidenced by an Officer’s Certificate delivered to the Administrative Agent within 10 Business Days of the date of dividend or distribution; provided that if an Investment made pursuant to this clause (t) is made in any Person that is not a Restricted Subsidiary of the Borrower at the date of the making of the Investment and such Person becomes a Restricted Subsidiary after such date, such Investment will thereafter be deemed to have been made pursuant to clause</w:t>
      </w:r>
    </w:p>
    <w:p>
      <w:pPr>
        <w:spacing w:after="0" w:line="6" w:lineRule="exact"/>
        <w:rPr>
          <w:rFonts w:ascii="Arial" w:cs="Arial" w:eastAsia="Arial" w:hAnsi="Arial"/>
          <w:sz w:val="16"/>
          <w:szCs w:val="16"/>
          <w:color w:val="auto"/>
        </w:rPr>
      </w:pPr>
    </w:p>
    <w:p>
      <w:pPr>
        <w:ind w:left="240" w:hanging="236"/>
        <w:spacing w:after="0"/>
        <w:tabs>
          <w:tab w:leader="none" w:pos="2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above and shall cease to have been made pursuant to this clause (t).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21" w:lineRule="exact"/>
        <w:rPr>
          <w:sz w:val="20"/>
          <w:szCs w:val="20"/>
          <w:color w:val="auto"/>
        </w:rPr>
      </w:pPr>
    </w:p>
    <w:p>
      <w:pPr>
        <w:ind w:left="680" w:hanging="252"/>
        <w:spacing w:after="0"/>
        <w:tabs>
          <w:tab w:leader="none" w:pos="6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Liens securing Indebtedness of the Borrower or any Restricted Subsidiary incurred pursuant to Section 7.09(b)(1) or Section 7.09(b)(27);</w:t>
      </w:r>
    </w:p>
    <w:p>
      <w:pPr>
        <w:spacing w:after="0" w:line="140" w:lineRule="exact"/>
        <w:rPr>
          <w:rFonts w:ascii="Arial" w:cs="Arial" w:eastAsia="Arial" w:hAnsi="Arial"/>
          <w:sz w:val="16"/>
          <w:szCs w:val="16"/>
          <w:color w:val="auto"/>
        </w:rPr>
      </w:pPr>
    </w:p>
    <w:p>
      <w:pPr>
        <w:ind w:left="680" w:hanging="252"/>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Liens in favor of the Borrower or the Guarantors;</w:t>
      </w:r>
    </w:p>
    <w:p>
      <w:pPr>
        <w:spacing w:after="0" w:line="117" w:lineRule="exact"/>
        <w:rPr>
          <w:rFonts w:ascii="Arial" w:cs="Arial" w:eastAsia="Arial" w:hAnsi="Arial"/>
          <w:sz w:val="18"/>
          <w:szCs w:val="18"/>
          <w:color w:val="auto"/>
        </w:rPr>
      </w:pPr>
    </w:p>
    <w:p>
      <w:pPr>
        <w:ind w:right="40" w:firstLine="428"/>
        <w:spacing w:after="0" w:line="259" w:lineRule="auto"/>
        <w:tabs>
          <w:tab w:leader="none" w:pos="66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with or into or consolidated with or becomes a Restricted Subsidiary of the Borrower or any Restricted Subsidiary of the Borrower; provided that such Liens were not entered into in contemplation of such merger or consolidation and do not extend to any assets other than those of the Person merged into or consolidated with the Borrower or such Subsidiary;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60"/>
          </w:cols>
          <w:pgMar w:left="880" w:top="273" w:right="459" w:bottom="1440" w:gutter="0" w:footer="0" w:header="0"/>
        </w:sectPr>
      </w:pPr>
    </w:p>
    <w:bookmarkStart w:id="338" w:name="page339"/>
    <w:bookmarkEnd w:id="338"/>
    <w:p>
      <w:pPr>
        <w:ind w:right="20" w:firstLine="428"/>
        <w:spacing w:after="0" w:line="277" w:lineRule="auto"/>
        <w:tabs>
          <w:tab w:leader="none" w:pos="678"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property existing at the time of acquisition thereof by the Borrower or any Restricted Subsidiary of the Borrower; provided that such Liens were not entered into in contemplation of such acquisition and only extend to the property so acquired;</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Liens on assets of Foreign Subsidiaries securing Indebtedness of Foreign Subsidiaries;</w:t>
      </w:r>
    </w:p>
    <w:p>
      <w:pPr>
        <w:spacing w:after="0" w:line="117" w:lineRule="exact"/>
        <w:rPr>
          <w:rFonts w:ascii="Arial" w:cs="Arial" w:eastAsia="Arial" w:hAnsi="Arial"/>
          <w:sz w:val="18"/>
          <w:szCs w:val="18"/>
          <w:color w:val="auto"/>
        </w:rPr>
      </w:pPr>
    </w:p>
    <w:p>
      <w:pPr>
        <w:ind w:right="600" w:firstLine="428"/>
        <w:spacing w:after="0" w:line="277" w:lineRule="auto"/>
        <w:tabs>
          <w:tab w:leader="none" w:pos="6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Liens to secure Indebtedness (including any Capital Lease Obligations) permitted by Section 7.09(b)(4), covering only the assets financed with such Indebtedness and additions and improvements thereon;</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Liens existing on the Closing Date or the Debt Assumption Date securing Existing Indebtedness;</w:t>
      </w:r>
    </w:p>
    <w:p>
      <w:pPr>
        <w:spacing w:after="0" w:line="117" w:lineRule="exact"/>
        <w:rPr>
          <w:rFonts w:ascii="Arial" w:cs="Arial" w:eastAsia="Arial" w:hAnsi="Arial"/>
          <w:sz w:val="18"/>
          <w:szCs w:val="18"/>
          <w:color w:val="auto"/>
        </w:rPr>
      </w:pPr>
    </w:p>
    <w:p>
      <w:pPr>
        <w:ind w:right="240" w:firstLine="428"/>
        <w:spacing w:after="0" w:line="264" w:lineRule="auto"/>
        <w:tabs>
          <w:tab w:leader="none" w:pos="67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diligently conducted, provided that any reserve or other appropriate provision as shall be required in conformity with GAAP shall have been made therefor;</w:t>
      </w:r>
    </w:p>
    <w:p>
      <w:pPr>
        <w:spacing w:after="0" w:line="73" w:lineRule="exact"/>
        <w:rPr>
          <w:rFonts w:ascii="Arial" w:cs="Arial" w:eastAsia="Arial" w:hAnsi="Arial"/>
          <w:sz w:val="18"/>
          <w:szCs w:val="18"/>
          <w:color w:val="auto"/>
        </w:rPr>
      </w:pPr>
    </w:p>
    <w:p>
      <w:pPr>
        <w:ind w:right="280" w:firstLine="428"/>
        <w:spacing w:after="0" w:line="264" w:lineRule="auto"/>
        <w:tabs>
          <w:tab w:leader="none" w:pos="6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Deposits’ and landlords’, lessors’, carriers’, warehousemen’s, mechanics’, suppliers’, materialmen’s, repairmen’s and other like Liens imposed by law incurred in the ordinary course of business, in each case for sums not yet due or being contested in good faith by appropriate proceedings diligently conducted;</w:t>
      </w:r>
    </w:p>
    <w:p>
      <w:pPr>
        <w:spacing w:after="0" w:line="73" w:lineRule="exact"/>
        <w:rPr>
          <w:rFonts w:ascii="Arial" w:cs="Arial" w:eastAsia="Arial" w:hAnsi="Arial"/>
          <w:sz w:val="18"/>
          <w:szCs w:val="18"/>
          <w:color w:val="auto"/>
        </w:rPr>
      </w:pPr>
    </w:p>
    <w:p>
      <w:pPr>
        <w:ind w:right="220" w:firstLine="428"/>
        <w:spacing w:after="0" w:line="276" w:lineRule="auto"/>
        <w:tabs>
          <w:tab w:leader="none" w:pos="63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pledges or deposits made in connection with workers’ compensation, unemployment insurance and other types of social security or similar legislation, or good faith deposits to secure the performance of bids, tenders, government contracts (other than for the payment of Indebtedness) or leases to which the Borrower or any Restricted Subsidiary is a party, deposits to secure statutory obligations or bankers’ acceptances of the Borrower or any Restricted Subsidiary and deposits to secure surety and appeal bonds to which the Borrower or a Restricted Subsidiary is a party, in each case incurred in the ordinary course of business;</w:t>
      </w:r>
    </w:p>
    <w:p>
      <w:pPr>
        <w:spacing w:after="0" w:line="64" w:lineRule="exact"/>
        <w:rPr>
          <w:rFonts w:ascii="Arial" w:cs="Arial" w:eastAsia="Arial" w:hAnsi="Arial"/>
          <w:sz w:val="17"/>
          <w:szCs w:val="17"/>
          <w:color w:val="auto"/>
        </w:rPr>
      </w:pPr>
    </w:p>
    <w:p>
      <w:pPr>
        <w:ind w:firstLine="428"/>
        <w:spacing w:after="0" w:line="264" w:lineRule="auto"/>
        <w:tabs>
          <w:tab w:leader="none" w:pos="67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judgment Liens not giving rise to Default or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73" w:lineRule="exact"/>
        <w:rPr>
          <w:rFonts w:ascii="Arial" w:cs="Arial" w:eastAsia="Arial" w:hAnsi="Arial"/>
          <w:sz w:val="18"/>
          <w:szCs w:val="18"/>
          <w:color w:val="auto"/>
        </w:rPr>
      </w:pPr>
    </w:p>
    <w:p>
      <w:pPr>
        <w:ind w:firstLine="428"/>
        <w:spacing w:after="0" w:line="277" w:lineRule="auto"/>
        <w:tabs>
          <w:tab w:leader="none" w:pos="6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Liens on the assets of a Restricted Subsidiary of the Borrower that is not a Guarantor securing Indebtedness of that Restricted Subsidiary; provided that such Indebtedness was permitted to be incurred by Section 7.09;</w:t>
      </w:r>
    </w:p>
    <w:p>
      <w:pPr>
        <w:spacing w:after="0" w:line="62" w:lineRule="exact"/>
        <w:rPr>
          <w:rFonts w:ascii="Arial" w:cs="Arial" w:eastAsia="Arial" w:hAnsi="Arial"/>
          <w:sz w:val="18"/>
          <w:szCs w:val="18"/>
          <w:color w:val="auto"/>
        </w:rPr>
      </w:pPr>
    </w:p>
    <w:p>
      <w:pPr>
        <w:ind w:right="40" w:firstLine="428"/>
        <w:spacing w:after="0" w:line="264" w:lineRule="auto"/>
        <w:tabs>
          <w:tab w:leader="none" w:pos="72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affecting real property which do not materially adversely affect the value of said property or interfere in any material respect with the ordinary conduct of the business of the Borrower or such Restricted Subsidiary;</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40"/>
          </w:cols>
          <w:pgMar w:left="880" w:top="273" w:right="479" w:bottom="1440" w:gutter="0" w:footer="0" w:header="0"/>
        </w:sectPr>
      </w:pPr>
    </w:p>
    <w:bookmarkStart w:id="339" w:name="page340"/>
    <w:bookmarkEnd w:id="339"/>
    <w:p>
      <w:pPr>
        <w:ind w:firstLine="428"/>
        <w:spacing w:after="0" w:line="277" w:lineRule="auto"/>
        <w:tabs>
          <w:tab w:leader="none" w:pos="678"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interest or title of a lessor under any capital lease or operating lease; provided that such Liens do not extend to any property or assets which is not leased property subject to such lease;</w:t>
      </w:r>
    </w:p>
    <w:p>
      <w:pPr>
        <w:spacing w:after="0" w:line="62" w:lineRule="exact"/>
        <w:rPr>
          <w:rFonts w:ascii="Arial" w:cs="Arial" w:eastAsia="Arial" w:hAnsi="Arial"/>
          <w:sz w:val="18"/>
          <w:szCs w:val="18"/>
          <w:color w:val="auto"/>
        </w:rPr>
      </w:pPr>
    </w:p>
    <w:p>
      <w:pPr>
        <w:ind w:right="520" w:firstLine="428"/>
        <w:spacing w:after="0" w:line="277" w:lineRule="auto"/>
        <w:tabs>
          <w:tab w:leader="none" w:pos="67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Liens in favor of custom and revenue authorities arising as a matter of law to secure payment of non-delinquent customs duties in connection with the importation of goods;</w:t>
      </w:r>
    </w:p>
    <w:p>
      <w:pPr>
        <w:spacing w:after="0" w:line="62" w:lineRule="exact"/>
        <w:rPr>
          <w:rFonts w:ascii="Arial" w:cs="Arial" w:eastAsia="Arial" w:hAnsi="Arial"/>
          <w:sz w:val="18"/>
          <w:szCs w:val="18"/>
          <w:color w:val="auto"/>
        </w:rPr>
      </w:pPr>
    </w:p>
    <w:p>
      <w:pPr>
        <w:ind w:right="280" w:firstLine="428"/>
        <w:spacing w:after="0" w:line="264" w:lineRule="auto"/>
        <w:tabs>
          <w:tab w:leader="none" w:pos="67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or bankers’ acceptances incurred in accordance with this Agreement which encumber documents and other property relating to such letters of credit or bankers’ acceptances and products and proceeds thereof;</w:t>
      </w:r>
    </w:p>
    <w:p>
      <w:pPr>
        <w:spacing w:after="0" w:line="73" w:lineRule="exact"/>
        <w:rPr>
          <w:rFonts w:ascii="Arial" w:cs="Arial" w:eastAsia="Arial" w:hAnsi="Arial"/>
          <w:sz w:val="18"/>
          <w:szCs w:val="18"/>
          <w:color w:val="auto"/>
        </w:rPr>
      </w:pPr>
    </w:p>
    <w:p>
      <w:pPr>
        <w:ind w:right="800" w:firstLine="428"/>
        <w:spacing w:after="0" w:line="277" w:lineRule="auto"/>
        <w:tabs>
          <w:tab w:leader="none" w:pos="67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regarding operating leases entered into by the Borrower and its Restricted Subsidiaries in the ordinary course of business;</w:t>
      </w:r>
    </w:p>
    <w:p>
      <w:pPr>
        <w:spacing w:after="0" w:line="62" w:lineRule="exact"/>
        <w:rPr>
          <w:rFonts w:ascii="Arial" w:cs="Arial" w:eastAsia="Arial" w:hAnsi="Arial"/>
          <w:sz w:val="18"/>
          <w:szCs w:val="18"/>
          <w:color w:val="auto"/>
        </w:rPr>
      </w:pPr>
    </w:p>
    <w:p>
      <w:pPr>
        <w:ind w:right="80" w:firstLine="428"/>
        <w:spacing w:after="0" w:line="277" w:lineRule="auto"/>
        <w:tabs>
          <w:tab w:leader="none" w:pos="64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leases or subleases, licenses or sublicenses, granted to others not interfering in any material respect with the business of the Borrower or any Restricted Subsidiary of the Borrower;</w:t>
      </w:r>
    </w:p>
    <w:p>
      <w:pPr>
        <w:spacing w:after="0" w:line="62" w:lineRule="exact"/>
        <w:rPr>
          <w:rFonts w:ascii="Arial" w:cs="Arial" w:eastAsia="Arial" w:hAnsi="Arial"/>
          <w:sz w:val="18"/>
          <w:szCs w:val="18"/>
          <w:color w:val="auto"/>
        </w:rPr>
      </w:pPr>
    </w:p>
    <w:p>
      <w:pPr>
        <w:ind w:right="560" w:firstLine="428"/>
        <w:spacing w:after="0" w:line="277" w:lineRule="auto"/>
        <w:tabs>
          <w:tab w:leader="none" w:pos="65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Liens arising out of conditional sale, consignment, title retention or similar arrangements for the sale of goods entered into by the Borrower or any of its Restricted Subsidiaries in the ordinary course of business;</w:t>
      </w:r>
    </w:p>
    <w:p>
      <w:pPr>
        <w:spacing w:after="0" w:line="62" w:lineRule="exact"/>
        <w:rPr>
          <w:rFonts w:ascii="Arial" w:cs="Arial" w:eastAsia="Arial" w:hAnsi="Arial"/>
          <w:sz w:val="18"/>
          <w:szCs w:val="18"/>
          <w:color w:val="auto"/>
        </w:rPr>
      </w:pPr>
    </w:p>
    <w:p>
      <w:pPr>
        <w:ind w:left="640" w:hanging="212"/>
        <w:spacing w:after="0"/>
        <w:tabs>
          <w:tab w:leader="none" w:pos="6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UCC Commercial Code on items in the course of collection;</w:t>
      </w:r>
    </w:p>
    <w:p>
      <w:pPr>
        <w:spacing w:after="0" w:line="23" w:lineRule="exact"/>
        <w:rPr>
          <w:rFonts w:ascii="Arial" w:cs="Arial" w:eastAsia="Arial" w:hAnsi="Arial"/>
          <w:sz w:val="18"/>
          <w:szCs w:val="18"/>
          <w:color w:val="auto"/>
        </w:rPr>
      </w:pPr>
    </w:p>
    <w:p>
      <w:pPr>
        <w:jc w:val="both"/>
        <w:ind w:firstLine="4"/>
        <w:spacing w:after="0" w:line="255" w:lineRule="auto"/>
        <w:tabs>
          <w:tab w:leader="none" w:pos="26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82" w:lineRule="exact"/>
        <w:rPr>
          <w:rFonts w:ascii="Arial" w:cs="Arial" w:eastAsia="Arial" w:hAnsi="Arial"/>
          <w:sz w:val="18"/>
          <w:szCs w:val="18"/>
          <w:color w:val="auto"/>
        </w:rPr>
      </w:pPr>
    </w:p>
    <w:p>
      <w:pPr>
        <w:ind w:firstLine="428"/>
        <w:spacing w:after="0" w:line="297" w:lineRule="auto"/>
        <w:tabs>
          <w:tab w:leader="none" w:pos="67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Liens securing Permitted Refinancing Indebtedness which is incurred to refinance, renew, replace, defease or discharge any Refinanced Indebtedness which has been secured by a Lien permitted under this Agreement and which has been incurred in accordance with the provisions of this Agreement; provided, however, that such Liens: (i) are no less favorable to the Lenders in any material respect and are not more favorable to the lienholders in any material respect with respect to such Liens than the Liens in respect of such Refinanced Indebtedness; and (ii) do not extend to or cover any property or assets of the Borrower or any of its Restricted Subsidiaries not securing such Refinanced Indebtedness;</w:t>
      </w:r>
    </w:p>
    <w:p>
      <w:pPr>
        <w:spacing w:after="0" w:line="50" w:lineRule="exact"/>
        <w:rPr>
          <w:rFonts w:ascii="Arial" w:cs="Arial" w:eastAsia="Arial" w:hAnsi="Arial"/>
          <w:sz w:val="16"/>
          <w:szCs w:val="16"/>
          <w:color w:val="auto"/>
        </w:rPr>
      </w:pPr>
    </w:p>
    <w:p>
      <w:pPr>
        <w:ind w:right="300" w:firstLine="428"/>
        <w:spacing w:after="0" w:line="264" w:lineRule="auto"/>
        <w:tabs>
          <w:tab w:leader="none" w:pos="67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40"/>
          </w:cols>
          <w:pgMar w:left="880" w:top="274" w:right="479" w:bottom="1440" w:gutter="0" w:footer="0" w:header="0"/>
        </w:sectPr>
      </w:pPr>
    </w:p>
    <w:bookmarkStart w:id="340" w:name="page341"/>
    <w:bookmarkEnd w:id="340"/>
    <w:p>
      <w:pPr>
        <w:ind w:left="1160" w:hanging="292"/>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securing Hedging Obligations;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Liens on Receivables Program Assets securing Receivables Program Obligations;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entered into in the ordinary course of business;</w:t>
      </w:r>
    </w:p>
    <w:p>
      <w:pPr>
        <w:spacing w:after="0" w:line="117" w:lineRule="exact"/>
        <w:rPr>
          <w:sz w:val="20"/>
          <w:szCs w:val="20"/>
          <w:color w:val="auto"/>
        </w:rPr>
      </w:pPr>
    </w:p>
    <w:p>
      <w:pPr>
        <w:ind w:left="1200" w:hanging="332"/>
        <w:spacing w:after="0"/>
        <w:tabs>
          <w:tab w:leader="none" w:pos="12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and other bank products in the ordinary course of business;</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20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on property or assets used to defease or to satisfy and discharge Indebtedness; provided that such defeasance or satisfaction and discharge is not prohibited by this Agreement;</w:t>
      </w:r>
    </w:p>
    <w:p>
      <w:pPr>
        <w:spacing w:after="0" w:line="62" w:lineRule="exact"/>
        <w:rPr>
          <w:rFonts w:ascii="Arial" w:cs="Arial" w:eastAsia="Arial" w:hAnsi="Arial"/>
          <w:sz w:val="18"/>
          <w:szCs w:val="18"/>
          <w:color w:val="auto"/>
        </w:rPr>
      </w:pPr>
    </w:p>
    <w:p>
      <w:pPr>
        <w:ind w:left="440" w:right="380" w:firstLine="428"/>
        <w:spacing w:after="0" w:line="277" w:lineRule="auto"/>
        <w:tabs>
          <w:tab w:leader="none" w:pos="118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Restricted Subsidiaries in connection with any letter of intent or purchase agreement;</w:t>
      </w:r>
    </w:p>
    <w:p>
      <w:pPr>
        <w:spacing w:after="0" w:line="62" w:lineRule="exact"/>
        <w:rPr>
          <w:rFonts w:ascii="Arial" w:cs="Arial" w:eastAsia="Arial" w:hAnsi="Arial"/>
          <w:sz w:val="18"/>
          <w:szCs w:val="18"/>
          <w:color w:val="auto"/>
        </w:rPr>
      </w:pPr>
    </w:p>
    <w:p>
      <w:pPr>
        <w:ind w:left="1220" w:hanging="352"/>
        <w:spacing w:after="0"/>
        <w:tabs>
          <w:tab w:leader="none" w:pos="12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the Conversion Date occurs after the Debt Assumption, Liens to secure the Exchange Notes;</w:t>
      </w:r>
    </w:p>
    <w:p>
      <w:pPr>
        <w:spacing w:after="0" w:line="117" w:lineRule="exact"/>
        <w:rPr>
          <w:rFonts w:ascii="Arial" w:cs="Arial" w:eastAsia="Arial" w:hAnsi="Arial"/>
          <w:sz w:val="18"/>
          <w:szCs w:val="18"/>
          <w:color w:val="auto"/>
        </w:rPr>
      </w:pPr>
    </w:p>
    <w:p>
      <w:pPr>
        <w:ind w:left="1200" w:hanging="332"/>
        <w:spacing w:after="0"/>
        <w:tabs>
          <w:tab w:leader="none" w:pos="12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incurred to secure the Loans; and</w:t>
      </w:r>
    </w:p>
    <w:p>
      <w:pPr>
        <w:spacing w:after="0" w:line="117" w:lineRule="exact"/>
        <w:rPr>
          <w:rFonts w:ascii="Arial" w:cs="Arial" w:eastAsia="Arial" w:hAnsi="Arial"/>
          <w:sz w:val="18"/>
          <w:szCs w:val="18"/>
          <w:color w:val="auto"/>
        </w:rPr>
      </w:pPr>
    </w:p>
    <w:p>
      <w:pPr>
        <w:ind w:left="440" w:firstLine="428"/>
        <w:spacing w:after="0" w:line="342" w:lineRule="auto"/>
        <w:tabs>
          <w:tab w:leader="none" w:pos="114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Liens incurred on assets or property of the Borrower or any Restricted Subsidiary of the Borrower with respect to Obligations that do not exceed the greater of $100.0 million ($20.0 million) and 1.50% of Consolidated Total Assets (determined as of the date of any incurrence).</w:t>
      </w:r>
    </w:p>
    <w:p>
      <w:pPr>
        <w:spacing w:after="0" w:line="120" w:lineRule="exact"/>
        <w:rPr>
          <w:sz w:val="20"/>
          <w:szCs w:val="20"/>
          <w:color w:val="auto"/>
        </w:rPr>
      </w:pPr>
    </w:p>
    <w:p>
      <w:pPr>
        <w:ind w:right="2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Prior Liens</w:t>
      </w:r>
      <w:r>
        <w:rPr>
          <w:rFonts w:ascii="Arial" w:cs="Arial" w:eastAsia="Arial" w:hAnsi="Arial"/>
          <w:sz w:val="17"/>
          <w:szCs w:val="17"/>
          <w:color w:val="auto"/>
        </w:rPr>
        <w:t>” means Liens on the Collateral that are prior to the Liens on the Collateral in favor of the Administrative Agent for the benefit of the Secured Parties, which prior Liens are permitted to be created, incurred or assumed pursuant to Section 7.12(c).</w:t>
      </w:r>
    </w:p>
    <w:p>
      <w:pPr>
        <w:spacing w:after="0" w:line="138" w:lineRule="exact"/>
        <w:rPr>
          <w:sz w:val="20"/>
          <w:szCs w:val="20"/>
          <w:color w:val="auto"/>
        </w:rPr>
      </w:pPr>
    </w:p>
    <w:p>
      <w:pPr>
        <w:ind w:right="12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 Indebtedness</w:t>
      </w:r>
      <w:r>
        <w:rPr>
          <w:rFonts w:ascii="Arial" w:cs="Arial" w:eastAsia="Arial" w:hAnsi="Arial"/>
          <w:sz w:val="16"/>
          <w:szCs w:val="16"/>
          <w:color w:val="auto"/>
        </w:rPr>
        <w:t>” means any Indebtedness of the Borrower or any of its Restricted Subsidiaries issued in exchange for, or the net proceeds of which are used to extend, refinance, refund, renew, replace, defease or discharge other Indebtedness of the Borrower or any of its Restricted Subsidiaries (other than intercompany Indebtedness) (such other Indebtedness, “</w:t>
      </w:r>
      <w:r>
        <w:rPr>
          <w:rFonts w:ascii="Arial" w:cs="Arial" w:eastAsia="Arial" w:hAnsi="Arial"/>
          <w:sz w:val="16"/>
          <w:szCs w:val="16"/>
          <w:b w:val="1"/>
          <w:bCs w:val="1"/>
          <w:color w:val="auto"/>
        </w:rPr>
        <w:t>Refinanced Indebtedness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8" w:lineRule="exact"/>
        <w:rPr>
          <w:sz w:val="20"/>
          <w:szCs w:val="20"/>
          <w:color w:val="auto"/>
        </w:rPr>
      </w:pPr>
    </w:p>
    <w:p>
      <w:pPr>
        <w:ind w:left="440" w:right="80" w:firstLine="428"/>
        <w:spacing w:after="0" w:line="264" w:lineRule="auto"/>
        <w:tabs>
          <w:tab w:leader="none" w:pos="110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fees and expenses incurred in connection therewith including premiums paid, if any, to the holders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341" w:name="page342"/>
    <w:bookmarkEnd w:id="341"/>
    <w:p>
      <w:pPr>
        <w:ind w:left="440" w:firstLine="428"/>
        <w:spacing w:after="0" w:line="277" w:lineRule="auto"/>
        <w:tabs>
          <w:tab w:leader="none" w:pos="1118"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Permitted Refinancing Indebtedness has a Weighted Average Life to Maturity equal to or greater than the Weighted Average Life to Maturity of the Refinanced Indebtedness;</w:t>
      </w:r>
    </w:p>
    <w:p>
      <w:pPr>
        <w:spacing w:after="0" w:line="62" w:lineRule="exact"/>
        <w:rPr>
          <w:rFonts w:ascii="Arial" w:cs="Arial" w:eastAsia="Arial" w:hAnsi="Arial"/>
          <w:sz w:val="18"/>
          <w:szCs w:val="18"/>
          <w:color w:val="auto"/>
        </w:rPr>
      </w:pPr>
    </w:p>
    <w:p>
      <w:pPr>
        <w:ind w:left="440" w:right="80" w:firstLine="428"/>
        <w:spacing w:after="0" w:line="264" w:lineRule="auto"/>
        <w:tabs>
          <w:tab w:leader="none" w:pos="110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the Refinanced Indebtedness is contractually subordinated in right of payment to the Loans, such Permitted Refinancing Indebtedness is contractually subordinated in right of payment to the Loans on terms at least as favorable to the Lenders as those contained in the documentation governing the Refinanced Indebtedness;</w:t>
      </w:r>
    </w:p>
    <w:p>
      <w:pPr>
        <w:spacing w:after="0" w:line="73" w:lineRule="exact"/>
        <w:rPr>
          <w:rFonts w:ascii="Arial" w:cs="Arial" w:eastAsia="Arial" w:hAnsi="Arial"/>
          <w:sz w:val="18"/>
          <w:szCs w:val="18"/>
          <w:color w:val="auto"/>
        </w:rPr>
      </w:pPr>
    </w:p>
    <w:p>
      <w:pPr>
        <w:ind w:left="440" w:right="260" w:firstLine="428"/>
        <w:spacing w:after="0" w:line="277" w:lineRule="auto"/>
        <w:tabs>
          <w:tab w:leader="none" w:pos="111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Permitted Refinancing Indebtedness is incurred either by the Borrower or by the Restricted Subsidiary who is the obligor on the Refinanced Indebtedness; and</w:t>
      </w:r>
    </w:p>
    <w:p>
      <w:pPr>
        <w:spacing w:after="0" w:line="62" w:lineRule="exact"/>
        <w:rPr>
          <w:rFonts w:ascii="Arial" w:cs="Arial" w:eastAsia="Arial" w:hAnsi="Arial"/>
          <w:sz w:val="18"/>
          <w:szCs w:val="18"/>
          <w:color w:val="auto"/>
        </w:rPr>
      </w:pPr>
    </w:p>
    <w:p>
      <w:pPr>
        <w:ind w:left="440" w:right="40" w:firstLine="428"/>
        <w:spacing w:after="0" w:line="259" w:lineRule="auto"/>
        <w:tabs>
          <w:tab w:leader="none" w:pos="110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if the Stated Maturity of the Indebtedness being refinanced is earlier than the Stated Maturity of the Loans, the Permitted Refinancing Indebtedness has a Stated Maturity no earlier than the Stated Maturity of the Refinanced Indebtedness or (ii) if the Stated Maturity of the Refinanced Indebtedness is later than the Stated Maturity of the Loans, the Permitted Refinancing Indebtedness has a Stated Maturity at least 91 days later than the Stated Maturity of the Loans.</w:t>
      </w:r>
    </w:p>
    <w:p>
      <w:pPr>
        <w:spacing w:after="0" w:line="183"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76"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Foods</w:t>
      </w:r>
      <w:r>
        <w:rPr>
          <w:rFonts w:ascii="Arial" w:cs="Arial" w:eastAsia="Arial" w:hAnsi="Arial"/>
          <w:sz w:val="18"/>
          <w:szCs w:val="18"/>
          <w:color w:val="auto"/>
        </w:rPr>
        <w:t>” means Post Foods, LLC, a Delaware limited liability company.</w:t>
      </w:r>
    </w:p>
    <w:p>
      <w:pPr>
        <w:spacing w:after="0" w:line="225" w:lineRule="exact"/>
        <w:rPr>
          <w:sz w:val="20"/>
          <w:szCs w:val="20"/>
          <w:color w:val="auto"/>
        </w:rPr>
      </w:pPr>
    </w:p>
    <w:p>
      <w:pPr>
        <w:ind w:right="28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Post-Assumption Guarantors</w:t>
      </w:r>
      <w:r>
        <w:rPr>
          <w:rFonts w:ascii="Arial" w:cs="Arial" w:eastAsia="Arial" w:hAnsi="Arial"/>
          <w:sz w:val="17"/>
          <w:szCs w:val="17"/>
          <w:color w:val="auto"/>
        </w:rPr>
        <w:t>” means the Guarantors after the Debt Assumption, which on the Debt Assumption Date means the following: TA/DEI-A Acquisition Corp., a Delaware corporation, Dymatize Enterprises, LLC, a Delaware limited liability company, Supreme Protein, LLC, a Delaware limited liability company, and Premier Nutrition Company, LLC, a Delaware limited liability company.</w:t>
      </w:r>
    </w:p>
    <w:p>
      <w:pPr>
        <w:spacing w:after="0" w:line="158"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means a notice of the optional prepayment of Loans pursuant to Section 2.05(a), which shall be substantially in the form of Exhibit A-3.</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342" w:name="page343"/>
    <w:bookmarkEnd w:id="342"/>
    <w:p>
      <w:pPr>
        <w:ind w:right="140" w:firstLine="44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Prime Rate</w:t>
      </w:r>
      <w:r>
        <w:rPr>
          <w:rFonts w:ascii="Arial" w:cs="Arial" w:eastAsia="Arial" w:hAnsi="Arial"/>
          <w:sz w:val="16"/>
          <w:szCs w:val="16"/>
          <w:color w:val="auto"/>
        </w:rPr>
        <w:t xml:space="preserve">” means, the rate last quoted by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as the “</w:t>
      </w:r>
      <w:r>
        <w:rPr>
          <w:rFonts w:ascii="Arial" w:cs="Arial" w:eastAsia="Arial" w:hAnsi="Arial"/>
          <w:sz w:val="16"/>
          <w:szCs w:val="16"/>
          <w:b w:val="1"/>
          <w:bCs w:val="1"/>
          <w:color w:val="auto"/>
        </w:rPr>
        <w:t>Prime Rate</w:t>
      </w:r>
      <w:r>
        <w:rPr>
          <w:rFonts w:ascii="Arial" w:cs="Arial" w:eastAsia="Arial" w:hAnsi="Arial"/>
          <w:sz w:val="16"/>
          <w:szCs w:val="16"/>
          <w:color w:val="auto"/>
        </w:rPr>
        <w:t xml:space="preserve">” in the United States or, if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Note</w:t>
      </w:r>
      <w:r>
        <w:rPr>
          <w:rFonts w:ascii="Arial" w:cs="Arial" w:eastAsia="Arial" w:hAnsi="Arial"/>
          <w:sz w:val="18"/>
          <w:szCs w:val="18"/>
          <w:color w:val="auto"/>
        </w:rPr>
        <w:t>” means, after the Debt Assumption, a promissory note (which, if made to or to the order of a Loan Party, shall be pledged to the Administrative Agent for the benefit of the Secured Parties pursuant to the Collateral Documents) evidencing the obligation of a Receivables Subsidiary or a Special Purpose Vehicle to pay the purchase price for Receivables or other Indebtedness to the Borrower or any Restricted Subsidiary (or to a Receivables Subsidiary in the case of a transfer to a Special Purpose Vehicle) in connection with a Qualified Receivables Transaction, which note shall be repaid from cash available to the maker of such note, other than cash required to be held as reserves pursuant to Receivables Documents, amounts paid in respect of interest, principal and other amounts owing under Receivables Documents and amounts paid in connection with the purchase of newly generated Receivables.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Receivables Transaction</w:t>
      </w:r>
      <w:r>
        <w:rPr>
          <w:rFonts w:ascii="Arial" w:cs="Arial" w:eastAsia="Arial" w:hAnsi="Arial"/>
          <w:sz w:val="16"/>
          <w:szCs w:val="16"/>
          <w:color w:val="auto"/>
        </w:rPr>
        <w:t xml:space="preserve">” means any transaction or series of transactions that may be entered into by the Borrower or any Restricted Subsidiary pursuant to which the Borrower or any such Restricted Subsidiary may sell, convey or otherwise transfer to a Receivables Subsidiary (in the case of a transfer by the Borrower or any Restricted Subsidiary) or to any Special Purpose Vehicle (in the case of a transfer by a Receivables Subsidiary), or may grant a security interest in, any Receivables Program Assets (whether existing on the Closing Date or arising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no portion of the Indebtedness or any other obligations (contingent or otherwise) of a Receivables Subsidiary or Special Purpose Vehicle (a) is Guaranteed by the Borrower or any Restricted Subsidiary (other than a Receivables Subsidiary), excluding Guarantees of obligations pursuant to Standard Securitization Undertakings, (b) is recourse to or obligates the Borrower or any Restricted Subsidiary (other than a Receivables Subsidiary) in any way other than pursuant to Standard Securitization Undertakings, or (c) subjects any property or asset of the Borrower or any Restricted Subsidiary (other than a Receivables Subsidiary), directly or indirectly, contingently or otherwise, to the satisfaction of obligations incurred in such transactions, other than pursuant to Standard Securitization Undertakings; (2) neither the Borrower nor any Restricted Subsidiary (other than a Receivables Subsidiary) has any material contract, agreement, arrangement or understanding with a Receivables Subsidiary or a Special Purpose Vehicle other than on terms no less favorable to the Borrower or such Restricted Subsidiary than those that might be obtained at the time from Persons that are not Affiliates of the Borrower, other than fees payable in the ordinary course of business in connection with servicing accounts receivable and Standard Securitization Undertakings; and (3) the Borrower and its Restricted Subsidiaries (other than a Receivables Subsidiary) do not have any obligation to maintain or preserve the financial condition of a Receivables Subsidiary or a Special Purpose Vehicle or cause such entity to achieve certain levels of operating results other than Standard Securitization Undertakings.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69" w:right="439" w:bottom="1440" w:gutter="0" w:footer="0" w:header="0"/>
        </w:sectPr>
      </w:pPr>
    </w:p>
    <w:bookmarkStart w:id="343" w:name="page344"/>
    <w:bookmarkEnd w:id="3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has the meaning specified in Section 6.01(b).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Ralcorp Obligations</w:t>
      </w:r>
      <w:r>
        <w:rPr>
          <w:rFonts w:ascii="Arial" w:cs="Arial" w:eastAsia="Arial" w:hAnsi="Arial"/>
          <w:sz w:val="16"/>
          <w:szCs w:val="16"/>
          <w:color w:val="auto"/>
        </w:rPr>
        <w:t>” means indemnification obligations of the Company and/or its Restricted Subsidiaries in favor of Ralcorp Holdings,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and/or its subsidiaries in connection with the Spin-Off.</w:t>
      </w:r>
    </w:p>
    <w:p>
      <w:pPr>
        <w:spacing w:after="0" w:line="207" w:lineRule="exact"/>
        <w:rPr>
          <w:sz w:val="20"/>
          <w:szCs w:val="20"/>
          <w:color w:val="auto"/>
        </w:rPr>
      </w:pPr>
    </w:p>
    <w:p>
      <w:pPr>
        <w:ind w:right="4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w:t>
      </w:r>
      <w:r>
        <w:rPr>
          <w:rFonts w:ascii="Arial" w:cs="Arial" w:eastAsia="Arial" w:hAnsi="Arial"/>
          <w:sz w:val="17"/>
          <w:szCs w:val="17"/>
          <w:color w:val="auto"/>
        </w:rPr>
        <w:t>” means all rights of the Borrower or any of its Restricted Subsidiaries (other than a Receivables Subsidiary) to payments (whether constituting accounts, chattel paper, instruments, general intangibles or otherwise, and including the right to payment of any interest or finance charges), which rights are identified in the accounting records of the Borrower or such Restricted Subsidiary as accounts receivable.</w:t>
      </w:r>
    </w:p>
    <w:p>
      <w:pPr>
        <w:spacing w:after="0" w:line="158" w:lineRule="exact"/>
        <w:rPr>
          <w:sz w:val="20"/>
          <w:szCs w:val="20"/>
          <w:color w:val="auto"/>
        </w:rPr>
      </w:pPr>
    </w:p>
    <w:p>
      <w:pPr>
        <w:ind w:right="4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Documents</w:t>
      </w:r>
      <w:r>
        <w:rPr>
          <w:rFonts w:ascii="Arial" w:cs="Arial" w:eastAsia="Arial" w:hAnsi="Arial"/>
          <w:sz w:val="16"/>
          <w:szCs w:val="16"/>
          <w:color w:val="auto"/>
        </w:rPr>
        <w:t>” means: (1) one or more receivables purchase agreements, pooling and servicing agreements, credit agreements, agreements to acquire undivided interests or other agreements to transfer or obtain loans or advances against, or create a security interest in, Receivables Program Assets, in each case as amended, modified, supplemented or restated and in effect from time to time and entered into by the Borrower, a Restricted Subsidiary and/or a Receivables Subsidiary, and (2) each other instrument, agreement and other document entered into by the Borrower, a Restricted Subsidiary or a Receivables Subsidiary relating to the transactions contemplated by the agreements referred to in clause (1) above.</w:t>
      </w:r>
    </w:p>
    <w:p>
      <w:pPr>
        <w:spacing w:after="0" w:line="15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Program Assets</w:t>
      </w:r>
      <w:r>
        <w:rPr>
          <w:rFonts w:ascii="Arial" w:cs="Arial" w:eastAsia="Arial" w:hAnsi="Arial"/>
          <w:sz w:val="17"/>
          <w:szCs w:val="17"/>
          <w:color w:val="auto"/>
        </w:rPr>
        <w:t>” means: (1) all Receivables which are described as being transferred by the Borrower, a Restricted Subsidiary or a Receivables Subsidiary pursuant to the Receivables Documents; (2) all Receivables Related Assets in respect of Receivables described in clause (1); and (3) all collections (including recoveries) and other proceeds of the assets described in the foregoing clauses.</w:t>
      </w:r>
    </w:p>
    <w:p>
      <w:pPr>
        <w:spacing w:after="0" w:line="158"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Program Obligations</w:t>
      </w:r>
      <w:r>
        <w:rPr>
          <w:rFonts w:ascii="Arial" w:cs="Arial" w:eastAsia="Arial" w:hAnsi="Arial"/>
          <w:sz w:val="18"/>
          <w:szCs w:val="18"/>
          <w:color w:val="auto"/>
        </w:rPr>
        <w:t>” means Indebtedness and other obligations owing in respect of notes, trust certificates, undivided interests, partnership interests or other interests sold, issued and/or pledged, or otherwise incurred, in connection with a Qualified Receivables Transaction; and related obligations of the Borrower, a Restricted Subsidiary or a Special Purpose Vehicle (including, without limitation, Standard Securitization Undertakings).</w:t>
      </w:r>
    </w:p>
    <w:p>
      <w:pPr>
        <w:spacing w:after="0" w:line="180" w:lineRule="exact"/>
        <w:rPr>
          <w:sz w:val="20"/>
          <w:szCs w:val="20"/>
          <w:color w:val="auto"/>
        </w:rPr>
      </w:pPr>
    </w:p>
    <w:p>
      <w:pPr>
        <w:ind w:right="24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Related Assets</w:t>
      </w:r>
      <w:r>
        <w:rPr>
          <w:rFonts w:ascii="Arial" w:cs="Arial" w:eastAsia="Arial" w:hAnsi="Arial"/>
          <w:sz w:val="17"/>
          <w:szCs w:val="17"/>
          <w:color w:val="auto"/>
        </w:rPr>
        <w:t>” means: (1) any rights arising under the documentation governing or relating to Receivables (including rights in respect of Liens securing such Receivables and other credit support in respect of such Receivables); (2) any proceeds of such Receivables and any lockboxes or accounts in which such proceeds are deposited; (3) spread accounts and other similar accounts (and any amounts on deposit therein) established in connection with a Qualified Receivables Transaction; (4) any warranty, indemnity, dilution and other intercompany claim arising out of Receivables Documents; and (5) other assets which are customarily transferred or in respect of which security interests are customarily granted in connection with asset securitization transactions involving accounts receivable.</w:t>
      </w:r>
    </w:p>
    <w:p>
      <w:pPr>
        <w:spacing w:after="0" w:line="174"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Repurchase Obligation</w:t>
      </w:r>
      <w:r>
        <w:rPr>
          <w:rFonts w:ascii="Arial" w:cs="Arial" w:eastAsia="Arial" w:hAnsi="Arial"/>
          <w:sz w:val="18"/>
          <w:szCs w:val="18"/>
          <w:color w:val="auto"/>
        </w:rPr>
        <w:t>” means any obligation of the Borrower or a Restricted Subsidiary (other than a Receivables Subsidiary) in a Qualified Receivables Transaction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Borrower or a Restricted Subsidiary (other than a Receivables Subsidiary).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69" w:right="439" w:bottom="1440" w:gutter="0" w:footer="0" w:header="0"/>
        </w:sectPr>
      </w:pPr>
    </w:p>
    <w:bookmarkStart w:id="344" w:name="page345"/>
    <w:bookmarkEnd w:id="344"/>
    <w:p>
      <w:pPr>
        <w:ind w:right="60" w:firstLine="441"/>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Receivables Subsidiary</w:t>
      </w:r>
      <w:r>
        <w:rPr>
          <w:rFonts w:ascii="Arial" w:cs="Arial" w:eastAsia="Arial" w:hAnsi="Arial"/>
          <w:sz w:val="16"/>
          <w:szCs w:val="16"/>
          <w:color w:val="auto"/>
        </w:rPr>
        <w:t>” means a special purpose wholly-owned Subsidiary created by the Borrower or any Restricted Subsidiary in connection with the transactions contemplated by a Qualified Receivables Transaction, which Subsidiary engages in no activities other than those incidental to such Qualified Receivables Transaction and which is designated as a Receivables Subsidiary by the Borrower’s Board of Directors. Any such designation by the Board of Directors shall be evidenced by filing with the Administrative Agent a board resolution of the Borrower giving effect to such designation and an officers’ certificate certifying, to the best of such officers’ knowledge and belief after consulting with counsel, that such designation, and the transactions in which the Receivables Subsidiary will engage, comply with the requirements of the definition of Qualified Receivables Transaction.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the Administrative Agent or any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specified in Section 11.06(c).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of BRBR on Form S-1, File No. 333-233867, as amended from time to time.</w:t>
      </w:r>
    </w:p>
    <w:p>
      <w:pPr>
        <w:spacing w:after="0" w:line="237" w:lineRule="exact"/>
        <w:rPr>
          <w:sz w:val="20"/>
          <w:szCs w:val="20"/>
          <w:color w:val="auto"/>
        </w:rPr>
      </w:pPr>
    </w:p>
    <w:p>
      <w:pPr>
        <w:jc w:val="both"/>
        <w:ind w:right="40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Business</w:t>
      </w:r>
      <w:r>
        <w:rPr>
          <w:rFonts w:ascii="Arial" w:cs="Arial" w:eastAsia="Arial" w:hAnsi="Arial"/>
          <w:sz w:val="17"/>
          <w:szCs w:val="17"/>
          <w:color w:val="auto"/>
        </w:rPr>
        <w:t>” means the business conducted by the Company and its Subsidiaries as of the Closing Date or by BellRing Brands and its Subsidiaries as of the Debt Assumption Date, and any and all businesses that in the good faith judgment of the Board of Directors of the applicable Borrower are similar or reasonably related, ancillary or complementary thereto or reasonable extensions thereof.</w:t>
      </w:r>
    </w:p>
    <w:p>
      <w:pPr>
        <w:spacing w:after="0" w:line="158"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managers, employees, agents, trustees and advisors of such Person and of such Person’s Affiliates.</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Financing Amount</w:t>
      </w:r>
      <w:r>
        <w:rPr>
          <w:rFonts w:ascii="Arial" w:cs="Arial" w:eastAsia="Arial" w:hAnsi="Arial"/>
          <w:sz w:val="18"/>
          <w:szCs w:val="18"/>
          <w:color w:val="auto"/>
        </w:rPr>
        <w:t>” has the meaning given to such term in Section 4.01(i).</w:t>
      </w:r>
    </w:p>
    <w:p>
      <w:pPr>
        <w:spacing w:after="0" w:line="225"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one or more Lenders having or holding Loans representing more than 50% of the aggregate Loans of all Lenders;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aggregate amount of Loans shall be determined disregarding the Loans of any Defaulting Lender.</w:t>
      </w:r>
    </w:p>
    <w:p>
      <w:pPr>
        <w:spacing w:after="0" w:line="16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the chief executive officer, president, chief financial officer, director of corporate finance, treasurer, assistant treasurer or controller of a Loan Party, and including solely for purposes of Section 4.01(a) and Section 4.02(a), the secretary or assistant secretary of a Loan Party. Any document delivered hereunder that is signed by a Responsible Officer of a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0" w:right="439" w:bottom="1440" w:gutter="0" w:footer="0" w:header="0"/>
        </w:sectPr>
      </w:pPr>
    </w:p>
    <w:bookmarkStart w:id="345" w:name="page346"/>
    <w:bookmarkEnd w:id="3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has the meaning set forth in Section 7.07.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of the Borrower other than an Unrestricted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Group or any successor ratings agency.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 country, territory or a government of a country or territory that is subject to Sanctions.</w:t>
      </w:r>
    </w:p>
    <w:p>
      <w:pPr>
        <w:spacing w:after="0" w:line="225" w:lineRule="exact"/>
        <w:rPr>
          <w:sz w:val="20"/>
          <w:szCs w:val="20"/>
          <w:color w:val="auto"/>
        </w:rPr>
      </w:pPr>
    </w:p>
    <w:p>
      <w:pPr>
        <w:ind w:right="10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Sanctioned Person</w:t>
      </w:r>
      <w:r>
        <w:rPr>
          <w:rFonts w:ascii="Arial" w:cs="Arial" w:eastAsia="Arial" w:hAnsi="Arial"/>
          <w:sz w:val="16"/>
          <w:szCs w:val="16"/>
          <w:color w:val="auto"/>
        </w:rPr>
        <w:t>” means (a) any Person listed in any Sanctions-related list of designated Persons maintained by OFAC, the U.S. Department of State, the United Nations Security Council, the European Union, or any European Union member state, (b) any Person operating, organized or resident in a Sanctioned Country or (c) any Person owned or controlled by any such Person or Persons described in the foregoing clauses (a) or (b).</w:t>
      </w:r>
    </w:p>
    <w:p>
      <w:pPr>
        <w:spacing w:after="0" w:line="142" w:lineRule="exact"/>
        <w:rPr>
          <w:sz w:val="20"/>
          <w:szCs w:val="20"/>
          <w:color w:val="auto"/>
        </w:rPr>
      </w:pPr>
    </w:p>
    <w:p>
      <w:pPr>
        <w:ind w:right="1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80"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immediately available funds in U.S. Dollars.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 and that is secured by all or any part of the Collateral.</w:t>
      </w:r>
    </w:p>
    <w:p>
      <w:pPr>
        <w:spacing w:after="0" w:line="162"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Hedge Agreement</w:t>
      </w:r>
      <w:r>
        <w:rPr>
          <w:rFonts w:ascii="Arial" w:cs="Arial" w:eastAsia="Arial" w:hAnsi="Arial"/>
          <w:sz w:val="16"/>
          <w:szCs w:val="16"/>
          <w:color w:val="auto"/>
        </w:rPr>
        <w:t xml:space="preserve">” means any interest rate, currency or commodity Swap Contract permitted under this Agreement that is entered into by and between a Loan Party and any Hedge Bank and that is secured by all or any part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or in any other Loan Document, (i) after the Debt Assumption, each commodity Swap Contract secured by the Collateral shall have an explicit dollar cap (each, a “</w:t>
      </w:r>
      <w:r>
        <w:rPr>
          <w:rFonts w:ascii="Arial" w:cs="Arial" w:eastAsia="Arial" w:hAnsi="Arial"/>
          <w:sz w:val="16"/>
          <w:szCs w:val="16"/>
          <w:b w:val="1"/>
          <w:bCs w:val="1"/>
          <w:color w:val="auto"/>
        </w:rPr>
        <w:t>Commodity Swap Collateral Cap</w:t>
      </w:r>
      <w:r>
        <w:rPr>
          <w:rFonts w:ascii="Arial" w:cs="Arial" w:eastAsia="Arial" w:hAnsi="Arial"/>
          <w:sz w:val="16"/>
          <w:szCs w:val="16"/>
          <w:color w:val="auto"/>
        </w:rPr>
        <w:t>”) on the extent to which the obligations to the Hedge Bank</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0" w:right="499" w:bottom="1440" w:gutter="0" w:footer="0" w:header="0"/>
        </w:sectPr>
      </w:pPr>
    </w:p>
    <w:bookmarkStart w:id="346" w:name="page347"/>
    <w:bookmarkEnd w:id="34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such Swap Contract may be secured by the Collateral and the aggregate amount of all Commodity Swap Collateral Caps shall not exceed the greater of $30,000,000 and 1.75% of Consolidated Total Assets of the Borrower (it being understood that any obligations to a Hedge Bank under any such Swap Contract exceeding such individual or aggregate Commodity Swap Collateral Cap shall be deemed for all purposes hereof and of the other Loan Documents not to be incurred under a Secured Hedge Agreement, and such obligations shall not constitute Obligations for purposes of this Agreement or the other Loan Documents), (ii) after the Debt Assumption, at the time that any commodity Swap Contract is entered into that is intended to be secured by the Collateral the Borrower shall notify the Administrative Agent of the Hedge Bank party thereto and the Commodity Swap Collateral Cap associated therewith and (iii) after the Debt Assumption, if reasonably requested by the Administrative Agent, in each case in order to preserve and protect the priority of the Lien of the Administrative Agent for the benefit of the Secured Parties securing the Obligations under the Collateral Documents, including the Mortgages (if any), the Borrower shall take such further actions, including obtaining date down title searches showing no material intervening Liens that would be prior to the Lien of the Collateral Documents, including the Mortgages (if any), obtaining endorsements to title insurance policies, filing Mortgage modifications and taking such other actions as may be contemplated by Section 6.15.</w:t>
      </w:r>
    </w:p>
    <w:p>
      <w:pPr>
        <w:spacing w:after="0" w:line="169"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collectively, the Administrative Agent, the Lenders, with respect to any Secured Cash Management Agreement, the Cash Management Banks, with respect to any Secured Hedge Agreement, the Hedge Banks, each co-agent or sub-agent appointed by the Administrative Agent from time to time pursuant to Section 9.05, and the other Persons the Obligations owing to which are or are purported to be secured by the Collateral under the terms of the Collateral Documents.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means, collectively, if any notes are outstanding thereunder, the 2025 5.50% Senior Notes, the 2025 8.00% Senior Notes, the 2026 Senior Notes, the 2027 Senior Notes, the 2028 Senior Notes, and the 2029 Senior Notes.</w:t>
      </w:r>
    </w:p>
    <w:p>
      <w:pPr>
        <w:spacing w:after="0" w:line="162" w:lineRule="exact"/>
        <w:rPr>
          <w:sz w:val="20"/>
          <w:szCs w:val="20"/>
          <w:color w:val="auto"/>
        </w:rPr>
      </w:pPr>
    </w:p>
    <w:p>
      <w:pPr>
        <w:ind w:right="10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Secured Indebtedness</w:t>
      </w:r>
      <w:r>
        <w:rPr>
          <w:rFonts w:ascii="Arial" w:cs="Arial" w:eastAsia="Arial" w:hAnsi="Arial"/>
          <w:sz w:val="17"/>
          <w:szCs w:val="17"/>
          <w:color w:val="auto"/>
        </w:rPr>
        <w:t>” means, as of any date of determination, the aggregate principal amount of all funded Indebtedness for borrowed money (other than Subordinated Indebtedness) that is secured by a Lien on any asset or property of the Borrower or any Restricted Subsidiary. For avoidance of doubt, issued but undrawn letters of credit and undrawn capacity under any revolving credit facility are not funded Indebtedness for borrowed money, but all Indebtedness incurred pursuant to Section 7.09(b)(1) (other than any unsecured Indebtedness that, as of such date of determination, has been reclassified as incurred pursuant to another clause of the definition of Permitted Debt or Section 7.09(a)) will be deemed to be secured for purposes of calculating the Consolidated Senior Secured Leverage Ratio.</w:t>
      </w:r>
    </w:p>
    <w:p>
      <w:pPr>
        <w:spacing w:after="0" w:line="17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Agreement</w:t>
      </w:r>
      <w:r>
        <w:rPr>
          <w:rFonts w:ascii="Arial" w:cs="Arial" w:eastAsia="Arial" w:hAnsi="Arial"/>
          <w:sz w:val="18"/>
          <w:szCs w:val="18"/>
          <w:color w:val="auto"/>
        </w:rPr>
        <w:t>” means that certain Separation and Distribution Agreement among the Company, Post Foods and Ralcorp Holdings, Inc., entered into in connection with the Spin-Off, as in effect as of the Closing Date or as may be subsequently amended, provided that such amendment is not prohibited by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347" w:name="page348"/>
    <w:bookmarkEnd w:id="347"/>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Solvent</w:t>
      </w:r>
      <w:r>
        <w:rPr>
          <w:rFonts w:ascii="Arial" w:cs="Arial" w:eastAsia="Arial" w:hAnsi="Arial"/>
          <w:sz w:val="17"/>
          <w:szCs w:val="17"/>
          <w:color w:val="auto"/>
        </w:rPr>
        <w:t>” and “</w:t>
      </w:r>
      <w:r>
        <w:rPr>
          <w:rFonts w:ascii="Arial" w:cs="Arial" w:eastAsia="Arial" w:hAnsi="Arial"/>
          <w:sz w:val="17"/>
          <w:szCs w:val="17"/>
          <w:b w:val="1"/>
          <w:bCs w:val="1"/>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Purpose Vehicle</w:t>
      </w:r>
      <w:r>
        <w:rPr>
          <w:rFonts w:ascii="Arial" w:cs="Arial" w:eastAsia="Arial" w:hAnsi="Arial"/>
          <w:sz w:val="18"/>
          <w:szCs w:val="18"/>
          <w:color w:val="auto"/>
        </w:rPr>
        <w:t>” means a trust, partnership or other special purpose Person established by the Borrower and/or any of its Restricted Subsidiaries to implement a Qualified Receivables Transaction.</w:t>
      </w:r>
    </w:p>
    <w:p>
      <w:pPr>
        <w:spacing w:after="0" w:line="162"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the representations and warranties of the Borrower and each other Loan Party contained in Sections 5.01(a), 5.01(b)(ii), 5.02 (other than Sections 5.02(b)(ii) and 5.02(c), and provided that Section 5.02(b)(i) is only a Specified Representation to the extent such representation is made with respect to agreements governing material Indebtedness), 5.04, 5.14, 5.19, 5.20 (for purposes of Section 4.02 only), 5.21, 5.22 (other than the first sentence thereof) and 5.23.</w:t>
      </w:r>
    </w:p>
    <w:p>
      <w:pPr>
        <w:spacing w:after="0" w:line="180"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Underwriting Agreement Representations</w:t>
      </w:r>
      <w:r>
        <w:rPr>
          <w:rFonts w:ascii="Arial" w:cs="Arial" w:eastAsia="Arial" w:hAnsi="Arial"/>
          <w:sz w:val="18"/>
          <w:szCs w:val="18"/>
          <w:color w:val="auto"/>
        </w:rPr>
        <w:t>” means the representations and warranties made with respect to the Active Nutrition Business in the underwriting agreement to be entered into in connection with the IPO that are material to the interests of the Lenders in their capacities as such and with respect to which the underwriters party thereto have the right to terminate their obligations under such underwriting agreement or to decline to consummate the IPO (in each case, in accordance with the terms of such underwriting agreement) as a result of a breach of such representation or warranty.</w:t>
      </w:r>
    </w:p>
    <w:p>
      <w:pPr>
        <w:spacing w:after="0" w:line="184" w:lineRule="exact"/>
        <w:rPr>
          <w:sz w:val="20"/>
          <w:szCs w:val="20"/>
          <w:color w:val="auto"/>
        </w:rPr>
      </w:pPr>
    </w:p>
    <w:p>
      <w:pPr>
        <w:ind w:right="2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Spin-Off</w:t>
      </w:r>
      <w:r>
        <w:rPr>
          <w:rFonts w:ascii="Arial" w:cs="Arial" w:eastAsia="Arial" w:hAnsi="Arial"/>
          <w:sz w:val="17"/>
          <w:szCs w:val="17"/>
          <w:color w:val="auto"/>
        </w:rPr>
        <w:t>” means the separation of Ralcorp Holdings, Inc. and its Post Foods cereals business in a tax-free spin-off to shareholders of Ralcorp Holdings, Inc. pursuant to the Separation Agreement and the other transactions and agreements referred to therein.</w:t>
      </w:r>
    </w:p>
    <w:p>
      <w:pPr>
        <w:spacing w:after="0" w:line="13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69" w:right="439" w:bottom="1440" w:gutter="0" w:footer="0" w:header="0"/>
        </w:sectPr>
      </w:pPr>
    </w:p>
    <w:bookmarkStart w:id="348" w:name="page349"/>
    <w:bookmarkEnd w:id="348"/>
    <w:p>
      <w:pPr>
        <w:ind w:right="60" w:firstLine="44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Standard Securitization Undertakings</w:t>
      </w:r>
      <w:r>
        <w:rPr>
          <w:rFonts w:ascii="Arial" w:cs="Arial" w:eastAsia="Arial" w:hAnsi="Arial"/>
          <w:sz w:val="17"/>
          <w:szCs w:val="17"/>
          <w:color w:val="auto"/>
        </w:rPr>
        <w:t>” means representations, warranties, covenants, performance guarantees and indemnities entered into by the Borrower or any Restricted Subsidiary of the Borrower which, in the good faith judgment of the board of directors of the appropriate company, are reasonably customary in an accounts receivable transaction, including any Receivables Repurchase Obligation.</w:t>
      </w:r>
    </w:p>
    <w:p>
      <w:pPr>
        <w:spacing w:after="0" w:line="158" w:lineRule="exact"/>
        <w:rPr>
          <w:sz w:val="20"/>
          <w:szCs w:val="20"/>
          <w:color w:val="auto"/>
        </w:rPr>
      </w:pPr>
    </w:p>
    <w:p>
      <w:pPr>
        <w:ind w:right="8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hereof, and will not include any contingent obligations to repay, redeem or repurchase any such interest or principal prior to the date originally scheduled for the payment thereof.</w:t>
      </w:r>
    </w:p>
    <w:p>
      <w:pPr>
        <w:spacing w:after="0" w:line="14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Equity</w:t>
      </w:r>
      <w:r>
        <w:rPr>
          <w:rFonts w:ascii="Arial" w:cs="Arial" w:eastAsia="Arial" w:hAnsi="Arial"/>
          <w:sz w:val="18"/>
          <w:szCs w:val="18"/>
          <w:color w:val="auto"/>
        </w:rPr>
        <w:t>” means, as of any date of determination, consolidated stockholders’ equity of the Borrower and its Restricted Subsidiaries as of that date determined in accordance with GAAP.</w:t>
      </w:r>
    </w:p>
    <w:p>
      <w:pPr>
        <w:spacing w:after="0" w:line="162"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Indebtedness that is contractually subordinated in right of payment to the Loans or the Guarantees of the Loans.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121" w:lineRule="exact"/>
        <w:rPr>
          <w:sz w:val="20"/>
          <w:szCs w:val="20"/>
          <w:color w:val="auto"/>
        </w:rPr>
      </w:pPr>
    </w:p>
    <w:p>
      <w:pPr>
        <w:ind w:left="440" w:right="200" w:firstLine="428"/>
        <w:spacing w:after="0" w:line="259" w:lineRule="auto"/>
        <w:tabs>
          <w:tab w:leader="none" w:pos="110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Equity Interests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thereof).</w:t>
      </w:r>
    </w:p>
    <w:p>
      <w:pPr>
        <w:spacing w:after="0" w:line="207" w:lineRule="exact"/>
        <w:rPr>
          <w:sz w:val="20"/>
          <w:szCs w:val="20"/>
          <w:color w:val="auto"/>
        </w:rPr>
      </w:pPr>
    </w:p>
    <w:p>
      <w:pPr>
        <w:ind w:right="760" w:firstLine="441"/>
        <w:spacing w:after="0" w:line="282" w:lineRule="auto"/>
        <w:rPr>
          <w:sz w:val="20"/>
          <w:szCs w:val="20"/>
          <w:color w:val="auto"/>
        </w:rPr>
      </w:pPr>
      <w:r>
        <w:rPr>
          <w:rFonts w:ascii="Arial" w:cs="Arial" w:eastAsia="Arial" w:hAnsi="Arial"/>
          <w:sz w:val="18"/>
          <w:szCs w:val="18"/>
          <w:color w:val="auto"/>
        </w:rPr>
        <w:t>Unless otherwise specified, all references herein to a “</w:t>
      </w:r>
      <w:r>
        <w:rPr>
          <w:rFonts w:ascii="Arial" w:cs="Arial" w:eastAsia="Arial" w:hAnsi="Arial"/>
          <w:sz w:val="18"/>
          <w:szCs w:val="18"/>
          <w:b w:val="1"/>
          <w:bCs w:val="1"/>
          <w:color w:val="auto"/>
        </w:rPr>
        <w:t>Subsidiary</w:t>
      </w:r>
      <w:r>
        <w:rPr>
          <w:rFonts w:ascii="Arial" w:cs="Arial" w:eastAsia="Arial" w:hAnsi="Arial"/>
          <w:sz w:val="18"/>
          <w:szCs w:val="18"/>
          <w:color w:val="auto"/>
        </w:rPr>
        <w:t>” or to “</w:t>
      </w:r>
      <w:r>
        <w:rPr>
          <w:rFonts w:ascii="Arial" w:cs="Arial" w:eastAsia="Arial" w:hAnsi="Arial"/>
          <w:sz w:val="18"/>
          <w:szCs w:val="18"/>
          <w:b w:val="1"/>
          <w:bCs w:val="1"/>
          <w:color w:val="auto"/>
        </w:rPr>
        <w:t>Subsidiaries</w:t>
      </w:r>
      <w:r>
        <w:rPr>
          <w:rFonts w:ascii="Arial" w:cs="Arial" w:eastAsia="Arial" w:hAnsi="Arial"/>
          <w:sz w:val="18"/>
          <w:szCs w:val="18"/>
          <w:color w:val="auto"/>
        </w:rPr>
        <w:t>” shall refer to a Subsidiary or Subsidiaries of the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Guarantee</w:t>
      </w:r>
      <w:r>
        <w:rPr>
          <w:rFonts w:ascii="Arial" w:cs="Arial" w:eastAsia="Arial" w:hAnsi="Arial"/>
          <w:sz w:val="18"/>
          <w:szCs w:val="18"/>
          <w:color w:val="auto"/>
        </w:rPr>
        <w:t>” means, individually, any Guarantee by a Guarantor and, collectively, all such Guarantees.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Entity</w:t>
      </w:r>
      <w:r>
        <w:rPr>
          <w:rFonts w:ascii="Arial" w:cs="Arial" w:eastAsia="Arial" w:hAnsi="Arial"/>
          <w:sz w:val="18"/>
          <w:szCs w:val="18"/>
          <w:color w:val="auto"/>
        </w:rPr>
        <w:t>” has the meaning specified in Section 7.03.</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0" w:right="43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options to enter into any of the foregoing), whether or not any such transaction is governed by or subject to any master agreement, and</w:t>
      </w:r>
    </w:p>
    <w:p>
      <w:pPr>
        <w:spacing w:after="0" w:line="46" w:lineRule="exact"/>
        <w:rPr>
          <w:sz w:val="20"/>
          <w:szCs w:val="20"/>
          <w:color w:val="auto"/>
        </w:rPr>
      </w:pPr>
    </w:p>
    <w:p>
      <w:pPr>
        <w:ind w:right="220" w:firstLine="4"/>
        <w:spacing w:after="0" w:line="273" w:lineRule="auto"/>
        <w:tabs>
          <w:tab w:leader="none" w:pos="2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similar master agreement relating to a transaction described in clause (a) (any such master agreement, together with any related schedules, a “</w:t>
      </w:r>
      <w:r>
        <w:rPr>
          <w:rFonts w:ascii="Arial" w:cs="Arial" w:eastAsia="Arial" w:hAnsi="Arial"/>
          <w:sz w:val="17"/>
          <w:szCs w:val="17"/>
          <w:b w:val="1"/>
          <w:bCs w:val="1"/>
          <w:color w:val="auto"/>
        </w:rPr>
        <w:t>Master Agreement</w:t>
      </w:r>
      <w:r>
        <w:rPr>
          <w:rFonts w:ascii="Arial" w:cs="Arial" w:eastAsia="Arial" w:hAnsi="Arial"/>
          <w:sz w:val="17"/>
          <w:szCs w:val="17"/>
          <w:color w:val="auto"/>
        </w:rPr>
        <w:t>”), including any such obligations or liabilities under any Master Agreement.</w:t>
      </w:r>
    </w:p>
    <w:p>
      <w:pPr>
        <w:spacing w:after="0" w:line="173" w:lineRule="exact"/>
        <w:rPr>
          <w:sz w:val="20"/>
          <w:szCs w:val="20"/>
          <w:color w:val="auto"/>
        </w:rPr>
      </w:pPr>
    </w:p>
    <w:p>
      <w:pPr>
        <w:ind w:right="1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4" w:lineRule="exact"/>
        <w:rPr>
          <w:sz w:val="20"/>
          <w:szCs w:val="20"/>
          <w:color w:val="auto"/>
        </w:rPr>
      </w:pPr>
    </w:p>
    <w:p>
      <w:pPr>
        <w:jc w:val="both"/>
        <w:ind w:right="30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Synthetic Lease Obligation</w:t>
      </w:r>
      <w:r>
        <w:rPr>
          <w:rFonts w:ascii="Arial" w:cs="Arial" w:eastAsia="Arial" w:hAnsi="Arial"/>
          <w:sz w:val="16"/>
          <w:szCs w:val="16"/>
          <w:color w:val="auto"/>
        </w:rPr>
        <w:t>” means the monetary obligation of a Person under an agreement for the use or possession of property (including Sale and Leaseback Transactions) creating obligations that do not appear on the balance sheet of such Person but which, upon the application of any Debtor Relief Laws to such Person, would be characterized as indebtedness of such Person (without regard to accounting treatment).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Takeout Debt</w:t>
      </w:r>
      <w:r>
        <w:rPr>
          <w:rFonts w:ascii="Arial" w:cs="Arial" w:eastAsia="Arial" w:hAnsi="Arial"/>
          <w:sz w:val="18"/>
          <w:szCs w:val="18"/>
          <w:color w:val="auto"/>
        </w:rPr>
        <w:t>” has the meaning given to such term in the Fee Letter.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Takeout Equity</w:t>
      </w:r>
      <w:r>
        <w:rPr>
          <w:rFonts w:ascii="Arial" w:cs="Arial" w:eastAsia="Arial" w:hAnsi="Arial"/>
          <w:sz w:val="18"/>
          <w:szCs w:val="18"/>
          <w:color w:val="auto"/>
        </w:rPr>
        <w:t>” has the meaning given to such term in the Takeout Securities Engagement Letter.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Advisor</w:t>
      </w:r>
      <w:r>
        <w:rPr>
          <w:rFonts w:ascii="Arial" w:cs="Arial" w:eastAsia="Arial" w:hAnsi="Arial"/>
          <w:sz w:val="18"/>
          <w:szCs w:val="18"/>
          <w:color w:val="auto"/>
        </w:rPr>
        <w:t>” means a “</w:t>
      </w:r>
      <w:r>
        <w:rPr>
          <w:rFonts w:ascii="Arial" w:cs="Arial" w:eastAsia="Arial" w:hAnsi="Arial"/>
          <w:sz w:val="18"/>
          <w:szCs w:val="18"/>
          <w:b w:val="1"/>
          <w:bCs w:val="1"/>
          <w:color w:val="auto"/>
        </w:rPr>
        <w:t>Big Four</w:t>
      </w:r>
      <w:r>
        <w:rPr>
          <w:rFonts w:ascii="Arial" w:cs="Arial" w:eastAsia="Arial" w:hAnsi="Arial"/>
          <w:sz w:val="18"/>
          <w:szCs w:val="18"/>
          <w:color w:val="auto"/>
        </w:rPr>
        <w:t>” accounting firm acting as tax advisor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Distribution</w:t>
      </w:r>
      <w:r>
        <w:rPr>
          <w:rFonts w:ascii="Arial" w:cs="Arial" w:eastAsia="Arial" w:hAnsi="Arial"/>
          <w:sz w:val="18"/>
          <w:szCs w:val="18"/>
          <w:color w:val="auto"/>
        </w:rPr>
        <w:t>” means any of the following:</w:t>
      </w:r>
    </w:p>
    <w:p>
      <w:pPr>
        <w:spacing w:after="0" w:line="121" w:lineRule="exact"/>
        <w:rPr>
          <w:sz w:val="20"/>
          <w:szCs w:val="20"/>
          <w:color w:val="auto"/>
        </w:rPr>
      </w:pPr>
    </w:p>
    <w:p>
      <w:pPr>
        <w:ind w:left="440" w:firstLine="428"/>
        <w:spacing w:after="0" w:line="255" w:lineRule="auto"/>
        <w:tabs>
          <w:tab w:leader="none" w:pos="110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for any taxable period for which the Borrower is a member of a consolidated, combined, unitary or similar tax group for U.S. federal and/or applicable state or local tax purposes, payments to discharge the consolidated, combined, unitary or similar Tax liabilities of such tax group when and as due, to the extent such liabilities are attributable to the income of the Borrower and/or any subsidiary of Borrower, taking into account any carryovers of losses, excess interest deductions, and any available credits, in each case incurred on or following the Debt Assumption; provided that for each taxable period the amount of the Tax Distribution shall not be greater than the amount of such taxes that would have been due and payable by the Borrower and its relevant subsidiaries filed in a consolidated, combined, unitary or similar type return with the Borrower as the consolidated parent; or</w:t>
      </w:r>
    </w:p>
    <w:p>
      <w:pPr>
        <w:spacing w:after="0" w:line="81"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payment made by the Borrower pursuant to any tax sharing agreement or similar agreement with any Person owning its Equity Interests;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350" w:name="page351"/>
    <w:bookmarkEnd w:id="350"/>
    <w:p>
      <w:pPr>
        <w:jc w:val="both"/>
        <w:ind w:left="440" w:right="360" w:firstLine="428"/>
        <w:spacing w:after="0" w:line="264" w:lineRule="auto"/>
        <w:tabs>
          <w:tab w:leader="none" w:pos="1108"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the Borrower is a partnership or other “pass-through” entity for United States federal income tax purposes, any payments made to any direct or indirect owner of the Borrower to pay taxes of such owners, as required to be distributed to such owners pursuant to the terms of the limited liability company operating agreement of the Borrower.</w:t>
      </w:r>
    </w:p>
    <w:p>
      <w:pPr>
        <w:spacing w:after="0" w:line="177" w:lineRule="exact"/>
        <w:rPr>
          <w:sz w:val="20"/>
          <w:szCs w:val="20"/>
          <w:color w:val="auto"/>
        </w:rPr>
      </w:pPr>
    </w:p>
    <w:p>
      <w:pPr>
        <w:ind w:right="1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$125.0 million ($25.0 million).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Cap</w:t>
      </w:r>
      <w:r>
        <w:rPr>
          <w:rFonts w:ascii="Arial" w:cs="Arial" w:eastAsia="Arial" w:hAnsi="Arial"/>
          <w:sz w:val="18"/>
          <w:szCs w:val="18"/>
          <w:color w:val="auto"/>
        </w:rPr>
        <w:t>” means (i) prior to February 8, 2020, 12.00% per annum and (ii) on or after February 8, 2020, 12.25% per annum.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Date</w:t>
      </w:r>
      <w:r>
        <w:rPr>
          <w:rFonts w:ascii="Arial" w:cs="Arial" w:eastAsia="Arial" w:hAnsi="Arial"/>
          <w:sz w:val="18"/>
          <w:szCs w:val="18"/>
          <w:color w:val="auto"/>
        </w:rPr>
        <w:t>” has the meaning specified in Section 11.06(i).</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(a) the entering into by the Borrower and its Subsidiaries of the Loan Documents to which they are or are intended to be a party, (b) any Credit Extension on the Closing Date, (c) the consummation of the Active Nutrition Transaction, (d) the consummation of the Permanent Financing, including the funding of any Indebtedness thereunder, and (e) the payment of the fees and expenses incurred in connection with the consummation of the foregoing.</w:t>
      </w:r>
    </w:p>
    <w:p>
      <w:pPr>
        <w:spacing w:after="0" w:line="180"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as of any prepayment date, the yield to maturity as of the earlier of such prepayment date of United States Treasury securities with a constant maturity (as compiled and published in the most recent Federal Reserve Statistical Release H.15 (519) that has become publicly available at least two Business Days prior to the prepayment date (or, if such Federal Reserve Statistical Release is no longer published, any publicly available source of similar market data)) most nearly equal to the period from the prepayment date to October 11, 2022; provided, however, that if the period from the prepayment date to October 11, 2022, is less than one year, the weekly average yield on actively traded United States Treasury securities adjusted to a constant maturity of one year will be used.</w:t>
      </w:r>
    </w:p>
    <w:p>
      <w:pPr>
        <w:spacing w:after="0" w:line="188" w:lineRule="exact"/>
        <w:rPr>
          <w:sz w:val="20"/>
          <w:szCs w:val="20"/>
          <w:color w:val="auto"/>
        </w:rPr>
      </w:pPr>
    </w:p>
    <w:p>
      <w:pPr>
        <w:ind w:right="10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UCC</w:t>
      </w:r>
      <w:r>
        <w:rPr>
          <w:rFonts w:ascii="Arial" w:cs="Arial" w:eastAsia="Arial" w:hAnsi="Arial"/>
          <w:sz w:val="17"/>
          <w:szCs w:val="17"/>
          <w:color w:val="auto"/>
        </w:rPr>
        <w:t>” means the Uniform Commercial Code as in effect from time to time in the State of New York; provided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7"/>
          <w:szCs w:val="17"/>
          <w:b w:val="1"/>
          <w:bCs w:val="1"/>
          <w:color w:val="auto"/>
        </w:rPr>
        <w:t>UCC</w:t>
      </w:r>
      <w:r>
        <w:rPr>
          <w:rFonts w:ascii="Arial" w:cs="Arial" w:eastAsia="Arial" w:hAnsi="Arial"/>
          <w:sz w:val="17"/>
          <w:szCs w:val="17"/>
          <w:color w:val="auto"/>
        </w:rPr>
        <w:t>” means the Uniform Commercial Code as in effect from time to time in such other jurisdiction for purposes of the provisions hereof relating to such perfection, effect of perfection or non-perfection or priority.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 any Subsidiary of the Borrower that is designated by the Board of Directors as an Unrestricted Subsidiary in accordance with Section 6.17, but only to the extent that such Subsidiary:</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has no Indebtedness other than Non-Recourse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351" w:name="page352"/>
    <w:bookmarkEnd w:id="351"/>
    <w:p>
      <w:pPr>
        <w:ind w:left="440" w:right="140" w:firstLine="428"/>
        <w:spacing w:after="0" w:line="286" w:lineRule="auto"/>
        <w:tabs>
          <w:tab w:leader="none" w:pos="1118" w:val="left"/>
        </w:tabs>
        <w:numPr>
          <w:ilvl w:val="0"/>
          <w:numId w:val="2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not party to any agreement, contract, arrangement or understanding with the Borrower or any Restricted Subsidiary of the Borrower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57" w:lineRule="exact"/>
        <w:rPr>
          <w:rFonts w:ascii="Arial" w:cs="Arial" w:eastAsia="Arial" w:hAnsi="Arial"/>
          <w:sz w:val="17"/>
          <w:szCs w:val="17"/>
          <w:color w:val="auto"/>
        </w:rPr>
      </w:pPr>
    </w:p>
    <w:p>
      <w:pPr>
        <w:jc w:val="both"/>
        <w:ind w:left="440" w:right="160" w:firstLine="428"/>
        <w:spacing w:after="0" w:line="264" w:lineRule="auto"/>
        <w:tabs>
          <w:tab w:leader="none" w:pos="110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is a Person with respect to which neither the Borrower nor any of its Restricted Subsidiaries has any direct or indirect obligation (a) to subscribe for additional Equity Interests or (b) to maintain or preserve such Person’s financial condition or to cause such Person to achieve any specified level of operating results; and</w:t>
      </w:r>
    </w:p>
    <w:p>
      <w:pPr>
        <w:spacing w:after="0" w:line="73" w:lineRule="exact"/>
        <w:rPr>
          <w:rFonts w:ascii="Arial" w:cs="Arial" w:eastAsia="Arial" w:hAnsi="Arial"/>
          <w:sz w:val="18"/>
          <w:szCs w:val="18"/>
          <w:color w:val="auto"/>
        </w:rPr>
      </w:pPr>
    </w:p>
    <w:p>
      <w:pPr>
        <w:ind w:left="440" w:right="620" w:firstLine="428"/>
        <w:spacing w:after="0" w:line="342" w:lineRule="auto"/>
        <w:tabs>
          <w:tab w:leader="none" w:pos="111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has not guaranteed or otherwise directly or indirectly provided credit support for any Indebtedness of the Borrower or any of its Restricted Subsidiaries unless such Guarantee or credit support is released upon its designation as an Unrestricted Subsidiary.</w:t>
      </w:r>
    </w:p>
    <w:p>
      <w:pPr>
        <w:spacing w:after="0" w:line="124"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In addition, the following entities shall be deemed to be Unrestricted Subsidiaries as of the Closing Date: 8th Avenue Food &amp; Provisions, Inc., a Missouri corporation, Agricore United Holdings Inc., a Delaware corporation, American Blanching Company, a Georgia corporation, Attune Foods, LLC, a Delaware limited liability company, Dakota Growers Pasta Company, Inc., a North Dakota corporation, DNA Dreamfields Company, LLC, an Ohio limited liability company, GB Acquisition USA, Inc., a Washington corporation, Golden Acquisition Sub, LLC, a Delaware limited liability company, Golden Boy Nut Corporation, a Delaware corporation, Golden Nut Company (USA) Inc., a Washington corporation, Nuts Distributor of America Inc., a Washington corporation, Primo Piatto, Inc., a Minnesota corporation, Golden Boy Foods Ltd., a British Columbia corporation, PHI Acquisition GP ULC, a British Columbia unlimited liability company, PHI Acquisition LP ULC, a British Columbia unlimited liability company, and PHI Acquisition Limited Partnership, a British Columbia limited partnership.</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Dollar Equivalent</w:t>
      </w:r>
      <w:r>
        <w:rPr>
          <w:rFonts w:ascii="Arial" w:cs="Arial" w:eastAsia="Arial" w:hAnsi="Arial"/>
          <w:sz w:val="16"/>
          <w:szCs w:val="16"/>
          <w:color w:val="auto"/>
        </w:rPr>
        <w:t>” means, at any time, (a) with respect to any amount denominated in U.S. Dollars, such amount, and (b) with respect to any amount denominated in another currency, the equivalent amount thereof in U.S. Dollars as determined by the Administrative Agent at such time on the basis of the Spot Rate (determined in respect of the most recent Valuation Date) for the purchase of U.S. Dollars with such currency.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w:t>
      </w:r>
      <w:r>
        <w:rPr>
          <w:rFonts w:ascii="Arial" w:cs="Arial" w:eastAsia="Arial" w:hAnsi="Arial"/>
          <w:sz w:val="18"/>
          <w:szCs w:val="18"/>
          <w:b w:val="1"/>
          <w:bCs w:val="1"/>
          <w:color w:val="auto"/>
        </w:rPr>
        <w:t>United States person</w:t>
      </w:r>
      <w:r>
        <w:rPr>
          <w:rFonts w:ascii="Arial" w:cs="Arial" w:eastAsia="Arial" w:hAnsi="Arial"/>
          <w:sz w:val="18"/>
          <w:szCs w:val="18"/>
          <w:color w:val="auto"/>
        </w:rPr>
        <w:t>”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means a certificate substantially in the form of Exhibit H1-H4, as the context requires.</w:t>
      </w:r>
    </w:p>
    <w:p>
      <w:pPr>
        <w:spacing w:after="0" w:line="225"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Date</w:t>
      </w:r>
      <w:r>
        <w:rPr>
          <w:rFonts w:ascii="Arial" w:cs="Arial" w:eastAsia="Arial" w:hAnsi="Arial"/>
          <w:sz w:val="18"/>
          <w:szCs w:val="18"/>
          <w:color w:val="auto"/>
        </w:rPr>
        <w:t>” means (i) the first Business Day of each calendar month or (ii) any other date reasonably determined by the Administrative Agent in order to reasonably assure a correct exchange rate.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Participant</w:t>
      </w:r>
      <w:r>
        <w:rPr>
          <w:rFonts w:ascii="Arial" w:cs="Arial" w:eastAsia="Arial" w:hAnsi="Arial"/>
          <w:sz w:val="18"/>
          <w:szCs w:val="18"/>
          <w:color w:val="auto"/>
        </w:rPr>
        <w:t>” has the meaning specified in Section 11.06(d).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440" w:top="274" w:right="539" w:bottom="1440" w:gutter="0" w:footer="0" w:header="0"/>
        </w:sectPr>
      </w:pPr>
    </w:p>
    <w:bookmarkStart w:id="352" w:name="page353"/>
    <w:bookmarkEnd w:id="3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Voting Participant Notification</w:t>
      </w:r>
      <w:r>
        <w:rPr>
          <w:rFonts w:ascii="Arial" w:cs="Arial" w:eastAsia="Arial" w:hAnsi="Arial"/>
          <w:sz w:val="18"/>
          <w:szCs w:val="18"/>
          <w:color w:val="auto"/>
        </w:rPr>
        <w:t>” has the meaning specified in Section 11.06(d).</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as of any date means the Equity Interests of such Person that is at the time entitled to vote in the election of the Board of Directors of such Person.</w:t>
      </w:r>
    </w:p>
    <w:p>
      <w:pPr>
        <w:spacing w:after="0" w:line="16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determining the Weighted Average Life to Maturity of any Indebtedness that is being modified, refinanced, refunded, renewed, replaced or extended (the “</w:t>
      </w:r>
      <w:r>
        <w:rPr>
          <w:rFonts w:ascii="Arial" w:cs="Arial" w:eastAsia="Arial" w:hAnsi="Arial"/>
          <w:sz w:val="17"/>
          <w:szCs w:val="17"/>
          <w:b w:val="1"/>
          <w:bCs w:val="1"/>
          <w:color w:val="auto"/>
        </w:rPr>
        <w:t>Applicable Indebtedness</w:t>
      </w:r>
      <w:r>
        <w:rPr>
          <w:rFonts w:ascii="Arial" w:cs="Arial" w:eastAsia="Arial" w:hAnsi="Arial"/>
          <w:sz w:val="17"/>
          <w:szCs w:val="17"/>
          <w:color w:val="auto"/>
        </w:rPr>
        <w:t>”), the effect of any prepayments made on such Applicable Indebtedness prior to the date of the applicable modification, refinancing, refunding, renewal, replacement or extension shall be disregarded.</w:t>
      </w:r>
    </w:p>
    <w:p>
      <w:pPr>
        <w:spacing w:after="0" w:line="172"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 Down and Conversion Powers</w:t>
      </w:r>
      <w:r>
        <w:rPr>
          <w:rFonts w:ascii="Arial" w:cs="Arial" w:eastAsia="Arial" w:hAnsi="Arial"/>
          <w:sz w:val="18"/>
          <w:szCs w:val="18"/>
          <w:color w:val="auto"/>
        </w:rPr>
        <w:t>” means,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any Loan Party and the Administrative Agent.</w:t>
      </w:r>
    </w:p>
    <w:p>
      <w:pPr>
        <w:spacing w:after="0" w:line="225"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Restricted Subsidiary</w:t>
      </w:r>
      <w:r>
        <w:rPr>
          <w:rFonts w:ascii="Arial" w:cs="Arial" w:eastAsia="Arial" w:hAnsi="Arial"/>
          <w:sz w:val="18"/>
          <w:szCs w:val="18"/>
          <w:color w:val="auto"/>
        </w:rPr>
        <w:t>” of any Person means a Restricted Subsidiary of such Person all of the outstanding Equity Interests or other ownership interests of which (other than directors’ qualifying shares) shall at the time be owned by such Person and/or by one or more Wholly Owned Restricted Subsidiaries of such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Interpretive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117" w:lineRule="exact"/>
        <w:rPr>
          <w:sz w:val="20"/>
          <w:szCs w:val="20"/>
          <w:color w:val="auto"/>
        </w:rPr>
      </w:pPr>
    </w:p>
    <w:p>
      <w:pPr>
        <w:ind w:firstLine="996"/>
        <w:spacing w:after="0" w:line="289" w:lineRule="auto"/>
        <w:tabs>
          <w:tab w:leader="none" w:pos="123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(ii) any reference herein to any Person shall be construed to include such Person’s successors and permitted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69" w:right="439" w:bottom="1440" w:gutter="0" w:footer="0" w:header="0"/>
        </w:sectPr>
      </w:pPr>
    </w:p>
    <w:bookmarkStart w:id="353" w:name="page354"/>
    <w:bookmarkEnd w:id="35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64" w:lineRule="exact"/>
        <w:rPr>
          <w:sz w:val="20"/>
          <w:szCs w:val="20"/>
          <w:color w:val="auto"/>
        </w:rPr>
      </w:pPr>
    </w:p>
    <w:p>
      <w:pPr>
        <w:ind w:right="100" w:firstLine="996"/>
        <w:spacing w:after="0" w:line="277" w:lineRule="auto"/>
        <w:tabs>
          <w:tab w:leader="none" w:pos="12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right="500" w:firstLine="996"/>
        <w:spacing w:after="0" w:line="277" w:lineRule="auto"/>
        <w:tabs>
          <w:tab w:leader="none" w:pos="123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62" w:lineRule="exact"/>
        <w:rPr>
          <w:rFonts w:ascii="Arial" w:cs="Arial" w:eastAsia="Arial" w:hAnsi="Arial"/>
          <w:sz w:val="18"/>
          <w:szCs w:val="18"/>
          <w:color w:val="auto"/>
        </w:rPr>
      </w:pPr>
    </w:p>
    <w:p>
      <w:pPr>
        <w:ind w:right="200" w:firstLine="996"/>
        <w:spacing w:after="0" w:line="273" w:lineRule="auto"/>
        <w:tabs>
          <w:tab w:leader="none" w:pos="124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Unless context otherwise requires, any reference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w:t>
      </w:r>
    </w:p>
    <w:p>
      <w:pPr>
        <w:spacing w:after="0" w:line="70" w:lineRule="exact"/>
        <w:rPr>
          <w:rFonts w:ascii="Arial" w:cs="Arial" w:eastAsia="Arial" w:hAnsi="Arial"/>
          <w:sz w:val="17"/>
          <w:szCs w:val="17"/>
          <w:color w:val="auto"/>
        </w:rPr>
      </w:pPr>
    </w:p>
    <w:p>
      <w:pPr>
        <w:ind w:right="60" w:firstLine="996"/>
        <w:spacing w:after="0" w:line="288" w:lineRule="auto"/>
        <w:tabs>
          <w:tab w:leader="none" w:pos="123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Certain dollar or basket amounts are presented in this Agreement using the notation “$X million ($Y million)”. Where such notation is used, it means that the dollar or basket amount applicable prior to the Debt Assumption is $X million, and the dollar or basket amount applicable as of and after the Debt Assumption is $Y million. For example, Section 7.09(b)(27) provides for a basket amount “not to exceed the greater of</w:t>
      </w: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$400.0 million ($80.0 million) and 4.5% of Consolidated Total Assets”. Prior to the Debt Assumption, such basket amount will be deemed to be “not to exceed the greater of $400.0 million and 4.5% of Consolidated Total Assets” and as of and after the Debt Assumption, such basket amount will be deemed to be “not to exceed the greater of $80.0 million and 4.5% of Consolidated Total Assets”.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p>
    <w:p>
      <w:pPr>
        <w:spacing w:after="0" w:line="117" w:lineRule="exact"/>
        <w:rPr>
          <w:sz w:val="20"/>
          <w:szCs w:val="20"/>
          <w:color w:val="auto"/>
        </w:rPr>
      </w:pPr>
    </w:p>
    <w:p>
      <w:pPr>
        <w:ind w:right="100" w:firstLine="996"/>
        <w:spacing w:after="0" w:line="272" w:lineRule="auto"/>
        <w:tabs>
          <w:tab w:leader="none" w:pos="1236"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Generally. </w:t>
      </w:r>
      <w:r>
        <w:rPr>
          <w:rFonts w:ascii="Arial" w:cs="Arial" w:eastAsia="Arial" w:hAnsi="Arial"/>
          <w:sz w:val="17"/>
          <w:szCs w:val="17"/>
          <w:color w:val="auto"/>
        </w:rPr>
        <w:t>Subject to Section 1.03(b), all accounting terms not specifically or completely defined herein shall be construed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GAAP, and all financial data (including financial ratios and other financial calculations) required to be submitted pursuant to this Agreement shall be prepared in conformity with GAAP, applied on a consistent basis, as in effect from time to time, and applied in a manner consistent with that used in preparing the Annual Financial Statements, except as otherwise specifically prescribed herein; provided that if at any time a change in GAAP occurs that would result in a change to the method of accounting for obligations relating to a lease that was accounted for by a Person as an operating lease as of September 30, 2018 (or any similar lease entered into after September 30, 2018 by such Person), such obligations shall be accounted for as obligations relating to an operating lease and not as a Capital Lease.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354" w:name="page355"/>
    <w:bookmarkEnd w:id="354"/>
    <w:p>
      <w:pPr>
        <w:ind w:right="80" w:firstLine="996"/>
        <w:spacing w:after="0" w:line="257" w:lineRule="auto"/>
        <w:tabs>
          <w:tab w:leader="none" w:pos="1247"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GAAP</w:t>
      </w:r>
      <w:r>
        <w:rPr>
          <w:rFonts w:ascii="Arial" w:cs="Arial" w:eastAsia="Arial" w:hAnsi="Arial"/>
          <w:sz w:val="18"/>
          <w:szCs w:val="18"/>
          <w:color w:val="auto"/>
        </w:rPr>
        <w:t>. If at any time any change in GAAP would affect the computation of any financial ratio or requirement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until so amended, such ratio or requirement shall continue to be computed in accordance with GAAP prior to such change therein.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Rounding</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Times of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all references herein to times of day shall be references to Eastern time (daylight or standard,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Schedules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Notwithstanding anything herein to the contrary, the BellRing Brands Schedules to this Agreement are only required to be provided, and will not become a part of this Agreement until, the date specified in brackets for each such BellRing Brands Schedule in the table of contents hereto (as such date may be extended by the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for the BellRing Brands Schedules required to be provided on the Debt Assumption Date, if the Loans have been repaid in full on or prior to the date specified for any such BellRing Brands Schedule, no such BellRing Brands Schedule shall be required to be delivered.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Currency Equivalents Generally; Change of Currency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purposes of this Agreement and the other Loan Documents (other than Articles 2, 9 and 11 hereof), where the permissibility of a transaction or determinations of required actions or circumstances depend upon compliance with, or are determined by reference to, amounts stated in U.S. Dollars, such amounts shall be deemed to refer to U.S. Dollars or U.S. Dollar Equivalents and any requisite currency translation shall be based on the Spot Rate in effect on the Business Day of such transaction or determination. Notwithstanding the foregoing, for purposes of determining compliance with Article 7 with respect to any amount of Liens, Indebtedness or Investment in currencies other than U.S. Dollars, no Default shall be deemed to have occurred solely as a result of changes in rates of exchange occurring after the time such Lien is created, Indebtedness is incurred or Investment is made. Each provision of this Agreement shall be subject to such reasonable changes of construction as the Administrative Agent may from time to time specify with the Borrower’s consent (not to be unreasonably withheld) to appropriately reflect a change in currency of any country and any relevant market conventions or practices relating to such change in currency.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355" w:name="page356"/>
    <w:bookmarkEnd w:id="3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1.08. </w:t>
      </w:r>
      <w:r>
        <w:rPr>
          <w:rFonts w:ascii="Arial" w:cs="Arial" w:eastAsia="Arial" w:hAnsi="Arial"/>
          <w:sz w:val="18"/>
          <w:szCs w:val="18"/>
          <w:u w:val="single" w:color="auto"/>
          <w:color w:val="auto"/>
        </w:rPr>
        <w:t>Timing of Payment and Performance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Certain Calculations</w:t>
      </w:r>
    </w:p>
    <w:p>
      <w:pPr>
        <w:spacing w:after="0" w:line="117" w:lineRule="exact"/>
        <w:rPr>
          <w:sz w:val="20"/>
          <w:szCs w:val="20"/>
          <w:color w:val="auto"/>
        </w:rPr>
      </w:pPr>
    </w:p>
    <w:p>
      <w:pPr>
        <w:ind w:left="1240" w:hanging="244"/>
        <w:spacing w:after="0"/>
        <w:tabs>
          <w:tab w:leader="none" w:pos="12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996"/>
        <w:spacing w:after="0" w:line="297" w:lineRule="auto"/>
        <w:tabs>
          <w:tab w:leader="none" w:pos="123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For purposes of determining the calculation in the definition of Secured Hedge Agreement, or determining compliance with Article 7, with respect to any grant of any Lien, the making of any Investment or Restricted Payment, the incurrence of any Indebtedness or the prepayment, redemption, purchase, defeasement or satisfaction of junior indebtedness (each, a “</w:t>
      </w:r>
      <w:r>
        <w:rPr>
          <w:rFonts w:ascii="Arial" w:cs="Arial" w:eastAsia="Arial" w:hAnsi="Arial"/>
          <w:sz w:val="16"/>
          <w:szCs w:val="16"/>
          <w:b w:val="1"/>
          <w:bCs w:val="1"/>
          <w:color w:val="auto"/>
        </w:rPr>
        <w:t>Covenant Transaction</w:t>
      </w:r>
      <w:r>
        <w:rPr>
          <w:rFonts w:ascii="Arial" w:cs="Arial" w:eastAsia="Arial" w:hAnsi="Arial"/>
          <w:sz w:val="16"/>
          <w:szCs w:val="16"/>
          <w:color w:val="auto"/>
        </w:rPr>
        <w:t>”) in reliance on a “basket” that makes reference to a percentage of Consolidated Total Assets, no Default or Event of Default shall be deemed to have occurred solely as a result of changes in the amount of Consolidated Total Assets occurring after the time such Covenant Transaction is incurred, granted or made in reliance on such provision.</w:t>
      </w:r>
    </w:p>
    <w:p>
      <w:pPr>
        <w:spacing w:after="0" w:line="50" w:lineRule="exact"/>
        <w:rPr>
          <w:rFonts w:ascii="Arial" w:cs="Arial" w:eastAsia="Arial" w:hAnsi="Arial"/>
          <w:sz w:val="16"/>
          <w:szCs w:val="16"/>
          <w:color w:val="auto"/>
        </w:rPr>
      </w:pPr>
    </w:p>
    <w:p>
      <w:pPr>
        <w:ind w:left="1260" w:hanging="264"/>
        <w:spacing w:after="0"/>
        <w:tabs>
          <w:tab w:leader="none" w:pos="12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LOANS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Loans</w:t>
      </w:r>
    </w:p>
    <w:p>
      <w:pPr>
        <w:spacing w:after="0" w:line="117" w:lineRule="exact"/>
        <w:rPr>
          <w:sz w:val="20"/>
          <w:szCs w:val="20"/>
          <w:color w:val="auto"/>
        </w:rPr>
      </w:pPr>
    </w:p>
    <w:p>
      <w:pPr>
        <w:ind w:right="420" w:firstLine="996"/>
        <w:spacing w:after="0" w:line="277" w:lineRule="auto"/>
        <w:tabs>
          <w:tab w:leader="none" w:pos="12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Subject to the terms and conditions hereof, each Lender severally agrees to make, on the Closing Date, a Loan to Borrower in an amount equal to such Lender’s Commitment.</w:t>
      </w:r>
    </w:p>
    <w:p>
      <w:pPr>
        <w:spacing w:after="0" w:line="62" w:lineRule="exact"/>
        <w:rPr>
          <w:rFonts w:ascii="Arial" w:cs="Arial" w:eastAsia="Arial" w:hAnsi="Arial"/>
          <w:sz w:val="18"/>
          <w:szCs w:val="18"/>
          <w:color w:val="auto"/>
        </w:rPr>
      </w:pPr>
    </w:p>
    <w:p>
      <w:pPr>
        <w:ind w:right="80" w:firstLine="996"/>
        <w:spacing w:after="0" w:line="302" w:lineRule="auto"/>
        <w:tabs>
          <w:tab w:leader="none" w:pos="12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Borrower may make only one borrowing under the Commitment, which shall be disbursed in a single draw on the Closing Date. Any amount borrowed under this Section 2.01(b) and subsequently repaid or prepaid may not be reborrowed. Subject to Section 2.05, all amounts owed hereunder with respect to the Loans shall be paid in full no later than the Maturity Date applicable to such Loans. Each Lender’s Commitment shall terminate immediately and without further action on the Closing Date after giving effect to the funding of such Lender’s Commitment on such date.</w:t>
      </w:r>
    </w:p>
    <w:p>
      <w:pPr>
        <w:spacing w:after="0" w:line="46" w:lineRule="exact"/>
        <w:rPr>
          <w:rFonts w:ascii="Arial" w:cs="Arial" w:eastAsia="Arial" w:hAnsi="Arial"/>
          <w:sz w:val="16"/>
          <w:szCs w:val="16"/>
          <w:color w:val="auto"/>
        </w:rPr>
      </w:pPr>
    </w:p>
    <w:p>
      <w:pPr>
        <w:ind w:right="580" w:firstLine="996"/>
        <w:spacing w:after="0" w:line="277" w:lineRule="auto"/>
        <w:tabs>
          <w:tab w:leader="none" w:pos="12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 and after the Conversion Date, the outstanding principal amount of Loans may, at each Lender’s option, be exchanged into Exchange Notes in accordance with the terms set forth in Article 10.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440" w:top="273" w:right="539" w:bottom="1440" w:gutter="0" w:footer="0" w:header="0"/>
        </w:sectPr>
      </w:pPr>
    </w:p>
    <w:bookmarkStart w:id="356" w:name="page357"/>
    <w:bookmarkEnd w:id="356"/>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Borrowing Mechanics</w:t>
      </w:r>
    </w:p>
    <w:p>
      <w:pPr>
        <w:spacing w:after="0" w:line="117" w:lineRule="exact"/>
        <w:rPr>
          <w:sz w:val="20"/>
          <w:szCs w:val="20"/>
          <w:color w:val="auto"/>
        </w:rPr>
      </w:pPr>
    </w:p>
    <w:p>
      <w:pPr>
        <w:ind w:left="-4" w:firstLine="996"/>
        <w:spacing w:after="0" w:line="276" w:lineRule="auto"/>
        <w:tabs>
          <w:tab w:leader="none" w:pos="1233"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Loans shall be made upon the Borrower’s irrevocable notice to the Administrative Agent, which may be given by “pdf” or similar electronic format (a “</w:t>
      </w:r>
      <w:r>
        <w:rPr>
          <w:rFonts w:ascii="Arial" w:cs="Arial" w:eastAsia="Arial" w:hAnsi="Arial"/>
          <w:sz w:val="17"/>
          <w:szCs w:val="17"/>
          <w:b w:val="1"/>
          <w:bCs w:val="1"/>
          <w:color w:val="auto"/>
        </w:rPr>
        <w:t>Borrowing Notice</w:t>
      </w:r>
      <w:r>
        <w:rPr>
          <w:rFonts w:ascii="Arial" w:cs="Arial" w:eastAsia="Arial" w:hAnsi="Arial"/>
          <w:sz w:val="17"/>
          <w:szCs w:val="17"/>
          <w:color w:val="auto"/>
        </w:rPr>
        <w:t>”). Such Borrowing Notice must be received by the Administrative Agent not later than 12:00 p.m. no later than three (3) days prior to the Closing Date (or such shorter period as may be acceptable to the Administrative Agent). Promptly upon receipt by the Administrative Agent of such Borrowing Notice, the Administrative Agent shall notify each Lender of the proposed borrowing. The Loans shall be in a minimum principal amount of $250,000,000 and whole multiples of $1,000,000 in excess thereof.</w:t>
      </w:r>
    </w:p>
    <w:p>
      <w:pPr>
        <w:spacing w:after="0" w:line="64" w:lineRule="exact"/>
        <w:rPr>
          <w:rFonts w:ascii="Arial" w:cs="Arial" w:eastAsia="Arial" w:hAnsi="Arial"/>
          <w:sz w:val="17"/>
          <w:szCs w:val="17"/>
          <w:color w:val="auto"/>
        </w:rPr>
      </w:pPr>
    </w:p>
    <w:p>
      <w:pPr>
        <w:ind w:left="1256" w:hanging="264"/>
        <w:spacing w:after="0"/>
        <w:tabs>
          <w:tab w:leader="none" w:pos="1256" w:val="left"/>
        </w:tabs>
        <w:numPr>
          <w:ilvl w:val="1"/>
          <w:numId w:val="256"/>
        </w:numPr>
        <w:rPr>
          <w:rFonts w:ascii="Arial" w:cs="Arial" w:eastAsia="Arial" w:hAnsi="Arial"/>
          <w:sz w:val="17"/>
          <w:szCs w:val="17"/>
          <w:color w:val="auto"/>
        </w:rPr>
      </w:pPr>
      <w:r>
        <w:rPr>
          <w:rFonts w:ascii="Arial" w:cs="Arial" w:eastAsia="Arial" w:hAnsi="Arial"/>
          <w:sz w:val="17"/>
          <w:szCs w:val="17"/>
          <w:color w:val="auto"/>
        </w:rPr>
        <w:t>Each Borrowing Notice shall specify, as applicable, (1) the requested date of the Borrowing (which shall be a Business Day) and</w:t>
      </w:r>
    </w:p>
    <w:p>
      <w:pPr>
        <w:spacing w:after="0" w:line="34" w:lineRule="exact"/>
        <w:rPr>
          <w:rFonts w:ascii="Arial" w:cs="Arial" w:eastAsia="Arial" w:hAnsi="Arial"/>
          <w:sz w:val="17"/>
          <w:szCs w:val="17"/>
          <w:color w:val="auto"/>
        </w:rPr>
      </w:pPr>
    </w:p>
    <w:p>
      <w:pPr>
        <w:ind w:left="256" w:hanging="256"/>
        <w:spacing w:after="0"/>
        <w:tabs>
          <w:tab w:leader="none" w:pos="25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principal amount of Loans to be borrowed.</w:t>
      </w:r>
    </w:p>
    <w:p>
      <w:pPr>
        <w:spacing w:after="0" w:line="102" w:lineRule="exact"/>
        <w:rPr>
          <w:rFonts w:ascii="Arial" w:cs="Arial" w:eastAsia="Arial" w:hAnsi="Arial"/>
          <w:sz w:val="18"/>
          <w:szCs w:val="18"/>
          <w:color w:val="auto"/>
        </w:rPr>
      </w:pPr>
    </w:p>
    <w:p>
      <w:pPr>
        <w:ind w:left="-4" w:right="20" w:firstLine="996"/>
        <w:spacing w:after="0" w:line="302" w:lineRule="auto"/>
        <w:tabs>
          <w:tab w:leader="none" w:pos="123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Each Lender shall make the amount of its Loan available to the Administrative Agent in Same Day Funds at the Administrative Agent’s Office not later than 12:00 p.m. on the Closing Date. Upon satisfaction of the applicable conditions set forth in Section 4.01, the Administrative Agent shall make all funds so received available to the Borrower on the Closing Date in like funds as received by the Administrative Agent by wire transfer of such funds in accordance with instructions provided to (and reasonably acceptable to) the Administrative Agent by the Borrower.</w:t>
      </w:r>
    </w:p>
    <w:p>
      <w:pPr>
        <w:spacing w:after="0" w:line="154"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Prepayments</w:t>
      </w:r>
    </w:p>
    <w:p>
      <w:pPr>
        <w:spacing w:after="0" w:line="225" w:lineRule="exact"/>
        <w:rPr>
          <w:sz w:val="20"/>
          <w:szCs w:val="20"/>
          <w:color w:val="auto"/>
        </w:rPr>
      </w:pPr>
    </w:p>
    <w:p>
      <w:pPr>
        <w:ind w:left="1236" w:hanging="244"/>
        <w:spacing w:after="0"/>
        <w:tabs>
          <w:tab w:leader="none" w:pos="12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Optional.</w:t>
      </w:r>
    </w:p>
    <w:p>
      <w:pPr>
        <w:spacing w:after="0" w:line="117" w:lineRule="exact"/>
        <w:rPr>
          <w:rFonts w:ascii="Arial" w:cs="Arial" w:eastAsia="Arial" w:hAnsi="Arial"/>
          <w:sz w:val="18"/>
          <w:szCs w:val="18"/>
          <w:color w:val="auto"/>
        </w:rPr>
      </w:pPr>
    </w:p>
    <w:p>
      <w:pPr>
        <w:ind w:left="436" w:firstLine="957"/>
        <w:spacing w:after="0" w:line="287" w:lineRule="auto"/>
        <w:tabs>
          <w:tab w:leader="none" w:pos="1603"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Subject to Section 2.05(a)(ii), the Borrower may, upon notice in the form of a Prepayment Notice delivered to the Administrative Agent, at any time or from time to time voluntarily prepay the Loans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notice must be received by the Administrative Agent not later than 12:00 p.m. (1) three days prior to any date of prepayment of Loans (or such lesser period of time as may be agreed to by the Administrative Agent) and (2) any prepayment of Loans shall be in a principal amount of $5,000,000 or a whole multiple of $1,000,000 in excess thereof or, in each case, if less, the entire principal amount thereof then outstanding. Each such notice shall specify the date and amount of such prepayment. The Administrative Agent will promptly notify each Lender of its receipt of each such notice, and of the amount of such Lender’s ratable portion of such prepayment (based on such Lender’s Applicable Percentage in respect of the Loans). If such notice is given by the Borrower, the Borrower shall make such prepayment and the payment amount specified in such notice shall be due and payable on the date specified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voluntary prepayment to be made on the date of completion of the consummation of the Active Nutrition Transaction, such Prepayment Notice may specify that such prepayment is conditioned on the completion of the consummation of the Active Nutrition Transaction. Except as provided in the immediately preceding sentence, notices of prepayment may not be conditional. All payments made pursuant to this Section 2.05(a) shall be applied on a pro rata basis to each Lender holding Loans being prepaid.</w:t>
      </w:r>
    </w:p>
    <w:p>
      <w:pPr>
        <w:spacing w:after="0" w:line="101"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76"/>
          </w:cols>
          <w:pgMar w:left="444" w:top="274" w:right="479" w:bottom="1440" w:gutter="0" w:footer="0" w:header="0"/>
        </w:sectPr>
      </w:pPr>
    </w:p>
    <w:bookmarkStart w:id="357" w:name="page358"/>
    <w:bookmarkEnd w:id="357"/>
    <w:p>
      <w:pPr>
        <w:ind w:right="80" w:firstLine="957"/>
        <w:spacing w:after="0" w:line="297" w:lineRule="auto"/>
        <w:tabs>
          <w:tab w:leader="none" w:pos="1217" w:val="left"/>
        </w:tabs>
        <w:numPr>
          <w:ilvl w:val="1"/>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prepayment pursuant to this Section 2.05(a) that is made prior to the date a Demand Failure Event has occurred or after October 11, 2024, shall be made at par, plus all accrued interest on the amount prepaid, together with any additional amounts if required pursuant to Section 3.05. Any prepayment pursuant to this Section 2.05(a) that is made after the date a Demand Failure Event has occurred (regardless of whether such Demand Failure Event is continuing) and prior to October 11, 2024, shall be made at par, plus all accrued interest on the amount prepaid, together with any additional amounts if required pursuant to Section 3.05, plus the Applicable Premium.</w:t>
      </w:r>
    </w:p>
    <w:p>
      <w:pPr>
        <w:spacing w:after="0" w:line="50" w:lineRule="exact"/>
        <w:rPr>
          <w:rFonts w:ascii="Arial" w:cs="Arial" w:eastAsia="Arial" w:hAnsi="Arial"/>
          <w:sz w:val="16"/>
          <w:szCs w:val="16"/>
          <w:color w:val="auto"/>
        </w:rPr>
      </w:pPr>
    </w:p>
    <w:p>
      <w:pPr>
        <w:ind w:left="1280" w:hanging="323"/>
        <w:spacing w:after="0"/>
        <w:tabs>
          <w:tab w:leader="none" w:pos="12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Interest will cease to accrue on the Loans repaid on the applicable repayment date.</w:t>
      </w:r>
    </w:p>
    <w:p>
      <w:pPr>
        <w:spacing w:after="0" w:line="117" w:lineRule="exact"/>
        <w:rPr>
          <w:rFonts w:ascii="Arial" w:cs="Arial" w:eastAsia="Arial" w:hAnsi="Arial"/>
          <w:sz w:val="18"/>
          <w:szCs w:val="18"/>
          <w:color w:val="auto"/>
        </w:rPr>
      </w:pPr>
    </w:p>
    <w:p>
      <w:pPr>
        <w:ind w:right="320" w:firstLine="957"/>
        <w:spacing w:after="0" w:line="277" w:lineRule="auto"/>
        <w:tabs>
          <w:tab w:leader="none" w:pos="125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Notwithstanding anything to the contrary, no prepayment premium will apply to any exchange of Loans for Exchange Notes pursuant to Article 10.</w:t>
      </w:r>
    </w:p>
    <w:p>
      <w:pPr>
        <w:spacing w:after="0" w:line="62" w:lineRule="exact"/>
        <w:rPr>
          <w:rFonts w:ascii="Arial" w:cs="Arial" w:eastAsia="Arial" w:hAnsi="Arial"/>
          <w:sz w:val="18"/>
          <w:szCs w:val="18"/>
          <w:color w:val="auto"/>
        </w:rPr>
      </w:pPr>
    </w:p>
    <w:p>
      <w:pPr>
        <w:ind w:left="820" w:hanging="264"/>
        <w:spacing w:after="0"/>
        <w:tabs>
          <w:tab w:leader="none" w:pos="8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Mandatory.</w:t>
      </w:r>
    </w:p>
    <w:p>
      <w:pPr>
        <w:spacing w:after="0" w:line="117" w:lineRule="exact"/>
        <w:rPr>
          <w:rFonts w:ascii="Arial" w:cs="Arial" w:eastAsia="Arial" w:hAnsi="Arial"/>
          <w:sz w:val="18"/>
          <w:szCs w:val="18"/>
          <w:color w:val="auto"/>
        </w:rPr>
      </w:pPr>
    </w:p>
    <w:p>
      <w:pPr>
        <w:ind w:left="1180" w:hanging="223"/>
        <w:spacing w:after="0"/>
        <w:tabs>
          <w:tab w:leader="none" w:pos="118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Prior to the Debt Assumption Date, the Borrower shall be under no obligation to prepay the Loans, except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2.05(c).</w:t>
      </w:r>
    </w:p>
    <w:p>
      <w:pPr>
        <w:spacing w:after="0" w:line="102" w:lineRule="exact"/>
        <w:rPr>
          <w:rFonts w:ascii="Arial" w:cs="Arial" w:eastAsia="Arial" w:hAnsi="Arial"/>
          <w:sz w:val="17"/>
          <w:szCs w:val="17"/>
          <w:color w:val="auto"/>
        </w:rPr>
      </w:pPr>
    </w:p>
    <w:p>
      <w:pPr>
        <w:ind w:left="1220" w:hanging="263"/>
        <w:spacing w:after="0"/>
        <w:tabs>
          <w:tab w:leader="none" w:pos="122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On or after the Debt Assumption Date, upon the incurrence or issuance by the Borrower or any of its Restricted Subsidiaries of:</w:t>
      </w:r>
    </w:p>
    <w:p>
      <w:pPr>
        <w:spacing w:after="0" w:line="140" w:lineRule="exact"/>
        <w:rPr>
          <w:rFonts w:ascii="Arial" w:cs="Arial" w:eastAsia="Arial" w:hAnsi="Arial"/>
          <w:sz w:val="16"/>
          <w:szCs w:val="16"/>
          <w:color w:val="auto"/>
        </w:rPr>
      </w:pPr>
    </w:p>
    <w:p>
      <w:pPr>
        <w:ind w:left="1680" w:hanging="300"/>
        <w:spacing w:after="0"/>
        <w:tabs>
          <w:tab w:leader="none" w:pos="168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Takeout Debt issued or incurred pursuant to a Bridge Takeout Notice; or</w:t>
      </w:r>
    </w:p>
    <w:p>
      <w:pPr>
        <w:spacing w:after="0" w:line="117" w:lineRule="exact"/>
        <w:rPr>
          <w:rFonts w:ascii="Arial" w:cs="Arial" w:eastAsia="Arial" w:hAnsi="Arial"/>
          <w:sz w:val="18"/>
          <w:szCs w:val="18"/>
          <w:color w:val="auto"/>
        </w:rPr>
      </w:pPr>
    </w:p>
    <w:p>
      <w:pPr>
        <w:ind w:left="1000" w:right="100" w:firstLine="380"/>
        <w:spacing w:after="0" w:line="277" w:lineRule="auto"/>
        <w:tabs>
          <w:tab w:leader="none" w:pos="1668"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equity or equity-linked securities in any direct or indirect public offering or private placement, but excluding issuance pursuant to employee stock plans,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each case, the Borrower shall prepay an aggregate principal amount of the Loans equal to 100% of the gross cash proceeds received by the Borrower or any of its Restricted Subsidiaries from any such Takeout Debt or equity or equity-linked securities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in each case, all reasonable and customary out-of-pocket legal, underwriting and other fees, costs and expenses incurred or reasonably anticipated to be incurred within 90 days thereof in connection therewith, within one Business Day following receipt thereof by the Borrower or such Restricted Subsidiary (such prepayments to be applied as set forth in Section 2.05(b)(iv) below).</w:t>
      </w:r>
    </w:p>
    <w:p>
      <w:pPr>
        <w:spacing w:after="0" w:line="80" w:lineRule="exact"/>
        <w:rPr>
          <w:sz w:val="20"/>
          <w:szCs w:val="20"/>
          <w:color w:val="auto"/>
        </w:rPr>
      </w:pPr>
    </w:p>
    <w:p>
      <w:pPr>
        <w:jc w:val="both"/>
        <w:ind w:firstLine="957"/>
        <w:spacing w:after="0" w:line="259" w:lineRule="auto"/>
        <w:tabs>
          <w:tab w:leader="none" w:pos="126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On or after the Debt Assumption Date, the Borrower shall prepay an aggregate principal amount of the Loans equal to 100% of the amount of Excess Proceeds on the date (the “</w:t>
      </w:r>
      <w:r>
        <w:rPr>
          <w:rFonts w:ascii="Arial" w:cs="Arial" w:eastAsia="Arial" w:hAnsi="Arial"/>
          <w:sz w:val="18"/>
          <w:szCs w:val="18"/>
          <w:b w:val="1"/>
          <w:bCs w:val="1"/>
          <w:color w:val="auto"/>
        </w:rPr>
        <w:t>Excess Proceeds Prepayment Trigger Date</w:t>
      </w:r>
      <w:r>
        <w:rPr>
          <w:rFonts w:ascii="Arial" w:cs="Arial" w:eastAsia="Arial" w:hAnsi="Arial"/>
          <w:sz w:val="18"/>
          <w:szCs w:val="18"/>
          <w:color w:val="auto"/>
        </w:rPr>
        <w:t>”) that the amount of Excess Proceeds exceeds the Excess Proceeds Threshold, within one Business Day following the Excess Proceeds Prepayment Trigger Date (such prepayments to be applied as set forth in Section 2.05(b)(iv) below).</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40"/>
          </w:cols>
          <w:pgMar w:left="880" w:top="274" w:right="479" w:bottom="1440" w:gutter="0" w:footer="0" w:header="0"/>
        </w:sectPr>
      </w:pPr>
    </w:p>
    <w:bookmarkStart w:id="358" w:name="page359"/>
    <w:bookmarkEnd w:id="358"/>
    <w:p>
      <w:pPr>
        <w:ind w:left="420" w:right="40" w:firstLine="957"/>
        <w:spacing w:after="0" w:line="255" w:lineRule="auto"/>
        <w:tabs>
          <w:tab w:leader="none" w:pos="1677" w:val="left"/>
        </w:tabs>
        <w:numPr>
          <w:ilvl w:val="1"/>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prepayment of Loans pursuant to this Section 2.05(b)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Loans of each Lender pro rata in accordance with their Applicable Percentages, and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any excess after the application of such proceeds in accordance with clause </w:t>
      </w:r>
      <w:r>
        <w:rPr>
          <w:rFonts w:ascii="Arial" w:cs="Arial" w:eastAsia="Arial" w:hAnsi="Arial"/>
          <w:sz w:val="18"/>
          <w:szCs w:val="18"/>
          <w:i w:val="1"/>
          <w:iCs w:val="1"/>
          <w:color w:val="auto"/>
        </w:rPr>
        <w:t>first</w:t>
      </w:r>
      <w:r>
        <w:rPr>
          <w:rFonts w:ascii="Arial" w:cs="Arial" w:eastAsia="Arial" w:hAnsi="Arial"/>
          <w:sz w:val="18"/>
          <w:szCs w:val="18"/>
          <w:color w:val="auto"/>
        </w:rPr>
        <w:t xml:space="preserve"> may be retained by the Borrower. Notwithstanding the foregoing, any proceeds from the sale or other placement of Takeout Debt or Takeout Equity funded or purchased by a Lender or one or more of its Affiliates will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Loans of such Lender and </w:t>
      </w:r>
      <w:r>
        <w:rPr>
          <w:rFonts w:ascii="Arial" w:cs="Arial" w:eastAsia="Arial" w:hAnsi="Arial"/>
          <w:sz w:val="18"/>
          <w:szCs w:val="18"/>
          <w:i w:val="1"/>
          <w:iCs w:val="1"/>
          <w:color w:val="auto"/>
        </w:rPr>
        <w:t>second</w:t>
      </w:r>
      <w:r>
        <w:rPr>
          <w:rFonts w:ascii="Arial" w:cs="Arial" w:eastAsia="Arial" w:hAnsi="Arial"/>
          <w:sz w:val="18"/>
          <w:szCs w:val="18"/>
          <w:color w:val="auto"/>
        </w:rPr>
        <w:t>, any excess after the application of such proceeds in accordance with clause first of this sentence will be applied in accordance with the immediately preceding sentence. Any prepayment of a Loan pursuant to this Section 2.05(b) shall be accompanied by all accrued interest on the amount prepaid, together with any additional amounts required pursuant to Section 3.05.</w:t>
      </w:r>
    </w:p>
    <w:p>
      <w:pPr>
        <w:spacing w:after="0" w:line="81" w:lineRule="exact"/>
        <w:rPr>
          <w:rFonts w:ascii="Arial" w:cs="Arial" w:eastAsia="Arial" w:hAnsi="Arial"/>
          <w:sz w:val="18"/>
          <w:szCs w:val="18"/>
          <w:color w:val="auto"/>
        </w:rPr>
      </w:pPr>
    </w:p>
    <w:p>
      <w:pPr>
        <w:ind w:left="-20" w:firstLine="996"/>
        <w:spacing w:after="0" w:line="271" w:lineRule="auto"/>
        <w:tabs>
          <w:tab w:leader="none" w:pos="121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Upon the occurrence of a Change of Control, each Lender will have the right to require Borrower, and Borrower must, in turn, offer to, prepay all or any part of the principal amount of such Lender’s Loans pursuant to the offer described below (the “</w:t>
      </w:r>
      <w:r>
        <w:rPr>
          <w:rFonts w:ascii="Arial" w:cs="Arial" w:eastAsia="Arial" w:hAnsi="Arial"/>
          <w:sz w:val="17"/>
          <w:szCs w:val="17"/>
          <w:b w:val="1"/>
          <w:bCs w:val="1"/>
          <w:color w:val="auto"/>
        </w:rPr>
        <w:t>Change of Control Offer</w:t>
      </w:r>
      <w:r>
        <w:rPr>
          <w:rFonts w:ascii="Arial" w:cs="Arial" w:eastAsia="Arial" w:hAnsi="Arial"/>
          <w:sz w:val="17"/>
          <w:szCs w:val="17"/>
          <w:color w:val="auto"/>
        </w:rPr>
        <w:t>”) at a repayment price in cash equal to 100%, in each case, of the outstanding principal amount thereof plus accrued and unpaid interest, if any, to the date of prepayment, together with any additional amounts required pursuant to Section 3.05 (collectively, the “</w:t>
      </w:r>
      <w:r>
        <w:rPr>
          <w:rFonts w:ascii="Arial" w:cs="Arial" w:eastAsia="Arial" w:hAnsi="Arial"/>
          <w:sz w:val="17"/>
          <w:szCs w:val="17"/>
          <w:b w:val="1"/>
          <w:bCs w:val="1"/>
          <w:color w:val="auto"/>
        </w:rPr>
        <w:t>Change of Control Payment</w:t>
      </w:r>
      <w:r>
        <w:rPr>
          <w:rFonts w:ascii="Arial" w:cs="Arial" w:eastAsia="Arial" w:hAnsi="Arial"/>
          <w:sz w:val="17"/>
          <w:szCs w:val="17"/>
          <w:color w:val="auto"/>
        </w:rPr>
        <w:t>”). Promptly, and in any event within 3 Business Days following any Change of Control, Borrower will notify Administrative Agent of the Change of Control, which notice shall describe the transaction or transactions that constituted the Change of Control and Borrower shall offer to repay the Loans on the date specified in such notice, which date shall be no later than 30 days from the date such notice is mailed or delivered (the “</w:t>
      </w:r>
      <w:r>
        <w:rPr>
          <w:rFonts w:ascii="Arial" w:cs="Arial" w:eastAsia="Arial" w:hAnsi="Arial"/>
          <w:sz w:val="17"/>
          <w:szCs w:val="17"/>
          <w:b w:val="1"/>
          <w:bCs w:val="1"/>
          <w:color w:val="auto"/>
        </w:rPr>
        <w:t>Change of Control Payment Date</w:t>
      </w:r>
      <w:r>
        <w:rPr>
          <w:rFonts w:ascii="Arial" w:cs="Arial" w:eastAsia="Arial" w:hAnsi="Arial"/>
          <w:sz w:val="17"/>
          <w:szCs w:val="17"/>
          <w:color w:val="auto"/>
        </w:rPr>
        <w:t>”), pursuant to the procedures set forth in clauses (i) through (v) below:</w:t>
      </w:r>
    </w:p>
    <w:p>
      <w:pPr>
        <w:spacing w:after="0" w:line="70" w:lineRule="exact"/>
        <w:rPr>
          <w:rFonts w:ascii="Arial" w:cs="Arial" w:eastAsia="Arial" w:hAnsi="Arial"/>
          <w:sz w:val="17"/>
          <w:szCs w:val="17"/>
          <w:color w:val="auto"/>
        </w:rPr>
      </w:pPr>
    </w:p>
    <w:p>
      <w:pPr>
        <w:ind w:left="420" w:right="40" w:firstLine="957"/>
        <w:spacing w:after="0" w:line="259" w:lineRule="auto"/>
        <w:tabs>
          <w:tab w:leader="none" w:pos="158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Administrative Agent shall promptly notify the Lenders of any notice received by it pursuant to this clause (b)(iv). The Change of Control Offer shall remain open from the time of notification of Administrative Agent pursuant to this clause (b)(iv) until the Change of Control Payment Date. The notice shall contain all instructions and materials necessary to enable such Lenders to elect to be prepaid pursuant to the Change of Control Offer.</w:t>
      </w:r>
    </w:p>
    <w:p>
      <w:pPr>
        <w:spacing w:after="0" w:line="78" w:lineRule="exact"/>
        <w:rPr>
          <w:rFonts w:ascii="Arial" w:cs="Arial" w:eastAsia="Arial" w:hAnsi="Arial"/>
          <w:sz w:val="18"/>
          <w:szCs w:val="18"/>
          <w:color w:val="auto"/>
        </w:rPr>
      </w:pPr>
    </w:p>
    <w:p>
      <w:pPr>
        <w:jc w:val="both"/>
        <w:ind w:left="420" w:right="40" w:firstLine="957"/>
        <w:spacing w:after="0" w:line="264" w:lineRule="auto"/>
        <w:tabs>
          <w:tab w:leader="none" w:pos="163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On the Change of Control Payment Date, Borrower shall (A) repay through Administrative Agent the Loan or portions thereof of each Lender that has properly elected repayment thereof pursuant to the Change of Control Offer; and (B) pay the Change of Control Payment for each such Loan (or portion thereof) elected to be prepaid.</w:t>
      </w:r>
    </w:p>
    <w:p>
      <w:pPr>
        <w:spacing w:after="0" w:line="73" w:lineRule="exact"/>
        <w:rPr>
          <w:rFonts w:ascii="Arial" w:cs="Arial" w:eastAsia="Arial" w:hAnsi="Arial"/>
          <w:sz w:val="18"/>
          <w:szCs w:val="18"/>
          <w:color w:val="auto"/>
        </w:rPr>
      </w:pPr>
    </w:p>
    <w:p>
      <w:pPr>
        <w:ind w:left="420" w:right="20" w:firstLine="957"/>
        <w:spacing w:after="0" w:line="273" w:lineRule="auto"/>
        <w:tabs>
          <w:tab w:leader="none" w:pos="1687"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In the event that Lenders holding not less than 90% of the aggregate principal amount of the outstanding Loans accept a Change of Control Offer and the Borrower repays all of the Loans held by such Lenders, the Borrower will have the right, upon not less than 10 nor more than 60 days’ prior notice, given not more than 30 days following the repayment pursuant to the Change of Control Offer described above, to repay all of the Loans that remain outstanding following such repayment at a prepayment price equal to the Change of Control Payment plus, to the extent not included in the Change of Control Payment, accrued and unpaid interest on the Loans that remain outstanding, to, but not including, the date of repayment, together with any additional amounts required pursuant to Section 3.05.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60" w:top="274" w:right="459" w:bottom="1440" w:gutter="0" w:footer="0" w:header="0"/>
        </w:sectPr>
      </w:pPr>
    </w:p>
    <w:bookmarkStart w:id="359" w:name="page360"/>
    <w:bookmarkEnd w:id="359"/>
    <w:p>
      <w:pPr>
        <w:ind w:left="420" w:right="80" w:firstLine="957"/>
        <w:spacing w:after="0" w:line="257" w:lineRule="auto"/>
        <w:tabs>
          <w:tab w:leader="none" w:pos="1677"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this Section 2.05(c), the Borrower will not be required to make a Change of Control Offer upon a Change of Control if (A) a third party makes the Change of Control Offer in the manner, at the times and otherwise in compliance with the requirements set forth in this Section 2.05(c) and repays all Loans under the Change of Control Offer, or (B) notice of repayment has been given with respect to the entire outstanding principal amount of the Loans pursuant to Section 2.05(b) hereof, unless and until there is a default in payment of the applicable prepayment price.</w:t>
      </w:r>
    </w:p>
    <w:p>
      <w:pPr>
        <w:spacing w:after="0" w:line="80" w:lineRule="exact"/>
        <w:rPr>
          <w:rFonts w:ascii="Arial" w:cs="Arial" w:eastAsia="Arial" w:hAnsi="Arial"/>
          <w:sz w:val="18"/>
          <w:szCs w:val="18"/>
          <w:color w:val="auto"/>
        </w:rPr>
      </w:pPr>
    </w:p>
    <w:p>
      <w:pPr>
        <w:ind w:left="420" w:right="80" w:firstLine="957"/>
        <w:spacing w:after="0" w:line="264" w:lineRule="auto"/>
        <w:tabs>
          <w:tab w:leader="none" w:pos="162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 Change of Control Offer may be made in advance of a Change of Control, conditioned upon the consummation of such Change of Control, if a definitive agreement is in place providing for the Change of Control at the time the Change of Control Offer is made.</w:t>
      </w:r>
    </w:p>
    <w:p>
      <w:pPr>
        <w:spacing w:after="0" w:line="73" w:lineRule="exact"/>
        <w:rPr>
          <w:rFonts w:ascii="Arial" w:cs="Arial" w:eastAsia="Arial" w:hAnsi="Arial"/>
          <w:sz w:val="18"/>
          <w:szCs w:val="18"/>
          <w:color w:val="auto"/>
        </w:rPr>
      </w:pPr>
    </w:p>
    <w:p>
      <w:pPr>
        <w:ind w:left="420" w:right="160" w:firstLine="957"/>
        <w:spacing w:after="0" w:line="277" w:lineRule="auto"/>
        <w:tabs>
          <w:tab w:leader="none" w:pos="167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consummation of the Transactions shall not constitute a Change of Control or trigger the requirement to make a Change of Control Offer.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w:t>
      </w:r>
    </w:p>
    <w:p>
      <w:pPr>
        <w:spacing w:after="0" w:line="117" w:lineRule="exact"/>
        <w:rPr>
          <w:sz w:val="20"/>
          <w:szCs w:val="20"/>
          <w:color w:val="auto"/>
        </w:rPr>
      </w:pPr>
    </w:p>
    <w:p>
      <w:pPr>
        <w:ind w:left="-20" w:firstLine="996"/>
        <w:spacing w:after="0" w:line="289" w:lineRule="auto"/>
        <w:tabs>
          <w:tab w:leader="none" w:pos="121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Subject to the provisions of Section 2.08(b), each Loan shall bear interest on the outstanding principal amount thereof from the date made through, but excluding, the date of repayment thereof (whether by acceleration or otherwise) at a rate per annum equal to (i) with respect to the first Interest Period, the Eurodollar Rate plus 450 basis points (or, for any period during which the Loans are Base Rate Loans in accordance with Section 3.02 and/or Section 3.03, the Base Rate plus 350 basis points), (ii) with respect to the second Interest Period, the Eurodollar Rate plus 500 basis points (or, for any period during which the Loans are Base Rate Loans in accordance with Section 3.02 and/or Section 3.03, the Base Rate plus 400 basis points), and (iii) with respect to each Interest Period thereafter, the Total Cap;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on and after the date (if any) that a Demand Failure Event occurs, each Loan shall bear interest at the Total Cap (it being understood that any increase in the interest rate applicable to the Loans as a result of a Demand Failure Event or an increase in the Total Cap will apply from and including (but not prior to) the date of such Demand Failure Event or increase in the Total Cap, such that different interest rates may be in effect during the same Interest Period).</w:t>
      </w:r>
    </w:p>
    <w:p>
      <w:pPr>
        <w:spacing w:after="0" w:line="58" w:lineRule="exact"/>
        <w:rPr>
          <w:rFonts w:ascii="Arial" w:cs="Arial" w:eastAsia="Arial" w:hAnsi="Arial"/>
          <w:sz w:val="16"/>
          <w:szCs w:val="16"/>
          <w:color w:val="auto"/>
        </w:rPr>
      </w:pPr>
    </w:p>
    <w:p>
      <w:pPr>
        <w:ind w:left="-20" w:right="20" w:firstLine="996"/>
        <w:spacing w:after="0" w:line="264" w:lineRule="auto"/>
        <w:tabs>
          <w:tab w:leader="none" w:pos="122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If any amount payable by the Borrower under any Loan Document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60" w:top="274" w:right="439" w:bottom="1440" w:gutter="0" w:footer="0" w:header="0"/>
        </w:sectPr>
      </w:pPr>
    </w:p>
    <w:bookmarkStart w:id="360" w:name="page361"/>
    <w:bookmarkEnd w:id="360"/>
    <w:p>
      <w:pPr>
        <w:jc w:val="both"/>
        <w:ind w:left="440" w:right="140" w:firstLine="957"/>
        <w:spacing w:after="0" w:line="264" w:lineRule="auto"/>
        <w:tabs>
          <w:tab w:leader="none" w:pos="1657" w:val="left"/>
        </w:tabs>
        <w:numPr>
          <w:ilvl w:val="2"/>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of and while any Event of Default as described in Section 8.01(f) exists, the Borrower shall pay interest on all outstanding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720" w:hanging="323"/>
        <w:spacing w:after="0"/>
        <w:tabs>
          <w:tab w:leader="none" w:pos="172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Upon the request of the Required Lenders, while any Event of Default (other than the Events of Default described in clauses (b)</w:t>
      </w:r>
    </w:p>
    <w:p>
      <w:pPr>
        <w:spacing w:after="0" w:line="46" w:lineRule="exact"/>
        <w:rPr>
          <w:rFonts w:ascii="Arial" w:cs="Arial" w:eastAsia="Arial" w:hAnsi="Arial"/>
          <w:sz w:val="16"/>
          <w:szCs w:val="16"/>
          <w:color w:val="auto"/>
        </w:rPr>
      </w:pPr>
    </w:p>
    <w:p>
      <w:pPr>
        <w:ind w:left="440" w:firstLine="4"/>
        <w:spacing w:after="0" w:line="261"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and (ii) above) exists, the Borrower shall pay interest on all outstanding Obligations hereunder at an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ind w:left="1700" w:hanging="303"/>
        <w:spacing w:after="0"/>
        <w:tabs>
          <w:tab w:leader="none" w:pos="1700" w:val="left"/>
        </w:tabs>
        <w:numPr>
          <w:ilvl w:val="2"/>
          <w:numId w:val="26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40" w:lineRule="exact"/>
        <w:rPr>
          <w:rFonts w:ascii="Arial" w:cs="Arial" w:eastAsia="Arial" w:hAnsi="Arial"/>
          <w:sz w:val="16"/>
          <w:szCs w:val="16"/>
          <w:color w:val="auto"/>
        </w:rPr>
      </w:pPr>
    </w:p>
    <w:p>
      <w:pPr>
        <w:ind w:right="160" w:firstLine="996"/>
        <w:spacing w:after="0" w:line="297" w:lineRule="auto"/>
        <w:tabs>
          <w:tab w:leader="none" w:pos="1237"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Interest on each Loan shall be due and payable in arrears (i) on each Interest Payment Date, (ii) on the date a Demand Failure Event occurs, (iii) in the case of any Loan exchanged for an Exchange Note other than on an Interest Payment Date, on the date of such exchange, (iv) by BellRing Brands on the Debt Assumption Date (without premium or penalty, subject to Section 3.05, if applicable) for interest accrued through and including the Debt Assumption Date, and (v) at such other times as may be specified herein. Interest hereunder shall be due and payable in accordance with the terms hereof before and after judgment, and before and after the commencement of any proceeding under any Debtor Relief Law.</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Fees</w:t>
      </w:r>
    </w:p>
    <w:p>
      <w:pPr>
        <w:spacing w:after="0" w:line="117" w:lineRule="exact"/>
        <w:rPr>
          <w:sz w:val="20"/>
          <w:szCs w:val="20"/>
          <w:color w:val="auto"/>
        </w:rPr>
      </w:pPr>
    </w:p>
    <w:p>
      <w:pPr>
        <w:ind w:right="20" w:firstLine="996"/>
        <w:spacing w:after="0" w:line="264" w:lineRule="auto"/>
        <w:tabs>
          <w:tab w:leader="none" w:pos="123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the Agency Fee (as defined in the Fee Letter), to the extent required to be paid in accordance with the Fee Letter, and such other fees payable in the amounts and at the times separately agreed upon between the Borrower and the Administrative Agent.</w:t>
      </w:r>
    </w:p>
    <w:p>
      <w:pPr>
        <w:spacing w:after="0" w:line="73" w:lineRule="exact"/>
        <w:rPr>
          <w:rFonts w:ascii="Arial" w:cs="Arial" w:eastAsia="Arial" w:hAnsi="Arial"/>
          <w:sz w:val="18"/>
          <w:szCs w:val="18"/>
          <w:color w:val="auto"/>
        </w:rPr>
      </w:pPr>
    </w:p>
    <w:p>
      <w:pPr>
        <w:ind w:firstLine="996"/>
        <w:spacing w:after="0" w:line="264" w:lineRule="auto"/>
        <w:tabs>
          <w:tab w:leader="none" w:pos="12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Borrower agrees to pay on the Closing Date to each Initial Lender, the Structuring Fee (as defined in the Fee Letter). Such fee shall be in all respects fully earned, due and payable on the Closing Date and non-refundable and non-creditable thereafter, except as otherwise expressly provided in the Fee Letter.</w:t>
      </w:r>
    </w:p>
    <w:p>
      <w:pPr>
        <w:spacing w:after="0" w:line="73" w:lineRule="exact"/>
        <w:rPr>
          <w:rFonts w:ascii="Arial" w:cs="Arial" w:eastAsia="Arial" w:hAnsi="Arial"/>
          <w:sz w:val="18"/>
          <w:szCs w:val="18"/>
          <w:color w:val="auto"/>
        </w:rPr>
      </w:pPr>
    </w:p>
    <w:p>
      <w:pPr>
        <w:ind w:right="480" w:firstLine="996"/>
        <w:spacing w:after="0" w:line="277" w:lineRule="auto"/>
        <w:tabs>
          <w:tab w:leader="none" w:pos="123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Borrower agrees to pay to the Initial Lenders the Conversion Fee (as defined in the Fee Letter), on the first to occur of (i) the Conversion Date and (ii) the date a Demand Failure Event occurs.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Computation of Interest</w:t>
      </w:r>
    </w:p>
    <w:p>
      <w:pPr>
        <w:spacing w:after="0" w:line="117" w:lineRule="exact"/>
        <w:rPr>
          <w:sz w:val="20"/>
          <w:szCs w:val="20"/>
          <w:color w:val="auto"/>
        </w:rPr>
      </w:pPr>
    </w:p>
    <w:p>
      <w:pPr>
        <w:ind w:right="60" w:firstLine="996"/>
        <w:spacing w:after="0" w:line="257" w:lineRule="auto"/>
        <w:tabs>
          <w:tab w:leader="none" w:pos="123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computations of interest for Loans shall be made on the basis of a 360-day year and actual days elapsed (which results in more interest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notwithstanding Section 2.12(a), bear interest for one day. With respect to each Interest Period, the interest due and payable on the corresponding Interest Payment Date will be the accrued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3" w:right="439" w:bottom="1440" w:gutter="0" w:footer="0" w:header="0"/>
        </w:sectPr>
      </w:pPr>
    </w:p>
    <w:bookmarkStart w:id="361" w:name="page362"/>
    <w:bookmarkEnd w:id="36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from and including the first day of such Interest Period to but excluding the last day of such Interest Period. The Administrative Agent shall promptly notify the Borrower and the Lenders of the interest rate applicable to the first Interest Period and the second Interest Period upon determination of each such interest rate. Each determination by the Administrative Agent of an interest rate hereunder shall be conclusive and binding for all purposes, absent manifest error.</w:t>
      </w:r>
    </w:p>
    <w:p>
      <w:pPr>
        <w:spacing w:after="0" w:line="187" w:lineRule="exact"/>
        <w:rPr>
          <w:sz w:val="20"/>
          <w:szCs w:val="20"/>
          <w:color w:val="auto"/>
        </w:rPr>
      </w:pPr>
    </w:p>
    <w:p>
      <w:pPr>
        <w:jc w:val="center"/>
        <w:ind w:right="7940"/>
        <w:spacing w:after="0"/>
        <w:rPr>
          <w:sz w:val="20"/>
          <w:szCs w:val="20"/>
          <w:color w:val="auto"/>
        </w:rPr>
      </w:pPr>
      <w:r>
        <w:rPr>
          <w:rFonts w:ascii="Arial" w:cs="Arial" w:eastAsia="Arial" w:hAnsi="Arial"/>
          <w:sz w:val="18"/>
          <w:szCs w:val="18"/>
          <w:color w:val="auto"/>
        </w:rPr>
        <w:t>(b)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Evidence of Debt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amount and maturity of its Loans and payments with respect thereto.</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Payments Generally; Administrative Agent’s Clawback.</w:t>
      </w:r>
    </w:p>
    <w:p>
      <w:pPr>
        <w:spacing w:after="0" w:line="117" w:lineRule="exact"/>
        <w:rPr>
          <w:sz w:val="20"/>
          <w:szCs w:val="20"/>
          <w:color w:val="auto"/>
        </w:rPr>
      </w:pPr>
    </w:p>
    <w:p>
      <w:pPr>
        <w:ind w:right="120" w:firstLine="996"/>
        <w:spacing w:after="0" w:line="268" w:lineRule="auto"/>
        <w:tabs>
          <w:tab w:leader="none" w:pos="1236"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All payments to be made by the Borrower shall be made without condition or deduction for any counterclaim,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recoupment or setoff. Except as otherwise expressly provided herein and except with respect to principal and interest on Loans, all payments by the Borrower hereunder shall be made to the Administrative Agent, for the account of the respective Lenders to which such payment is owed, at the Administrative Agent’s Office in U.S. Dollars and in Same Day Funds not later than 12:00 p.m. on the date specified herein. Except as otherwise expressly provided herein, all payments by the Borrower hereunder with respect to principal and interest on Loans shall be made to the Administrative Agent, for the account of the respective Lenders to which such payment is owed, at the Administrative Agent’s Office and in Same Day Funds not later than the time specified by the Administrative Agent on the dates specified herein. The Administrative Agent will promptly distribute to each Lender its Applicable Percentage (or other applicable share as provided herein) of all payments and prepayments of principal and interest due hereunder, together with all other amounts due thereto, including all fees payable with respect thereto, in like funds as received by wire transfer to such Lender’s Lending Office. All payments received by the Administrative Agent after 2:00 p.m.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362" w:name="page363"/>
    <w:bookmarkEnd w:id="362"/>
    <w:p>
      <w:pPr>
        <w:ind w:right="80" w:firstLine="996"/>
        <w:spacing w:after="0" w:line="288" w:lineRule="auto"/>
        <w:tabs>
          <w:tab w:leader="none" w:pos="1247" w:val="left"/>
        </w:tabs>
        <w:numPr>
          <w:ilvl w:val="1"/>
          <w:numId w:val="2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by Lenders; Presumption by Administrative Agent</w:t>
      </w:r>
      <w:r>
        <w:rPr>
          <w:rFonts w:ascii="Arial" w:cs="Arial" w:eastAsia="Arial" w:hAnsi="Arial"/>
          <w:sz w:val="16"/>
          <w:szCs w:val="16"/>
          <w:color w:val="auto"/>
        </w:rPr>
        <w:t>. Unless the Administrative Agent shall have received notice from a Lender</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proposed date of any Borrowing that such Lender will not make available to the Administrative Agent such Lender’s share of such Borrowing, the Administrative Agent may assume that such Lender has made such share available on such date in accordance with Sections 2.01 and</w:t>
      </w:r>
    </w:p>
    <w:p>
      <w:pPr>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2.02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Administrative Agent in connection with the foregoing, and (B) in the case of a payment to be made by the Borrower, the interest rate applicable to the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58" w:lineRule="exact"/>
        <w:rPr>
          <w:rFonts w:ascii="Arial" w:cs="Arial" w:eastAsia="Arial" w:hAnsi="Arial"/>
          <w:sz w:val="16"/>
          <w:szCs w:val="16"/>
          <w:color w:val="auto"/>
        </w:rPr>
      </w:pPr>
    </w:p>
    <w:p>
      <w:pPr>
        <w:ind w:left="440" w:right="140" w:firstLine="957"/>
        <w:spacing w:after="0" w:line="271" w:lineRule="auto"/>
        <w:tabs>
          <w:tab w:leader="none" w:pos="1607" w:val="left"/>
        </w:tabs>
        <w:numPr>
          <w:ilvl w:val="2"/>
          <w:numId w:val="271"/>
        </w:numPr>
        <w:rPr>
          <w:rFonts w:ascii="Arial" w:cs="Arial" w:eastAsia="Arial" w:hAnsi="Arial"/>
          <w:sz w:val="17"/>
          <w:szCs w:val="17"/>
          <w:color w:val="auto"/>
        </w:rPr>
      </w:pPr>
      <w:r>
        <w:rPr>
          <w:rFonts w:ascii="Arial" w:cs="Arial" w:eastAsia="Arial" w:hAnsi="Arial"/>
          <w:sz w:val="17"/>
          <w:szCs w:val="17"/>
          <w:i w:val="1"/>
          <w:iCs w:val="1"/>
          <w:color w:val="auto"/>
        </w:rPr>
        <w:t>Payments by Borrower; Presumptions by Administrative Agent</w:t>
      </w:r>
      <w:r>
        <w:rPr>
          <w:rFonts w:ascii="Arial" w:cs="Arial" w:eastAsia="Arial" w:hAnsi="Arial"/>
          <w:sz w:val="17"/>
          <w:szCs w:val="17"/>
          <w:color w:val="auto"/>
        </w:rPr>
        <w:t>. Unless the Administrative Agent shall have received notice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70" w:lineRule="exact"/>
        <w:rPr>
          <w:rFonts w:ascii="Arial" w:cs="Arial" w:eastAsia="Arial" w:hAnsi="Arial"/>
          <w:sz w:val="17"/>
          <w:szCs w:val="17"/>
          <w:color w:val="auto"/>
        </w:rPr>
      </w:pPr>
    </w:p>
    <w:p>
      <w:pPr>
        <w:ind w:left="1660" w:hanging="263"/>
        <w:spacing w:after="0"/>
        <w:tabs>
          <w:tab w:leader="none" w:pos="1660" w:val="left"/>
        </w:tabs>
        <w:numPr>
          <w:ilvl w:val="2"/>
          <w:numId w:val="271"/>
        </w:numPr>
        <w:rPr>
          <w:rFonts w:ascii="Arial" w:cs="Arial" w:eastAsia="Arial" w:hAnsi="Arial"/>
          <w:sz w:val="17"/>
          <w:szCs w:val="17"/>
          <w:color w:val="auto"/>
        </w:rPr>
      </w:pPr>
      <w:r>
        <w:rPr>
          <w:rFonts w:ascii="Arial" w:cs="Arial" w:eastAsia="Arial" w:hAnsi="Arial"/>
          <w:sz w:val="17"/>
          <w:szCs w:val="17"/>
          <w:color w:val="auto"/>
        </w:rPr>
        <w:t>A notice of the Administrative Agent to any Lender or the Borrower with respect to any amount owing under this subsection</w:t>
      </w:r>
    </w:p>
    <w:p>
      <w:pPr>
        <w:spacing w:after="0" w:line="34" w:lineRule="exact"/>
        <w:rPr>
          <w:rFonts w:ascii="Arial" w:cs="Arial" w:eastAsia="Arial" w:hAnsi="Arial"/>
          <w:sz w:val="17"/>
          <w:szCs w:val="17"/>
          <w:color w:val="auto"/>
        </w:rPr>
      </w:pPr>
    </w:p>
    <w:p>
      <w:pPr>
        <w:ind w:left="700" w:hanging="256"/>
        <w:spacing w:after="0"/>
        <w:tabs>
          <w:tab w:leader="none" w:pos="7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shall be conclusive, absent manifest error.</w:t>
      </w:r>
    </w:p>
    <w:p>
      <w:pPr>
        <w:spacing w:after="0" w:line="102" w:lineRule="exact"/>
        <w:rPr>
          <w:rFonts w:ascii="Arial" w:cs="Arial" w:eastAsia="Arial" w:hAnsi="Arial"/>
          <w:sz w:val="18"/>
          <w:szCs w:val="18"/>
          <w:color w:val="auto"/>
        </w:rPr>
      </w:pPr>
    </w:p>
    <w:p>
      <w:pPr>
        <w:jc w:val="both"/>
        <w:ind w:right="100" w:firstLine="996"/>
        <w:spacing w:after="0" w:line="259" w:lineRule="auto"/>
        <w:tabs>
          <w:tab w:leader="none" w:pos="1236"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Failure to Satisfy Conditions Precedent</w:t>
      </w:r>
      <w:r>
        <w:rPr>
          <w:rFonts w:ascii="Arial" w:cs="Arial" w:eastAsia="Arial" w:hAnsi="Arial"/>
          <w:sz w:val="18"/>
          <w:szCs w:val="18"/>
          <w:color w:val="auto"/>
        </w:rPr>
        <w:t>. If any Lender makes available to the Administrative Agent funds for any Loan to be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Lender as provided in this Article 2, and such funds are not made available to the Borrower by the Administrative Agent because the conditions to the Credit Extension set forth in Article 4 are not satisfied or waived in accordance with the terms hereof, the Administrative Agent shall promptly return such funds (in like funds as received from such Lender) to such Lender, without interest.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363" w:name="page364"/>
    <w:bookmarkEnd w:id="363"/>
    <w:p>
      <w:pPr>
        <w:ind w:right="140" w:firstLine="996"/>
        <w:spacing w:after="0" w:line="302" w:lineRule="auto"/>
        <w:tabs>
          <w:tab w:leader="none" w:pos="1247"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of Lenders Several</w:t>
      </w:r>
      <w:r>
        <w:rPr>
          <w:rFonts w:ascii="Arial" w:cs="Arial" w:eastAsia="Arial" w:hAnsi="Arial"/>
          <w:sz w:val="16"/>
          <w:szCs w:val="16"/>
          <w:color w:val="auto"/>
        </w:rPr>
        <w:t>. The obligations of the Lenders hereunder to make Loans and to make payments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11.04(c) are several and not joint. The failure of any Lender to make any Loan, to fund any such participation or to make any payment under Section 11.04(c)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11.04(c).</w:t>
      </w:r>
    </w:p>
    <w:p>
      <w:pPr>
        <w:spacing w:after="0" w:line="46" w:lineRule="exact"/>
        <w:rPr>
          <w:rFonts w:ascii="Arial" w:cs="Arial" w:eastAsia="Arial" w:hAnsi="Arial"/>
          <w:sz w:val="16"/>
          <w:szCs w:val="16"/>
          <w:color w:val="auto"/>
        </w:rPr>
      </w:pPr>
    </w:p>
    <w:p>
      <w:pPr>
        <w:ind w:right="300" w:firstLine="996"/>
        <w:spacing w:after="0" w:line="342" w:lineRule="auto"/>
        <w:tabs>
          <w:tab w:leader="none" w:pos="1236"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Funding Sources</w:t>
      </w:r>
      <w:r>
        <w:rPr>
          <w:rFonts w:ascii="Arial" w:cs="Arial" w:eastAsia="Arial" w:hAnsi="Arial"/>
          <w:sz w:val="16"/>
          <w:szCs w:val="16"/>
          <w:color w:val="auto"/>
        </w:rPr>
        <w:t>. Nothing herein shall be deemed to obligate any Lender to obtain the funds for any Loan in any particular place or</w:t>
      </w:r>
      <w:r>
        <w:rPr>
          <w:rFonts w:ascii="Arial" w:cs="Arial" w:eastAsia="Arial" w:hAnsi="Arial"/>
          <w:sz w:val="16"/>
          <w:szCs w:val="16"/>
          <w:i w:val="1"/>
          <w:iCs w:val="1"/>
          <w:color w:val="auto"/>
        </w:rPr>
        <w:t xml:space="preserve"> </w:t>
      </w:r>
      <w:r>
        <w:rPr>
          <w:rFonts w:ascii="Arial" w:cs="Arial" w:eastAsia="Arial" w:hAnsi="Arial"/>
          <w:sz w:val="16"/>
          <w:szCs w:val="16"/>
          <w:color w:val="auto"/>
        </w:rPr>
        <w:t>manner or to constitute a representation by any Lender that it has obtained or will obtain the funds for any Loan in any particular place or manner.</w:t>
      </w:r>
    </w:p>
    <w:p>
      <w:pPr>
        <w:spacing w:after="0" w:line="15" w:lineRule="exact"/>
        <w:rPr>
          <w:rFonts w:ascii="Arial" w:cs="Arial" w:eastAsia="Arial" w:hAnsi="Arial"/>
          <w:sz w:val="16"/>
          <w:szCs w:val="16"/>
          <w:color w:val="auto"/>
        </w:rPr>
      </w:pPr>
    </w:p>
    <w:p>
      <w:pPr>
        <w:ind w:right="180" w:firstLine="996"/>
        <w:spacing w:after="0" w:line="302" w:lineRule="auto"/>
        <w:tabs>
          <w:tab w:leader="none" w:pos="1217"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Insufficient Funds</w:t>
      </w:r>
      <w:r>
        <w:rPr>
          <w:rFonts w:ascii="Arial" w:cs="Arial" w:eastAsia="Arial" w:hAnsi="Arial"/>
          <w:sz w:val="16"/>
          <w:szCs w:val="16"/>
          <w:color w:val="auto"/>
        </w:rPr>
        <w:t>. If at any time insufficient funds are received by and available to the Administrative Agent to pay fully all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of principal,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then due hereunder, ratably among the parties entitled thereto in accordance with the amounts of principal then due to such parties.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Sharing of Payments by Lenders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Lender shall, by exercising any right of setoff or counterclaim or otherwise, obtain payment in respect of (a) Obligations in respect of the Loans due and payable to such Lender hereunder and under the other Loan Documents at such time in excess of its ratable share (according to the proportion of</w:t>
      </w:r>
    </w:p>
    <w:p>
      <w:pPr>
        <w:ind w:right="40" w:firstLine="4"/>
        <w:spacing w:after="0" w:line="281" w:lineRule="auto"/>
        <w:tabs>
          <w:tab w:leader="none" w:pos="21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amount of such Obligations due and payable to such Lender at such time to (ii) the aggregate amount of the Obligations in respect of the Loans due and payable to all Lenders hereunder and under the other Loan Documents at such time) of payments on account of the Obligations in respect of the Loans due and payable to all Lenders hereunder and under the other Loan Documents at such time obtained by all the Lenders at such time or</w:t>
      </w:r>
    </w:p>
    <w:p>
      <w:pPr>
        <w:spacing w:after="0" w:line="2" w:lineRule="exact"/>
        <w:rPr>
          <w:rFonts w:ascii="Arial" w:cs="Arial" w:eastAsia="Arial" w:hAnsi="Arial"/>
          <w:sz w:val="16"/>
          <w:szCs w:val="16"/>
          <w:color w:val="auto"/>
        </w:rPr>
      </w:pPr>
    </w:p>
    <w:p>
      <w:pPr>
        <w:ind w:firstLine="4"/>
        <w:spacing w:after="0" w:line="268" w:lineRule="auto"/>
        <w:tabs>
          <w:tab w:leader="none" w:pos="25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Obligations in respect of the Loans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Loans owing (but not due and payable) to all Lenders hereunder and under the other Loan Documents at such time) of payment on account of the Obligations in respect of the Loans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in respect of the Loans then due and payable to the Lenders or owing (but not due and payable) to the Lenders,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rFonts w:ascii="Arial" w:cs="Arial" w:eastAsia="Arial" w:hAnsi="Arial"/>
          <w:sz w:val="17"/>
          <w:szCs w:val="17"/>
          <w:color w:val="auto"/>
        </w:rPr>
      </w:pPr>
    </w:p>
    <w:p>
      <w:pPr>
        <w:ind w:left="440" w:right="40" w:firstLine="957"/>
        <w:spacing w:after="0" w:line="342" w:lineRule="auto"/>
        <w:tabs>
          <w:tab w:leader="none" w:pos="1607"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364" w:name="page365"/>
    <w:bookmarkEnd w:id="364"/>
    <w:p>
      <w:pPr>
        <w:ind w:left="440" w:right="20" w:firstLine="957"/>
        <w:spacing w:after="0" w:line="276" w:lineRule="auto"/>
        <w:tabs>
          <w:tab w:leader="none" w:pos="1657"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shall not be construed to apply to (A) any payment made by or on behalf of the Borrower pursuant to and in accordance with the express terms of this Agreement (including the application of funds arising from the existence of a Defaulting Lender) or (B) any payment obtained by a Lender as consideration for the assignment of or sale of a participation in any of its Loans to any assignee or participant, other than to the Borrower or any Restricted Subsidiary or Affiliate thereof (as to which the provisions of this Section shall apply unless such purchase is made by the Borrower pursuant to Section 11.06(b)(vii)).</w:t>
      </w:r>
    </w:p>
    <w:p>
      <w:pPr>
        <w:spacing w:after="0" w:line="173" w:lineRule="exact"/>
        <w:rPr>
          <w:sz w:val="20"/>
          <w:szCs w:val="20"/>
          <w:color w:val="auto"/>
        </w:rPr>
      </w:pPr>
    </w:p>
    <w:p>
      <w:pPr>
        <w:ind w:right="820"/>
        <w:spacing w:after="0" w:line="286"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Benchmark Replacement.</w:t>
      </w:r>
    </w:p>
    <w:p>
      <w:pPr>
        <w:spacing w:after="0" w:line="117" w:lineRule="exact"/>
        <w:rPr>
          <w:sz w:val="20"/>
          <w:szCs w:val="20"/>
          <w:color w:val="auto"/>
        </w:rPr>
      </w:pPr>
    </w:p>
    <w:p>
      <w:pPr>
        <w:ind w:firstLine="996"/>
        <w:spacing w:after="0" w:line="290" w:lineRule="auto"/>
        <w:tabs>
          <w:tab w:leader="none" w:pos="1236"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Replacement</w:t>
      </w:r>
      <w:r>
        <w:rPr>
          <w:rFonts w:ascii="Arial" w:cs="Arial" w:eastAsia="Arial" w:hAnsi="Arial"/>
          <w:sz w:val="16"/>
          <w:szCs w:val="16"/>
          <w:color w:val="auto"/>
        </w:rPr>
        <w:t>. Notwithstanding anything to the contrary herein or in any other Loan Document, upon the occurrence of a Benchmark</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Event or an Early Opt-in Election, as applicable, the Administrative Agent and the Borrower may amend this Agreement to replace the Eurodollar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the Eurodollar Rate with a Benchmark Replacement pursuant to this Section titled “</w:t>
      </w:r>
      <w:r>
        <w:rPr>
          <w:rFonts w:ascii="Arial" w:cs="Arial" w:eastAsia="Arial" w:hAnsi="Arial"/>
          <w:sz w:val="16"/>
          <w:szCs w:val="16"/>
          <w:b w:val="1"/>
          <w:bCs w:val="1"/>
          <w:color w:val="auto"/>
        </w:rPr>
        <w:t>Benchmark Replacement</w:t>
      </w:r>
      <w:r>
        <w:rPr>
          <w:rFonts w:ascii="Arial" w:cs="Arial" w:eastAsia="Arial" w:hAnsi="Arial"/>
          <w:sz w:val="16"/>
          <w:szCs w:val="16"/>
          <w:color w:val="auto"/>
        </w:rPr>
        <w:t>” will occur prior to the applicable Benchmark Transition Start Date.</w:t>
      </w:r>
    </w:p>
    <w:p>
      <w:pPr>
        <w:spacing w:after="0" w:line="58" w:lineRule="exact"/>
        <w:rPr>
          <w:rFonts w:ascii="Arial" w:cs="Arial" w:eastAsia="Arial" w:hAnsi="Arial"/>
          <w:sz w:val="16"/>
          <w:szCs w:val="16"/>
          <w:color w:val="auto"/>
        </w:rPr>
      </w:pPr>
    </w:p>
    <w:p>
      <w:pPr>
        <w:ind w:right="40" w:firstLine="996"/>
        <w:spacing w:after="0" w:line="259" w:lineRule="auto"/>
        <w:tabs>
          <w:tab w:leader="none" w:pos="1247" w:val="left"/>
        </w:tabs>
        <w:numPr>
          <w:ilvl w:val="1"/>
          <w:numId w:val="277"/>
        </w:numPr>
        <w:rPr>
          <w:rFonts w:ascii="Arial" w:cs="Arial" w:eastAsia="Arial" w:hAnsi="Arial"/>
          <w:sz w:val="18"/>
          <w:szCs w:val="18"/>
          <w:color w:val="auto"/>
        </w:rPr>
      </w:pPr>
      <w:r>
        <w:rPr>
          <w:rFonts w:ascii="Arial" w:cs="Arial" w:eastAsia="Arial" w:hAnsi="Arial"/>
          <w:sz w:val="18"/>
          <w:szCs w:val="18"/>
          <w:i w:val="1"/>
          <w:iCs w:val="1"/>
          <w:color w:val="auto"/>
        </w:rPr>
        <w:t>Benchmark Replacement Conforming Changes</w:t>
      </w:r>
      <w:r>
        <w:rPr>
          <w:rFonts w:ascii="Arial" w:cs="Arial" w:eastAsia="Arial" w:hAnsi="Arial"/>
          <w:sz w:val="18"/>
          <w:szCs w:val="18"/>
          <w:color w:val="auto"/>
        </w:rPr>
        <w:t>. In connection with the implementation of a Benchmark Replacement,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78" w:lineRule="exact"/>
        <w:rPr>
          <w:rFonts w:ascii="Arial" w:cs="Arial" w:eastAsia="Arial" w:hAnsi="Arial"/>
          <w:sz w:val="18"/>
          <w:szCs w:val="18"/>
          <w:color w:val="auto"/>
        </w:rPr>
      </w:pPr>
    </w:p>
    <w:p>
      <w:pPr>
        <w:ind w:left="1240" w:hanging="244"/>
        <w:spacing w:after="0"/>
        <w:tabs>
          <w:tab w:leader="none" w:pos="1240"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Notices; Standards for Decisions and Determinations</w:t>
      </w:r>
      <w:r>
        <w:rPr>
          <w:rFonts w:ascii="Arial" w:cs="Arial" w:eastAsia="Arial" w:hAnsi="Arial"/>
          <w:sz w:val="16"/>
          <w:szCs w:val="16"/>
          <w:color w:val="auto"/>
        </w:rPr>
        <w:t>. The Administrative Agent will promptly notify the Borrower and the Lenders of</w:t>
      </w:r>
    </w:p>
    <w:p>
      <w:pPr>
        <w:spacing w:after="0" w:line="46" w:lineRule="exact"/>
        <w:rPr>
          <w:rFonts w:ascii="Arial" w:cs="Arial" w:eastAsia="Arial" w:hAnsi="Arial"/>
          <w:sz w:val="16"/>
          <w:szCs w:val="16"/>
          <w:color w:val="auto"/>
        </w:rPr>
      </w:pPr>
    </w:p>
    <w:p>
      <w:pPr>
        <w:jc w:val="both"/>
        <w:ind w:right="560" w:firstLine="4"/>
        <w:spacing w:after="0" w:line="277" w:lineRule="auto"/>
        <w:tabs>
          <w:tab w:leader="none" w:pos="21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365" w:name="page366"/>
    <w:bookmarkEnd w:id="365"/>
    <w:p>
      <w:pPr>
        <w:ind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decision or election that may be made by the Administrative Agent or Lenders pursuant to this Section titled “</w:t>
      </w:r>
      <w:r>
        <w:rPr>
          <w:rFonts w:ascii="Arial" w:cs="Arial" w:eastAsia="Arial" w:hAnsi="Arial"/>
          <w:sz w:val="18"/>
          <w:szCs w:val="18"/>
          <w:b w:val="1"/>
          <w:bCs w:val="1"/>
          <w:color w:val="auto"/>
        </w:rPr>
        <w:t>Benchmark</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w:t>
      </w:r>
      <w:r>
        <w:rPr>
          <w:rFonts w:ascii="Arial" w:cs="Arial" w:eastAsia="Arial" w:hAnsi="Arial"/>
          <w:sz w:val="18"/>
          <w:szCs w:val="18"/>
          <w:color w:val="auto"/>
        </w:rPr>
        <w:t>” including any determination with respect to a tenor, rate or adjustment or of the occurrence or non-occurrence of an event, circumstance</w:t>
      </w:r>
      <w:r>
        <w:rPr>
          <w:rFonts w:ascii="Arial" w:cs="Arial" w:eastAsia="Arial" w:hAnsi="Arial"/>
          <w:sz w:val="18"/>
          <w:szCs w:val="18"/>
          <w:b w:val="1"/>
          <w:bCs w:val="1"/>
          <w:color w:val="auto"/>
        </w:rPr>
        <w:t xml:space="preserve"> </w:t>
      </w:r>
      <w:r>
        <w:rPr>
          <w:rFonts w:ascii="Arial" w:cs="Arial" w:eastAsia="Arial" w:hAnsi="Arial"/>
          <w:sz w:val="18"/>
          <w:szCs w:val="18"/>
          <w:color w:val="auto"/>
        </w:rPr>
        <w:t>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titled “</w:t>
      </w:r>
      <w:r>
        <w:rPr>
          <w:rFonts w:ascii="Arial" w:cs="Arial" w:eastAsia="Arial" w:hAnsi="Arial"/>
          <w:sz w:val="18"/>
          <w:szCs w:val="18"/>
          <w:b w:val="1"/>
          <w:bCs w:val="1"/>
          <w:color w:val="auto"/>
        </w:rPr>
        <w:t>Benchmark</w:t>
      </w:r>
      <w:r>
        <w:rPr>
          <w:rFonts w:ascii="Arial" w:cs="Arial" w:eastAsia="Arial" w:hAnsi="Arial"/>
          <w:sz w:val="18"/>
          <w:szCs w:val="18"/>
          <w:color w:val="auto"/>
        </w:rPr>
        <w:t xml:space="preserve"> </w:t>
      </w:r>
      <w:r>
        <w:rPr>
          <w:rFonts w:ascii="Arial" w:cs="Arial" w:eastAsia="Arial" w:hAnsi="Arial"/>
          <w:sz w:val="18"/>
          <w:szCs w:val="18"/>
          <w:b w:val="1"/>
          <w:bCs w:val="1"/>
          <w:color w:val="auto"/>
        </w:rPr>
        <w:t>Replacement.</w:t>
      </w:r>
      <w:r>
        <w:rPr>
          <w:rFonts w:ascii="Arial" w:cs="Arial" w:eastAsia="Arial" w:hAnsi="Arial"/>
          <w:sz w:val="18"/>
          <w:szCs w:val="18"/>
          <w:color w:val="auto"/>
        </w:rPr>
        <w:t>”</w:t>
      </w:r>
    </w:p>
    <w:p>
      <w:pPr>
        <w:spacing w:after="0" w:line="80" w:lineRule="exact"/>
        <w:rPr>
          <w:sz w:val="20"/>
          <w:szCs w:val="20"/>
          <w:color w:val="auto"/>
        </w:rPr>
      </w:pPr>
    </w:p>
    <w:p>
      <w:pPr>
        <w:ind w:firstLine="996"/>
        <w:spacing w:after="0" w:line="257" w:lineRule="auto"/>
        <w:tabs>
          <w:tab w:leader="none" w:pos="1247"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Benchmark Unavailability Period</w:t>
      </w:r>
      <w:r>
        <w:rPr>
          <w:rFonts w:ascii="Arial" w:cs="Arial" w:eastAsia="Arial" w:hAnsi="Arial"/>
          <w:sz w:val="18"/>
          <w:szCs w:val="18"/>
          <w:color w:val="auto"/>
        </w:rPr>
        <w:t>. Upon the Borrower’s receipt of notice of the commencement of a Benchmark Unavailability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may revoke any request for a borrowing of, conversion to or continuation of Eurodollar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the Base Rate based upon the Eurodollar Rate will not be used in any determination of the Base Rate.</w:t>
      </w:r>
    </w:p>
    <w:p>
      <w:pPr>
        <w:spacing w:after="0" w:line="80" w:lineRule="exact"/>
        <w:rPr>
          <w:rFonts w:ascii="Arial" w:cs="Arial" w:eastAsia="Arial" w:hAnsi="Arial"/>
          <w:sz w:val="18"/>
          <w:szCs w:val="18"/>
          <w:color w:val="auto"/>
        </w:rPr>
      </w:pPr>
    </w:p>
    <w:p>
      <w:pPr>
        <w:ind w:left="1240" w:hanging="244"/>
        <w:spacing w:after="0"/>
        <w:tabs>
          <w:tab w:leader="none" w:pos="124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Certain Defined Terms</w:t>
      </w:r>
      <w:r>
        <w:rPr>
          <w:rFonts w:ascii="Arial" w:cs="Arial" w:eastAsia="Arial" w:hAnsi="Arial"/>
          <w:sz w:val="18"/>
          <w:szCs w:val="18"/>
          <w:color w:val="auto"/>
        </w:rPr>
        <w:t>. As used in this Section 2.14:</w:t>
      </w:r>
    </w:p>
    <w:p>
      <w:pPr>
        <w:spacing w:after="0" w:line="113" w:lineRule="exact"/>
        <w:rPr>
          <w:sz w:val="20"/>
          <w:szCs w:val="20"/>
          <w:color w:val="auto"/>
        </w:rPr>
      </w:pPr>
    </w:p>
    <w:p>
      <w:pPr>
        <w:ind w:left="440" w:right="40"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 Rate for U.S. dollar-denominated syndicated credit facilities and (b) the Benchmark Replacement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Benchmark Replacement as so determined would be less than zero, the Benchmark Replacement will be deemed to be zero for the purposes of this Agreement.</w:t>
      </w:r>
    </w:p>
    <w:p>
      <w:pPr>
        <w:spacing w:after="0" w:line="80" w:lineRule="exact"/>
        <w:rPr>
          <w:sz w:val="20"/>
          <w:szCs w:val="20"/>
          <w:color w:val="auto"/>
        </w:rPr>
      </w:pPr>
    </w:p>
    <w:p>
      <w:pPr>
        <w:jc w:val="both"/>
        <w:ind w:left="440" w:right="100" w:firstLine="42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Adjustment</w:t>
      </w:r>
      <w:r>
        <w:rPr>
          <w:rFonts w:ascii="Arial" w:cs="Arial" w:eastAsia="Arial" w:hAnsi="Arial"/>
          <w:sz w:val="16"/>
          <w:szCs w:val="16"/>
          <w:color w:val="auto"/>
        </w:rPr>
        <w:t xml:space="preserve">” means, with respect to any replacement of the </w:t>
      </w:r>
      <w:r>
        <w:rPr>
          <w:rFonts w:ascii="Arial" w:cs="Arial" w:eastAsia="Arial" w:hAnsi="Arial"/>
          <w:sz w:val="16"/>
          <w:szCs w:val="16"/>
          <w:b w:val="1"/>
          <w:bCs w:val="1"/>
          <w:color w:val="auto"/>
        </w:rPr>
        <w:t>Eurodollar</w:t>
      </w:r>
      <w:r>
        <w:rPr>
          <w:rFonts w:ascii="Arial" w:cs="Arial" w:eastAsia="Arial" w:hAnsi="Arial"/>
          <w:sz w:val="16"/>
          <w:szCs w:val="16"/>
          <w:color w:val="auto"/>
        </w:rPr>
        <w:t xml:space="preserve">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w:t>
      </w:r>
    </w:p>
    <w:p>
      <w:pPr>
        <w:spacing w:after="0" w:line="2" w:lineRule="exact"/>
        <w:rPr>
          <w:sz w:val="20"/>
          <w:szCs w:val="20"/>
          <w:color w:val="auto"/>
        </w:rPr>
      </w:pPr>
    </w:p>
    <w:p>
      <w:pPr>
        <w:ind w:left="440" w:right="40" w:firstLine="4"/>
        <w:spacing w:after="0" w:line="253" w:lineRule="auto"/>
        <w:tabs>
          <w:tab w:leader="none" w:pos="65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selection or recommendation of a spread adjustment, or method for calculating or determining such spread adjustment, for the replacement of the Eurodollar Rate with the applicable Unadjusted Benchmark Replacement by the Relevant Governmental Body or (ii) any evolving or then-prevailing market convention for determining a spread adjustment, or method for calculating or determining such spread adjustment, for the replacement of the Eurodollar Rate with the applicable Unadjusted Benchmark Replacement for U.S. dollar-denominated syndicated credit facilities at such time.</w:t>
      </w:r>
    </w:p>
    <w:p>
      <w:pPr>
        <w:spacing w:after="0" w:line="79" w:lineRule="exact"/>
        <w:rPr>
          <w:sz w:val="20"/>
          <w:szCs w:val="20"/>
          <w:color w:val="auto"/>
        </w:rPr>
      </w:pPr>
    </w:p>
    <w:p>
      <w:pPr>
        <w:ind w:left="440" w:firstLine="423"/>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Conforming Changes</w:t>
      </w:r>
      <w:r>
        <w:rPr>
          <w:rFonts w:ascii="Arial" w:cs="Arial" w:eastAsia="Arial" w:hAnsi="Arial"/>
          <w:sz w:val="17"/>
          <w:szCs w:val="17"/>
          <w:color w:val="auto"/>
        </w:rPr>
        <w:t xml:space="preserve">” means, with respect to any </w:t>
      </w:r>
      <w:r>
        <w:rPr>
          <w:rFonts w:ascii="Arial" w:cs="Arial" w:eastAsia="Arial" w:hAnsi="Arial"/>
          <w:sz w:val="17"/>
          <w:szCs w:val="17"/>
          <w:b w:val="1"/>
          <w:bCs w:val="1"/>
          <w:color w:val="auto"/>
        </w:rPr>
        <w:t>Benchmark</w:t>
      </w:r>
      <w:r>
        <w:rPr>
          <w:rFonts w:ascii="Arial" w:cs="Arial" w:eastAsia="Arial" w:hAnsi="Arial"/>
          <w:sz w:val="17"/>
          <w:szCs w:val="17"/>
          <w:color w:val="auto"/>
        </w:rPr>
        <w:t xml:space="preserve"> Replacement, any technical, administrative or operational changes (including changes to the definition of “</w:t>
      </w:r>
      <w:r>
        <w:rPr>
          <w:rFonts w:ascii="Arial" w:cs="Arial" w:eastAsia="Arial" w:hAnsi="Arial"/>
          <w:sz w:val="17"/>
          <w:szCs w:val="17"/>
          <w:b w:val="1"/>
          <w:bCs w:val="1"/>
          <w:color w:val="auto"/>
        </w:rPr>
        <w:t>Base Rate,</w:t>
      </w:r>
      <w:r>
        <w:rPr>
          <w:rFonts w:ascii="Arial" w:cs="Arial" w:eastAsia="Arial" w:hAnsi="Arial"/>
          <w:sz w:val="17"/>
          <w:szCs w:val="17"/>
          <w:color w:val="auto"/>
        </w:rPr>
        <w:t>” the definition of “</w:t>
      </w:r>
      <w:r>
        <w:rPr>
          <w:rFonts w:ascii="Arial" w:cs="Arial" w:eastAsia="Arial" w:hAnsi="Arial"/>
          <w:sz w:val="17"/>
          <w:szCs w:val="17"/>
          <w:b w:val="1"/>
          <w:bCs w:val="1"/>
          <w:color w:val="auto"/>
        </w:rPr>
        <w:t>Interest Period,</w:t>
      </w:r>
      <w:r>
        <w:rPr>
          <w:rFonts w:ascii="Arial" w:cs="Arial" w:eastAsia="Arial" w:hAnsi="Arial"/>
          <w:sz w:val="17"/>
          <w:szCs w:val="17"/>
          <w:color w:val="auto"/>
        </w:rPr>
        <w:t>” timing and frequency of determining rates and making payments of interest and other administrative matters) that the Administrative Agent decides may be appropriate to reflect the adoption and implementation of such Benchmark Replacement and to permit the administration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69" w:right="459" w:bottom="1440" w:gutter="0" w:footer="0" w:header="0"/>
        </w:sectPr>
      </w:pPr>
    </w:p>
    <w:bookmarkStart w:id="366" w:name="page367"/>
    <w:bookmarkEnd w:id="366"/>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earlier to occur of the following events with respect to the Eurodollar Rate:</w:t>
      </w:r>
    </w:p>
    <w:p>
      <w:pPr>
        <w:spacing w:after="0" w:line="117" w:lineRule="exact"/>
        <w:rPr>
          <w:sz w:val="20"/>
          <w:szCs w:val="20"/>
          <w:color w:val="auto"/>
        </w:rPr>
      </w:pPr>
    </w:p>
    <w:p>
      <w:pPr>
        <w:ind w:right="120" w:firstLine="428"/>
        <w:spacing w:after="0" w:line="266" w:lineRule="auto"/>
        <w:tabs>
          <w:tab w:leader="none" w:pos="67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the later of (a) the date of the public statement or publication of information referenced therein and (b) the date on which the administrator of the LIBO Rate permanently or indefinitely ceases to provide the LIBO Rate; or</w:t>
      </w:r>
    </w:p>
    <w:p>
      <w:pPr>
        <w:spacing w:after="0" w:line="68" w:lineRule="exact"/>
        <w:rPr>
          <w:rFonts w:ascii="Arial" w:cs="Arial" w:eastAsia="Arial" w:hAnsi="Arial"/>
          <w:sz w:val="18"/>
          <w:szCs w:val="18"/>
          <w:color w:val="auto"/>
        </w:rPr>
      </w:pPr>
    </w:p>
    <w:p>
      <w:pPr>
        <w:ind w:right="700" w:firstLine="428"/>
        <w:spacing w:after="0" w:line="282" w:lineRule="auto"/>
        <w:tabs>
          <w:tab w:leader="none" w:pos="67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the case of clause (3) of the definition of “</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the date of the public statement or publication of information referenced therein.</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Event</w:t>
      </w:r>
      <w:r>
        <w:rPr>
          <w:rFonts w:ascii="Arial" w:cs="Arial" w:eastAsia="Arial" w:hAnsi="Arial"/>
          <w:sz w:val="17"/>
          <w:szCs w:val="17"/>
          <w:color w:val="auto"/>
        </w:rPr>
        <w:t>” means the occurrence of one or more of the following events with respect to the Eurodollar Rate:</w:t>
      </w:r>
    </w:p>
    <w:p>
      <w:pPr>
        <w:spacing w:after="0" w:line="133" w:lineRule="exact"/>
        <w:rPr>
          <w:sz w:val="20"/>
          <w:szCs w:val="20"/>
          <w:color w:val="auto"/>
        </w:rPr>
      </w:pPr>
    </w:p>
    <w:p>
      <w:pPr>
        <w:ind w:right="520" w:firstLine="428"/>
        <w:spacing w:after="0" w:line="264" w:lineRule="auto"/>
        <w:tabs>
          <w:tab w:leader="none" w:pos="67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the LIBO Rate announcing that such administrator has ceased or will cease to provide the LIBO Rate permanently or indefinitely, provided that, at the time of such statement or publication, there is no successor administrator that will continue to provide the LIBO Rate;</w:t>
      </w:r>
    </w:p>
    <w:p>
      <w:pPr>
        <w:spacing w:after="0" w:line="73" w:lineRule="exact"/>
        <w:rPr>
          <w:rFonts w:ascii="Arial" w:cs="Arial" w:eastAsia="Arial" w:hAnsi="Arial"/>
          <w:sz w:val="18"/>
          <w:szCs w:val="18"/>
          <w:color w:val="auto"/>
        </w:rPr>
      </w:pPr>
    </w:p>
    <w:p>
      <w:pPr>
        <w:ind w:firstLine="428"/>
        <w:spacing w:after="0" w:line="297" w:lineRule="auto"/>
        <w:tabs>
          <w:tab w:leader="none" w:pos="67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the LIBO Rate, the U.S. Federal Reserve System, an insolvency official with jurisdiction over the administrator for the LIBO Rate, a resolution authority with jurisdiction over the administrator for the LIBO Rate or a court or an entity with similar insolvency or resolution authority over the administrator for the LIBO Rate, which states that the administrator of the LIBO Rate has ceased or will cease to provide the LIBO Rate permanently or indefinitely, provided that, at the time of such statement or publication, there is no successor administrator that will continue to provide the LIBO Rate; or</w:t>
      </w:r>
    </w:p>
    <w:p>
      <w:pPr>
        <w:spacing w:after="0" w:line="50" w:lineRule="exact"/>
        <w:rPr>
          <w:rFonts w:ascii="Arial" w:cs="Arial" w:eastAsia="Arial" w:hAnsi="Arial"/>
          <w:sz w:val="16"/>
          <w:szCs w:val="16"/>
          <w:color w:val="auto"/>
        </w:rPr>
      </w:pPr>
    </w:p>
    <w:p>
      <w:pPr>
        <w:ind w:right="40" w:firstLine="428"/>
        <w:spacing w:after="0" w:line="277" w:lineRule="auto"/>
        <w:tabs>
          <w:tab w:leader="none" w:pos="67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LIBO Rate announcing that the LIBO Rate is no longer representative.</w:t>
      </w:r>
    </w:p>
    <w:p>
      <w:pPr>
        <w:spacing w:after="0" w:line="58" w:lineRule="exact"/>
        <w:rPr>
          <w:sz w:val="20"/>
          <w:szCs w:val="20"/>
          <w:color w:val="auto"/>
        </w:rPr>
      </w:pPr>
    </w:p>
    <w:p>
      <w:pPr>
        <w:ind w:right="40" w:firstLine="423"/>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Start Date</w:t>
      </w:r>
      <w:r>
        <w:rPr>
          <w:rFonts w:ascii="Arial" w:cs="Arial" w:eastAsia="Arial" w:hAnsi="Arial"/>
          <w:sz w:val="17"/>
          <w:szCs w:val="17"/>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14"/>
          <w:szCs w:val="14"/>
          <w:color w:val="auto"/>
        </w:rPr>
        <w:t>th</w:t>
      </w:r>
      <w:r>
        <w:rPr>
          <w:rFonts w:ascii="Arial" w:cs="Arial" w:eastAsia="Arial" w:hAnsi="Arial"/>
          <w:sz w:val="17"/>
          <w:szCs w:val="17"/>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20"/>
          </w:cols>
          <w:pgMar w:left="880" w:top="273" w:right="499" w:bottom="1440" w:gutter="0" w:footer="0" w:header="0"/>
        </w:sectPr>
      </w:pPr>
    </w:p>
    <w:bookmarkStart w:id="367" w:name="page368"/>
    <w:bookmarkEnd w:id="367"/>
    <w:p>
      <w:pPr>
        <w:ind w:right="80" w:firstLine="42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Benchmark Unavailability Period</w:t>
      </w:r>
      <w:r>
        <w:rPr>
          <w:rFonts w:ascii="Arial" w:cs="Arial" w:eastAsia="Arial" w:hAnsi="Arial"/>
          <w:sz w:val="16"/>
          <w:szCs w:val="16"/>
          <w:color w:val="auto"/>
        </w:rPr>
        <w:t>” means, if a Benchmark Transition Event and its related Benchmark Replacement Date have occurred with respect to the Eurodollar Rate and solely to the extent that the Eurodollar Rate has not been replaced with a Benchmark Replacement, the period (x) beginning at the time that such Benchmark Replacement Date has occurred if, at such time, no Benchmark Replacement has replaced the Eurodollar Rate for all purposes hereunder in accordance with the Section titled “</w:t>
      </w:r>
      <w:r>
        <w:rPr>
          <w:rFonts w:ascii="Arial" w:cs="Arial" w:eastAsia="Arial" w:hAnsi="Arial"/>
          <w:sz w:val="16"/>
          <w:szCs w:val="16"/>
          <w:b w:val="1"/>
          <w:bCs w:val="1"/>
          <w:color w:val="auto"/>
        </w:rPr>
        <w:t>Benchmark Replacement</w:t>
      </w:r>
      <w:r>
        <w:rPr>
          <w:rFonts w:ascii="Arial" w:cs="Arial" w:eastAsia="Arial" w:hAnsi="Arial"/>
          <w:sz w:val="16"/>
          <w:szCs w:val="16"/>
          <w:color w:val="auto"/>
        </w:rPr>
        <w:t>” and (y) ending at the time that a Benchmark Replacement has replaced the Eurodollar Rate for all purposes hereunder pursuant to the Section titled “</w:t>
      </w:r>
      <w:r>
        <w:rPr>
          <w:rFonts w:ascii="Arial" w:cs="Arial" w:eastAsia="Arial" w:hAnsi="Arial"/>
          <w:sz w:val="16"/>
          <w:szCs w:val="16"/>
          <w:b w:val="1"/>
          <w:bCs w:val="1"/>
          <w:color w:val="auto"/>
        </w:rPr>
        <w:t>Benchmark Replacement.</w:t>
      </w:r>
      <w:r>
        <w:rPr>
          <w:rFonts w:ascii="Arial" w:cs="Arial" w:eastAsia="Arial" w:hAnsi="Arial"/>
          <w:sz w:val="16"/>
          <w:szCs w:val="16"/>
          <w:color w:val="auto"/>
        </w:rPr>
        <w:t>”</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the occurrence of:</w:t>
      </w:r>
    </w:p>
    <w:p>
      <w:pPr>
        <w:spacing w:after="0" w:line="121" w:lineRule="exact"/>
        <w:rPr>
          <w:sz w:val="20"/>
          <w:szCs w:val="20"/>
          <w:color w:val="auto"/>
        </w:rPr>
      </w:pPr>
    </w:p>
    <w:p>
      <w:pPr>
        <w:ind w:firstLine="428"/>
        <w:spacing w:after="0" w:line="259"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this Section titled “</w:t>
      </w:r>
      <w:r>
        <w:rPr>
          <w:rFonts w:ascii="Arial" w:cs="Arial" w:eastAsia="Arial" w:hAnsi="Arial"/>
          <w:sz w:val="18"/>
          <w:szCs w:val="18"/>
          <w:b w:val="1"/>
          <w:bCs w:val="1"/>
          <w:color w:val="auto"/>
        </w:rPr>
        <w:t>Benchmark Replacement,</w:t>
      </w:r>
      <w:r>
        <w:rPr>
          <w:rFonts w:ascii="Arial" w:cs="Arial" w:eastAsia="Arial" w:hAnsi="Arial"/>
          <w:sz w:val="18"/>
          <w:szCs w:val="18"/>
          <w:color w:val="auto"/>
        </w:rPr>
        <w:t>” are being executed or amended, as applicable, to incorporate or adopt a new benchmark interest rate to replace the Eurodollar Rate, and</w:t>
      </w:r>
    </w:p>
    <w:p>
      <w:pPr>
        <w:spacing w:after="0" w:line="78" w:lineRule="exact"/>
        <w:rPr>
          <w:rFonts w:ascii="Arial" w:cs="Arial" w:eastAsia="Arial" w:hAnsi="Arial"/>
          <w:sz w:val="18"/>
          <w:szCs w:val="18"/>
          <w:color w:val="auto"/>
        </w:rPr>
      </w:pPr>
    </w:p>
    <w:p>
      <w:pPr>
        <w:ind w:firstLine="428"/>
        <w:spacing w:after="0" w:line="264"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69" w:lineRule="exact"/>
        <w:rPr>
          <w:sz w:val="20"/>
          <w:szCs w:val="20"/>
          <w:color w:val="auto"/>
        </w:rPr>
      </w:pPr>
    </w:p>
    <w:p>
      <w:pPr>
        <w:ind w:right="19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54" w:lineRule="exact"/>
        <w:rPr>
          <w:sz w:val="20"/>
          <w:szCs w:val="20"/>
          <w:color w:val="auto"/>
        </w:rPr>
      </w:pPr>
    </w:p>
    <w:p>
      <w:pPr>
        <w:ind w:firstLine="42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Governmental Body</w:t>
      </w:r>
      <w:r>
        <w:rPr>
          <w:rFonts w:ascii="Arial" w:cs="Arial" w:eastAsia="Arial" w:hAnsi="Arial"/>
          <w:sz w:val="17"/>
          <w:szCs w:val="17"/>
          <w:color w:val="auto"/>
        </w:rPr>
        <w:t xml:space="preserve">” means the Federal Reserve Board and/or the Federal Reserve Bank of </w:t>
      </w:r>
      <w:r>
        <w:rPr>
          <w:rFonts w:ascii="Arial" w:cs="Arial" w:eastAsia="Arial" w:hAnsi="Arial"/>
          <w:sz w:val="17"/>
          <w:szCs w:val="17"/>
          <w:b w:val="1"/>
          <w:bCs w:val="1"/>
          <w:color w:val="auto"/>
        </w:rPr>
        <w:t>New</w:t>
      </w:r>
      <w:r>
        <w:rPr>
          <w:rFonts w:ascii="Arial" w:cs="Arial" w:eastAsia="Arial" w:hAnsi="Arial"/>
          <w:sz w:val="17"/>
          <w:szCs w:val="17"/>
          <w:color w:val="auto"/>
        </w:rPr>
        <w:t xml:space="preserve"> York, or a committee officially endorsed or convened by the Federal Reserve Board and/or the Federal Reserve Bank of New York or any successor thereto.</w:t>
      </w:r>
    </w:p>
    <w:p>
      <w:pPr>
        <w:spacing w:after="0" w:line="30" w:lineRule="exact"/>
        <w:rPr>
          <w:sz w:val="20"/>
          <w:szCs w:val="20"/>
          <w:color w:val="auto"/>
        </w:rPr>
      </w:pPr>
    </w:p>
    <w:p>
      <w:pPr>
        <w:ind w:right="280" w:firstLine="42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w:t>
      </w:r>
      <w:r>
        <w:rPr>
          <w:rFonts w:ascii="Arial" w:cs="Arial" w:eastAsia="Arial" w:hAnsi="Arial"/>
          <w:sz w:val="17"/>
          <w:szCs w:val="17"/>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30" w:lineRule="exact"/>
        <w:rPr>
          <w:sz w:val="20"/>
          <w:szCs w:val="20"/>
          <w:color w:val="auto"/>
        </w:rPr>
      </w:pPr>
    </w:p>
    <w:p>
      <w:pPr>
        <w:ind w:right="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means the forward-looking term rate based on SOFR that has been selected or recommended by the Relevant Governmental Body.</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80"/>
          </w:cols>
          <w:pgMar w:left="880" w:top="270" w:right="439" w:bottom="1440" w:gutter="0" w:footer="0" w:header="0"/>
        </w:sectPr>
      </w:pPr>
    </w:p>
    <w:bookmarkStart w:id="368" w:name="page369"/>
    <w:bookmarkEnd w:id="368"/>
    <w:p>
      <w:pPr>
        <w:ind w:left="8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Unadjusted Benchmark Replacement</w:t>
      </w:r>
      <w:r>
        <w:rPr>
          <w:rFonts w:ascii="Arial" w:cs="Arial" w:eastAsia="Arial" w:hAnsi="Arial"/>
          <w:sz w:val="17"/>
          <w:szCs w:val="17"/>
          <w:color w:val="auto"/>
        </w:rPr>
        <w:t>” means the Benchmark Replacement excluding the Benchmark Replacement Adjustment.</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Defaulting Lenders</w:t>
      </w:r>
    </w:p>
    <w:p>
      <w:pPr>
        <w:spacing w:after="0" w:line="117" w:lineRule="exact"/>
        <w:rPr>
          <w:sz w:val="20"/>
          <w:szCs w:val="20"/>
          <w:color w:val="auto"/>
        </w:rPr>
      </w:pPr>
    </w:p>
    <w:p>
      <w:pPr>
        <w:ind w:left="-40" w:right="80" w:firstLine="996"/>
        <w:spacing w:after="0" w:line="277" w:lineRule="auto"/>
        <w:tabs>
          <w:tab w:leader="none" w:pos="1196"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Lender becomes a Defaulting Lender, then,</w:t>
      </w:r>
      <w:r>
        <w:rPr>
          <w:rFonts w:ascii="Arial" w:cs="Arial" w:eastAsia="Arial" w:hAnsi="Arial"/>
          <w:sz w:val="18"/>
          <w:szCs w:val="18"/>
          <w:i w:val="1"/>
          <w:iCs w:val="1"/>
          <w:color w:val="auto"/>
        </w:rPr>
        <w:t xml:space="preserve"> </w:t>
      </w:r>
      <w:r>
        <w:rPr>
          <w:rFonts w:ascii="Arial" w:cs="Arial" w:eastAsia="Arial" w:hAnsi="Arial"/>
          <w:sz w:val="18"/>
          <w:szCs w:val="18"/>
          <w:color w:val="auto"/>
        </w:rPr>
        <w:t>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00" w:right="80" w:firstLine="957"/>
        <w:spacing w:after="0" w:line="273" w:lineRule="auto"/>
        <w:tabs>
          <w:tab w:leader="none" w:pos="1567" w:val="left"/>
        </w:tabs>
        <w:numPr>
          <w:ilvl w:val="1"/>
          <w:numId w:val="284"/>
        </w:numPr>
        <w:rPr>
          <w:rFonts w:ascii="Arial" w:cs="Arial" w:eastAsia="Arial" w:hAnsi="Arial"/>
          <w:sz w:val="17"/>
          <w:szCs w:val="17"/>
          <w:color w:val="auto"/>
        </w:rPr>
      </w:pPr>
      <w:r>
        <w:rPr>
          <w:rFonts w:ascii="Arial" w:cs="Arial" w:eastAsia="Arial" w:hAnsi="Arial"/>
          <w:sz w:val="17"/>
          <w:szCs w:val="17"/>
          <w:i w:val="1"/>
          <w:iCs w:val="1"/>
          <w:color w:val="auto"/>
        </w:rPr>
        <w:t>Waivers and Amendments</w:t>
      </w:r>
      <w:r>
        <w:rPr>
          <w:rFonts w:ascii="Arial" w:cs="Arial" w:eastAsia="Arial" w:hAnsi="Arial"/>
          <w:sz w:val="17"/>
          <w:szCs w:val="17"/>
          <w:color w:val="auto"/>
        </w:rPr>
        <w:t>. That Defaulting Lender’s right to approve or disapprove any amendment, modification, waiver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with respect to this Agreement shall be restricted as set forth in the definitions of Required Lenders and, in addition, Defaulting Lenders shall not be permitted to vote with respect to any other amendment, modification, waiver or consent pursuant to Section 11.01 or otherwise direct the Administrative Agent pursuant to the terms hereof or of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amendment, modification, waiver or consent requiring the consent of all Lenders or each affected Lender which affects such Defaulting Lender differently than other affected Lenders shall require the consent of such Defaulting Lender.</w:t>
      </w:r>
    </w:p>
    <w:p>
      <w:pPr>
        <w:spacing w:after="0" w:line="70" w:lineRule="exact"/>
        <w:rPr>
          <w:rFonts w:ascii="Arial" w:cs="Arial" w:eastAsia="Arial" w:hAnsi="Arial"/>
          <w:sz w:val="17"/>
          <w:szCs w:val="17"/>
          <w:color w:val="auto"/>
        </w:rPr>
      </w:pPr>
    </w:p>
    <w:p>
      <w:pPr>
        <w:ind w:left="400" w:firstLine="957"/>
        <w:spacing w:after="0" w:line="285" w:lineRule="auto"/>
        <w:tabs>
          <w:tab w:leader="none" w:pos="1617" w:val="left"/>
        </w:tabs>
        <w:numPr>
          <w:ilvl w:val="1"/>
          <w:numId w:val="284"/>
        </w:numPr>
        <w:rPr>
          <w:rFonts w:ascii="Arial" w:cs="Arial" w:eastAsia="Arial" w:hAnsi="Arial"/>
          <w:sz w:val="16"/>
          <w:szCs w:val="16"/>
          <w:color w:val="auto"/>
        </w:rPr>
      </w:pPr>
      <w:r>
        <w:rPr>
          <w:rFonts w:ascii="Arial" w:cs="Arial" w:eastAsia="Arial" w:hAnsi="Arial"/>
          <w:sz w:val="16"/>
          <w:szCs w:val="16"/>
          <w:i w:val="1"/>
          <w:iCs w:val="1"/>
          <w:color w:val="auto"/>
        </w:rPr>
        <w:t>Reallocation of Payments</w:t>
      </w:r>
      <w:r>
        <w:rPr>
          <w:rFonts w:ascii="Arial" w:cs="Arial" w:eastAsia="Arial" w:hAnsi="Arial"/>
          <w:sz w:val="16"/>
          <w:szCs w:val="16"/>
          <w:color w:val="auto"/>
        </w:rPr>
        <w:t>. Any payment of principal, interest, fees or other amounts received by the Administrative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 of that Defaulting Lender (whether voluntary or mandatory, at maturity, pursuant to Article 8 or otherwise, and including any amounts made available to the Administrative Agent by that Defaulting Lender pursuant to Section 11.08),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third</w:t>
      </w:r>
      <w:r>
        <w:rPr>
          <w:rFonts w:ascii="Arial" w:cs="Arial" w:eastAsia="Arial" w:hAnsi="Arial"/>
          <w:sz w:val="16"/>
          <w:szCs w:val="16"/>
          <w:color w:val="auto"/>
        </w:rPr>
        <w:t>, if so determined by the Administrative Agent and the Borrower, to be held in a non-interest bearing deposit account and released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satisfy obligations of that Defaulting Lender to fund Loans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in respect of which that Defaulting Lender has not fully funded its appropriate share and (y) such Loans were made at a time when the conditions set forth in Section 4.01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shall be deemed paid to and redirected by that Defaulting Lender, and each Lender irrevocably consents hereto.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80" w:top="270" w:right="459" w:bottom="1440" w:gutter="0" w:footer="0" w:header="0"/>
        </w:sectPr>
      </w:pPr>
    </w:p>
    <w:bookmarkStart w:id="369" w:name="page370"/>
    <w:bookmarkEnd w:id="369"/>
    <w:p>
      <w:pPr>
        <w:ind w:left="1720" w:hanging="323"/>
        <w:spacing w:after="0"/>
        <w:tabs>
          <w:tab w:leader="none" w:pos="17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1700" w:hanging="303"/>
        <w:spacing w:after="0"/>
        <w:tabs>
          <w:tab w:leader="none" w:pos="17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996"/>
        <w:spacing w:after="0" w:line="271" w:lineRule="auto"/>
        <w:tabs>
          <w:tab w:leader="none" w:pos="1247" w:val="left"/>
        </w:tabs>
        <w:numPr>
          <w:ilvl w:val="0"/>
          <w:numId w:val="286"/>
        </w:numPr>
        <w:rPr>
          <w:rFonts w:ascii="Arial" w:cs="Arial" w:eastAsia="Arial" w:hAnsi="Arial"/>
          <w:sz w:val="17"/>
          <w:szCs w:val="17"/>
          <w:color w:val="auto"/>
        </w:rPr>
      </w:pPr>
      <w:r>
        <w:rPr>
          <w:rFonts w:ascii="Arial" w:cs="Arial" w:eastAsia="Arial" w:hAnsi="Arial"/>
          <w:sz w:val="17"/>
          <w:szCs w:val="17"/>
          <w:i w:val="1"/>
          <w:iCs w:val="1"/>
          <w:color w:val="auto"/>
        </w:rPr>
        <w:t>Defaulting Lender Cure</w:t>
      </w:r>
      <w:r>
        <w:rPr>
          <w:rFonts w:ascii="Arial" w:cs="Arial" w:eastAsia="Arial" w:hAnsi="Arial"/>
          <w:sz w:val="17"/>
          <w:szCs w:val="17"/>
          <w:color w:val="auto"/>
        </w:rPr>
        <w:t>. If the Borrower and the Administrative Agent agree in writing in their sole discretion that a Defaulting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should no longer be deemed to be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(and shall pay to such other Lenders any break funding costs that such other Lenders may incur as a result of such purchase), whereupon that Lender will cease to be a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Taxes</w:t>
      </w:r>
    </w:p>
    <w:p>
      <w:pPr>
        <w:spacing w:after="0" w:line="117" w:lineRule="exact"/>
        <w:rPr>
          <w:sz w:val="20"/>
          <w:szCs w:val="20"/>
          <w:color w:val="auto"/>
        </w:rPr>
      </w:pPr>
    </w:p>
    <w:p>
      <w:pPr>
        <w:ind w:right="140" w:firstLine="996"/>
        <w:spacing w:after="0" w:line="253" w:lineRule="auto"/>
        <w:tabs>
          <w:tab w:leader="none" w:pos="1236"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Payments Free of Taxes; Obligation to Withhold; Payments on Account of Taxes</w:t>
      </w:r>
      <w:r>
        <w:rPr>
          <w:rFonts w:ascii="Arial" w:cs="Arial" w:eastAsia="Arial" w:hAnsi="Arial"/>
          <w:sz w:val="18"/>
          <w:szCs w:val="18"/>
          <w:color w:val="auto"/>
        </w:rPr>
        <w:t>. Any and all payments by or on account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of any Loan Party hereunder or under any other Loan Document shall to the extent permitted by applicable Laws be made free and clear of and without reduction or withholding for any Taxes. If, however, applicable Laws (as determined in the good faith discretion of the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89" w:lineRule="exact"/>
        <w:rPr>
          <w:rFonts w:ascii="Arial" w:cs="Arial" w:eastAsia="Arial" w:hAnsi="Arial"/>
          <w:sz w:val="18"/>
          <w:szCs w:val="18"/>
          <w:color w:val="auto"/>
        </w:rPr>
      </w:pPr>
    </w:p>
    <w:p>
      <w:pPr>
        <w:ind w:firstLine="996"/>
        <w:spacing w:after="0" w:line="264" w:lineRule="auto"/>
        <w:tabs>
          <w:tab w:leader="none" w:pos="1247"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Payment of Other Taxes by the Borrower</w:t>
      </w:r>
      <w:r>
        <w:rPr>
          <w:rFonts w:ascii="Arial" w:cs="Arial" w:eastAsia="Arial" w:hAnsi="Arial"/>
          <w:sz w:val="18"/>
          <w:szCs w:val="18"/>
          <w:color w:val="auto"/>
        </w:rPr>
        <w:t>. Without limiting the provisions of subsection (a) above, the Loan Parties shall timely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Taxes to the relevant Governmental Authority in accordance with applicable Laws, or at the option of the Administrative Agent timely reimburse it for the payment of Other Taxes.</w:t>
      </w:r>
    </w:p>
    <w:p>
      <w:pPr>
        <w:spacing w:after="0" w:line="73" w:lineRule="exact"/>
        <w:rPr>
          <w:rFonts w:ascii="Arial" w:cs="Arial" w:eastAsia="Arial" w:hAnsi="Arial"/>
          <w:sz w:val="18"/>
          <w:szCs w:val="18"/>
          <w:color w:val="auto"/>
        </w:rPr>
      </w:pPr>
    </w:p>
    <w:p>
      <w:pPr>
        <w:ind w:left="1240" w:hanging="244"/>
        <w:spacing w:after="0"/>
        <w:tabs>
          <w:tab w:leader="none" w:pos="12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Tax Indemnifications.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370" w:name="page371"/>
    <w:bookmarkEnd w:id="370"/>
    <w:p>
      <w:pPr>
        <w:ind w:right="40" w:firstLine="957"/>
        <w:spacing w:after="0" w:line="288" w:lineRule="auto"/>
        <w:tabs>
          <w:tab w:leader="none" w:pos="1167" w:val="left"/>
        </w:tabs>
        <w:numPr>
          <w:ilvl w:val="0"/>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provisions of subsection (a) or (b) above, the Loan Parties shall, and do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Section 3.01) withheld or deducted by a Withholding Agent or paid by the Recipient, and any reasonable out of pocket expenses arising therefrom or with respect thereto, whether or not such Indemnified Taxes were correctly or legally imposed or asserted by the relevant Governmental Authority. The Borrower shall also, and does hereby, indemnify the Administrative Agent, and shall make payment in respect thereof within ten days after demand therefor, for any amount which a Lender for any reason fails to pay indefeasibly to the Administrative Agent as required by clause (ii) of this subsection. A certificate as to the amount of any such payment or liability delivered to the Borrower by a Lender (with a copy to the Administrative Agent), or by the Administrative Agent on its own behalf or on behalf of a Lender, shall be conclusive absent manifest error (so long as such certificate is prepared in a commercially reasonable manner in accordance with applicable Laws).</w:t>
      </w:r>
    </w:p>
    <w:p>
      <w:pPr>
        <w:spacing w:after="0" w:line="61" w:lineRule="exact"/>
        <w:rPr>
          <w:rFonts w:ascii="Arial" w:cs="Arial" w:eastAsia="Arial" w:hAnsi="Arial"/>
          <w:sz w:val="16"/>
          <w:szCs w:val="16"/>
          <w:color w:val="auto"/>
        </w:rPr>
      </w:pPr>
    </w:p>
    <w:p>
      <w:pPr>
        <w:ind w:left="1220" w:hanging="263"/>
        <w:spacing w:after="0"/>
        <w:tabs>
          <w:tab w:leader="none" w:pos="122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Without limiting the provisions of subsection (a) or (b) above, each Lender shall, and does hereby, severally indemnify:</w:t>
      </w:r>
    </w:p>
    <w:p>
      <w:pPr>
        <w:spacing w:after="0" w:line="128" w:lineRule="exact"/>
        <w:rPr>
          <w:rFonts w:ascii="Arial" w:cs="Arial" w:eastAsia="Arial" w:hAnsi="Arial"/>
          <w:sz w:val="17"/>
          <w:szCs w:val="17"/>
          <w:color w:val="auto"/>
        </w:rPr>
      </w:pPr>
    </w:p>
    <w:p>
      <w:pPr>
        <w:ind w:left="1000" w:right="20" w:firstLine="380"/>
        <w:spacing w:after="0" w:line="273" w:lineRule="auto"/>
        <w:tabs>
          <w:tab w:leader="none" w:pos="1678"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Borrower and the Administrative Agent, and shall make payment in respect thereof within ten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 Governmental Authority as a result of the failure by such Lender to deliver, or as a result of the inaccuracy or similar deficiency of, any documentation required to be delivered by such Lender to the Borrower or the Administrative Agent pursuant to subsection 3.01(e)(ii); and</w:t>
      </w:r>
    </w:p>
    <w:p>
      <w:pPr>
        <w:spacing w:after="0" w:line="70" w:lineRule="exact"/>
        <w:rPr>
          <w:rFonts w:ascii="Arial" w:cs="Arial" w:eastAsia="Arial" w:hAnsi="Arial"/>
          <w:sz w:val="17"/>
          <w:szCs w:val="17"/>
          <w:color w:val="auto"/>
        </w:rPr>
      </w:pPr>
    </w:p>
    <w:p>
      <w:pPr>
        <w:ind w:left="1000" w:firstLine="380"/>
        <w:spacing w:after="0" w:line="272" w:lineRule="auto"/>
        <w:tabs>
          <w:tab w:leader="none" w:pos="1668"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Administrative Agent, and shall make payment in respect thereof within ten (10) days after demand therefor, for (x) any Indemnified Taxes attributable to such Lender (but only to the extent that any Loan Party has not already indemnified the Administrative Agent for such Indemnified Taxes and without limiting the obligation of the Loan Parties to do so), (y)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and (z) any Taxes attributable to such Lender’s failure to comply with the provisions of Section 11.06(d) relating to the maintenance of a Participant Register.</w:t>
      </w:r>
    </w:p>
    <w:p>
      <w:pPr>
        <w:spacing w:after="0" w:line="69" w:lineRule="exact"/>
        <w:rPr>
          <w:rFonts w:ascii="Arial" w:cs="Arial" w:eastAsia="Arial" w:hAnsi="Arial"/>
          <w:sz w:val="17"/>
          <w:szCs w:val="17"/>
          <w:color w:val="auto"/>
        </w:rPr>
      </w:pPr>
    </w:p>
    <w:p>
      <w:pPr>
        <w:jc w:val="both"/>
        <w:ind w:right="40" w:firstLine="957"/>
        <w:spacing w:after="0" w:line="259" w:lineRule="auto"/>
        <w:tabs>
          <w:tab w:leader="none" w:pos="126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certificate as to the amount of such payment or liability delivered to any Lender by the Borrower or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(c).</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60"/>
          </w:cols>
          <w:pgMar w:left="880" w:top="273" w:right="459" w:bottom="1440" w:gutter="0" w:footer="0" w:header="0"/>
        </w:sectPr>
      </w:pPr>
    </w:p>
    <w:bookmarkStart w:id="371" w:name="page372"/>
    <w:bookmarkEnd w:id="371"/>
    <w:p>
      <w:pPr>
        <w:ind w:left="-20" w:right="240" w:firstLine="996"/>
        <w:spacing w:after="0" w:line="297" w:lineRule="auto"/>
        <w:tabs>
          <w:tab w:leader="none" w:pos="1227" w:val="left"/>
        </w:tabs>
        <w:numPr>
          <w:ilvl w:val="0"/>
          <w:numId w:val="28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of Payments</w:t>
      </w:r>
      <w:r>
        <w:rPr>
          <w:rFonts w:ascii="Arial" w:cs="Arial" w:eastAsia="Arial" w:hAnsi="Arial"/>
          <w:sz w:val="16"/>
          <w:szCs w:val="16"/>
          <w:color w:val="auto"/>
        </w:rPr>
        <w:t>. Upon request by the Borrower or the Administrative Agent, as the case may be, as soon as possible after any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Taxes by any Loan Party or by the Administrative Agent to a Governmental Authority as provided in this Section 3.01,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50" w:lineRule="exact"/>
        <w:rPr>
          <w:rFonts w:ascii="Arial" w:cs="Arial" w:eastAsia="Arial" w:hAnsi="Arial"/>
          <w:sz w:val="16"/>
          <w:szCs w:val="16"/>
          <w:color w:val="auto"/>
        </w:rPr>
      </w:pPr>
    </w:p>
    <w:p>
      <w:pPr>
        <w:ind w:left="1220" w:hanging="244"/>
        <w:spacing w:after="0"/>
        <w:tabs>
          <w:tab w:leader="none" w:pos="12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Status of Lenders; Tax Documentation.</w:t>
      </w:r>
    </w:p>
    <w:p>
      <w:pPr>
        <w:spacing w:after="0" w:line="117" w:lineRule="exact"/>
        <w:rPr>
          <w:rFonts w:ascii="Arial" w:cs="Arial" w:eastAsia="Arial" w:hAnsi="Arial"/>
          <w:sz w:val="18"/>
          <w:szCs w:val="18"/>
          <w:color w:val="auto"/>
        </w:rPr>
      </w:pPr>
    </w:p>
    <w:p>
      <w:pPr>
        <w:ind w:left="420" w:right="40" w:firstLine="957"/>
        <w:spacing w:after="0" w:line="269" w:lineRule="auto"/>
        <w:tabs>
          <w:tab w:leader="none" w:pos="1587" w:val="left"/>
        </w:tabs>
        <w:numPr>
          <w:ilvl w:val="1"/>
          <w:numId w:val="289"/>
        </w:numPr>
        <w:rPr>
          <w:rFonts w:ascii="Arial" w:cs="Arial" w:eastAsia="Arial" w:hAnsi="Arial"/>
          <w:sz w:val="17"/>
          <w:szCs w:val="17"/>
          <w:color w:val="auto"/>
        </w:rPr>
      </w:pPr>
      <w:r>
        <w:rPr>
          <w:rFonts w:ascii="Arial" w:cs="Arial" w:eastAsia="Arial" w:hAnsi="Arial"/>
          <w:sz w:val="17"/>
          <w:szCs w:val="17"/>
          <w:color w:val="auto"/>
        </w:rPr>
        <w:t>Each Lender that is entitled to an exemption from or reduction of withholding Tax with respect to payments under any Loan Document shall deliver to the Borrower and to the Administrative Agent, at the time or times prescribed by applicable Laws or when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delivery, completion and execution of documentation and other requested information described in this subsection (e)(i) (and not, for the avoidance of doubt, otherwise described in subsection (e)(ii)) shall not be required if in the Lender’s reasonable judgment such delivery, completion or execution would subject the Lender to any material unreimbursed cost or expense or would materially prejudice the legal or commercial position of such Lender.</w:t>
      </w:r>
    </w:p>
    <w:p>
      <w:pPr>
        <w:spacing w:after="0" w:line="74" w:lineRule="exact"/>
        <w:rPr>
          <w:rFonts w:ascii="Arial" w:cs="Arial" w:eastAsia="Arial" w:hAnsi="Arial"/>
          <w:sz w:val="17"/>
          <w:szCs w:val="17"/>
          <w:color w:val="auto"/>
        </w:rPr>
      </w:pPr>
    </w:p>
    <w:p>
      <w:pPr>
        <w:ind w:left="420" w:right="40" w:firstLine="957"/>
        <w:spacing w:after="0" w:line="264" w:lineRule="auto"/>
        <w:tabs>
          <w:tab w:leader="none" w:pos="163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on or prior to the date on which a Lender becomes a Lender under this Agreement (and from time to time thereafter upon the reasonable request of the Borrower or the Administrative Agent), but only to the extent it is legally entitled to do so,</w:t>
      </w:r>
    </w:p>
    <w:p>
      <w:pPr>
        <w:spacing w:after="0" w:line="73" w:lineRule="exact"/>
        <w:rPr>
          <w:rFonts w:ascii="Arial" w:cs="Arial" w:eastAsia="Arial" w:hAnsi="Arial"/>
          <w:sz w:val="18"/>
          <w:szCs w:val="18"/>
          <w:color w:val="auto"/>
        </w:rPr>
      </w:pPr>
    </w:p>
    <w:p>
      <w:pPr>
        <w:ind w:left="1420" w:firstLine="380"/>
        <w:spacing w:after="0" w:line="259" w:lineRule="auto"/>
        <w:tabs>
          <w:tab w:leader="none" w:pos="2098"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executed copies of IRS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60" w:top="273" w:right="459" w:bottom="1440" w:gutter="0" w:footer="0" w:header="0"/>
        </w:sectPr>
      </w:pPr>
    </w:p>
    <w:bookmarkStart w:id="372" w:name="page373"/>
    <w:bookmarkEnd w:id="372"/>
    <w:p>
      <w:pPr>
        <w:ind w:left="440" w:right="40" w:firstLine="380"/>
        <w:spacing w:after="0" w:line="308" w:lineRule="auto"/>
        <w:tabs>
          <w:tab w:leader="none" w:pos="1108" w:val="left"/>
        </w:tabs>
        <w:numPr>
          <w:ilvl w:val="1"/>
          <w:numId w:val="2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Foreign Lender shall, to the extent it is legally entitled to do so, deliver to the Borrower and the Administrative Agent (in such number of copies as shall be reasonably requested by the recipient), whichever of the following is applicable:</w:t>
      </w:r>
    </w:p>
    <w:p>
      <w:pPr>
        <w:spacing w:after="0" w:line="38" w:lineRule="exact"/>
        <w:rPr>
          <w:rFonts w:ascii="Arial" w:cs="Arial" w:eastAsia="Arial" w:hAnsi="Arial"/>
          <w:sz w:val="17"/>
          <w:szCs w:val="17"/>
          <w:color w:val="auto"/>
        </w:rPr>
      </w:pPr>
    </w:p>
    <w:p>
      <w:pPr>
        <w:ind w:left="1360" w:hanging="252"/>
        <w:spacing w:after="0"/>
        <w:tabs>
          <w:tab w:leader="none" w:pos="1360" w:val="left"/>
        </w:tabs>
        <w:numPr>
          <w:ilvl w:val="2"/>
          <w:numId w:val="29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34" w:lineRule="exact"/>
        <w:rPr>
          <w:rFonts w:ascii="Arial" w:cs="Arial" w:eastAsia="Arial" w:hAnsi="Arial"/>
          <w:sz w:val="17"/>
          <w:szCs w:val="17"/>
          <w:color w:val="auto"/>
        </w:rPr>
      </w:pPr>
    </w:p>
    <w:p>
      <w:pPr>
        <w:ind w:left="440" w:hanging="4"/>
        <w:spacing w:after="0" w:line="281" w:lineRule="auto"/>
        <w:tabs>
          <w:tab w:leader="none" w:pos="69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with respect to payments of interest under any Loan Document, executed copies of IRS Form W-8BEN or W-8BEN-E establishing an exemption from, or reduction of, U.S. federal withholding Tax pursuant to the “interest” article of such tax treaty and</w:t>
      </w:r>
    </w:p>
    <w:p>
      <w:pPr>
        <w:spacing w:after="0" w:line="1" w:lineRule="exact"/>
        <w:rPr>
          <w:rFonts w:ascii="Arial" w:cs="Arial" w:eastAsia="Arial" w:hAnsi="Arial"/>
          <w:sz w:val="16"/>
          <w:szCs w:val="16"/>
          <w:color w:val="auto"/>
        </w:rPr>
      </w:pPr>
    </w:p>
    <w:p>
      <w:pPr>
        <w:ind w:left="440" w:right="220" w:hanging="4"/>
        <w:spacing w:after="0" w:line="255" w:lineRule="auto"/>
        <w:tabs>
          <w:tab w:leader="none" w:pos="69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color w:val="auto"/>
        </w:rPr>
      </w:pPr>
    </w:p>
    <w:p>
      <w:pPr>
        <w:ind w:left="1360" w:hanging="252"/>
        <w:spacing w:after="0"/>
        <w:tabs>
          <w:tab w:leader="none" w:pos="136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440" w:right="100" w:firstLine="668"/>
        <w:spacing w:after="0" w:line="288" w:lineRule="auto"/>
        <w:tabs>
          <w:tab w:leader="none" w:pos="1366" w:val="left"/>
        </w:tabs>
        <w:numPr>
          <w:ilvl w:val="2"/>
          <w:numId w:val="29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H-1 to the effect that such Foreign Lender is not (A) a “bank” within the meaning of section 881(c)(3)(A) of the Code, (B) a “10 percent shareholder” of the Borrower within the meaning of section 881(c)</w:t>
      </w:r>
    </w:p>
    <w:p>
      <w:pPr>
        <w:ind w:left="440" w:right="920"/>
        <w:spacing w:after="0" w:line="323" w:lineRule="auto"/>
        <w:rPr>
          <w:rFonts w:ascii="Arial" w:cs="Arial" w:eastAsia="Arial" w:hAnsi="Arial"/>
          <w:sz w:val="16"/>
          <w:szCs w:val="16"/>
          <w:color w:val="auto"/>
        </w:rPr>
      </w:pPr>
      <w:r>
        <w:rPr>
          <w:rFonts w:ascii="Arial" w:cs="Arial" w:eastAsia="Arial" w:hAnsi="Arial"/>
          <w:sz w:val="16"/>
          <w:szCs w:val="16"/>
          <w:color w:val="auto"/>
        </w:rPr>
        <w:t>(3)(B) of the Code, or (C) a “controlled foreign corporation” described in section 881(c)(3)(C) of the Code (a “</w:t>
      </w:r>
      <w:r>
        <w:rPr>
          <w:rFonts w:ascii="Arial" w:cs="Arial" w:eastAsia="Arial" w:hAnsi="Arial"/>
          <w:sz w:val="16"/>
          <w:szCs w:val="16"/>
          <w:b w:val="1"/>
          <w:bCs w:val="1"/>
          <w:color w:val="auto"/>
        </w:rPr>
        <w:t>U.S. Tax</w:t>
      </w:r>
      <w:r>
        <w:rPr>
          <w:rFonts w:ascii="Arial" w:cs="Arial" w:eastAsia="Arial" w:hAnsi="Arial"/>
          <w:sz w:val="16"/>
          <w:szCs w:val="16"/>
          <w:color w:val="auto"/>
        </w:rPr>
        <w:t xml:space="preserve"> </w:t>
      </w:r>
      <w:r>
        <w:rPr>
          <w:rFonts w:ascii="Arial" w:cs="Arial" w:eastAsia="Arial" w:hAnsi="Arial"/>
          <w:sz w:val="16"/>
          <w:szCs w:val="16"/>
          <w:b w:val="1"/>
          <w:bCs w:val="1"/>
          <w:color w:val="auto"/>
        </w:rPr>
        <w:t>Compliance Certificate</w:t>
      </w:r>
      <w:r>
        <w:rPr>
          <w:rFonts w:ascii="Arial" w:cs="Arial" w:eastAsia="Arial" w:hAnsi="Arial"/>
          <w:sz w:val="16"/>
          <w:szCs w:val="16"/>
          <w:color w:val="auto"/>
        </w:rPr>
        <w:t>”) and (y) executed copies of Internal Revenue Service Form W-8BEN or W-8BEN-E, or</w:t>
      </w:r>
    </w:p>
    <w:p>
      <w:pPr>
        <w:spacing w:after="0" w:line="30" w:lineRule="exact"/>
        <w:rPr>
          <w:rFonts w:ascii="Arial" w:cs="Arial" w:eastAsia="Arial" w:hAnsi="Arial"/>
          <w:sz w:val="16"/>
          <w:szCs w:val="16"/>
          <w:color w:val="auto"/>
        </w:rPr>
      </w:pPr>
    </w:p>
    <w:p>
      <w:pPr>
        <w:ind w:left="440" w:right="60" w:firstLine="668"/>
        <w:spacing w:after="0" w:line="273" w:lineRule="auto"/>
        <w:tabs>
          <w:tab w:leader="none" w:pos="1366" w:val="left"/>
        </w:tabs>
        <w:numPr>
          <w:ilvl w:val="2"/>
          <w:numId w:val="291"/>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copies of IRS Form W-8IMY, accompanied by IRS Form W-8ECI, IRS Form W-8BEN or W-8BEN-E, a U.S. Tax Compliance Certificate substantially in the form of Exhibit H-2 or H-3, IRS Form W-9, and/or other certification documents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 together with the executed copies of the applicable IRS Forms; and</w:t>
      </w:r>
    </w:p>
    <w:p>
      <w:pPr>
        <w:spacing w:after="0" w:line="70" w:lineRule="exact"/>
        <w:rPr>
          <w:rFonts w:ascii="Arial" w:cs="Arial" w:eastAsia="Arial" w:hAnsi="Arial"/>
          <w:sz w:val="17"/>
          <w:szCs w:val="17"/>
          <w:color w:val="auto"/>
        </w:rPr>
      </w:pPr>
    </w:p>
    <w:p>
      <w:pPr>
        <w:ind w:left="440" w:right="180" w:firstLine="380"/>
        <w:spacing w:after="0" w:line="257" w:lineRule="auto"/>
        <w:tabs>
          <w:tab w:leader="none" w:pos="110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w:t>
      </w:r>
    </w:p>
    <w:p>
      <w:pPr>
        <w:spacing w:after="0" w:line="1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000"/>
          </w:cols>
          <w:pgMar w:left="1440" w:top="274" w:right="459" w:bottom="1440" w:gutter="0" w:footer="0" w:header="0"/>
        </w:sectPr>
      </w:pPr>
    </w:p>
    <w:bookmarkStart w:id="373" w:name="page374"/>
    <w:bookmarkEnd w:id="373"/>
    <w:p>
      <w:pPr>
        <w:ind w:left="14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(C), “</w:t>
      </w:r>
      <w:r>
        <w:rPr>
          <w:rFonts w:ascii="Arial" w:cs="Arial" w:eastAsia="Arial" w:hAnsi="Arial"/>
          <w:sz w:val="18"/>
          <w:szCs w:val="18"/>
          <w:b w:val="1"/>
          <w:bCs w:val="1"/>
          <w:color w:val="auto"/>
        </w:rPr>
        <w:t>FATCA</w:t>
      </w:r>
      <w:r>
        <w:rPr>
          <w:rFonts w:ascii="Arial" w:cs="Arial" w:eastAsia="Arial" w:hAnsi="Arial"/>
          <w:sz w:val="18"/>
          <w:szCs w:val="18"/>
          <w:color w:val="auto"/>
        </w:rPr>
        <w:t>” shall include any amendments made to FATCA after the date of this Agreement.</w:t>
      </w:r>
    </w:p>
    <w:p>
      <w:pPr>
        <w:spacing w:after="0" w:line="80" w:lineRule="exact"/>
        <w:rPr>
          <w:sz w:val="20"/>
          <w:szCs w:val="20"/>
          <w:color w:val="auto"/>
        </w:rPr>
      </w:pPr>
    </w:p>
    <w:p>
      <w:pPr>
        <w:jc w:val="both"/>
        <w:ind w:left="420" w:right="40" w:firstLine="957"/>
        <w:spacing w:after="0" w:line="312" w:lineRule="auto"/>
        <w:tabs>
          <w:tab w:leader="none" w:pos="1687"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Each Lender shall promptly (A) notify the Borrower and the Administrative Agent of any change in circumstances which would modify or render invalid any claimed exemption or reduction or if any form or certification it previously delivered becomes obsolete or inaccurate or expires and (B) update any such form or certification or notify the Borrower and Administrative Agent in writing of its legal inability to do so.</w:t>
      </w:r>
    </w:p>
    <w:p>
      <w:pPr>
        <w:spacing w:after="0" w:line="38" w:lineRule="exact"/>
        <w:rPr>
          <w:rFonts w:ascii="Arial" w:cs="Arial" w:eastAsia="Arial" w:hAnsi="Arial"/>
          <w:sz w:val="16"/>
          <w:szCs w:val="16"/>
          <w:color w:val="auto"/>
        </w:rPr>
      </w:pPr>
    </w:p>
    <w:p>
      <w:pPr>
        <w:ind w:left="-20" w:right="20" w:firstLine="996"/>
        <w:spacing w:after="0" w:line="286" w:lineRule="auto"/>
        <w:tabs>
          <w:tab w:leader="none" w:pos="1197" w:val="left"/>
        </w:tabs>
        <w:numPr>
          <w:ilvl w:val="0"/>
          <w:numId w:val="293"/>
        </w:numPr>
        <w:rPr>
          <w:rFonts w:ascii="Arial" w:cs="Arial" w:eastAsia="Arial" w:hAnsi="Arial"/>
          <w:sz w:val="16"/>
          <w:szCs w:val="16"/>
          <w:color w:val="auto"/>
        </w:rPr>
      </w:pPr>
      <w:r>
        <w:rPr>
          <w:rFonts w:ascii="Arial" w:cs="Arial" w:eastAsia="Arial" w:hAnsi="Arial"/>
          <w:sz w:val="16"/>
          <w:szCs w:val="16"/>
          <w:i w:val="1"/>
          <w:iCs w:val="1"/>
          <w:color w:val="auto"/>
        </w:rPr>
        <w:t>Treatment of Certain Refunds</w:t>
      </w:r>
      <w:r>
        <w:rPr>
          <w:rFonts w:ascii="Arial" w:cs="Arial" w:eastAsia="Arial" w:hAnsi="Arial"/>
          <w:sz w:val="16"/>
          <w:szCs w:val="16"/>
          <w:color w:val="auto"/>
        </w:rPr>
        <w:t>. At no time shall the Administrative Agent have any obligation to file for or otherwise pursue on behalf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Lender, or have any obligation to pay to any Lender, any refund of Taxes withheld or deducted from funds paid for the account of such Lender. If the Administrative Agent or any Lender determines, in its sole discretion exercised reasonably, that it has received a refund of any Indemnified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3.01 with respect to the Indemnified Taxes giving rise to such refund), net of all out-of-pocket expenses incurred by the Administrative Agent or such Lender, as the case may be, related to the receipt of such refund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 Notwithstanding anything to the contrary in this subsection, in no event will the Administrative Agent or any Lender be required to pay any amount to the Borrower pursuant to this subsection the payment of which would place the Administrative Agent or such Lender in a less favorable after-Tax position than the Administrative Agent or such Lender would have been in if the indemnification payments or additional amounts giving rise to such refund had never been paid.</w:t>
      </w:r>
    </w:p>
    <w:p>
      <w:pPr>
        <w:spacing w:after="0" w:line="60" w:lineRule="exact"/>
        <w:rPr>
          <w:rFonts w:ascii="Arial" w:cs="Arial" w:eastAsia="Arial" w:hAnsi="Arial"/>
          <w:sz w:val="16"/>
          <w:szCs w:val="16"/>
          <w:color w:val="auto"/>
        </w:rPr>
      </w:pPr>
    </w:p>
    <w:p>
      <w:pPr>
        <w:ind w:left="-20" w:right="20" w:firstLine="996"/>
        <w:spacing w:after="0" w:line="264" w:lineRule="auto"/>
        <w:tabs>
          <w:tab w:leader="none" w:pos="1227" w:val="left"/>
        </w:tabs>
        <w:numPr>
          <w:ilvl w:val="0"/>
          <w:numId w:val="293"/>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Each party’s obligations under this Section 3.01 shall survive the resignation and/or replacement of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any assignment of rights by, or the replacement of, a Lender, the termination of the Commitments and the repayment, satisfaction or discharge of all other Obligations.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60" w:top="274" w:right="439" w:bottom="1440" w:gutter="0" w:footer="0" w:header="0"/>
        </w:sectPr>
      </w:pPr>
    </w:p>
    <w:bookmarkStart w:id="374" w:name="page375"/>
    <w:bookmarkEnd w:id="374"/>
    <w:p>
      <w:pPr>
        <w:ind w:right="280" w:firstLine="996"/>
        <w:spacing w:after="0" w:line="264" w:lineRule="auto"/>
        <w:tabs>
          <w:tab w:leader="none" w:pos="1247"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FATCA Grandfathering Status. </w:t>
      </w:r>
      <w:r>
        <w:rPr>
          <w:rFonts w:ascii="Arial" w:cs="Arial" w:eastAsia="Arial" w:hAnsi="Arial"/>
          <w:sz w:val="18"/>
          <w:szCs w:val="18"/>
          <w:color w:val="auto"/>
        </w:rPr>
        <w:t>From and after the Closing Date, the Borrower and the Administrative Agent shall treat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hereby authorize the Administrative Agent to treat) the Loans (including any Loans already outstanding) as not qualifying as “grandfathered obligations” within the meaning of Treasury Regulation Section 1.1471-2(b)(2)(i).</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Illegality</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U.S. Dollars in the applicable interbank market, then, if the replacement terms of Section 2.14 have not been implemented, on notice thereof by such Lender to the Borrower through the Administrative Agent, (i) any obligation of such Lender to make or continue Eurodollar Rate Loans shall be suspended and (ii) if such notice asserts the illegality of such Lender making or maintaining Base Rate Loans the interest rate on which is determined by reference to the Eurodollar Rate component of the Base Rate, the interest rate on such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If the replacement terms of Section 2.14 have not been implemented, upon receipt of such notice, (x) the Borrower shall, upon demand from such Lender (with a copy to the Administrative Agent), convert all such Loans of such Lender to Base Rate Loans and (y) if such notice asserts the illegality of such Lender making or maintaining Base Rate Loans the interest rate on which is determined by reference to the Eurodollar Rate component of the Base Rate, the interest rate on such Base Rate Loans of such Lender shall, if necessary to avoid such illegality, be determined by the Administrative Agent without reference to the Eurodollar Rate component of the Base Rate, in each case, either on the last day of the Interest Period therefor, if such Lender may lawfully continue to maintain such Eurodollar Rate Loans to such day, or immediately, if such Lender may not lawfully continue to maintain such Eurodollar Rate Loans. Upon any such conversion, the Borrower shall also pay accrued interest on the amount so converted.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Inability to Determine Rates.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the replacement terms of Section 2.14 have not been implemented, if the Required Lenders determine that for any reason in connection with any request for a Eurodollar Rate Loan or continuation thereof that (a) (i) deposits are not being offered to banks in the interbank market for the applicable amount and Interest Period of such Loan or (ii) adequate and reasonable means do not exist for determining the Eurodollar Rate for any requested Interest Period with respect to a proposed Eurodollar Rate Loan, or (b) the Eurodollar Rate for any Interest Period does not adequately and fairly reflect the cost to such Lender of funding such Loan, then in each case, the Administrative Agent will promptly so notify the Borrower and each Lender. If the replacement terms of Section 2.14 have not been implemented, thereafter, (x) the obligation of the Lenders to make or maintain Eurodollar Rate Loans shall be suspended and (y) in the event of a determination described in the preceding sentence with respect to the Eurodollar Rate component of the Base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375" w:name="page376"/>
    <w:bookmarkEnd w:id="37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Rate, the utilization of the Eurodollar Rate component in determining the Base Rate shall be suspended, in each case until the Administrative Agent (upon the instruction of the Required Lenders) revokes such notice. Upon receipt of such notice, the Borrower may revoke a Borrowing Notice prior to the funding of the Loans on the Closing Date or, failing that, will be deemed to have converted such request into a request for a Borrowing of Base Rate Loans, in the amount specified therein.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addition, if at any time the Administrative Agent determines in good faith (which determination shall be conclusive absent manifest error) that, if the replacement terms of Section 2.14 have not been implemented, (i) the circumstances set forth in Section 3.02 or the first paragraph of this Section 3.03 have arisen and such circumstances are unlikely to be temporary or (ii) the circumstances set forth in Section 3.02 or the first paragraph of this Section 3.03 have not arisen but the supervisor for the administrator of the Eurodollar Rate or a Governmental Authority having jurisdiction over the Administrative Agent has made a public statement identifying a specific date after which the Eurodollar Rate shall no longer be used for determining interest rates for loans, which date will be prior to the end of the second Interest Period then (i) if the Closing Date has not occurred, any Loans funded on the Closing Date shall be Base Rate Loans or (ii) if any Loans have funded, such Loans shall be converted to Base Rate Loans on the earlier of such specific date and the beginning of the next Interest Period, and in either such case, the Base Rate shall be determined without the utilization of the Eurodollar Rate component of the Base Rate.</w:t>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Upon any conversion of Eurodollar Rate Loans to Base Rate Loans pursuant to this Section 3.03, the Borrower shall also pay accrued interest on the amount so converted.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Increased Costs; Reserves on Eurodollar Rate Loans.</w:t>
      </w:r>
    </w:p>
    <w:p>
      <w:pPr>
        <w:spacing w:after="0" w:line="117" w:lineRule="exact"/>
        <w:rPr>
          <w:sz w:val="20"/>
          <w:szCs w:val="20"/>
          <w:color w:val="auto"/>
        </w:rPr>
      </w:pPr>
    </w:p>
    <w:p>
      <w:pPr>
        <w:ind w:left="1240" w:hanging="244"/>
        <w:spacing w:after="0"/>
        <w:tabs>
          <w:tab w:leader="none" w:pos="1240" w:val="left"/>
        </w:tabs>
        <w:numPr>
          <w:ilvl w:val="0"/>
          <w:numId w:val="295"/>
        </w:numPr>
        <w:rPr>
          <w:rFonts w:ascii="Arial" w:cs="Arial" w:eastAsia="Arial" w:hAnsi="Arial"/>
          <w:sz w:val="18"/>
          <w:szCs w:val="18"/>
          <w:color w:val="auto"/>
        </w:rPr>
      </w:pPr>
      <w:r>
        <w:rPr>
          <w:rFonts w:ascii="Arial" w:cs="Arial" w:eastAsia="Arial" w:hAnsi="Arial"/>
          <w:sz w:val="18"/>
          <w:szCs w:val="18"/>
          <w:i w:val="1"/>
          <w:iCs w:val="1"/>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jc w:val="both"/>
        <w:ind w:left="440" w:firstLine="957"/>
        <w:spacing w:after="0" w:line="264" w:lineRule="auto"/>
        <w:tabs>
          <w:tab w:leader="none" w:pos="160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 Section 3.04(e));</w:t>
      </w:r>
    </w:p>
    <w:p>
      <w:pPr>
        <w:spacing w:after="0" w:line="73" w:lineRule="exact"/>
        <w:rPr>
          <w:rFonts w:ascii="Arial" w:cs="Arial" w:eastAsia="Arial" w:hAnsi="Arial"/>
          <w:sz w:val="18"/>
          <w:szCs w:val="18"/>
          <w:color w:val="auto"/>
        </w:rPr>
      </w:pPr>
    </w:p>
    <w:p>
      <w:pPr>
        <w:ind w:left="440" w:right="120" w:firstLine="957"/>
        <w:spacing w:after="0" w:line="286" w:lineRule="auto"/>
        <w:tabs>
          <w:tab w:leader="none" w:pos="1657" w:val="left"/>
        </w:tabs>
        <w:numPr>
          <w:ilvl w:val="1"/>
          <w:numId w:val="295"/>
        </w:numPr>
        <w:rPr>
          <w:rFonts w:ascii="Arial" w:cs="Arial" w:eastAsia="Arial" w:hAnsi="Arial"/>
          <w:sz w:val="17"/>
          <w:szCs w:val="17"/>
          <w:color w:val="auto"/>
        </w:rPr>
      </w:pPr>
      <w:r>
        <w:rPr>
          <w:rFonts w:ascii="Arial" w:cs="Arial" w:eastAsia="Arial" w:hAnsi="Arial"/>
          <w:sz w:val="17"/>
          <w:szCs w:val="17"/>
          <w:color w:val="auto"/>
        </w:rPr>
        <w:t>subject any Recipient to any Tax (except for Indemnified Taxes covered by Section 3.01 and the imposition of, or any change in the rate of, any Tax described in clause (a)(ii) or clause (b) through (d) of the definition of Excluded Tax) on its loans, loan principal, letters of credit, commitments, or other obligations, or its deposits, reserves, other liabilities or capital attributable thereto; or</w:t>
      </w:r>
    </w:p>
    <w:p>
      <w:pPr>
        <w:spacing w:after="0" w:line="57" w:lineRule="exact"/>
        <w:rPr>
          <w:rFonts w:ascii="Arial" w:cs="Arial" w:eastAsia="Arial" w:hAnsi="Arial"/>
          <w:sz w:val="17"/>
          <w:szCs w:val="17"/>
          <w:color w:val="auto"/>
        </w:rPr>
      </w:pPr>
    </w:p>
    <w:p>
      <w:pPr>
        <w:ind w:left="440" w:right="280" w:firstLine="957"/>
        <w:spacing w:after="0" w:line="277" w:lineRule="auto"/>
        <w:tabs>
          <w:tab w:leader="none" w:pos="170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impose on any Lender or the interbank market or any other condition, cost or expense affecting this Agreement or Eurodollar Rate Loans made by such Lender;</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the result of any of the foregoing shall be to increase the cost to the Administrative Agent or any Lender of making, continuing or maintaining any Loan (or of maintaining its obligation to make any such Loan), or to reduce the amount of any sum received or receivable by the Administrative Agent or any Lender hereunder (whether of principal, interest or any other amount) then, upon request of the Administrative Agent or such Lender, the Borrower will pay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3" w:right="459" w:bottom="1440" w:gutter="0" w:footer="0" w:header="0"/>
        </w:sectPr>
      </w:pPr>
    </w:p>
    <w:bookmarkStart w:id="376" w:name="page377"/>
    <w:bookmarkEnd w:id="376"/>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Administrative Agent or such Lender, as the case may be, such additional amount or amounts as will compensate the Administrative Agent or such Lender, as the case may be, for such additional costs incurred or reduction suffered;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shall not be obligated to pay any such compensation unless the Lender requesting such compensation also is requesting compensation as a result of such Change in Law from other similarly situated customers under agreements relating to similar credit transactions that include provisions similar to this Section 3.04(a).</w:t>
      </w:r>
    </w:p>
    <w:p>
      <w:pPr>
        <w:spacing w:after="0" w:line="46" w:lineRule="exact"/>
        <w:rPr>
          <w:sz w:val="20"/>
          <w:szCs w:val="20"/>
          <w:color w:val="auto"/>
        </w:rPr>
      </w:pPr>
    </w:p>
    <w:p>
      <w:pPr>
        <w:ind w:firstLine="996"/>
        <w:spacing w:after="0" w:line="289" w:lineRule="auto"/>
        <w:tabs>
          <w:tab w:leader="none" w:pos="1247" w:val="left"/>
        </w:tabs>
        <w:numPr>
          <w:ilvl w:val="0"/>
          <w:numId w:val="296"/>
        </w:numPr>
        <w:rPr>
          <w:rFonts w:ascii="Arial" w:cs="Arial" w:eastAsia="Arial" w:hAnsi="Arial"/>
          <w:sz w:val="16"/>
          <w:szCs w:val="16"/>
          <w:color w:val="auto"/>
        </w:rPr>
      </w:pPr>
      <w:r>
        <w:rPr>
          <w:rFonts w:ascii="Arial" w:cs="Arial" w:eastAsia="Arial" w:hAnsi="Arial"/>
          <w:sz w:val="16"/>
          <w:szCs w:val="16"/>
          <w:i w:val="1"/>
          <w:iCs w:val="1"/>
          <w:color w:val="auto"/>
        </w:rPr>
        <w:t>Capital Requirements</w:t>
      </w:r>
      <w:r>
        <w:rPr>
          <w:rFonts w:ascii="Arial" w:cs="Arial" w:eastAsia="Arial" w:hAnsi="Arial"/>
          <w:sz w:val="16"/>
          <w:szCs w:val="16"/>
          <w:color w:val="auto"/>
        </w:rPr>
        <w:t>. If any Lender determines that any Change in Law affecting such Lender or any Lending Office of such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shall not be obligated to pay any such compensation unless the Lender requesting such compensation also is requesting compensation as a result of such Change in Law from other similarly situated customers under agreements relating to similar credit transactions that include provisions similar to this Section 3.04(b).</w:t>
      </w:r>
    </w:p>
    <w:p>
      <w:pPr>
        <w:spacing w:after="0" w:line="58" w:lineRule="exact"/>
        <w:rPr>
          <w:rFonts w:ascii="Arial" w:cs="Arial" w:eastAsia="Arial" w:hAnsi="Arial"/>
          <w:sz w:val="16"/>
          <w:szCs w:val="16"/>
          <w:color w:val="auto"/>
        </w:rPr>
      </w:pPr>
    </w:p>
    <w:p>
      <w:pPr>
        <w:ind w:right="200" w:firstLine="996"/>
        <w:spacing w:after="0" w:line="259" w:lineRule="auto"/>
        <w:tabs>
          <w:tab w:leader="none" w:pos="1236"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Certificates for Reimbursement</w:t>
      </w:r>
      <w:r>
        <w:rPr>
          <w:rFonts w:ascii="Arial" w:cs="Arial" w:eastAsia="Arial" w:hAnsi="Arial"/>
          <w:sz w:val="18"/>
          <w:szCs w:val="18"/>
          <w:color w:val="auto"/>
        </w:rPr>
        <w:t>. A certificate of a Lender setting forth in reasonable detail the amount or amounts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compensate such Lender or its holding company, as the case may be, as specified in subsection (a) or (b) of this Section and delivered to the Borrower shall be conclusive absent manifest error. The Borrower shall pay such Lender the amount shown as due on any such certificate within ten days after receipt thereof.</w:t>
      </w:r>
    </w:p>
    <w:p>
      <w:pPr>
        <w:spacing w:after="0" w:line="78" w:lineRule="exact"/>
        <w:rPr>
          <w:rFonts w:ascii="Arial" w:cs="Arial" w:eastAsia="Arial" w:hAnsi="Arial"/>
          <w:sz w:val="18"/>
          <w:szCs w:val="18"/>
          <w:color w:val="auto"/>
        </w:rPr>
      </w:pPr>
    </w:p>
    <w:p>
      <w:pPr>
        <w:ind w:right="200" w:firstLine="996"/>
        <w:spacing w:after="0" w:line="273" w:lineRule="auto"/>
        <w:tabs>
          <w:tab w:leader="none" w:pos="1247"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Delay in Requests</w:t>
      </w:r>
      <w:r>
        <w:rPr>
          <w:rFonts w:ascii="Arial" w:cs="Arial" w:eastAsia="Arial" w:hAnsi="Arial"/>
          <w:sz w:val="17"/>
          <w:szCs w:val="17"/>
          <w:color w:val="auto"/>
        </w:rPr>
        <w:t>. Failure or delay on the part of any Lender to demand compensation pursuant to the foregoing provisions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shall not constitute a waiver of such Lender’s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70" w:lineRule="exact"/>
        <w:rPr>
          <w:rFonts w:ascii="Arial" w:cs="Arial" w:eastAsia="Arial" w:hAnsi="Arial"/>
          <w:sz w:val="17"/>
          <w:szCs w:val="17"/>
          <w:color w:val="auto"/>
        </w:rPr>
      </w:pPr>
    </w:p>
    <w:p>
      <w:pPr>
        <w:ind w:right="20" w:firstLine="996"/>
        <w:spacing w:after="0" w:line="255" w:lineRule="auto"/>
        <w:tabs>
          <w:tab w:leader="none" w:pos="1236"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Reserves on Eurodollar Rate Loans</w:t>
      </w:r>
      <w:r>
        <w:rPr>
          <w:rFonts w:ascii="Arial" w:cs="Arial" w:eastAsia="Arial" w:hAnsi="Arial"/>
          <w:sz w:val="18"/>
          <w:szCs w:val="18"/>
          <w:color w:val="auto"/>
        </w:rPr>
        <w:t>. The Borrower shall pay to each Lender, as long as such Lender shall be required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with respect to liabilities or assets consisting of or including Eurodollar funds or deposits (currently known as “</w:t>
      </w:r>
      <w:r>
        <w:rPr>
          <w:rFonts w:ascii="Arial" w:cs="Arial" w:eastAsia="Arial" w:hAnsi="Arial"/>
          <w:sz w:val="18"/>
          <w:szCs w:val="18"/>
          <w:b w:val="1"/>
          <w:bCs w:val="1"/>
          <w:color w:val="auto"/>
        </w:rPr>
        <w:t>Eurodollar liabilities</w:t>
      </w:r>
      <w:r>
        <w:rPr>
          <w:rFonts w:ascii="Arial" w:cs="Arial" w:eastAsia="Arial" w:hAnsi="Arial"/>
          <w:sz w:val="18"/>
          <w:szCs w:val="18"/>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and binding), which shall be due and payable on each date on which interest is payable on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Borrower shall have received at least ten days’ prior notice (with a copy to the Administrative Agent) of such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377" w:name="page378"/>
    <w:bookmarkEnd w:id="37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interest from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Borrower shall not be obligated to pay any such additional interest unless the Lender requesting such additional interest also is requesting additional interest from other similarly situated customers under agreements relating to similar credit transactions that include provisions similar to this Section 3.04(e). If a Lender fails to give notice ten days prior to the relevant Interest Payment Date, such additional interest shall be due and payable ten days from receipt of such notice.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Compensation for Losses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62" w:lineRule="exact"/>
        <w:rPr>
          <w:sz w:val="20"/>
          <w:szCs w:val="20"/>
          <w:color w:val="auto"/>
        </w:rPr>
      </w:pPr>
    </w:p>
    <w:p>
      <w:pPr>
        <w:jc w:val="both"/>
        <w:ind w:right="100" w:firstLine="996"/>
        <w:spacing w:after="0" w:line="264" w:lineRule="auto"/>
        <w:tabs>
          <w:tab w:leader="none" w:pos="123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conversion to a Base Rate Loan or a Fixed Rate Loan, payment or prepayment of any Loan other than a Base Rate Loan on a day other than the last day of the Interest Period for such Loan (whether voluntary, mandatory, automatic, by reason of acceleration, Demand Failure Event or otherwise);</w:t>
      </w:r>
    </w:p>
    <w:p>
      <w:pPr>
        <w:spacing w:after="0" w:line="73" w:lineRule="exact"/>
        <w:rPr>
          <w:rFonts w:ascii="Arial" w:cs="Arial" w:eastAsia="Arial" w:hAnsi="Arial"/>
          <w:sz w:val="18"/>
          <w:szCs w:val="18"/>
          <w:color w:val="auto"/>
        </w:rPr>
      </w:pPr>
    </w:p>
    <w:p>
      <w:pPr>
        <w:ind w:right="20" w:firstLine="996"/>
        <w:spacing w:after="0" w:line="259" w:lineRule="auto"/>
        <w:tabs>
          <w:tab w:leader="none" w:pos="12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failure by the Borrower to borrow or prepay any Loan other than a Base Rate Loan on the date or in the amount notified by the Borrower (in the case of a borrowing, for a reason other than the failure of such Lender to make a Loan, and in the case of a prepayment conditioned on the consummation of the Active Nutrition Transaction in accordance with Section 2.05(a)(i), for a reason other than the failure of the Active Nutrition Transaction to be consummated); or</w:t>
      </w:r>
    </w:p>
    <w:p>
      <w:pPr>
        <w:spacing w:after="0" w:line="78" w:lineRule="exact"/>
        <w:rPr>
          <w:rFonts w:ascii="Arial" w:cs="Arial" w:eastAsia="Arial" w:hAnsi="Arial"/>
          <w:sz w:val="18"/>
          <w:szCs w:val="18"/>
          <w:color w:val="auto"/>
        </w:rPr>
      </w:pPr>
    </w:p>
    <w:p>
      <w:pPr>
        <w:ind w:right="80" w:firstLine="996"/>
        <w:spacing w:after="0" w:line="277" w:lineRule="auto"/>
        <w:tabs>
          <w:tab w:leader="none" w:pos="123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assignment of a Eurodollar Rate Loan on a day other than the last day of the Interest Period therefor as a result of a request by the Borrower pursuant to Section 11.13;</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purposes of calculating amounts payable by the Borrower to the Lenders under this Section 3.05, each Lender shall be deemed to have funded each Eurodollar Rate Loan at the Eurodollar Rate by a matching deposit or other borrowing in the London or other offshore interbank market for the applicable currency for a comparable amount and for a comparable period, whether or not such Loan was in fact so funded. A certificate of a Lender setting forth the amount or amounts necessary to compensate such Lender, as specified in this Section, delivered to the Borrower shall be conclusive absent manifest error.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Mitigation Obligations; Replacement of Lenders</w:t>
      </w:r>
    </w:p>
    <w:p>
      <w:pPr>
        <w:spacing w:after="0" w:line="117" w:lineRule="exact"/>
        <w:rPr>
          <w:sz w:val="20"/>
          <w:szCs w:val="20"/>
          <w:color w:val="auto"/>
        </w:rPr>
      </w:pPr>
    </w:p>
    <w:p>
      <w:pPr>
        <w:ind w:right="20" w:firstLine="996"/>
        <w:spacing w:after="0" w:line="255" w:lineRule="auto"/>
        <w:tabs>
          <w:tab w:leader="none" w:pos="1236"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Designation of a Different Lending Office</w:t>
      </w:r>
      <w:r>
        <w:rPr>
          <w:rFonts w:ascii="Arial" w:cs="Arial" w:eastAsia="Arial" w:hAnsi="Arial"/>
          <w:sz w:val="18"/>
          <w:szCs w:val="18"/>
          <w:color w:val="auto"/>
        </w:rPr>
        <w:t>. If any Lender requests compensation under Section 3.04, or the Borrower is required to pay</w:t>
      </w:r>
      <w:r>
        <w:rPr>
          <w:rFonts w:ascii="Arial" w:cs="Arial" w:eastAsia="Arial" w:hAnsi="Arial"/>
          <w:sz w:val="18"/>
          <w:szCs w:val="18"/>
          <w:i w:val="1"/>
          <w:iCs w:val="1"/>
          <w:color w:val="auto"/>
        </w:rPr>
        <w:t xml:space="preserve"> </w:t>
      </w:r>
      <w:r>
        <w:rPr>
          <w:rFonts w:ascii="Arial" w:cs="Arial" w:eastAsia="Arial" w:hAnsi="Arial"/>
          <w:sz w:val="18"/>
          <w:szCs w:val="18"/>
          <w:color w:val="auto"/>
        </w:rPr>
        <w:t>any additional amount to any Lender or any Governmental Authority for the account of any Lender pursuant to Section 3.01, or if any Lender gives a notice pursuant to Section 3.02, then such Lender shall, as applicable,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3.01 or 3.04, as the case may be, in the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40" w:top="273" w:right="499" w:bottom="1440" w:gutter="0" w:footer="0" w:header="0"/>
        </w:sectPr>
      </w:pPr>
    </w:p>
    <w:bookmarkStart w:id="378" w:name="page379"/>
    <w:bookmarkEnd w:id="37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future, or eliminate the need for the notice pursuant to Section 3.02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73" w:lineRule="exact"/>
        <w:rPr>
          <w:sz w:val="20"/>
          <w:szCs w:val="20"/>
          <w:color w:val="auto"/>
        </w:rPr>
      </w:pPr>
    </w:p>
    <w:p>
      <w:pPr>
        <w:ind w:firstLine="996"/>
        <w:spacing w:after="0" w:line="257" w:lineRule="auto"/>
        <w:tabs>
          <w:tab w:leader="none" w:pos="1247" w:val="left"/>
        </w:tabs>
        <w:numPr>
          <w:ilvl w:val="0"/>
          <w:numId w:val="299"/>
        </w:numPr>
        <w:rPr>
          <w:rFonts w:ascii="Arial" w:cs="Arial" w:eastAsia="Arial" w:hAnsi="Arial"/>
          <w:sz w:val="18"/>
          <w:szCs w:val="18"/>
          <w:color w:val="auto"/>
        </w:rPr>
      </w:pPr>
      <w:r>
        <w:rPr>
          <w:rFonts w:ascii="Arial" w:cs="Arial" w:eastAsia="Arial" w:hAnsi="Arial"/>
          <w:sz w:val="18"/>
          <w:szCs w:val="18"/>
          <w:i w:val="1"/>
          <w:iCs w:val="1"/>
          <w:color w:val="auto"/>
        </w:rPr>
        <w:t>Replacement of Lenders</w:t>
      </w:r>
      <w:r>
        <w:rPr>
          <w:rFonts w:ascii="Arial" w:cs="Arial" w:eastAsia="Arial" w:hAnsi="Arial"/>
          <w:sz w:val="18"/>
          <w:szCs w:val="18"/>
          <w:color w:val="auto"/>
        </w:rPr>
        <w:t>. If any Lender requests compensation under Section 3.04, or if the Borrower is required to pay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to any Lender or any Governmental Authority for the account of any Lender pursuant to Section 3.01, and in each case, such Lender has declined or is unable to designate a different Lending Office in accordance with Section 3.06(a) which would eliminate such request for compensation or requirement to pay such additional amount, or if any Lender is a Defaulting Lender hereunder, the Borrower may replace such Lender in accordance with Section 11.13.</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All of the Borrower’s obligations under this Article 3 shall survive the termination of the Commitments, any assignment of rights by, or the replacement of, a Lender, repayment, satisfaction or discharge of all other Obligations hereunder, and resignation or replacement of the Administrative Agent.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Precedent to the Credit Extension on the Closing Date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obligation of each Lender to make a Credit Extension on the Closing Date is subject to the satisfaction, or waiver in accordance with Section 11.01, of the following conditions on or before the Closing Date:</w:t>
      </w:r>
    </w:p>
    <w:p>
      <w:pPr>
        <w:spacing w:after="0" w:line="62" w:lineRule="exact"/>
        <w:rPr>
          <w:sz w:val="20"/>
          <w:szCs w:val="20"/>
          <w:color w:val="auto"/>
        </w:rPr>
      </w:pPr>
    </w:p>
    <w:p>
      <w:pPr>
        <w:ind w:right="340" w:firstLine="996"/>
        <w:spacing w:after="0" w:line="264" w:lineRule="auto"/>
        <w:tabs>
          <w:tab w:leader="none" w:pos="123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Arrangers’ receipt of the following, each of which shall be originals, facsimiles or “pdf” or similar electronic format (followed promptly by originals) unless otherwise specified, each properly executed by a Responsible Officer of the signing Loan Party and each in form and substance reasonably satisfactory to the Arrangers and their legal counsel:</w:t>
      </w:r>
    </w:p>
    <w:p>
      <w:pPr>
        <w:spacing w:after="0" w:line="73" w:lineRule="exact"/>
        <w:rPr>
          <w:rFonts w:ascii="Arial" w:cs="Arial" w:eastAsia="Arial" w:hAnsi="Arial"/>
          <w:sz w:val="18"/>
          <w:szCs w:val="18"/>
          <w:color w:val="auto"/>
        </w:rPr>
      </w:pPr>
    </w:p>
    <w:p>
      <w:pPr>
        <w:ind w:left="1620" w:hanging="223"/>
        <w:spacing w:after="0"/>
        <w:tabs>
          <w:tab w:leader="none" w:pos="1620" w:val="left"/>
        </w:tabs>
        <w:numPr>
          <w:ilvl w:val="2"/>
          <w:numId w:val="300"/>
        </w:numPr>
        <w:rPr>
          <w:rFonts w:ascii="Arial" w:cs="Arial" w:eastAsia="Arial" w:hAnsi="Arial"/>
          <w:sz w:val="17"/>
          <w:szCs w:val="17"/>
          <w:color w:val="auto"/>
        </w:rPr>
      </w:pPr>
      <w:r>
        <w:rPr>
          <w:rFonts w:ascii="Arial" w:cs="Arial" w:eastAsia="Arial" w:hAnsi="Arial"/>
          <w:sz w:val="17"/>
          <w:szCs w:val="17"/>
          <w:color w:val="auto"/>
        </w:rPr>
        <w:t>a Note executed by the Company in favor of each Lender that has requested a Note at least three Business Days prior to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Closing Date;</w:t>
      </w:r>
    </w:p>
    <w:p>
      <w:pPr>
        <w:spacing w:after="0" w:line="102" w:lineRule="exact"/>
        <w:rPr>
          <w:rFonts w:ascii="Arial" w:cs="Arial" w:eastAsia="Arial" w:hAnsi="Arial"/>
          <w:sz w:val="17"/>
          <w:szCs w:val="17"/>
          <w:color w:val="auto"/>
        </w:rPr>
      </w:pPr>
    </w:p>
    <w:p>
      <w:pPr>
        <w:ind w:left="1660" w:hanging="263"/>
        <w:spacing w:after="0"/>
        <w:tabs>
          <w:tab w:leader="none" w:pos="1660" w:val="left"/>
        </w:tabs>
        <w:numPr>
          <w:ilvl w:val="2"/>
          <w:numId w:val="300"/>
        </w:numPr>
        <w:rPr>
          <w:rFonts w:ascii="Arial" w:cs="Arial" w:eastAsia="Arial" w:hAnsi="Arial"/>
          <w:sz w:val="16"/>
          <w:szCs w:val="16"/>
          <w:color w:val="auto"/>
        </w:rPr>
      </w:pPr>
      <w:r>
        <w:rPr>
          <w:rFonts w:ascii="Arial" w:cs="Arial" w:eastAsia="Arial" w:hAnsi="Arial"/>
          <w:sz w:val="16"/>
          <w:szCs w:val="16"/>
          <w:color w:val="auto"/>
        </w:rPr>
        <w:t>a secretary’s certificate and incumbency certificate of Responsible Officers of the Company, and authorizing resolutions of each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Loan Party;</w:t>
      </w:r>
    </w:p>
    <w:p>
      <w:pPr>
        <w:spacing w:after="0" w:line="102" w:lineRule="exact"/>
        <w:rPr>
          <w:rFonts w:ascii="Arial" w:cs="Arial" w:eastAsia="Arial" w:hAnsi="Arial"/>
          <w:sz w:val="16"/>
          <w:szCs w:val="16"/>
          <w:color w:val="auto"/>
        </w:rPr>
      </w:pPr>
    </w:p>
    <w:p>
      <w:pPr>
        <w:ind w:left="1720" w:hanging="323"/>
        <w:spacing w:after="0"/>
        <w:tabs>
          <w:tab w:leader="none" w:pos="1720" w:val="left"/>
        </w:tabs>
        <w:numPr>
          <w:ilvl w:val="2"/>
          <w:numId w:val="300"/>
        </w:numPr>
        <w:rPr>
          <w:rFonts w:ascii="Arial" w:cs="Arial" w:eastAsia="Arial" w:hAnsi="Arial"/>
          <w:sz w:val="17"/>
          <w:szCs w:val="17"/>
          <w:color w:val="auto"/>
        </w:rPr>
      </w:pPr>
      <w:r>
        <w:rPr>
          <w:rFonts w:ascii="Arial" w:cs="Arial" w:eastAsia="Arial" w:hAnsi="Arial"/>
          <w:sz w:val="17"/>
          <w:szCs w:val="17"/>
          <w:color w:val="auto"/>
        </w:rPr>
        <w:t>an opinion from (A) Lewis Rice LLC, counsel to the Loan Parties, as to the Company (and not the other Loan Parties) and</w:t>
      </w:r>
    </w:p>
    <w:p>
      <w:pPr>
        <w:spacing w:after="0" w:line="34" w:lineRule="exact"/>
        <w:rPr>
          <w:rFonts w:ascii="Arial" w:cs="Arial" w:eastAsia="Arial" w:hAnsi="Arial"/>
          <w:sz w:val="17"/>
          <w:szCs w:val="17"/>
          <w:color w:val="auto"/>
        </w:rPr>
      </w:pPr>
    </w:p>
    <w:p>
      <w:pPr>
        <w:ind w:left="440" w:right="400" w:firstLine="4"/>
        <w:spacing w:after="0" w:line="261" w:lineRule="auto"/>
        <w:tabs>
          <w:tab w:leader="none" w:pos="72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Epstein Becker &amp; Green, P.C., New York counsel to the Loan Parties, as to the Company (and not the other Loan Parties), in each case as reasonably requested by the Arrangers;</w:t>
      </w:r>
    </w:p>
    <w:p>
      <w:pPr>
        <w:spacing w:after="0" w:line="75" w:lineRule="exact"/>
        <w:rPr>
          <w:rFonts w:ascii="Arial" w:cs="Arial" w:eastAsia="Arial" w:hAnsi="Arial"/>
          <w:sz w:val="18"/>
          <w:szCs w:val="18"/>
          <w:color w:val="auto"/>
        </w:rPr>
      </w:pPr>
    </w:p>
    <w:p>
      <w:pPr>
        <w:ind w:left="440" w:right="140" w:firstLine="957"/>
        <w:spacing w:after="0" w:line="264" w:lineRule="auto"/>
        <w:tabs>
          <w:tab w:leader="none" w:pos="1697" w:val="left"/>
        </w:tabs>
        <w:numPr>
          <w:ilvl w:val="2"/>
          <w:numId w:val="301"/>
        </w:numPr>
        <w:rPr>
          <w:rFonts w:ascii="Arial" w:cs="Arial" w:eastAsia="Arial" w:hAnsi="Arial"/>
          <w:sz w:val="18"/>
          <w:szCs w:val="18"/>
          <w:color w:val="auto"/>
        </w:rPr>
      </w:pPr>
      <w:r>
        <w:rPr>
          <w:rFonts w:ascii="Arial" w:cs="Arial" w:eastAsia="Arial" w:hAnsi="Arial"/>
          <w:sz w:val="18"/>
          <w:szCs w:val="18"/>
          <w:color w:val="auto"/>
        </w:rPr>
        <w:t>a certificate attesting to the Solvency of the Company and its Subsidiaries (taken as a whole) on the Closing Date after giving effect to the Transactions that are being consummated on the Closing Date, from the Chief Financial Officer of the Company, substantially in the form of Exhibit J;</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379" w:name="page380"/>
    <w:bookmarkEnd w:id="379"/>
    <w:p>
      <w:pPr>
        <w:ind w:left="436" w:right="420" w:firstLine="957"/>
        <w:spacing w:after="0" w:line="277" w:lineRule="auto"/>
        <w:tabs>
          <w:tab w:leader="none" w:pos="1643" w:val="left"/>
        </w:tabs>
        <w:numPr>
          <w:ilvl w:val="2"/>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attesting to the compliance with clauses (f) and (h) of this Section 4.01 on the Closing Date from a Responsible Officer of the Company; and</w:t>
      </w:r>
    </w:p>
    <w:p>
      <w:pPr>
        <w:spacing w:after="0" w:line="62" w:lineRule="exact"/>
        <w:rPr>
          <w:rFonts w:ascii="Arial" w:cs="Arial" w:eastAsia="Arial" w:hAnsi="Arial"/>
          <w:sz w:val="18"/>
          <w:szCs w:val="18"/>
          <w:color w:val="auto"/>
        </w:rPr>
      </w:pPr>
    </w:p>
    <w:p>
      <w:pPr>
        <w:ind w:left="1696" w:hanging="303"/>
        <w:spacing w:after="0"/>
        <w:tabs>
          <w:tab w:leader="none" w:pos="1696" w:val="left"/>
        </w:tabs>
        <w:numPr>
          <w:ilvl w:val="2"/>
          <w:numId w:val="302"/>
        </w:numPr>
        <w:rPr>
          <w:rFonts w:ascii="Arial" w:cs="Arial" w:eastAsia="Arial" w:hAnsi="Arial"/>
          <w:sz w:val="18"/>
          <w:szCs w:val="18"/>
          <w:color w:val="auto"/>
        </w:rPr>
      </w:pPr>
      <w:r>
        <w:rPr>
          <w:rFonts w:ascii="Arial" w:cs="Arial" w:eastAsia="Arial" w:hAnsi="Arial"/>
          <w:sz w:val="18"/>
          <w:szCs w:val="18"/>
          <w:color w:val="auto"/>
        </w:rPr>
        <w:t>a Borrowing Notice pursuant to Section 2.02, substantially in the form of Exhibit A-1.</w:t>
      </w:r>
    </w:p>
    <w:p>
      <w:pPr>
        <w:spacing w:after="0" w:line="117" w:lineRule="exact"/>
        <w:rPr>
          <w:rFonts w:ascii="Arial" w:cs="Arial" w:eastAsia="Arial" w:hAnsi="Arial"/>
          <w:sz w:val="18"/>
          <w:szCs w:val="18"/>
          <w:color w:val="auto"/>
        </w:rPr>
      </w:pPr>
    </w:p>
    <w:p>
      <w:pPr>
        <w:jc w:val="both"/>
        <w:ind w:left="-4" w:right="80" w:firstLine="996"/>
        <w:spacing w:after="0" w:line="286" w:lineRule="auto"/>
        <w:tabs>
          <w:tab w:leader="none" w:pos="1243" w:val="left"/>
        </w:tabs>
        <w:numPr>
          <w:ilvl w:val="1"/>
          <w:numId w:val="303"/>
        </w:numPr>
        <w:rPr>
          <w:rFonts w:ascii="Arial" w:cs="Arial" w:eastAsia="Arial" w:hAnsi="Arial"/>
          <w:sz w:val="17"/>
          <w:szCs w:val="17"/>
          <w:color w:val="auto"/>
        </w:rPr>
      </w:pPr>
      <w:r>
        <w:rPr>
          <w:rFonts w:ascii="Arial" w:cs="Arial" w:eastAsia="Arial" w:hAnsi="Arial"/>
          <w:sz w:val="17"/>
          <w:szCs w:val="17"/>
          <w:color w:val="auto"/>
        </w:rPr>
        <w:t>All costs, fees, expenses (including, without limitation, reasonable and invoiced legal fees and expenses, excluding the allocated costs of in-house counsel) and other compensation payable to the Arrangers, the Administrative Agent, or the Initial Lenders and invoiced prior to such date shall, upon the initial borrowings under this Agreement, have been, or will be substantially simultaneously, paid by the Company.</w:t>
      </w:r>
    </w:p>
    <w:p>
      <w:pPr>
        <w:spacing w:after="0" w:line="57" w:lineRule="exact"/>
        <w:rPr>
          <w:rFonts w:ascii="Arial" w:cs="Arial" w:eastAsia="Arial" w:hAnsi="Arial"/>
          <w:sz w:val="17"/>
          <w:szCs w:val="17"/>
          <w:color w:val="auto"/>
        </w:rPr>
      </w:pPr>
    </w:p>
    <w:p>
      <w:pPr>
        <w:ind w:left="1236" w:hanging="244"/>
        <w:spacing w:after="0"/>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Guarantee and Collateral Agreement shall have been executed by the Loan Parties.</w:t>
      </w:r>
    </w:p>
    <w:p>
      <w:pPr>
        <w:spacing w:after="0" w:line="117" w:lineRule="exact"/>
        <w:rPr>
          <w:rFonts w:ascii="Arial" w:cs="Arial" w:eastAsia="Arial" w:hAnsi="Arial"/>
          <w:sz w:val="18"/>
          <w:szCs w:val="18"/>
          <w:color w:val="auto"/>
        </w:rPr>
      </w:pPr>
    </w:p>
    <w:p>
      <w:pPr>
        <w:ind w:left="-4" w:right="120" w:firstLine="996"/>
        <w:spacing w:after="0" w:line="286" w:lineRule="auto"/>
        <w:tabs>
          <w:tab w:leader="none" w:pos="1243" w:val="left"/>
        </w:tabs>
        <w:numPr>
          <w:ilvl w:val="1"/>
          <w:numId w:val="303"/>
        </w:numPr>
        <w:rPr>
          <w:rFonts w:ascii="Arial" w:cs="Arial" w:eastAsia="Arial" w:hAnsi="Arial"/>
          <w:sz w:val="17"/>
          <w:szCs w:val="17"/>
          <w:color w:val="auto"/>
        </w:rPr>
      </w:pPr>
      <w:r>
        <w:rPr>
          <w:rFonts w:ascii="Arial" w:cs="Arial" w:eastAsia="Arial" w:hAnsi="Arial"/>
          <w:sz w:val="17"/>
          <w:szCs w:val="17"/>
          <w:color w:val="auto"/>
        </w:rPr>
        <w:t>The Arrangers shall have received at least three Business Days prior to the Closing Date all documentation and other information reasonably requested in writing by them at least ten Business Days prior to the Closing Date required by bank regulatory authorities under “know your customer” and anti-money laundering rules and regulations, including the Act and the Beneficial Ownership Regulation.</w:t>
      </w:r>
    </w:p>
    <w:p>
      <w:pPr>
        <w:spacing w:after="0" w:line="57" w:lineRule="exact"/>
        <w:rPr>
          <w:rFonts w:ascii="Arial" w:cs="Arial" w:eastAsia="Arial" w:hAnsi="Arial"/>
          <w:sz w:val="17"/>
          <w:szCs w:val="17"/>
          <w:color w:val="auto"/>
        </w:rPr>
      </w:pPr>
    </w:p>
    <w:p>
      <w:pPr>
        <w:ind w:left="1236" w:hanging="244"/>
        <w:spacing w:after="0"/>
        <w:tabs>
          <w:tab w:leader="none" w:pos="1236" w:val="left"/>
        </w:tabs>
        <w:numPr>
          <w:ilvl w:val="1"/>
          <w:numId w:val="303"/>
        </w:numPr>
        <w:rPr>
          <w:rFonts w:ascii="Arial" w:cs="Arial" w:eastAsia="Arial" w:hAnsi="Arial"/>
          <w:sz w:val="16"/>
          <w:szCs w:val="16"/>
          <w:color w:val="auto"/>
        </w:rPr>
      </w:pPr>
      <w:r>
        <w:rPr>
          <w:rFonts w:ascii="Arial" w:cs="Arial" w:eastAsia="Arial" w:hAnsi="Arial"/>
          <w:sz w:val="16"/>
          <w:szCs w:val="16"/>
          <w:color w:val="auto"/>
        </w:rPr>
        <w:t>After giving effect to consummation of the Transaction on the Closing Date, the Borrower and its Subsidiaries shall have outstanding</w:t>
      </w:r>
    </w:p>
    <w:p>
      <w:pPr>
        <w:spacing w:after="0" w:line="46" w:lineRule="exact"/>
        <w:rPr>
          <w:rFonts w:ascii="Arial" w:cs="Arial" w:eastAsia="Arial" w:hAnsi="Arial"/>
          <w:sz w:val="16"/>
          <w:szCs w:val="16"/>
          <w:color w:val="auto"/>
        </w:rPr>
      </w:pPr>
    </w:p>
    <w:p>
      <w:pPr>
        <w:ind w:left="216" w:hanging="216"/>
        <w:spacing w:after="0"/>
        <w:tabs>
          <w:tab w:leader="none" w:pos="21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Indebtedness other than Indebtedness permitted by Section 7.09 and (ii) no Disqualified Equity Interests.</w:t>
      </w:r>
    </w:p>
    <w:p>
      <w:pPr>
        <w:spacing w:after="0" w:line="102" w:lineRule="exact"/>
        <w:rPr>
          <w:rFonts w:ascii="Arial" w:cs="Arial" w:eastAsia="Arial" w:hAnsi="Arial"/>
          <w:sz w:val="18"/>
          <w:szCs w:val="18"/>
          <w:color w:val="auto"/>
        </w:rPr>
      </w:pPr>
    </w:p>
    <w:p>
      <w:pPr>
        <w:ind w:left="-4" w:firstLine="996"/>
        <w:spacing w:after="0" w:line="264" w:lineRule="auto"/>
        <w:tabs>
          <w:tab w:leader="none" w:pos="121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Article V hereof shall be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that is qualified as to “materiality,” “</w:t>
      </w:r>
      <w:r>
        <w:rPr>
          <w:rFonts w:ascii="Arial" w:cs="Arial" w:eastAsia="Arial" w:hAnsi="Arial"/>
          <w:sz w:val="18"/>
          <w:szCs w:val="18"/>
          <w:b w:val="1"/>
          <w:bCs w:val="1"/>
          <w:color w:val="auto"/>
        </w:rPr>
        <w:t>Material Adverse Effect</w:t>
      </w:r>
      <w:r>
        <w:rPr>
          <w:rFonts w:ascii="Arial" w:cs="Arial" w:eastAsia="Arial" w:hAnsi="Arial"/>
          <w:sz w:val="18"/>
          <w:szCs w:val="18"/>
          <w:color w:val="auto"/>
        </w:rPr>
        <w:t>” or similar language shall be true and correct (after giving effect to any qualification therein) in all respects.</w:t>
      </w:r>
    </w:p>
    <w:p>
      <w:pPr>
        <w:spacing w:after="0" w:line="73" w:lineRule="exact"/>
        <w:rPr>
          <w:rFonts w:ascii="Arial" w:cs="Arial" w:eastAsia="Arial" w:hAnsi="Arial"/>
          <w:sz w:val="18"/>
          <w:szCs w:val="18"/>
          <w:color w:val="auto"/>
        </w:rPr>
      </w:pPr>
    </w:p>
    <w:p>
      <w:pPr>
        <w:jc w:val="both"/>
        <w:ind w:left="-4" w:right="140" w:firstLine="996"/>
        <w:spacing w:after="0" w:line="264" w:lineRule="auto"/>
        <w:tabs>
          <w:tab w:leader="none" w:pos="124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There shall not exist any action, suit, investigation, litigation, proceeding, hearing or other legal or regulatory developments, pending or threatened in any court or before any arbitrator or Governmental Authority that, in the reasonable opinion of the Administrative Agent, singly or in the aggregate, could reasonably be expected to have a Material Adverse Effect.</w:t>
      </w:r>
    </w:p>
    <w:p>
      <w:pPr>
        <w:spacing w:after="0" w:line="73" w:lineRule="exact"/>
        <w:rPr>
          <w:rFonts w:ascii="Arial" w:cs="Arial" w:eastAsia="Arial" w:hAnsi="Arial"/>
          <w:sz w:val="18"/>
          <w:szCs w:val="18"/>
          <w:color w:val="auto"/>
        </w:rPr>
      </w:pPr>
    </w:p>
    <w:p>
      <w:pPr>
        <w:ind w:left="-4" w:right="80" w:firstLine="996"/>
        <w:spacing w:after="0" w:line="277" w:lineRule="auto"/>
        <w:tabs>
          <w:tab w:leader="none" w:pos="124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There has been no change, occurrence or development since September 30, 2018 that could reasonably be expected to have a Material Adverse Effect or an Active Nutrition Business Material Adverse Effect.</w:t>
      </w:r>
    </w:p>
    <w:p>
      <w:pPr>
        <w:spacing w:after="0" w:line="62" w:lineRule="exact"/>
        <w:rPr>
          <w:rFonts w:ascii="Arial" w:cs="Arial" w:eastAsia="Arial" w:hAnsi="Arial"/>
          <w:sz w:val="18"/>
          <w:szCs w:val="18"/>
          <w:color w:val="auto"/>
        </w:rPr>
      </w:pPr>
    </w:p>
    <w:p>
      <w:pPr>
        <w:ind w:left="-4" w:right="160" w:firstLine="996"/>
        <w:spacing w:after="0" w:line="259" w:lineRule="auto"/>
        <w:tabs>
          <w:tab w:leader="none" w:pos="120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All material documents with respect to the Permanent Financing (including all credit agreements, and all annexes, exhibits, schedules and attachments thereto) shall be in form and substance reasonably satisfactory to the Arrangers. The Permanent Debt Financing, in an aggregate amount that, when taken together with the net cash proceeds reasonably expected to be raised from the IPO, will generate sufficient net proceeds to consummate the Active Nutrition</w:t>
      </w:r>
    </w:p>
    <w:p>
      <w:pPr>
        <w:spacing w:after="0" w:line="119"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76"/>
          </w:cols>
          <w:pgMar w:left="444" w:top="274" w:right="479" w:bottom="1440" w:gutter="0" w:footer="0" w:header="0"/>
        </w:sectPr>
      </w:pPr>
    </w:p>
    <w:bookmarkStart w:id="380" w:name="page381"/>
    <w:bookmarkEnd w:id="380"/>
    <w:p>
      <w:pPr>
        <w:jc w:val="both"/>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and repay in full the principal amount of the Loans hereunder and accrued interest through and including the Debt Assumption Date (such aggregate amount, the “</w:t>
      </w:r>
      <w:r>
        <w:rPr>
          <w:rFonts w:ascii="Arial" w:cs="Arial" w:eastAsia="Arial" w:hAnsi="Arial"/>
          <w:sz w:val="16"/>
          <w:szCs w:val="16"/>
          <w:b w:val="1"/>
          <w:bCs w:val="1"/>
          <w:color w:val="auto"/>
        </w:rPr>
        <w:t>Required Financing Amount</w:t>
      </w:r>
      <w:r>
        <w:rPr>
          <w:rFonts w:ascii="Arial" w:cs="Arial" w:eastAsia="Arial" w:hAnsi="Arial"/>
          <w:sz w:val="16"/>
          <w:szCs w:val="16"/>
          <w:color w:val="auto"/>
        </w:rPr>
        <w:t xml:space="preserve">”), shall have been allocated or committed, as applicable, such that binding commitments to lend the Required Financing Amount from the lenders for the Permanent Financing are in effect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more than</w:t>
      </w:r>
    </w:p>
    <w:p>
      <w:pPr>
        <w:ind w:right="120"/>
        <w:spacing w:after="0" w:line="292" w:lineRule="auto"/>
        <w:rPr>
          <w:sz w:val="20"/>
          <w:szCs w:val="20"/>
          <w:color w:val="auto"/>
        </w:rPr>
      </w:pPr>
      <w:r>
        <w:rPr>
          <w:rFonts w:ascii="Arial" w:cs="Arial" w:eastAsia="Arial" w:hAnsi="Arial"/>
          <w:sz w:val="16"/>
          <w:szCs w:val="16"/>
          <w:color w:val="auto"/>
        </w:rPr>
        <w:t>$100.0 million of commitments under the Permanent Revolving Financing will count towards the Required Financing Amount, and such commitments will only count towards the Required Financing Amount to the extent such commitments are permitted to be funded on the Debt Assumption Date (the amount of any Permanent Revolving Financing that will not count towards the Required Financing Amount pursuant to this proviso, the “</w:t>
      </w:r>
      <w:r>
        <w:rPr>
          <w:rFonts w:ascii="Arial" w:cs="Arial" w:eastAsia="Arial" w:hAnsi="Arial"/>
          <w:sz w:val="16"/>
          <w:szCs w:val="16"/>
          <w:b w:val="1"/>
          <w:bCs w:val="1"/>
          <w:color w:val="auto"/>
        </w:rPr>
        <w:t>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For avoidance of doubt, neither the immediately preceding sentence nor any other provision of this Agreement requires BellRing Brands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a binding commitment to borrow or issue, as applicable, the Permanent Debt Financing, or to consummate the IPO.</w:t>
      </w:r>
    </w:p>
    <w:p>
      <w:pPr>
        <w:spacing w:after="0" w:line="55" w:lineRule="exact"/>
        <w:rPr>
          <w:sz w:val="20"/>
          <w:szCs w:val="20"/>
          <w:color w:val="auto"/>
        </w:rPr>
      </w:pPr>
    </w:p>
    <w:p>
      <w:pPr>
        <w:ind w:right="40" w:firstLine="996"/>
        <w:spacing w:after="0" w:line="286" w:lineRule="auto"/>
        <w:tabs>
          <w:tab w:leader="none" w:pos="1207"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Company shall have provided a certificate to the Arrangers, executed by the chief financial officer on behalf of the Company and not in his individual capacity, that the Company reasonably believes (i) the consummation of the Active Nutrition Transaction is scheduled to occur on a date specified in such notice no later than ten days after the Closing Date (the “</w:t>
      </w:r>
      <w:r>
        <w:rPr>
          <w:rFonts w:ascii="Arial" w:cs="Arial" w:eastAsia="Arial" w:hAnsi="Arial"/>
          <w:sz w:val="16"/>
          <w:szCs w:val="16"/>
          <w:b w:val="1"/>
          <w:bCs w:val="1"/>
          <w:color w:val="auto"/>
        </w:rPr>
        <w:t>Scheduled Transaction Closing Date</w:t>
      </w:r>
      <w:r>
        <w:rPr>
          <w:rFonts w:ascii="Arial" w:cs="Arial" w:eastAsia="Arial" w:hAnsi="Arial"/>
          <w:sz w:val="16"/>
          <w:szCs w:val="16"/>
          <w:color w:val="auto"/>
        </w:rPr>
        <w:t>”), (ii) subject to market conditions, the Active Nutrition Transaction (including the IPO) will be consummated no later than the Scheduled Transaction Closing Date, and</w:t>
      </w:r>
    </w:p>
    <w:p>
      <w:pPr>
        <w:spacing w:after="0" w:line="1" w:lineRule="exact"/>
        <w:rPr>
          <w:rFonts w:ascii="Arial" w:cs="Arial" w:eastAsia="Arial" w:hAnsi="Arial"/>
          <w:sz w:val="16"/>
          <w:szCs w:val="16"/>
          <w:color w:val="auto"/>
        </w:rPr>
      </w:pPr>
    </w:p>
    <w:p>
      <w:pPr>
        <w:ind w:right="100" w:firstLine="4"/>
        <w:spacing w:after="0" w:line="255" w:lineRule="auto"/>
        <w:tabs>
          <w:tab w:leader="none" w:pos="31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that the Permanent Debt Financing, in an aggregate amount (excluding the Excluded Amount) that, when taken together with the net cash proceeds reasonably expected to be raised from the IPO, is not less than the Required Financing Amount, will be consummated on the Scheduled Transaction Closing Date.</w:t>
      </w:r>
    </w:p>
    <w:p>
      <w:pPr>
        <w:spacing w:after="0" w:line="82" w:lineRule="exact"/>
        <w:rPr>
          <w:rFonts w:ascii="Arial" w:cs="Arial" w:eastAsia="Arial" w:hAnsi="Arial"/>
          <w:sz w:val="18"/>
          <w:szCs w:val="18"/>
          <w:color w:val="auto"/>
        </w:rPr>
      </w:pPr>
    </w:p>
    <w:p>
      <w:pPr>
        <w:ind w:left="1260" w:hanging="264"/>
        <w:spacing w:after="0"/>
        <w:tabs>
          <w:tab w:leader="none" w:pos="12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996"/>
        <w:spacing w:after="0" w:line="283" w:lineRule="auto"/>
        <w:tabs>
          <w:tab w:leader="none" w:pos="1207"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Arrangers shall have received (i) (A) audited consolidated balance sheets of the Company as at the end of each of the two fiscal years immediately preceding, and ended more than 60 days prior to, the Closing Date, and related statements of operations, comprehensive income (loss), stockholders’ equity and cash flows of the Company for each of the three fiscal years immediately preceding, and ended more than 60 days prior to, the Closing Date and (B) audited consolidated balance sheets of the Active Nutrition Business as at the end of the two fiscal years immediately preceding, and ended more than 90 days prior to, the Closing Date, and related statement of income, stockholders’ equity and cash flows of the Active Nutrition Business for each of the two fiscal years immediately preceding, and ended more than 90 days prior to, the Closing Date; and (ii) (A) an unaudited consolidated balance sheet of the Company as at the end of, and related statements of operations, comprehensive income (loss) and cash flows of the Company for, each fiscal quarter (and the corresponding quarter in the prior fiscal year), other than the fourth quarter of the Company’s fiscal year, subsequent to the date of the most recent audited financial statements of the Company and ended more than 40 days prior to the Closing Date and</w:t>
      </w:r>
    </w:p>
    <w:p>
      <w:pPr>
        <w:spacing w:after="0" w:line="6" w:lineRule="exact"/>
        <w:rPr>
          <w:rFonts w:ascii="Arial" w:cs="Arial" w:eastAsia="Arial" w:hAnsi="Arial"/>
          <w:sz w:val="16"/>
          <w:szCs w:val="16"/>
          <w:color w:val="auto"/>
        </w:rPr>
      </w:pPr>
    </w:p>
    <w:p>
      <w:pPr>
        <w:ind w:right="300"/>
        <w:spacing w:after="0" w:line="273" w:lineRule="auto"/>
        <w:rPr>
          <w:rFonts w:ascii="Arial" w:cs="Arial" w:eastAsia="Arial" w:hAnsi="Arial"/>
          <w:sz w:val="16"/>
          <w:szCs w:val="16"/>
          <w:color w:val="auto"/>
        </w:rPr>
      </w:pPr>
      <w:r>
        <w:rPr>
          <w:rFonts w:ascii="Arial" w:cs="Arial" w:eastAsia="Arial" w:hAnsi="Arial"/>
          <w:sz w:val="17"/>
          <w:szCs w:val="17"/>
          <w:color w:val="auto"/>
        </w:rPr>
        <w:t>(B) an unaudited consolidated balance sheet of the Active Nutrition Business as at the end of, and related statements of income and cash flows of the Active Nutrition Business for, each fiscal quarter (and, in the case of the statement of income and cash flows, the corresponding quarter in the prior fiscal year), other than the fourth quarter of the Active Nutrition Business’ fiscal year, subsequent to the date of the most recent audited financial statements of the Active Nutrition Business and ended more than 45 days prior to the Closing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3" w:right="439" w:bottom="1440" w:gutter="0" w:footer="0" w:header="0"/>
        </w:sectPr>
      </w:pPr>
    </w:p>
    <w:bookmarkStart w:id="381" w:name="page382"/>
    <w:bookmarkEnd w:id="3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Conditions Precedent to the Debt Assumption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consummation of the Debt Assumption in accordance with Section 11.06 is subject to the satisfaction, or waiver in accordance with Section 11.01, of the following conditions on or before the Debt Assumption Date:</w:t>
      </w:r>
    </w:p>
    <w:p>
      <w:pPr>
        <w:spacing w:after="0" w:line="62" w:lineRule="exact"/>
        <w:rPr>
          <w:sz w:val="20"/>
          <w:szCs w:val="20"/>
          <w:color w:val="auto"/>
        </w:rPr>
      </w:pPr>
    </w:p>
    <w:p>
      <w:pPr>
        <w:jc w:val="both"/>
        <w:ind w:right="300" w:firstLine="996"/>
        <w:spacing w:after="0" w:line="264" w:lineRule="auto"/>
        <w:tabs>
          <w:tab w:leader="none" w:pos="123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Arrangers’ receipt of the following, each of which shall be originals, facsimiles or “pdf” or similar electronic format (followed promptly by originals) unless otherwise specified, each properly executed by a Responsible Officer of the signing Loan Party (where applicable) and each in form and substance reasonably satisfactory to the Arrangers and their legal counsel:</w:t>
      </w:r>
    </w:p>
    <w:p>
      <w:pPr>
        <w:spacing w:after="0" w:line="73" w:lineRule="exact"/>
        <w:rPr>
          <w:rFonts w:ascii="Arial" w:cs="Arial" w:eastAsia="Arial" w:hAnsi="Arial"/>
          <w:sz w:val="18"/>
          <w:szCs w:val="18"/>
          <w:color w:val="auto"/>
        </w:rPr>
      </w:pPr>
    </w:p>
    <w:p>
      <w:pPr>
        <w:ind w:left="440" w:right="40" w:firstLine="957"/>
        <w:spacing w:after="0" w:line="277" w:lineRule="auto"/>
        <w:tabs>
          <w:tab w:leader="none" w:pos="160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 Note executed by BellRing Brands in favor of each Lender that has (1) requested a Note at least three Business Days prior to the Debt Assumption Date and (2) surrendered any Note executed by the Company in favor of such Lender;</w:t>
      </w:r>
    </w:p>
    <w:p>
      <w:pPr>
        <w:spacing w:after="0" w:line="62" w:lineRule="exact"/>
        <w:rPr>
          <w:rFonts w:ascii="Arial" w:cs="Arial" w:eastAsia="Arial" w:hAnsi="Arial"/>
          <w:sz w:val="18"/>
          <w:szCs w:val="18"/>
          <w:color w:val="auto"/>
        </w:rPr>
      </w:pPr>
    </w:p>
    <w:p>
      <w:pPr>
        <w:ind w:left="440" w:firstLine="957"/>
        <w:spacing w:after="0" w:line="285" w:lineRule="auto"/>
        <w:tabs>
          <w:tab w:leader="none" w:pos="1657" w:val="left"/>
        </w:tabs>
        <w:numPr>
          <w:ilvl w:val="1"/>
          <w:numId w:val="307"/>
        </w:numPr>
        <w:rPr>
          <w:rFonts w:ascii="Arial" w:cs="Arial" w:eastAsia="Arial" w:hAnsi="Arial"/>
          <w:sz w:val="16"/>
          <w:szCs w:val="16"/>
          <w:color w:val="auto"/>
        </w:rPr>
      </w:pPr>
      <w:r>
        <w:rPr>
          <w:rFonts w:ascii="Arial" w:cs="Arial" w:eastAsia="Arial" w:hAnsi="Arial"/>
          <w:sz w:val="16"/>
          <w:szCs w:val="16"/>
          <w:color w:val="auto"/>
        </w:rPr>
        <w:t>each Collateral Document set forth on Schedule 4.02(a)(ii), executed by each Loan Party thereto, together with (A) UCC financing statements, completed in a manner reasonably satisfactory to the Arrangers (it being understood that the filing of such UCC financing statements will not be a condition precedent to the Debt Assumption, but such UCC financing statements will be filed on the Debt Assumption Date to the extent required by the Guarantee and Collateral Agreement) and (B) any other documents and instruments as may be necessary or advisable in the reasonable opinion of the Arrangers to vest in the Administrative Agent valid and subsisting first-priority perfected Liens on the properties purported to be subject to the Collateral Documents set forth on Schedule 4.02(a)(ii), enforceable against all third parties in accordance with their terms (it being understood, acknowledged and agreed by all parties to this Agreement and the other Loan Documents, and notwithstanding anything contained herein or the other Loan Documents to the contrary, that (I) the perfection of security interests in the Collateral (other than any security interest in the Collateral which may be perfected by the filing of a UCC financing statement) will not constitute a condition precedent to the Debt Assumption on the Debt Assumption Date, but such security interests will be required to be perfected, (x) with respect to certificated equity interests in the Post-Assumption Guarantors, within five Business Days (or such later date as the Administrative Agent may agree to in its sole discretion) after the Debt Assumption Date, (y) with respect to Collateral consisting of intellectual property (other than any than intellectual with respect to which a security interest may be perfected by the filing of a UCC financing statement), within five Business Days (or such later date as the Administrative Agent may agree to in its sole discretion) after the Debt Assumption Date and (z) with respect to all other Collateral, within 90 days (or such later date as the Administrative Agent may agree to in its sole discretion) after the Debt Assumption Date (in the case of each of the foregoing clauses (x)-(z), subject to arrangements mutually agreed by the Arrangers and BellRing Brands and subject to extensions in the discretion of the Arrangers)) and (II) the creation or perfection of security interests in real property will not constitute a condition precedent to the Debt Assumption on the Debt Assumption Date, but such security interests will be required to be created and perfected within 90 days (or such later date as the Administrative Agent may agree to in its sole discretion) after the Debt Assumption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382" w:name="page383"/>
    <w:bookmarkEnd w:id="382"/>
    <w:p>
      <w:pPr>
        <w:ind w:left="1700" w:hanging="323"/>
        <w:spacing w:after="0"/>
        <w:tabs>
          <w:tab w:leader="none" w:pos="1700" w:val="left"/>
        </w:tabs>
        <w:numPr>
          <w:ilvl w:val="2"/>
          <w:numId w:val="3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secretary’s certificate and incumbency certificate of Responsible Officers of BellRing Brands, and authorizing resolutions of</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each Loan Party;</w:t>
      </w:r>
    </w:p>
    <w:p>
      <w:pPr>
        <w:spacing w:after="0" w:line="102" w:lineRule="exact"/>
        <w:rPr>
          <w:rFonts w:ascii="Arial" w:cs="Arial" w:eastAsia="Arial" w:hAnsi="Arial"/>
          <w:sz w:val="16"/>
          <w:szCs w:val="16"/>
          <w:color w:val="auto"/>
        </w:rPr>
      </w:pPr>
    </w:p>
    <w:p>
      <w:pPr>
        <w:ind w:left="1680" w:hanging="303"/>
        <w:spacing w:after="0"/>
        <w:tabs>
          <w:tab w:leader="none" w:pos="1680" w:val="left"/>
        </w:tabs>
        <w:numPr>
          <w:ilvl w:val="2"/>
          <w:numId w:val="308"/>
        </w:numPr>
        <w:rPr>
          <w:rFonts w:ascii="Arial" w:cs="Arial" w:eastAsia="Arial" w:hAnsi="Arial"/>
          <w:sz w:val="16"/>
          <w:szCs w:val="16"/>
          <w:color w:val="auto"/>
        </w:rPr>
      </w:pPr>
      <w:r>
        <w:rPr>
          <w:rFonts w:ascii="Arial" w:cs="Arial" w:eastAsia="Arial" w:hAnsi="Arial"/>
          <w:sz w:val="16"/>
          <w:szCs w:val="16"/>
          <w:color w:val="auto"/>
        </w:rPr>
        <w:t>an opinion from (A) Lewis Rice LLC, counsel to the Loan Parties, as to BellRing Brands (and not the other Loan Parties) and</w:t>
      </w:r>
    </w:p>
    <w:p>
      <w:pPr>
        <w:spacing w:after="0" w:line="46" w:lineRule="exact"/>
        <w:rPr>
          <w:rFonts w:ascii="Arial" w:cs="Arial" w:eastAsia="Arial" w:hAnsi="Arial"/>
          <w:sz w:val="16"/>
          <w:szCs w:val="16"/>
          <w:color w:val="auto"/>
        </w:rPr>
      </w:pPr>
    </w:p>
    <w:p>
      <w:pPr>
        <w:ind w:left="420" w:right="140" w:firstLine="4"/>
        <w:spacing w:after="0" w:line="261" w:lineRule="auto"/>
        <w:tabs>
          <w:tab w:leader="none" w:pos="70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Epstein Becker &amp; Green, P.C., New York counsel to the Loan Parties, as to BellRing Brands (and not the other Loan Parties), in each case as reasonably requested by the Arrangers;</w:t>
      </w:r>
    </w:p>
    <w:p>
      <w:pPr>
        <w:spacing w:after="0" w:line="75" w:lineRule="exact"/>
        <w:rPr>
          <w:rFonts w:ascii="Arial" w:cs="Arial" w:eastAsia="Arial" w:hAnsi="Arial"/>
          <w:sz w:val="18"/>
          <w:szCs w:val="18"/>
          <w:color w:val="auto"/>
        </w:rPr>
      </w:pPr>
    </w:p>
    <w:p>
      <w:pPr>
        <w:ind w:left="420" w:right="260" w:firstLine="957"/>
        <w:spacing w:after="0" w:line="264" w:lineRule="auto"/>
        <w:tabs>
          <w:tab w:leader="none" w:pos="1627" w:val="left"/>
        </w:tabs>
        <w:numPr>
          <w:ilvl w:val="2"/>
          <w:numId w:val="309"/>
        </w:numPr>
        <w:rPr>
          <w:rFonts w:ascii="Arial" w:cs="Arial" w:eastAsia="Arial" w:hAnsi="Arial"/>
          <w:sz w:val="18"/>
          <w:szCs w:val="18"/>
          <w:color w:val="auto"/>
        </w:rPr>
      </w:pPr>
      <w:r>
        <w:rPr>
          <w:rFonts w:ascii="Arial" w:cs="Arial" w:eastAsia="Arial" w:hAnsi="Arial"/>
          <w:sz w:val="18"/>
          <w:szCs w:val="18"/>
          <w:color w:val="auto"/>
        </w:rPr>
        <w:t>a certificate attesting to the Solvency of BellRing Brands and its Subsidiaries (taken as a whole) on the Debt Assumption Date after giving effect to the Transactions that are being consummated on the Debt Assumption Date, from the Chief Executive Officer or Chief Financial Officer of BellRing Brands, substantially in the form of Exhibit J;</w:t>
      </w:r>
    </w:p>
    <w:p>
      <w:pPr>
        <w:spacing w:after="0" w:line="73" w:lineRule="exact"/>
        <w:rPr>
          <w:rFonts w:ascii="Arial" w:cs="Arial" w:eastAsia="Arial" w:hAnsi="Arial"/>
          <w:sz w:val="18"/>
          <w:szCs w:val="18"/>
          <w:color w:val="auto"/>
        </w:rPr>
      </w:pPr>
    </w:p>
    <w:p>
      <w:pPr>
        <w:ind w:left="1680" w:hanging="303"/>
        <w:spacing w:after="0"/>
        <w:tabs>
          <w:tab w:leader="none" w:pos="1680" w:val="left"/>
        </w:tabs>
        <w:numPr>
          <w:ilvl w:val="2"/>
          <w:numId w:val="309"/>
        </w:numPr>
        <w:rPr>
          <w:rFonts w:ascii="Arial" w:cs="Arial" w:eastAsia="Arial" w:hAnsi="Arial"/>
          <w:sz w:val="18"/>
          <w:szCs w:val="18"/>
          <w:color w:val="auto"/>
        </w:rPr>
      </w:pPr>
      <w:r>
        <w:rPr>
          <w:rFonts w:ascii="Arial" w:cs="Arial" w:eastAsia="Arial" w:hAnsi="Arial"/>
          <w:sz w:val="18"/>
          <w:szCs w:val="18"/>
          <w:color w:val="auto"/>
        </w:rPr>
        <w:t>the Borrower Assignment and Assumption, executed by the Company and BellRing Brands;</w:t>
      </w:r>
    </w:p>
    <w:p>
      <w:pPr>
        <w:spacing w:after="0" w:line="117" w:lineRule="exact"/>
        <w:rPr>
          <w:rFonts w:ascii="Arial" w:cs="Arial" w:eastAsia="Arial" w:hAnsi="Arial"/>
          <w:sz w:val="18"/>
          <w:szCs w:val="18"/>
          <w:color w:val="auto"/>
        </w:rPr>
      </w:pPr>
    </w:p>
    <w:p>
      <w:pPr>
        <w:ind w:left="420" w:right="280" w:firstLine="957"/>
        <w:spacing w:after="0" w:line="277" w:lineRule="auto"/>
        <w:tabs>
          <w:tab w:leader="none" w:pos="1727" w:val="left"/>
        </w:tabs>
        <w:numPr>
          <w:ilvl w:val="2"/>
          <w:numId w:val="309"/>
        </w:numPr>
        <w:rPr>
          <w:rFonts w:ascii="Arial" w:cs="Arial" w:eastAsia="Arial" w:hAnsi="Arial"/>
          <w:sz w:val="18"/>
          <w:szCs w:val="18"/>
          <w:color w:val="auto"/>
        </w:rPr>
      </w:pPr>
      <w:r>
        <w:rPr>
          <w:rFonts w:ascii="Arial" w:cs="Arial" w:eastAsia="Arial" w:hAnsi="Arial"/>
          <w:sz w:val="18"/>
          <w:szCs w:val="18"/>
          <w:color w:val="auto"/>
        </w:rPr>
        <w:t>a certificate attesting to the compliance with clauses (e), (f) and (g) of this Section 4.02 on the Debt Assumption Date from a Responsible Officer of BellRing Brands; and</w:t>
      </w:r>
    </w:p>
    <w:p>
      <w:pPr>
        <w:spacing w:after="0" w:line="62" w:lineRule="exact"/>
        <w:rPr>
          <w:rFonts w:ascii="Arial" w:cs="Arial" w:eastAsia="Arial" w:hAnsi="Arial"/>
          <w:sz w:val="18"/>
          <w:szCs w:val="18"/>
          <w:color w:val="auto"/>
        </w:rPr>
      </w:pPr>
    </w:p>
    <w:p>
      <w:pPr>
        <w:ind w:left="1780" w:hanging="403"/>
        <w:spacing w:after="0"/>
        <w:tabs>
          <w:tab w:leader="none" w:pos="1780" w:val="left"/>
        </w:tabs>
        <w:numPr>
          <w:ilvl w:val="2"/>
          <w:numId w:val="309"/>
        </w:numPr>
        <w:rPr>
          <w:rFonts w:ascii="Arial" w:cs="Arial" w:eastAsia="Arial" w:hAnsi="Arial"/>
          <w:sz w:val="16"/>
          <w:szCs w:val="16"/>
          <w:color w:val="auto"/>
        </w:rPr>
      </w:pPr>
      <w:r>
        <w:rPr>
          <w:rFonts w:ascii="Arial" w:cs="Arial" w:eastAsia="Arial" w:hAnsi="Arial"/>
          <w:sz w:val="16"/>
          <w:szCs w:val="16"/>
          <w:color w:val="auto"/>
        </w:rPr>
        <w:t>copies of a recent Lien and judgment search in each jurisdiction reasonably requested by the Arrangers with respect to the Loan</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102" w:lineRule="exact"/>
        <w:rPr>
          <w:rFonts w:ascii="Arial" w:cs="Arial" w:eastAsia="Arial" w:hAnsi="Arial"/>
          <w:sz w:val="16"/>
          <w:szCs w:val="16"/>
          <w:color w:val="auto"/>
        </w:rPr>
      </w:pPr>
    </w:p>
    <w:p>
      <w:pPr>
        <w:jc w:val="both"/>
        <w:ind w:left="-20" w:right="100" w:firstLine="996"/>
        <w:spacing w:after="0" w:line="259" w:lineRule="auto"/>
        <w:tabs>
          <w:tab w:leader="none" w:pos="122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All costs, fees, expenses (including, without limitation, reasonable and invoiced legal fees and expenses, excluding the allocated costs of in-house counsel) and other compensation payable to the Arrangers, the Administrative Agent or the Lenders accruing after the Closing Date and on or prior to the Debt Assumption Date and invoiced prior to such date shall, upon the consummation of the Debt Assumption, have been, or will be substantially simultaneously, paid by BellRing Brands.</w:t>
      </w:r>
    </w:p>
    <w:p>
      <w:pPr>
        <w:spacing w:after="0" w:line="78" w:lineRule="exact"/>
        <w:rPr>
          <w:rFonts w:ascii="Arial" w:cs="Arial" w:eastAsia="Arial" w:hAnsi="Arial"/>
          <w:sz w:val="18"/>
          <w:szCs w:val="18"/>
          <w:color w:val="auto"/>
        </w:rPr>
      </w:pPr>
    </w:p>
    <w:p>
      <w:pPr>
        <w:ind w:left="-20" w:right="120" w:firstLine="996"/>
        <w:spacing w:after="0" w:line="259" w:lineRule="auto"/>
        <w:tabs>
          <w:tab w:leader="none" w:pos="121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Arrangers shall have received at least three Business Days prior to the Debt Assumption Date all documentation and other information reasonably requested in writing by them at least ten Business Days prior to the Debt Assumption Date in order to allow the Administrative Agent and the Lenders to comply with applicable “know your customer” and anti-money laundering rules and regulations, including the Act and the Beneficial Ownership Regulation.</w:t>
      </w:r>
    </w:p>
    <w:p>
      <w:pPr>
        <w:spacing w:after="0" w:line="78" w:lineRule="exact"/>
        <w:rPr>
          <w:rFonts w:ascii="Arial" w:cs="Arial" w:eastAsia="Arial" w:hAnsi="Arial"/>
          <w:sz w:val="18"/>
          <w:szCs w:val="18"/>
          <w:color w:val="auto"/>
        </w:rPr>
      </w:pPr>
    </w:p>
    <w:p>
      <w:pPr>
        <w:ind w:left="1240" w:hanging="264"/>
        <w:spacing w:after="0"/>
        <w:tabs>
          <w:tab w:leader="none" w:pos="124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Arrangers shall have received customary evidence of insurance (including customary certificates of insurance).</w:t>
      </w:r>
    </w:p>
    <w:p>
      <w:pPr>
        <w:spacing w:after="0" w:line="117" w:lineRule="exact"/>
        <w:rPr>
          <w:rFonts w:ascii="Arial" w:cs="Arial" w:eastAsia="Arial" w:hAnsi="Arial"/>
          <w:sz w:val="18"/>
          <w:szCs w:val="18"/>
          <w:color w:val="auto"/>
        </w:rPr>
      </w:pPr>
    </w:p>
    <w:p>
      <w:pPr>
        <w:ind w:left="-20" w:right="160" w:firstLine="996"/>
        <w:spacing w:after="0" w:line="264" w:lineRule="auto"/>
        <w:tabs>
          <w:tab w:leader="none" w:pos="121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Specified Representations shall be true and correct in all material respects (except that any such representation qualified by materiality or material adverse effect will be true and correct in all respects). The Specified Underwriting Agreement Representations shall be true and correct.</w:t>
      </w:r>
    </w:p>
    <w:p>
      <w:pPr>
        <w:spacing w:after="0" w:line="73" w:lineRule="exact"/>
        <w:rPr>
          <w:rFonts w:ascii="Arial" w:cs="Arial" w:eastAsia="Arial" w:hAnsi="Arial"/>
          <w:sz w:val="18"/>
          <w:szCs w:val="18"/>
          <w:color w:val="auto"/>
        </w:rPr>
      </w:pPr>
    </w:p>
    <w:p>
      <w:pPr>
        <w:ind w:left="1200" w:hanging="224"/>
        <w:spacing w:after="0"/>
        <w:tabs>
          <w:tab w:leader="none" w:pos="12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Since the Closing Date, there shall not have been any Active Nutrition Business Material Adverse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60" w:top="273" w:right="459" w:bottom="1440" w:gutter="0" w:footer="0" w:header="0"/>
        </w:sectPr>
      </w:pPr>
    </w:p>
    <w:bookmarkStart w:id="383" w:name="page384"/>
    <w:bookmarkEnd w:id="383"/>
    <w:p>
      <w:pPr>
        <w:ind w:right="980" w:firstLine="996"/>
        <w:spacing w:after="0" w:line="342" w:lineRule="auto"/>
        <w:tabs>
          <w:tab w:leader="none" w:pos="1247" w:val="left"/>
        </w:tabs>
        <w:numPr>
          <w:ilvl w:val="0"/>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a result of a breach of a representation and warranty (other than the Specified Representations and the Specified Underwriting Agreement Representations), no Default or Event of Default under the Loans shall have occurred or be continuing.</w:t>
      </w:r>
    </w:p>
    <w:p>
      <w:pPr>
        <w:spacing w:after="0" w:line="15" w:lineRule="exact"/>
        <w:rPr>
          <w:rFonts w:ascii="Arial" w:cs="Arial" w:eastAsia="Arial" w:hAnsi="Arial"/>
          <w:sz w:val="16"/>
          <w:szCs w:val="16"/>
          <w:color w:val="auto"/>
        </w:rPr>
      </w:pPr>
    </w:p>
    <w:p>
      <w:pPr>
        <w:jc w:val="both"/>
        <w:ind w:right="120" w:firstLine="996"/>
        <w:spacing w:after="0" w:line="279" w:lineRule="auto"/>
        <w:tabs>
          <w:tab w:leader="none" w:pos="124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Active Nutrition Transaction shall have been completely consummated or will be completely consummated concurrently with the Debt Assumption, in each case substantially consistent with the descriptions thereof in the Registration Statement (as such Registration Statement, and the transactions described therein, may be amended or supplemented in a manner not materially adverse to the Arrangers or the Lenders in their capacities as Lenders, in each case, without the consent of the Arrangers, not to be unreasonably withheld or delayed).</w:t>
      </w:r>
    </w:p>
    <w:p>
      <w:pPr>
        <w:spacing w:after="0" w:line="63" w:lineRule="exact"/>
        <w:rPr>
          <w:rFonts w:ascii="Arial" w:cs="Arial" w:eastAsia="Arial" w:hAnsi="Arial"/>
          <w:sz w:val="17"/>
          <w:szCs w:val="17"/>
          <w:color w:val="auto"/>
        </w:rPr>
      </w:pPr>
    </w:p>
    <w:p>
      <w:pPr>
        <w:ind w:firstLine="996"/>
        <w:spacing w:after="0" w:line="286" w:lineRule="auto"/>
        <w:tabs>
          <w:tab w:leader="none" w:pos="120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 conditions precedent to the consummation of the IPO in the underwriting agreement to be entered into in connection with the IPO shall have been waived, modified, supplemented or amended (and no consent granted), in a manner materially adverse to the Arrangers or the Lenders in their capacities as Lenders, in each case, without the consent of the Arrangers, not to be unreasonably withheld or delayed.</w:t>
      </w:r>
    </w:p>
    <w:p>
      <w:pPr>
        <w:spacing w:after="0" w:line="57" w:lineRule="exact"/>
        <w:rPr>
          <w:rFonts w:ascii="Arial" w:cs="Arial" w:eastAsia="Arial" w:hAnsi="Arial"/>
          <w:sz w:val="17"/>
          <w:szCs w:val="17"/>
          <w:color w:val="auto"/>
        </w:rPr>
      </w:pPr>
    </w:p>
    <w:p>
      <w:pPr>
        <w:ind w:left="1220" w:hanging="224"/>
        <w:spacing w:after="0"/>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996"/>
        <w:spacing w:after="0" w:line="272" w:lineRule="auto"/>
        <w:tabs>
          <w:tab w:leader="none" w:pos="124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BellRing Brands shall have provided a certificate to the Arrangers, executed by the president, chief executive officer or chief financial officer on behalf of BellRing Brands and not in his/her individual capacity, that BellRing Brands reasonably believes that the Permanent Debt Financing, in an aggregate amount (excluding the Excluded Amount) that, when taken together with the net cash proceeds reasonably expected to be raised from the IPO, is not less than the Required Financing Amount, will be consummated on the Debt Assumption Date promptly following the Debt Assumption. No term or provision of the applicable documentation for the Permanent Financing shall have been waived, modified, supplemented or amended (and no consent granted), in a manner materially adverse to the Arrangers or the Lenders in their capacities as Lenders, in each case, without the consent of the Arrangers, not to be unreasonably withheld or delayed.</w:t>
      </w:r>
    </w:p>
    <w:p>
      <w:pPr>
        <w:spacing w:after="0" w:line="69" w:lineRule="exact"/>
        <w:rPr>
          <w:rFonts w:ascii="Arial" w:cs="Arial" w:eastAsia="Arial" w:hAnsi="Arial"/>
          <w:sz w:val="17"/>
          <w:szCs w:val="17"/>
          <w:color w:val="auto"/>
        </w:rPr>
      </w:pPr>
    </w:p>
    <w:p>
      <w:pPr>
        <w:ind w:firstLine="996"/>
        <w:spacing w:after="0" w:line="291" w:lineRule="auto"/>
        <w:tabs>
          <w:tab w:leader="none" w:pos="1207"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Arrangers shall have received (i) audited consolidated balance sheets of the Active Nutrition Business as at the end of each of the two fiscal years immediately preceding, and ended more than 90 days prior to, the Debt Assumption Date, and related statements of income, stockholders’ equity and cash flows of the Active Nutrition Business for each of the two fiscal years immediately preceding, and ended more than 90 days prior to, the Debt Assumption Date; and (ii) an unaudited consolidated balance sheet of the Active Nutrition Business as at the end of, and related statements of income and cash flows of the Active Nutrition Business for, each fiscal quarter (and, in the case of the statement of income and cash flows, the corresponding quarter in the prior fiscal year), other than the fourth quarter of the Active Nutrition Business’ fiscal year, subsequent to the date of the most recent audited financial statements of the Active Nutrition Business and ended more than 45 days prior to the Debt Assumption Date.</w:t>
      </w:r>
    </w:p>
    <w:p>
      <w:pPr>
        <w:spacing w:after="0" w:line="55" w:lineRule="exact"/>
        <w:rPr>
          <w:rFonts w:ascii="Arial" w:cs="Arial" w:eastAsia="Arial" w:hAnsi="Arial"/>
          <w:sz w:val="16"/>
          <w:szCs w:val="16"/>
          <w:color w:val="auto"/>
        </w:rPr>
      </w:pPr>
    </w:p>
    <w:p>
      <w:pPr>
        <w:ind w:right="460" w:firstLine="996"/>
        <w:spacing w:after="0" w:line="282" w:lineRule="auto"/>
        <w:tabs>
          <w:tab w:leader="none" w:pos="129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shall have designated BRBR, and BellRing Brands and its subsidiaries, as “</w:t>
      </w:r>
      <w:r>
        <w:rPr>
          <w:rFonts w:ascii="Arial" w:cs="Arial" w:eastAsia="Arial" w:hAnsi="Arial"/>
          <w:sz w:val="18"/>
          <w:szCs w:val="18"/>
          <w:b w:val="1"/>
          <w:bCs w:val="1"/>
          <w:color w:val="auto"/>
        </w:rPr>
        <w:t>Unrestricted Subsidiaries</w:t>
      </w:r>
      <w:r>
        <w:rPr>
          <w:rFonts w:ascii="Arial" w:cs="Arial" w:eastAsia="Arial" w:hAnsi="Arial"/>
          <w:sz w:val="18"/>
          <w:szCs w:val="18"/>
          <w:color w:val="auto"/>
        </w:rPr>
        <w:t>” under the Existing Credit Agreement and the Senior Notes.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384" w:name="page385"/>
    <w:bookmarkEnd w:id="3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and the Pre-Assumption Guarantors represent and warrant to the Administrative Agent and the Initial Lenders on the Closing Date, and BellRing Brands and the Post-Assumption Guarantors represent and warrant to the Administrative Agent and the Lenders on the Debt Assumption Date, as follows in this Article 5. It is understood and agreed that, (a) in the case of the representations and warranties of the Company and the Pre-Assumption Guarantors on the Closing Date, (i) references to Schedules in this Article 5 are references to the Company Schedules attached hereto and (ii) the Company and the Pre-Assumption Guarantors will not make the representations and warranties set forth in Section 5.03(b), Section 5.03(c), Section 5.08(b), Section 5.08(c), Section 5.08(d), Section 5.08(e), the second sentence of Section 5.13, and Section 5.20 on the Closing Date, and (b) in the case of the representations and warranties of BellRing Brands and the Post-Assumption Guarantors on the Debt Assumption Date, (i) references to Schedules in this Article 5 are references to the BellRing Brands Schedules attached (or to be attached) hereto, (ii) representations and warranties that reference any BellRing Brands Schedule will not be deemed to be made until such BellRing Brands Schedules are required to be delivered pursuant to Section 1.06 and (iii) unless the context requires otherwise, references to the “</w:t>
      </w:r>
      <w:r>
        <w:rPr>
          <w:rFonts w:ascii="Arial" w:cs="Arial" w:eastAsia="Arial" w:hAnsi="Arial"/>
          <w:sz w:val="17"/>
          <w:szCs w:val="17"/>
          <w:b w:val="1"/>
          <w:bCs w:val="1"/>
          <w:color w:val="auto"/>
        </w:rPr>
        <w:t>Closing Date</w:t>
      </w:r>
      <w:r>
        <w:rPr>
          <w:rFonts w:ascii="Arial" w:cs="Arial" w:eastAsia="Arial" w:hAnsi="Arial"/>
          <w:sz w:val="17"/>
          <w:szCs w:val="17"/>
          <w:color w:val="auto"/>
        </w:rPr>
        <w:t>” in this Article 5 will be deemed to be references to the “</w:t>
      </w:r>
      <w:r>
        <w:rPr>
          <w:rFonts w:ascii="Arial" w:cs="Arial" w:eastAsia="Arial" w:hAnsi="Arial"/>
          <w:sz w:val="17"/>
          <w:szCs w:val="17"/>
          <w:b w:val="1"/>
          <w:bCs w:val="1"/>
          <w:color w:val="auto"/>
        </w:rPr>
        <w:t>Debt Assumption Date.</w:t>
      </w:r>
      <w:r>
        <w:rPr>
          <w:rFonts w:ascii="Arial" w:cs="Arial" w:eastAsia="Arial" w:hAnsi="Arial"/>
          <w:sz w:val="17"/>
          <w:szCs w:val="17"/>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Existence, Qualification and Power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Loan Party and each Restricted Subsidiary (other than any Immaterial Subsidiary) thereof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Authorization; No Contravention</w:t>
      </w:r>
    </w:p>
    <w:p>
      <w:pPr>
        <w:spacing w:after="0" w:line="117" w:lineRule="exact"/>
        <w:rPr>
          <w:sz w:val="20"/>
          <w:szCs w:val="20"/>
          <w:color w:val="auto"/>
        </w:rPr>
      </w:pPr>
    </w:p>
    <w:p>
      <w:pPr>
        <w:jc w:val="both"/>
        <w:ind w:right="240"/>
        <w:spacing w:after="0" w:line="291"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w:t>
      </w:r>
    </w:p>
    <w:p>
      <w:pPr>
        <w:ind w:right="80" w:firstLine="4"/>
        <w:spacing w:after="0" w:line="302" w:lineRule="auto"/>
        <w:tabs>
          <w:tab w:leader="none" w:pos="25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conflict with or result in any breach or contravention of, or the creation of any Lien under, or require any payment to be made under (i) any material contract to which such Person is a party or affecting such Person or the properties of such Person or any of its Restricted Subsidiaries or (ii) any order, injunction, writ or decree of any Governmental Authority or any arbitral award to which such Person or its property is subject; or (c) violate any Law.</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0" w:right="459" w:bottom="1440" w:gutter="0" w:footer="0" w:header="0"/>
        </w:sectPr>
      </w:pPr>
    </w:p>
    <w:bookmarkStart w:id="385" w:name="page386"/>
    <w:bookmarkEnd w:id="3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Governmental Authorization; Other Consents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 material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(except as may be required under applicable securities laws, rules and regulations), (b) the grant by any Loan Party of the Liens granted by it pursuant to the Collateral Documents or (c) the perfection or maintenance of the Liens created under the Collateral Documents (including the priority thereof), and subject to Section 6.18, (x) filings and actions completed on or prior to the Debt Assumption Date and as contemplated hereby and by the Collateral Documents necessary to perfect or maintain the Liens on the Collateral granted by the Loan Parties in favor of the Administrative Agent for the benefit of the Secured Parties (including, without limitation, UCC financing statements, filings in the United States Patent and Trademark Office and the United States Copyright Office and Mortgages (if any)) and (y) the approvals, consents, exemptions, authorizations, actions, notices and filings which have been duly obtained, taken, given or made and are in full force and effect.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Binding Effect</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Financial Statements; No Material Adverse Effect</w:t>
      </w:r>
    </w:p>
    <w:p>
      <w:pPr>
        <w:spacing w:after="0" w:line="117" w:lineRule="exact"/>
        <w:rPr>
          <w:sz w:val="20"/>
          <w:szCs w:val="20"/>
          <w:color w:val="auto"/>
        </w:rPr>
      </w:pPr>
    </w:p>
    <w:p>
      <w:pPr>
        <w:ind w:firstLine="996"/>
        <w:spacing w:after="0" w:line="254" w:lineRule="auto"/>
        <w:tabs>
          <w:tab w:leader="none" w:pos="123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Annual Financial Statements: (A) were prepared in accordance with GAAP consistently applied throughout the period covered thereby, except as otherwise expressly noted therein; (B)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(C) to the extent required by GAAP, show all material indebtedness and other liabilities, direct or contingent, of the Borrower and its Subsidiaries as of the date thereof, including liabilities for taxes, material commitments and Indebtedness and (D) were accompanied by consolidating information that explains in reasonable detail the differences between the information relating to Borrower and its Subsidiaries, on the one hand, and the information relating to Borrower and its Restricted Subsidiaries on a standalone basis, on the other hand.</w:t>
      </w:r>
    </w:p>
    <w:p>
      <w:pPr>
        <w:spacing w:after="0" w:line="84" w:lineRule="exact"/>
        <w:rPr>
          <w:rFonts w:ascii="Arial" w:cs="Arial" w:eastAsia="Arial" w:hAnsi="Arial"/>
          <w:sz w:val="18"/>
          <w:szCs w:val="18"/>
          <w:color w:val="auto"/>
        </w:rPr>
      </w:pPr>
    </w:p>
    <w:p>
      <w:pPr>
        <w:ind w:right="120" w:firstLine="996"/>
        <w:spacing w:after="0" w:line="255" w:lineRule="auto"/>
        <w:tabs>
          <w:tab w:leader="none" w:pos="124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Quarterly Financial Statements: (A) were each prepared in accordance with GAAP consistently applied throughout the period covered thereby, subject only to normal year-end audit adjustments and the absence of footnotes, except as otherwise expressly noted therein, (B) fairly present, in all material respects, the financial condition of the Borrower and its Subsidiaries as of the date thereof and their results of operations for the period covered thereby and (C) were accompanied by consolidating information that explains in reasonable detail the differences between the information relating to Borrower and its Subsidiaries, on the one hand, and the information relating to Borrower and its Restricted Subsidiaries on a standalone basis, on the other hand.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440" w:top="273" w:right="439" w:bottom="1440" w:gutter="0" w:footer="0" w:header="0"/>
        </w:sectPr>
      </w:pPr>
    </w:p>
    <w:bookmarkStart w:id="386" w:name="page387"/>
    <w:bookmarkEnd w:id="386"/>
    <w:p>
      <w:pPr>
        <w:ind w:right="500" w:firstLine="996"/>
        <w:spacing w:after="0" w:line="277" w:lineRule="auto"/>
        <w:tabs>
          <w:tab w:leader="none" w:pos="1237"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September 30, 2018,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Litigation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are no actions, suits, proceedings, claims or disputes pending or, to the knowledge of the Borrower, threatened or contemplated, at law, in equity, in arbitration or before any Governmental Authority, by or against the Borrower or any of its Restricted Subsidiaries or against any of their properties or revenues that (a) purport to affect or pertain to this Agreement or any other Loan Document, or the consummation of the Transactions or (b) either individually or in the aggregate could reasonably be expected to have a Material Adverse Effect.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No Default</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Neither any Loan Party nor any Restricted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Ownership of Property; Liens</w:t>
      </w:r>
    </w:p>
    <w:p>
      <w:pPr>
        <w:spacing w:after="0" w:line="117" w:lineRule="exact"/>
        <w:rPr>
          <w:sz w:val="20"/>
          <w:szCs w:val="20"/>
          <w:color w:val="auto"/>
        </w:rPr>
      </w:pPr>
    </w:p>
    <w:p>
      <w:pPr>
        <w:ind w:right="100" w:firstLine="996"/>
        <w:spacing w:after="0" w:line="264" w:lineRule="auto"/>
        <w:tabs>
          <w:tab w:leader="none" w:pos="123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of the Borrower and each Restricted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73" w:lineRule="exact"/>
        <w:rPr>
          <w:rFonts w:ascii="Arial" w:cs="Arial" w:eastAsia="Arial" w:hAnsi="Arial"/>
          <w:sz w:val="18"/>
          <w:szCs w:val="18"/>
          <w:color w:val="auto"/>
        </w:rPr>
      </w:pPr>
    </w:p>
    <w:p>
      <w:pPr>
        <w:ind w:right="80" w:firstLine="996"/>
        <w:spacing w:after="0" w:line="259" w:lineRule="auto"/>
        <w:tabs>
          <w:tab w:leader="none" w:pos="12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Schedule 5.08(b) sets forth a complete and accurate list of all Liens on the property or assets of each Loan Party and each of its Subsidiaries as of the Debt Assumption Date, showing as of the Debt Assumption Date the lienholder thereof and the property or assets of such Loan Party or such Subsidiary subject thereto. The property of each Loan Party and each of its Restricted Subsidiaries is subject to no Liens, other than Liens set forth on Schedule 5.08(b) or as otherwise permitted by Section 7.12.</w:t>
      </w:r>
    </w:p>
    <w:p>
      <w:pPr>
        <w:spacing w:after="0" w:line="78" w:lineRule="exact"/>
        <w:rPr>
          <w:rFonts w:ascii="Arial" w:cs="Arial" w:eastAsia="Arial" w:hAnsi="Arial"/>
          <w:sz w:val="18"/>
          <w:szCs w:val="18"/>
          <w:color w:val="auto"/>
        </w:rPr>
      </w:pPr>
    </w:p>
    <w:p>
      <w:pPr>
        <w:ind w:firstLine="996"/>
        <w:spacing w:after="0" w:line="279" w:lineRule="auto"/>
        <w:tabs>
          <w:tab w:leader="none" w:pos="123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Schedule 5.08(c) sets forth a complete and accurate list of all real property owned by each Loan Party and each of its Domestic Subsidiaries as of the Debt Assumption Date, showing as of the Debt Assumption Date the street address, state and record owner thereof. As of the Debt Assumption Date, no Loan Party or Subsidiary of a Loan Party has received written notice of any pending or contemplated condemnation proceeding affecting a material portion of such real property or any sale or disposition thereof in lieu of condemnation.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387" w:name="page388"/>
    <w:bookmarkEnd w:id="387"/>
    <w:p>
      <w:pPr>
        <w:ind w:right="60" w:firstLine="996"/>
        <w:spacing w:after="0" w:line="297" w:lineRule="auto"/>
        <w:tabs>
          <w:tab w:leader="none" w:pos="1247" w:val="left"/>
        </w:tabs>
        <w:numPr>
          <w:ilvl w:val="0"/>
          <w:numId w:val="3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Schedule 5.08(d)(i) sets forth a complete and accurate list as of the Debt Assumption Date of all leases of real property where inventory, machinery and equipment with a value in excess of $5,000,000 is or is reasonably expected to be maintained under which any Loan Party or any Domestic Subsidiary of a Loan Party is the lessee, showing as of the Debt Assumption Date the street address, county or other relevant jurisdiction, state, and lessee. There are no defaults by a Loan Party under the leases set forth on Schedule 5.08(d)(i), except those which would not reasonably be expected to have a Material Adverse Effect. Borrower shall periodically update Schedule 5.08(d)(i) in accordance with Section 6.11 hereof.</w:t>
      </w:r>
    </w:p>
    <w:p>
      <w:pPr>
        <w:spacing w:after="0" w:line="50" w:lineRule="exact"/>
        <w:rPr>
          <w:rFonts w:ascii="Arial" w:cs="Arial" w:eastAsia="Arial" w:hAnsi="Arial"/>
          <w:sz w:val="16"/>
          <w:szCs w:val="16"/>
          <w:color w:val="auto"/>
        </w:rPr>
      </w:pPr>
    </w:p>
    <w:p>
      <w:pPr>
        <w:ind w:left="440" w:right="160" w:firstLine="957"/>
        <w:spacing w:after="0" w:line="259" w:lineRule="auto"/>
        <w:tabs>
          <w:tab w:leader="none" w:pos="165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Schedule 5.08(d)(ii) sets forth a complete and accurate list as of the Debt Assumption Date of each lease of real property which such lease has a fair market value (as determined by the Borrower in good faith) in excess of $5,000,000 under which any Loan Party or any Domestic Subsidiary of a Loan Party is the lessor, showing the street address, state and lessor. Borrower shall periodically update Schedule 5.08(d)(ii) in accordance with Section 6.11 hereof.</w:t>
      </w:r>
    </w:p>
    <w:p>
      <w:pPr>
        <w:spacing w:after="0" w:line="78" w:lineRule="exact"/>
        <w:rPr>
          <w:rFonts w:ascii="Arial" w:cs="Arial" w:eastAsia="Arial" w:hAnsi="Arial"/>
          <w:sz w:val="18"/>
          <w:szCs w:val="18"/>
          <w:color w:val="auto"/>
        </w:rPr>
      </w:pPr>
    </w:p>
    <w:p>
      <w:pPr>
        <w:ind w:right="20" w:firstLine="996"/>
        <w:spacing w:after="0" w:line="277" w:lineRule="auto"/>
        <w:tabs>
          <w:tab w:leader="none" w:pos="123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Schedule 5.08(e) sets forth a complete and accurate list of all Investments held by any Loan Party or any Subsidiary of a Loan Party on the Debt Assumption Date, showing as of the Debt Assumption Date the obligor or issuer and maturity, if any, thereof.</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Notwithstanding the foregoing provisions of Section 5.08, any Schedules (other than Schedule 5.08(b)) referred to in such Section shall not be required to be provided to the Arrangers until the date that is ten Business Days following the Debt Assumption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Loans have been repaid in full prior to such date then no such Schedules shall be required to be delivered.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Environmental</w:t>
      </w:r>
    </w:p>
    <w:p>
      <w:pPr>
        <w:spacing w:after="0" w:line="117" w:lineRule="exact"/>
        <w:rPr>
          <w:sz w:val="20"/>
          <w:szCs w:val="20"/>
          <w:color w:val="auto"/>
        </w:rPr>
      </w:pPr>
    </w:p>
    <w:p>
      <w:pPr>
        <w:ind w:right="180" w:firstLine="996"/>
        <w:spacing w:after="0" w:line="264" w:lineRule="auto"/>
        <w:tabs>
          <w:tab w:leader="none" w:pos="123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of the Loan Parties and its Restricted Subsidiaries is and has been in compliance with all Environmental Laws and has received and maintained in full force and effect all Environmental Permits required for its current operations, except where non-compliance could not, either individually or in the aggregate, reasonably be expected to have a Material Adverse Effect.</w:t>
      </w:r>
    </w:p>
    <w:p>
      <w:pPr>
        <w:spacing w:after="0" w:line="73" w:lineRule="exact"/>
        <w:rPr>
          <w:rFonts w:ascii="Arial" w:cs="Arial" w:eastAsia="Arial" w:hAnsi="Arial"/>
          <w:sz w:val="18"/>
          <w:szCs w:val="18"/>
          <w:color w:val="auto"/>
        </w:rPr>
      </w:pPr>
    </w:p>
    <w:p>
      <w:pPr>
        <w:ind w:firstLine="996"/>
        <w:spacing w:after="0" w:line="273" w:lineRule="auto"/>
        <w:tabs>
          <w:tab w:leader="none" w:pos="124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To the Loan Parties’ knowledge, no Hazardous Materials are present, or have been released by any Person, whether related or unrelated to any Loan Party in, on, within, above, under, affecting or emanating from any real property currently or previously owned, leased or operated by any Loan Party or its Restricted Subsidiaries (i) in a quantity, location, manner or state requiring any cleanup, investigation or remedial action pursuant to any Environmental Laws; (ii) in violation or alleged violation of any Environmental Laws; or (iii) which has or could give rise to any Environmental Liability, including any claim pursuant to any Environmental Laws against any Loan Party or its Restricted Subsidiaries, except, in each case, as could not, either individually or in the aggregate, reasonably be expected to have a Material Adverse Effect.</w:t>
      </w:r>
    </w:p>
    <w:p>
      <w:pPr>
        <w:spacing w:after="0" w:line="70" w:lineRule="exact"/>
        <w:rPr>
          <w:rFonts w:ascii="Arial" w:cs="Arial" w:eastAsia="Arial" w:hAnsi="Arial"/>
          <w:sz w:val="17"/>
          <w:szCs w:val="17"/>
          <w:color w:val="auto"/>
        </w:rPr>
      </w:pPr>
    </w:p>
    <w:p>
      <w:pPr>
        <w:ind w:right="160" w:firstLine="996"/>
        <w:spacing w:after="0" w:line="312" w:lineRule="auto"/>
        <w:tabs>
          <w:tab w:leader="none" w:pos="123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No Environmental Claim is pending or, to the Loan Parties’ knowledge, proposed, threatened or anticipated, with respect to or in connection with any Loan Party or its Restricted Subsidiaries or any real properties now or previously owned, leased or operated by any Loan Party or its Restricted Subsidiaries except as could not, either individually or in the aggregate, reasonably be expected to have a Material Adverse Effect.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3" w:right="459" w:bottom="1440" w:gutter="0" w:footer="0" w:header="0"/>
        </w:sectPr>
      </w:pPr>
    </w:p>
    <w:bookmarkStart w:id="388" w:name="page389"/>
    <w:bookmarkEnd w:id="388"/>
    <w:p>
      <w:pPr>
        <w:ind w:right="40" w:firstLine="996"/>
        <w:spacing w:after="0" w:line="273" w:lineRule="auto"/>
        <w:tabs>
          <w:tab w:leader="none" w:pos="1247" w:val="left"/>
        </w:tabs>
        <w:numPr>
          <w:ilvl w:val="0"/>
          <w:numId w:val="3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properties now or, to the Loan Parties’ knowledge, previously owned, leased or operated by any Loan Party or its Restricted Subsidiaries nor, to the Loan Parties’ knowledge, any property to which any Loan Party or its Restricted Subsidiaries has transported or arranged for the transportation of any Hazardous Material is listed or, to the Loan Parties’ knowledge, proposed for listing on the National Priorities List promulgated pursuant to CERCLA, on CERCLIS (as defined in CERCLA) or on any similar federal, state or foreign list of sites requiring investigation or cleanup, nor to the knowledge of the Loan Parties, is any such property anticipated or threatened to be placed on any such list, except as could not, either individually or in the aggregate, reasonably be expected to have a Material Adverse Effect.</w:t>
      </w:r>
    </w:p>
    <w:p>
      <w:pPr>
        <w:spacing w:after="0" w:line="70" w:lineRule="exact"/>
        <w:rPr>
          <w:rFonts w:ascii="Arial" w:cs="Arial" w:eastAsia="Arial" w:hAnsi="Arial"/>
          <w:sz w:val="17"/>
          <w:szCs w:val="17"/>
          <w:color w:val="auto"/>
        </w:rPr>
      </w:pPr>
    </w:p>
    <w:p>
      <w:pPr>
        <w:ind w:right="200" w:firstLine="996"/>
        <w:spacing w:after="0" w:line="279" w:lineRule="auto"/>
        <w:tabs>
          <w:tab w:leader="none" w:pos="1237"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To the Loan Parties’ knowledge, there are no Environmental Liabilities of any Loan Party or its Restricted Subsidiaries of any kind whatsoever, whether accrued, contingent, absolute, determined, determinable or otherwise, and there are no facts, conditions, situations or set of circumstances which could reasonably be expected to result in or be the basis for any such Environmental Liability, except, in each case, as could not, either individually or in the aggregate, reasonably be expected to have a Material Adverse Effect.</w:t>
      </w:r>
    </w:p>
    <w:p>
      <w:pPr>
        <w:spacing w:after="0" w:line="63" w:lineRule="exact"/>
        <w:rPr>
          <w:rFonts w:ascii="Arial" w:cs="Arial" w:eastAsia="Arial" w:hAnsi="Arial"/>
          <w:sz w:val="17"/>
          <w:szCs w:val="17"/>
          <w:color w:val="auto"/>
        </w:rPr>
      </w:pPr>
    </w:p>
    <w:p>
      <w:pPr>
        <w:ind w:right="100" w:firstLine="996"/>
        <w:spacing w:after="0" w:line="277" w:lineRule="auto"/>
        <w:tabs>
          <w:tab w:leader="none" w:pos="121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Loan Party or its Restricted Subsidiaries has assumed or retained any Environmental Liability of any other Person, except as could not, either individually or in the aggregate, reasonably be expected to have a Material Adverse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This Section 5.09 contains the sole and exclusive representations and warranties of the Loan Parties with respect to environmental matters.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Insurance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properties of the Borrower and its Restricted Subsidiaries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Taxes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Borrower and its Restricted Subsidiaries have filed all Federal, state and other material tax returns and reports required to be filed, and have paid all Federal, state and other material taxes, assessments, fees and other governmental charges levied or imposed upon them or their properties, income, business, franchise or assets otherwise due and payable, except those which are being contested in good faith by appropriate proceedings diligently conducted and for which adequate reserves have been provided in accordance with GAAP. To the knowledge of the Borrower, there is no proposed tax assessment made in writing against the Borrower or any Restricted Subsidiary that would, if made, have a Material Adverse Effect. Except as contemplated by the Registration Statement, neither any Loan Party nor any Restricted Subsidiary thereof is party to any tax sharing agreement with any Person that is not a Loan Party.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389" w:name="page390"/>
    <w:bookmarkEnd w:id="38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ERISA Compliance</w:t>
      </w:r>
    </w:p>
    <w:p>
      <w:pPr>
        <w:spacing w:after="0" w:line="117" w:lineRule="exact"/>
        <w:rPr>
          <w:sz w:val="20"/>
          <w:szCs w:val="20"/>
          <w:color w:val="auto"/>
        </w:rPr>
      </w:pPr>
    </w:p>
    <w:p>
      <w:pPr>
        <w:ind w:left="-20" w:firstLine="996"/>
        <w:spacing w:after="0" w:line="255" w:lineRule="auto"/>
        <w:tabs>
          <w:tab w:leader="none" w:pos="121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Plan that is maintained or sponsored by the Borrower or any ERISA Affiliate is in compliance in all material respects with the applicable provisions of ERISA, the Code and other Federal or state laws. Each Pension Plan that is maintained or sponsored by the Borrower or any ERISA Affiliate that is intended to be a qualified plan under Section 401(a) of the Code has received a favorable determination or opinion/advisory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81" w:lineRule="exact"/>
        <w:rPr>
          <w:rFonts w:ascii="Arial" w:cs="Arial" w:eastAsia="Arial" w:hAnsi="Arial"/>
          <w:sz w:val="18"/>
          <w:szCs w:val="18"/>
          <w:color w:val="auto"/>
        </w:rPr>
      </w:pPr>
    </w:p>
    <w:p>
      <w:pPr>
        <w:ind w:left="-20" w:right="80" w:firstLine="996"/>
        <w:spacing w:after="0" w:line="259" w:lineRule="auto"/>
        <w:tabs>
          <w:tab w:leader="none" w:pos="122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78" w:lineRule="exact"/>
        <w:rPr>
          <w:rFonts w:ascii="Arial" w:cs="Arial" w:eastAsia="Arial" w:hAnsi="Arial"/>
          <w:sz w:val="18"/>
          <w:szCs w:val="18"/>
          <w:color w:val="auto"/>
        </w:rPr>
      </w:pPr>
    </w:p>
    <w:p>
      <w:pPr>
        <w:ind w:left="-20" w:firstLine="996"/>
        <w:spacing w:after="0" w:line="285" w:lineRule="auto"/>
        <w:tabs>
          <w:tab w:leader="none" w:pos="121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the present value of the aggregate benefit liabilities under each Pension Plan sponsored, maintained or contributed to by any Loan Party, any of its Restricted Subsidiaries or any of their respective ERISA Affiliates (determined as of the end of the most recent plan year on the basis of the actuarial assumptions specified for funding purposes in the most recent actuarial valuation for such Pension Plan) did not exceed the aggregate current fair market value of the assets of such Pension Plan by more than $20,000,000; (v) as of the most recent valuation date for each Multiemployer Plan, the potential liability of the Borrower, its Restricted Subsidiaries and its respective ERISA Affiliates for a complete withdrawal from such Multiemployer Plan (within the meaning of Section 4203 or Section 4205 of ERISA), when aggregated with such potential liability for a complete withdrawal from all Multiemployer Plans, is zero; (vi) the Borrower, its Restricted Subsidiaries and each of its ERISA Affiliates have complied with the requirements of Section 515 of ERISA with respect to each Multiemployer Plan and are not in material “default” (as defined in Section 4219(c)(5) of ERISA) with respect to payments to a Multiemployer Plan; (vii) neither the Borrower nor any ERISA Affiliate has incurred any liability to the PBGC other than for the payment of premiums, and there are no premium payments which have become due that are unpaid; (viii) neither the Borrower nor any ERISA Affiliate has engaged in a transaction that could be subject to Section 4069 or Section 4212(c) of ERISA; and (ix)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60" w:top="274" w:right="439" w:bottom="1440" w:gutter="0" w:footer="0" w:header="0"/>
        </w:sectPr>
      </w:pPr>
    </w:p>
    <w:bookmarkStart w:id="390" w:name="page391"/>
    <w:bookmarkEnd w:id="390"/>
    <w:p>
      <w:pPr>
        <w:ind w:firstLine="996"/>
        <w:spacing w:after="0" w:line="266" w:lineRule="auto"/>
        <w:tabs>
          <w:tab w:leader="none" w:pos="12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each scheme or arrangement mandated by a government other than the United States (a “</w:t>
      </w:r>
      <w:r>
        <w:rPr>
          <w:rFonts w:ascii="Arial" w:cs="Arial" w:eastAsia="Arial" w:hAnsi="Arial"/>
          <w:sz w:val="18"/>
          <w:szCs w:val="18"/>
          <w:b w:val="1"/>
          <w:bCs w:val="1"/>
          <w:color w:val="auto"/>
        </w:rPr>
        <w:t>Foreign Government</w:t>
      </w:r>
      <w:r>
        <w:rPr>
          <w:rFonts w:ascii="Arial" w:cs="Arial" w:eastAsia="Arial" w:hAnsi="Arial"/>
          <w:sz w:val="18"/>
          <w:szCs w:val="18"/>
          <w:color w:val="auto"/>
        </w:rPr>
        <w:t xml:space="preserve"> </w:t>
      </w:r>
      <w:r>
        <w:rPr>
          <w:rFonts w:ascii="Arial" w:cs="Arial" w:eastAsia="Arial" w:hAnsi="Arial"/>
          <w:sz w:val="18"/>
          <w:szCs w:val="18"/>
          <w:b w:val="1"/>
          <w:bCs w:val="1"/>
          <w:color w:val="auto"/>
        </w:rPr>
        <w:t>Scheme or Arrangement</w:t>
      </w:r>
      <w:r>
        <w:rPr>
          <w:rFonts w:ascii="Arial" w:cs="Arial" w:eastAsia="Arial" w:hAnsi="Arial"/>
          <w:sz w:val="18"/>
          <w:szCs w:val="18"/>
          <w:color w:val="auto"/>
        </w:rPr>
        <w:t>”) and with respect to each employee benefit plan maintained or contributed to by any Loan Party or any Restricted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Loan Party that is not subject to United States law (a “</w:t>
      </w:r>
      <w:r>
        <w:rPr>
          <w:rFonts w:ascii="Arial" w:cs="Arial" w:eastAsia="Arial" w:hAnsi="Arial"/>
          <w:sz w:val="18"/>
          <w:szCs w:val="18"/>
          <w:b w:val="1"/>
          <w:bCs w:val="1"/>
          <w:color w:val="auto"/>
        </w:rPr>
        <w:t>Foreign Plan</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440" w:right="20" w:firstLine="957"/>
        <w:spacing w:after="0" w:line="277" w:lineRule="auto"/>
        <w:tabs>
          <w:tab w:leader="none" w:pos="160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62" w:lineRule="exact"/>
        <w:rPr>
          <w:rFonts w:ascii="Arial" w:cs="Arial" w:eastAsia="Arial" w:hAnsi="Arial"/>
          <w:sz w:val="18"/>
          <w:szCs w:val="18"/>
          <w:color w:val="auto"/>
        </w:rPr>
      </w:pPr>
    </w:p>
    <w:p>
      <w:pPr>
        <w:ind w:left="440" w:firstLine="957"/>
        <w:spacing w:after="0" w:line="297" w:lineRule="auto"/>
        <w:tabs>
          <w:tab w:leader="none" w:pos="1657"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Date or the Debt Assumption Date, as applicable,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50" w:lineRule="exact"/>
        <w:rPr>
          <w:rFonts w:ascii="Arial" w:cs="Arial" w:eastAsia="Arial" w:hAnsi="Arial"/>
          <w:sz w:val="16"/>
          <w:szCs w:val="16"/>
          <w:color w:val="auto"/>
        </w:rPr>
      </w:pPr>
    </w:p>
    <w:p>
      <w:pPr>
        <w:ind w:left="440" w:right="300" w:firstLine="957"/>
        <w:spacing w:after="0" w:line="277" w:lineRule="auto"/>
        <w:tabs>
          <w:tab w:leader="none" w:pos="170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each Foreign Plan that is maintained or sponsored by the Borrower or any ERISA Affiliate required to be registered has been registered and has been maintained in good standing with applicable regulatory authorities.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Subsidiaries; Equity Interests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the Closing Date or the Debt Assumption Date, as applicable, the Borrower has no Subsidiaries other than those specifically disclosed in Part</w:t>
      </w:r>
    </w:p>
    <w:p>
      <w:pPr>
        <w:spacing w:after="0" w:line="46" w:lineRule="exact"/>
        <w:rPr>
          <w:sz w:val="20"/>
          <w:szCs w:val="20"/>
          <w:color w:val="auto"/>
        </w:rPr>
      </w:pPr>
    </w:p>
    <w:p>
      <w:pPr>
        <w:ind w:right="60" w:firstLine="4"/>
        <w:spacing w:after="0" w:line="292" w:lineRule="auto"/>
        <w:tabs>
          <w:tab w:leader="none" w:pos="24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of Schedule 5.13, and all of the outstanding Equity Interests in such Subsidiaries have been validly issued, are fully paid and nonassessable. All such Equity Interests are owned by a Loan Party in the amounts specified on Part (a) of Schedule 5.13 and, after the Debt Assumption Date, free and clear of all Liens except those created under the Collateral Documents. As of the Closing Date or the Debt Assumption Date, as applicable, the Borrower has no equity investments in any other corporation or entity other than (i) those specifically disclosed in Part (b) of Schedule 5.13 and (ii) investments in Subsidiaries. All of the outstanding Equity Interests in the Borrower have been validly issued and are fully paid and nonassessable.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Margin Regulations; Investment Company Act</w:t>
      </w:r>
    </w:p>
    <w:p>
      <w:pPr>
        <w:spacing w:after="0" w:line="117" w:lineRule="exact"/>
        <w:rPr>
          <w:sz w:val="20"/>
          <w:szCs w:val="20"/>
          <w:color w:val="auto"/>
        </w:rPr>
      </w:pPr>
    </w:p>
    <w:p>
      <w:pPr>
        <w:ind w:right="300" w:firstLine="996"/>
        <w:spacing w:after="0" w:line="264" w:lineRule="auto"/>
        <w:tabs>
          <w:tab w:leader="none" w:pos="123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73" w:lineRule="exact"/>
        <w:rPr>
          <w:rFonts w:ascii="Arial" w:cs="Arial" w:eastAsia="Arial" w:hAnsi="Arial"/>
          <w:sz w:val="18"/>
          <w:szCs w:val="18"/>
          <w:color w:val="auto"/>
        </w:rPr>
      </w:pPr>
    </w:p>
    <w:p>
      <w:pPr>
        <w:ind w:right="580" w:firstLine="996"/>
        <w:spacing w:after="0" w:line="277" w:lineRule="auto"/>
        <w:tabs>
          <w:tab w:leader="none" w:pos="12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Restricted Subsidiary is or is required to be registered as an “investment company” under the Investment Company Act of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0" w:right="439" w:bottom="1440" w:gutter="0" w:footer="0" w:header="0"/>
        </w:sectPr>
      </w:pPr>
    </w:p>
    <w:bookmarkStart w:id="391" w:name="page392"/>
    <w:bookmarkEnd w:id="3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5.15. </w:t>
      </w:r>
      <w:r>
        <w:rPr>
          <w:rFonts w:ascii="Arial" w:cs="Arial" w:eastAsia="Arial" w:hAnsi="Arial"/>
          <w:sz w:val="18"/>
          <w:szCs w:val="18"/>
          <w:u w:val="single" w:color="auto"/>
          <w:color w:val="auto"/>
        </w:rPr>
        <w:t>Disclosure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 report, financial statement, certificate or other information furnished in writing by or on behalf of any Loan Party to the Administrative Agent or any Lender in connection with the Transactions or delivered hereunder or under any other Loan Document (in each case, taken as a whole and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by it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As of the Closing Date or the Debt Assumption Date, as applicable, the information included in the applicable Beneficial Ownership Certification is true and correct in all material respects.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Compliance with Laws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Each Loan Party and each Restricted Subsidiary thereof is in compliance in all material respects with the requirements of all Laws and all orders, writs, injunctions and decrees applicable to it or to its properties (including the Act),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Taxpayer Identification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Borrower’s true and correct U.S. taxpayer identification number is set forth on Schedule 5.17.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Intellectual Property; Licenses, Etc.</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Borrower and its Restricted Subsidiaries own or possess the right to use all of the trademarks, service marks, trade names, trade dress, logos, domain names and all goodwill associated therewith, copyrights, patents, patent rights, trade secrets, know-how, franchises, licenses, and other intellectual property rights (collectively, “</w:t>
      </w:r>
      <w:r>
        <w:rPr>
          <w:rFonts w:ascii="Arial" w:cs="Arial" w:eastAsia="Arial" w:hAnsi="Arial"/>
          <w:sz w:val="17"/>
          <w:szCs w:val="17"/>
          <w:b w:val="1"/>
          <w:bCs w:val="1"/>
          <w:color w:val="auto"/>
        </w:rPr>
        <w:t>IP Rights</w:t>
      </w:r>
      <w:r>
        <w:rPr>
          <w:rFonts w:ascii="Arial" w:cs="Arial" w:eastAsia="Arial" w:hAnsi="Arial"/>
          <w:sz w:val="17"/>
          <w:szCs w:val="17"/>
          <w:color w:val="auto"/>
        </w:rPr>
        <w:t>”) that are reasonably necessary for the operation of their respective businesses as currently conducted, without conflict with the rights of any other Person, except where the failure to own or possess the right to use any such IP Rights would not reasonably be expected to have a Material Adverse Effect. The Borrower and its Restricted Subsidiaries hold all right, title and interest in and to such IP Rights free and clear of any Lien (other than Liens permitted by Section 7.12). No slogan or other advertising device, product, process, method, substance, part or other material or activity now employed, or now contemplated to be employed, by the Borrower or any Restricted Subsidiary infringes upon, misappropriates or otherwise violates any rights held by any other Person, except where such infringement, misappropriation or other violation would not reasonably be expected to have a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392" w:name="page393"/>
    <w:bookmarkEnd w:id="3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5.19. </w:t>
      </w:r>
      <w:r>
        <w:rPr>
          <w:rFonts w:ascii="Arial" w:cs="Arial" w:eastAsia="Arial" w:hAnsi="Arial"/>
          <w:sz w:val="18"/>
          <w:szCs w:val="18"/>
          <w:u w:val="single" w:color="auto"/>
          <w:color w:val="auto"/>
        </w:rPr>
        <w:t>Solvency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Loan Party is, individually and together with its Restricted Subsidiaries on a consolidated basis, Solvent.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Collateral Documents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the Debt Assumption, the provisions of the applicable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(it being understood, acknowledged and agreed by all parties to this Agreement and the other Loan Documents, and notwithstanding anything contained herein or the other Loan Documents to the contrary, that (I) the perfection of security interests in the Collateral (other than any security interest in the Collateral which may be perfected by the filing of a UCC financing statement) will not constitute a condition precedent to the Debt Assumption on the Debt Assumption Date, but such security interests will be required to be perfected, (x) with respect to certificated equity interests in the Post-Assumption Guarantors, within five Business Days (or such later date as the Administrative Agent may agree to in its sole discretion) after the Debt Assumption Date, (y) with respect to Collateral consisting of intellectual property (other than any intellectual property with respect to which a security interest may be perfected by the filing of a UCC financing statement), within five Business Days (or such later date as the Administrative Agent may agree to in its sole discretion) after the Debt Assumption Date and (z) with respect to all other Collateral, within 90 days (or such later date as the Administrative Agent may agree to in its sole discretion) after the Debt Assumption Date (in the case of each of the foregoing clauses (x)-(z), subject to arrangements mutually agreed by the Arrangers and BellRing Brands and subject to extensions in the discretion of the Arrangers)) and (II) the creation or perfection of security interests in real property will not constitute a condition precedent to the Debt Assumption on the Debt Assumption Date, but such security interests will be required to be created and perfected within 90 days (or such later date as the Administrative Agent may agree to in its sole discretion) after the Debt Assumption Date).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Senior Debt</w:t>
      </w: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The Obligations constitute “</w:t>
      </w:r>
      <w:r>
        <w:rPr>
          <w:rFonts w:ascii="Arial" w:cs="Arial" w:eastAsia="Arial" w:hAnsi="Arial"/>
          <w:sz w:val="16"/>
          <w:szCs w:val="16"/>
          <w:b w:val="1"/>
          <w:bCs w:val="1"/>
          <w:color w:val="auto"/>
        </w:rPr>
        <w:t>Senior Indebtedness</w:t>
      </w:r>
      <w:r>
        <w:rPr>
          <w:rFonts w:ascii="Arial" w:cs="Arial" w:eastAsia="Arial" w:hAnsi="Arial"/>
          <w:sz w:val="16"/>
          <w:szCs w:val="16"/>
          <w:color w:val="auto"/>
        </w:rPr>
        <w:t>” (or any comparable term) or, as of the Debt Assumption, “</w:t>
      </w:r>
      <w:r>
        <w:rPr>
          <w:rFonts w:ascii="Arial" w:cs="Arial" w:eastAsia="Arial" w:hAnsi="Arial"/>
          <w:sz w:val="16"/>
          <w:szCs w:val="16"/>
          <w:b w:val="1"/>
          <w:bCs w:val="1"/>
          <w:color w:val="auto"/>
        </w:rPr>
        <w:t>Senior Secured Financing</w:t>
      </w:r>
      <w:r>
        <w:rPr>
          <w:rFonts w:ascii="Arial" w:cs="Arial" w:eastAsia="Arial" w:hAnsi="Arial"/>
          <w:sz w:val="16"/>
          <w:szCs w:val="16"/>
          <w:color w:val="auto"/>
        </w:rPr>
        <w:t>” (or any comparable term) under, and as defined in, the documentation governing, any Indebtedness that is subordinated to the Obligations expressly by its terms.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Anti-Terrorism; Anti-Money Laundering; Etc.</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Borrower has implemented and maintains in effect policies and procedures designed to ensure compliance in all material respects by the Borrower, its Restricted Subsidiaries and their respective directors, officers, managers and employees with Anti-Corruption Laws and applicable Sanctions, and the Borrower, its Restricted Subsidiaries and, to Borrower’s knowledge, its and its Restricted Subsidiaries’ respective directors, officers, managers and employees, are in compliance with Anti-Corruption Laws in all material respects and applicable Sanctions in all material respects and are not knowingly engaged in any activity that would reasonably be expected to result in the Borrower being designated as a Sanctioned Person. No Loan Party nor any of its Restricted Subsidiaries or, to their knowledge, any of their Related Parties (i) is an “enemy” or an “ally of the enemy” within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3" w:right="439" w:bottom="1440" w:gutter="0" w:footer="0" w:header="0"/>
        </w:sectPr>
      </w:pPr>
    </w:p>
    <w:bookmarkStart w:id="393" w:name="page394"/>
    <w:bookmarkEnd w:id="3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meaning of Section 2 of the Trading with the Enemy Act of the United States (50 U.S.C. App. §§ 1 et seq.), (ii) is in violation of (A) the Trading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with the Enemy Act, (B) any of the foreign assets control regulations of the United States Treasury Department (31 CFR, Subtitle B, Chapter V)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enabling legislation or executive order relating thereto, (C) the Act or (D) any other laws relating to terrorism or money laundering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Laws</w:t>
      </w:r>
      <w:r>
        <w:rPr>
          <w:rFonts w:ascii="Arial" w:cs="Arial" w:eastAsia="Arial" w:hAnsi="Arial"/>
          <w:sz w:val="16"/>
          <w:szCs w:val="16"/>
          <w:color w:val="auto"/>
        </w:rPr>
        <w:t>”) or (iii) is a Sanctioned Person. No part of the proceeds of any Loan hereunder will be unlawfully used directly or indirectly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any operations in, finance any investments or activities in or make any payments to, a Sanctioned Person or a Sanctioned Country, or in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manner that will result in any violation by any Person (including any Lender, Arranger or Administrative Agent) of any Anti-Terrorism Laws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Sanctions.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Foreign Corrupt Practices Act</w:t>
      </w:r>
    </w:p>
    <w:p>
      <w:pPr>
        <w:spacing w:after="0" w:line="11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EEA Financial Institution.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Loan Party is an EEA Financial Institution.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and after the Closing Date, each of Borrower and each Guarantor covenants and agrees that, until payment in full of all Obligations (other than contingent indemnification obligations for which no claim has been asserted), each such Person shall, and shall (except in the case of the covenants set forth in Sections 6.01, 6.02, 6.03, and 6.14) cause each of its Restricted Subsidiaries to: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Deliver to the Administrative Agent:</w:t>
      </w:r>
    </w:p>
    <w:p>
      <w:pPr>
        <w:spacing w:after="0" w:line="117" w:lineRule="exact"/>
        <w:rPr>
          <w:sz w:val="20"/>
          <w:szCs w:val="20"/>
          <w:color w:val="auto"/>
        </w:rPr>
      </w:pPr>
    </w:p>
    <w:p>
      <w:pPr>
        <w:ind w:firstLine="996"/>
        <w:spacing w:after="0" w:line="270" w:lineRule="auto"/>
        <w:tabs>
          <w:tab w:leader="none" w:pos="123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within 90 days after the end of each Fiscal Year of the Borrower (or after the Debt Assumption, BRBR) (commencing with the Fiscal Year ending September 30, 2019), a consolidated balance sheet of the Borrower (or after the Debt Assumption, BRBR)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audited and accompanied by a report and opinion of PricewaterhouseCoopers LLP or any other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foregoing financial statements are accompanied by (i) consolidating information that explains in reasonable detail the differences between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440" w:top="274" w:right="499" w:bottom="1440" w:gutter="0" w:footer="0" w:header="0"/>
        </w:sectPr>
      </w:pPr>
    </w:p>
    <w:bookmarkStart w:id="394" w:name="page395"/>
    <w:bookmarkEnd w:id="39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relating to Borrower (or after the Debt Assumption, BRBR) and its Subsidiaries, on the one hand, and the information relating to Borrower (or after the Debt Assumption, BRBR) and its Restricted Subsidiaries on a standalone basis, on the other hand, and (ii) after the Debt Assumption, an explanation of any material differences between BRBR and BellRing Brands with respect to such financial statements;</w:t>
      </w:r>
    </w:p>
    <w:p>
      <w:pPr>
        <w:spacing w:after="0" w:line="57" w:lineRule="exact"/>
        <w:rPr>
          <w:sz w:val="20"/>
          <w:szCs w:val="20"/>
          <w:color w:val="auto"/>
        </w:rPr>
      </w:pPr>
    </w:p>
    <w:p>
      <w:pPr>
        <w:ind w:firstLine="996"/>
        <w:spacing w:after="0" w:line="286" w:lineRule="auto"/>
        <w:tabs>
          <w:tab w:leader="none" w:pos="124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in connection with each of the first three fiscal quarters of each Fiscal Year of the Borrower (or after the Debt Assumption, BRBR) (commencing with the fiscal quarter ending December 31, 2019), within 45 days after the end of each such fiscal quarter, a consolidated balance sheet of the Borrower (or after the Debt Assumption, BRBR) and its Subsidiaries as at the end of such fiscal quarter, the related consolidated statements of income or operations for such fiscal quarter and for the portion of the Borrower’s (or after the Debt Assumption, BRBR’s) Fiscal Year then ended, and the related consolidated statements of changes in Stockholders’ Equity, and cash flows for the portion of the Borrower’s (or after the Debt Assumption, BRBR’s)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Borrower (or after the Debt Assumption, BRBR) as fairly presenting, in all material respects, the financial condition, results of operations, Stockholders’ Equity and cash flows of the Borrower (or after the Debt Assumption, BRBR) and its Subsidiaries in accordance with GAAP, subject only to normal year-end audit adjustments and the absence of footnotes;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foregoing financial statements are accompanied by (i) consolidating information that explains in reasonable detail the differences between the information relating to Borrower (or after the Debt Assumption, BRBR) and its Subsidiaries, on the one hand, and the information relating to Borrower (or after the Debt Assumption, BRBR) and its Restricted Subsidiaries on a standalone basis, on the other hand (the “</w:t>
      </w:r>
      <w:r>
        <w:rPr>
          <w:rFonts w:ascii="Arial" w:cs="Arial" w:eastAsia="Arial" w:hAnsi="Arial"/>
          <w:sz w:val="16"/>
          <w:szCs w:val="16"/>
          <w:b w:val="1"/>
          <w:bCs w:val="1"/>
          <w:color w:val="auto"/>
        </w:rPr>
        <w:t>Quarterly Financial Statements</w:t>
      </w:r>
      <w:r>
        <w:rPr>
          <w:rFonts w:ascii="Arial" w:cs="Arial" w:eastAsia="Arial" w:hAnsi="Arial"/>
          <w:sz w:val="16"/>
          <w:szCs w:val="16"/>
          <w:color w:val="auto"/>
        </w:rPr>
        <w:t>”), and (ii) after the Debt Assumption, an explanation of any material differences between BRBR and BellRing Brands with respect to such financial statements; and</w:t>
      </w:r>
    </w:p>
    <w:p>
      <w:pPr>
        <w:spacing w:after="0" w:line="63" w:lineRule="exact"/>
        <w:rPr>
          <w:rFonts w:ascii="Arial" w:cs="Arial" w:eastAsia="Arial" w:hAnsi="Arial"/>
          <w:sz w:val="16"/>
          <w:szCs w:val="16"/>
          <w:color w:val="auto"/>
        </w:rPr>
      </w:pPr>
    </w:p>
    <w:p>
      <w:pPr>
        <w:ind w:right="180" w:firstLine="996"/>
        <w:spacing w:after="0" w:line="273" w:lineRule="auto"/>
        <w:tabs>
          <w:tab w:leader="none" w:pos="123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not later than 60 days after the end of each Fiscal Year of the Borrower (or after the Debt Assumption, BRBR) (commencing with the Fiscal Year ending September 30, 2019), an annual budget of the Borrower (or after the Debt Assumption, BRBR) and its Restricted Subsidiaries on a consolidated basis consisting of consolidated balance sheets and statements of income or operations and cash flows of the Borrower (or after the Debt Assumption, BRBR) and its Restricted Subsidiaries on a quarterly basis for the then-current Fiscal Year (including the Fiscal Year in which the latest Maturity Date occurs, if such Fiscal Year is the then-current Fiscal Year), accompanied by, after the Debt Assumption, an explanation of any material differences between BRBR and BellRing Brands with respect to such budgets.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to any information contained in materials furnished pursuant to Section 6.02(c), the Borrower shall not be required separately to furnish such information under clause (a) or (b) above, but the foregoing shall not be in derogation of the obligation of the Borrower to furnish the information and materials described in clause (a) or (b) above at the times specified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395" w:name="page396"/>
    <w:bookmarkEnd w:id="3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Arial" w:cs="Arial" w:eastAsia="Arial" w:hAnsi="Arial"/>
          <w:sz w:val="18"/>
          <w:szCs w:val="18"/>
          <w:u w:val="single" w:color="auto"/>
          <w:color w:val="auto"/>
        </w:rPr>
        <w:t>Certificates;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117" w:lineRule="exact"/>
        <w:rPr>
          <w:sz w:val="20"/>
          <w:szCs w:val="20"/>
          <w:color w:val="auto"/>
        </w:rPr>
      </w:pPr>
    </w:p>
    <w:p>
      <w:pPr>
        <w:ind w:right="740" w:firstLine="996"/>
        <w:spacing w:after="0" w:line="277" w:lineRule="auto"/>
        <w:tabs>
          <w:tab w:leader="none" w:pos="123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referred to in Section 6.01(a) and (b), a duly completed Compliance Certificate signed by the chief executive officer, chief financial offer, treasurer or controller of the Borrower;</w:t>
      </w:r>
    </w:p>
    <w:p>
      <w:pPr>
        <w:spacing w:after="0" w:line="62" w:lineRule="exact"/>
        <w:rPr>
          <w:rFonts w:ascii="Arial" w:cs="Arial" w:eastAsia="Arial" w:hAnsi="Arial"/>
          <w:sz w:val="18"/>
          <w:szCs w:val="18"/>
          <w:color w:val="auto"/>
        </w:rPr>
      </w:pPr>
    </w:p>
    <w:p>
      <w:pPr>
        <w:ind w:right="80" w:firstLine="996"/>
        <w:spacing w:after="0" w:line="259" w:lineRule="auto"/>
        <w:tabs>
          <w:tab w:leader="none" w:pos="124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the Company or, after the Debt Assumption, BRBR, by its independent accountants in connection with the accounts or books of the Borrower or any Restricted Subsidiary, or any audit of any of them;</w:t>
      </w:r>
    </w:p>
    <w:p>
      <w:pPr>
        <w:spacing w:after="0" w:line="78" w:lineRule="exact"/>
        <w:rPr>
          <w:rFonts w:ascii="Arial" w:cs="Arial" w:eastAsia="Arial" w:hAnsi="Arial"/>
          <w:sz w:val="18"/>
          <w:szCs w:val="18"/>
          <w:color w:val="auto"/>
        </w:rPr>
      </w:pPr>
    </w:p>
    <w:p>
      <w:pPr>
        <w:ind w:right="60" w:firstLine="996"/>
        <w:spacing w:after="0" w:line="255" w:lineRule="auto"/>
        <w:tabs>
          <w:tab w:leader="none" w:pos="123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promptly after the same are available, copies of each annual report, proxy or financial statement or other report or communication sent to the stockholders of the Company or, after the Debt Assumption, BRBR, and copies of all annual, regular, periodic and special reports and registration statements which the Company or, after the Debt Assumption, BRBR, may file or be required to file with the SEC under Section 13 or 15(d) of the Securities Exchange Act of 1934, whether or not otherwise required to be delivered to the Administrative Agent pursuant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such documents are filed with the SEC, such documents shall be deemed delivered pursuant to this Section 6.02(c) at the time of and so long as the Company or, after the Debt Assumption, BellRing Brands, notifies the Administrative Agent (by facsimile or electronic mail) of the filing with the SEC of any such documents;</w:t>
      </w:r>
    </w:p>
    <w:p>
      <w:pPr>
        <w:spacing w:after="0" w:line="81" w:lineRule="exact"/>
        <w:rPr>
          <w:rFonts w:ascii="Arial" w:cs="Arial" w:eastAsia="Arial" w:hAnsi="Arial"/>
          <w:sz w:val="18"/>
          <w:szCs w:val="18"/>
          <w:color w:val="auto"/>
        </w:rPr>
      </w:pPr>
    </w:p>
    <w:p>
      <w:pPr>
        <w:ind w:firstLine="996"/>
        <w:spacing w:after="0" w:line="312" w:lineRule="auto"/>
        <w:tabs>
          <w:tab w:leader="none" w:pos="124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promptly after the furnishing thereof, copies of any statement or report furnished to any holder of debt or equity securities of any Loan Party or any Restricted Subsidiary thereof pursuant to the terms of any indenture, loan or credit or similar agreement for debt or equity security in excess of $35,000,000 and not otherwise required to be furnished to the Lenders pursuant to Section 6.01 or any other clause of this Section 6.02;</w:t>
      </w:r>
    </w:p>
    <w:p>
      <w:pPr>
        <w:spacing w:after="0" w:line="38" w:lineRule="exact"/>
        <w:rPr>
          <w:rFonts w:ascii="Arial" w:cs="Arial" w:eastAsia="Arial" w:hAnsi="Arial"/>
          <w:sz w:val="16"/>
          <w:szCs w:val="16"/>
          <w:color w:val="auto"/>
        </w:rPr>
      </w:pPr>
    </w:p>
    <w:p>
      <w:pPr>
        <w:jc w:val="both"/>
        <w:ind w:right="160" w:firstLine="996"/>
        <w:spacing w:after="0" w:line="259" w:lineRule="auto"/>
        <w:tabs>
          <w:tab w:leader="none" w:pos="123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promptly, and in any event within ten Business Days after receipt thereof by any Loan Party or any Restricted Subsidiary thereof (or after the Debt Assumption, by BRBR), copies of each notice or other correspondence received from the SEC (or comparable agency in any applicable non-U.S. jurisdiction) concerning any investigation by such agency regarding financial or other operational results of any Loan Party or any Restricted Subsidiary thereof (or after the Debt Assumption, by BRBR);</w:t>
      </w:r>
    </w:p>
    <w:p>
      <w:pPr>
        <w:spacing w:after="0" w:line="78" w:lineRule="exact"/>
        <w:rPr>
          <w:rFonts w:ascii="Arial" w:cs="Arial" w:eastAsia="Arial" w:hAnsi="Arial"/>
          <w:sz w:val="18"/>
          <w:szCs w:val="18"/>
          <w:color w:val="auto"/>
        </w:rPr>
      </w:pPr>
    </w:p>
    <w:p>
      <w:pPr>
        <w:ind w:right="240" w:firstLine="996"/>
        <w:spacing w:after="0" w:line="264" w:lineRule="auto"/>
        <w:tabs>
          <w:tab w:leader="none" w:pos="121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Borrower or any Restricted Subsidiary, or compliance with the terms of the Loan Documents, as the Administrative Agent or any Lender, through the Administrative Agent, may from time to time reasonably request;</w:t>
      </w:r>
    </w:p>
    <w:p>
      <w:pPr>
        <w:spacing w:after="0" w:line="73" w:lineRule="exact"/>
        <w:rPr>
          <w:rFonts w:ascii="Arial" w:cs="Arial" w:eastAsia="Arial" w:hAnsi="Arial"/>
          <w:sz w:val="18"/>
          <w:szCs w:val="18"/>
          <w:color w:val="auto"/>
        </w:rPr>
      </w:pPr>
    </w:p>
    <w:p>
      <w:pPr>
        <w:ind w:right="60" w:firstLine="996"/>
        <w:spacing w:after="0" w:line="264" w:lineRule="auto"/>
        <w:tabs>
          <w:tab w:leader="none" w:pos="124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promptly following the written request of the Administrative Agent, a report summarizing the insurance coverage (specifying type, amount and carrier) in effect for each Loan Party and its Restricted Subsidiaries and containing such additional information as the Administrative Agent may reasonably specify;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396" w:name="page397"/>
    <w:bookmarkEnd w:id="396"/>
    <w:p>
      <w:pPr>
        <w:ind w:firstLine="996"/>
        <w:spacing w:after="0" w:line="259" w:lineRule="auto"/>
        <w:tabs>
          <w:tab w:leader="none" w:pos="1382"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assertion or occurrence thereof, notice of any Environmental Claim against or of any noncompliance by any Loan Party or any of its Restricted Subsidiaries with any Environmental Law or Environmental Permit that could (i) reasonably be expected to have a Material Adverse Effect or (ii) cause any property described in the Mortgages (if any) to be subject to any material restrictions on ownership, occupancy, use or transferability under any Environmental Law.</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Documents required to be delivered pursuant to Section 6.01(a) or (b) or Section 6.02(d) or referred to in Section 6.03(d) (to the extent any such documents are included in materials otherwise filed with the SEC) may be delivered electronically and if so delivered, shall be deemed to have been delivered on the date (1) on which the Borrower posts such documents, or provides a link thereto on the Borrower’s website on the Internet at the website address listed on Schedule 11.02; or (2)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with respect to the documents required to be delivered pursuant to Section 6.01(a) or (b) only, the Borrower shall deliver paper copies of such documents to the Administrative Agent or any Lender that requests in writing the Borrower to deliver such paper copies until a written request to cease delivering paper copies is given by the Administrative Agent or such Lender and (ii) with respect to any such documents, the Borrower shall notify the Administrative Agent (by facsimile or electronic mail)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the Borrower Materials on IntraLinks, SyndTrak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within the meaning of United States federal securities laws (“</w:t>
      </w:r>
      <w:r>
        <w:rPr>
          <w:rFonts w:ascii="Arial" w:cs="Arial" w:eastAsia="Arial" w:hAnsi="Arial"/>
          <w:sz w:val="16"/>
          <w:szCs w:val="16"/>
          <w:b w:val="1"/>
          <w:bCs w:val="1"/>
          <w:color w:val="auto"/>
        </w:rPr>
        <w:t>MNPI</w:t>
      </w:r>
      <w:r>
        <w:rPr>
          <w:rFonts w:ascii="Arial" w:cs="Arial" w:eastAsia="Arial" w:hAnsi="Arial"/>
          <w:sz w:val="16"/>
          <w:szCs w:val="16"/>
          <w:color w:val="auto"/>
        </w:rPr>
        <w:t>”) with respect to the Borrower or its Subsidiaries,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w:t>
      </w:r>
      <w:r>
        <w:rPr>
          <w:rFonts w:ascii="Arial" w:cs="Arial" w:eastAsia="Arial" w:hAnsi="Arial"/>
          <w:sz w:val="16"/>
          <w:szCs w:val="16"/>
          <w:b w:val="1"/>
          <w:bCs w:val="1"/>
          <w:color w:val="auto"/>
        </w:rPr>
        <w:t>PUBLIC</w:t>
      </w:r>
      <w:r>
        <w:rPr>
          <w:rFonts w:ascii="Arial" w:cs="Arial" w:eastAsia="Arial" w:hAnsi="Arial"/>
          <w:sz w:val="16"/>
          <w:szCs w:val="16"/>
          <w:color w:val="auto"/>
        </w:rPr>
        <w:t>” which, at a minimum, shall mean that the word “</w:t>
      </w:r>
      <w:r>
        <w:rPr>
          <w:rFonts w:ascii="Arial" w:cs="Arial" w:eastAsia="Arial" w:hAnsi="Arial"/>
          <w:sz w:val="16"/>
          <w:szCs w:val="16"/>
          <w:b w:val="1"/>
          <w:bCs w:val="1"/>
          <w:color w:val="auto"/>
        </w:rPr>
        <w:t>PUBLIC</w:t>
      </w:r>
      <w:r>
        <w:rPr>
          <w:rFonts w:ascii="Arial" w:cs="Arial" w:eastAsia="Arial" w:hAnsi="Arial"/>
          <w:sz w:val="16"/>
          <w:szCs w:val="16"/>
          <w:color w:val="auto"/>
        </w:rPr>
        <w:t>” shall appear prominently on the first page thereof; (x) by marking Borrower Materials “</w:t>
      </w:r>
      <w:r>
        <w:rPr>
          <w:rFonts w:ascii="Arial" w:cs="Arial" w:eastAsia="Arial" w:hAnsi="Arial"/>
          <w:sz w:val="16"/>
          <w:szCs w:val="16"/>
          <w:b w:val="1"/>
          <w:bCs w:val="1"/>
          <w:color w:val="auto"/>
        </w:rPr>
        <w:t>PUBLIC,</w:t>
      </w:r>
      <w:r>
        <w:rPr>
          <w:rFonts w:ascii="Arial" w:cs="Arial" w:eastAsia="Arial" w:hAnsi="Arial"/>
          <w:sz w:val="16"/>
          <w:szCs w:val="16"/>
          <w:color w:val="auto"/>
        </w:rPr>
        <w:t>” the Borrower shall be deemed to have authorized the Administrative Agent, the Arrangers, and the Lenders to treat such Borrower Materials as not containing any MNPI with respect to the Borrower or its Subsidiaries, or their respective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such Borrower Materials constitute Information, they shall be treated as set forth in Section 11.07); (y) all Borrower Materials marked “</w:t>
      </w:r>
      <w:r>
        <w:rPr>
          <w:rFonts w:ascii="Arial" w:cs="Arial" w:eastAsia="Arial" w:hAnsi="Arial"/>
          <w:sz w:val="16"/>
          <w:szCs w:val="16"/>
          <w:b w:val="1"/>
          <w:bCs w:val="1"/>
          <w:color w:val="auto"/>
        </w:rPr>
        <w:t>PUBLIC</w:t>
      </w:r>
      <w:r>
        <w:rPr>
          <w:rFonts w:ascii="Arial" w:cs="Arial" w:eastAsia="Arial" w:hAnsi="Arial"/>
          <w:sz w:val="16"/>
          <w:szCs w:val="16"/>
          <w:color w:val="auto"/>
        </w:rPr>
        <w:t>” are permitted to be made available through a portion of the Platform designated “</w:t>
      </w:r>
      <w:r>
        <w:rPr>
          <w:rFonts w:ascii="Arial" w:cs="Arial" w:eastAsia="Arial" w:hAnsi="Arial"/>
          <w:sz w:val="16"/>
          <w:szCs w:val="16"/>
          <w:b w:val="1"/>
          <w:bCs w:val="1"/>
          <w:color w:val="auto"/>
        </w:rPr>
        <w:t>Public Side Information</w:t>
      </w:r>
      <w:r>
        <w:rPr>
          <w:rFonts w:ascii="Arial" w:cs="Arial" w:eastAsia="Arial" w:hAnsi="Arial"/>
          <w:sz w:val="16"/>
          <w:szCs w:val="16"/>
          <w:color w:val="auto"/>
        </w:rPr>
        <w:t>” (and the Administrative Agent agrees that only Borrower Materials marked “</w:t>
      </w:r>
      <w:r>
        <w:rPr>
          <w:rFonts w:ascii="Arial" w:cs="Arial" w:eastAsia="Arial" w:hAnsi="Arial"/>
          <w:sz w:val="16"/>
          <w:szCs w:val="16"/>
          <w:b w:val="1"/>
          <w:bCs w:val="1"/>
          <w:color w:val="auto"/>
        </w:rPr>
        <w:t>PUBLIC</w:t>
      </w:r>
      <w:r>
        <w:rPr>
          <w:rFonts w:ascii="Arial" w:cs="Arial" w:eastAsia="Arial" w:hAnsi="Arial"/>
          <w:sz w:val="16"/>
          <w:szCs w:val="16"/>
          <w:color w:val="auto"/>
        </w:rPr>
        <w:t>” will be made available on such portion of the Platform); and</w:t>
      </w:r>
    </w:p>
    <w:p>
      <w:pPr>
        <w:spacing w:after="0" w:line="4" w:lineRule="exact"/>
        <w:rPr>
          <w:sz w:val="20"/>
          <w:szCs w:val="20"/>
          <w:color w:val="auto"/>
        </w:rPr>
      </w:pPr>
    </w:p>
    <w:p>
      <w:pPr>
        <w:jc w:val="both"/>
        <w:ind w:right="160" w:firstLine="4"/>
        <w:spacing w:after="0" w:line="255" w:lineRule="auto"/>
        <w:tabs>
          <w:tab w:leader="none" w:pos="24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Administrative Agent and the Arrangers shall be entitled to treat any Borrower Materials that are not marked “</w:t>
      </w:r>
      <w:r>
        <w:rPr>
          <w:rFonts w:ascii="Arial" w:cs="Arial" w:eastAsia="Arial" w:hAnsi="Arial"/>
          <w:sz w:val="18"/>
          <w:szCs w:val="18"/>
          <w:b w:val="1"/>
          <w:bCs w:val="1"/>
          <w:color w:val="auto"/>
        </w:rPr>
        <w:t>PUBLIC</w:t>
      </w:r>
      <w:r>
        <w:rPr>
          <w:rFonts w:ascii="Arial" w:cs="Arial" w:eastAsia="Arial" w:hAnsi="Arial"/>
          <w:sz w:val="18"/>
          <w:szCs w:val="18"/>
          <w:color w:val="auto"/>
        </w:rPr>
        <w:t>” as being suitable only for posting on a portion of the Platform that is not designated “</w:t>
      </w:r>
      <w:r>
        <w:rPr>
          <w:rFonts w:ascii="Arial" w:cs="Arial" w:eastAsia="Arial" w:hAnsi="Arial"/>
          <w:sz w:val="18"/>
          <w:szCs w:val="18"/>
          <w:b w:val="1"/>
          <w:bCs w:val="1"/>
          <w:color w:val="auto"/>
        </w:rPr>
        <w:t>Public Side Information.</w:t>
      </w:r>
      <w:r>
        <w:rPr>
          <w:rFonts w:ascii="Arial" w:cs="Arial" w:eastAsia="Arial" w:hAnsi="Arial"/>
          <w:sz w:val="18"/>
          <w:szCs w:val="18"/>
          <w:color w:val="auto"/>
        </w:rPr>
        <w:t>” Notwithstanding the foregoing, the Borrower shall be under no obligation to mark any Borrower Materials “</w:t>
      </w:r>
      <w:r>
        <w:rPr>
          <w:rFonts w:ascii="Arial" w:cs="Arial" w:eastAsia="Arial" w:hAnsi="Arial"/>
          <w:sz w:val="18"/>
          <w:szCs w:val="18"/>
          <w:b w:val="1"/>
          <w:bCs w:val="1"/>
          <w:color w:val="auto"/>
        </w:rPr>
        <w:t>PUBLIC.</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397" w:name="page398"/>
    <w:bookmarkEnd w:id="3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8"/>
          <w:szCs w:val="18"/>
          <w:u w:val="single" w:color="auto"/>
          <w:color w:val="auto"/>
        </w:rPr>
        <w:t>Notices.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Promptly notify the Administrative Agent when a Responsible Officer of the Borrower has knowledge:</w:t>
      </w:r>
    </w:p>
    <w:p>
      <w:pPr>
        <w:spacing w:after="0" w:line="117" w:lineRule="exact"/>
        <w:rPr>
          <w:sz w:val="20"/>
          <w:szCs w:val="20"/>
          <w:color w:val="auto"/>
        </w:rPr>
      </w:pPr>
    </w:p>
    <w:p>
      <w:pPr>
        <w:ind w:left="1240" w:hanging="244"/>
        <w:spacing w:after="0"/>
        <w:tabs>
          <w:tab w:leader="none" w:pos="12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17" w:lineRule="exact"/>
        <w:rPr>
          <w:rFonts w:ascii="Arial" w:cs="Arial" w:eastAsia="Arial" w:hAnsi="Arial"/>
          <w:sz w:val="18"/>
          <w:szCs w:val="18"/>
          <w:color w:val="auto"/>
        </w:rPr>
      </w:pPr>
    </w:p>
    <w:p>
      <w:pPr>
        <w:ind w:right="120" w:firstLine="996"/>
        <w:spacing w:after="0" w:line="255" w:lineRule="auto"/>
        <w:tabs>
          <w:tab w:leader="none" w:pos="12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of any matter that has resulted or would reasonably be expected to result in a Material Adverse Effect, including (i) breach or non-performance of, or any default under, a Contractual Obligation of the Borrower or any Restricted Subsidiary; (ii) any dispute, litigation, investigation, proceeding or suspension between the Borrower or any Restricted Subsidiary and any Governmental Authority, including in connection with any tax liabilities, assessments, governmental charges or levies upon it or its properties or assets; and (iii) the commencement of, or any material development in, any litigation or proceeding affecting the Borrower or any Restricted Subsidiary, including pursuant to any applicable Environmental Laws;</w:t>
      </w:r>
    </w:p>
    <w:p>
      <w:pPr>
        <w:spacing w:after="0" w:line="85" w:lineRule="exact"/>
        <w:rPr>
          <w:rFonts w:ascii="Arial" w:cs="Arial" w:eastAsia="Arial" w:hAnsi="Arial"/>
          <w:sz w:val="18"/>
          <w:szCs w:val="18"/>
          <w:color w:val="auto"/>
        </w:rPr>
      </w:pPr>
    </w:p>
    <w:p>
      <w:pPr>
        <w:ind w:left="1240" w:hanging="244"/>
        <w:spacing w:after="0"/>
        <w:tabs>
          <w:tab w:leader="none" w:pos="12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of the occurrence or reasonably expected occurrence of any ERISA Event;</w:t>
      </w:r>
    </w:p>
    <w:p>
      <w:pPr>
        <w:spacing w:after="0" w:line="117" w:lineRule="exact"/>
        <w:rPr>
          <w:rFonts w:ascii="Arial" w:cs="Arial" w:eastAsia="Arial" w:hAnsi="Arial"/>
          <w:sz w:val="18"/>
          <w:szCs w:val="18"/>
          <w:color w:val="auto"/>
        </w:rPr>
      </w:pPr>
    </w:p>
    <w:p>
      <w:pPr>
        <w:ind w:right="280" w:firstLine="996"/>
        <w:spacing w:after="0" w:line="308" w:lineRule="auto"/>
        <w:tabs>
          <w:tab w:leader="none" w:pos="1247" w:val="left"/>
        </w:tabs>
        <w:numPr>
          <w:ilvl w:val="0"/>
          <w:numId w:val="327"/>
        </w:numPr>
        <w:rPr>
          <w:rFonts w:ascii="Arial" w:cs="Arial" w:eastAsia="Arial" w:hAnsi="Arial"/>
          <w:sz w:val="17"/>
          <w:szCs w:val="17"/>
          <w:color w:val="auto"/>
        </w:rPr>
      </w:pPr>
      <w:r>
        <w:rPr>
          <w:rFonts w:ascii="Arial" w:cs="Arial" w:eastAsia="Arial" w:hAnsi="Arial"/>
          <w:sz w:val="17"/>
          <w:szCs w:val="17"/>
          <w:color w:val="auto"/>
        </w:rPr>
        <w:t>of any material change in accounting policies or financial reporting practices by the Borrower or any Restricted Subsidiary (which requirement shall be deemed satisfied by the description thereof in a Form 10-K, Form 10-Q or Form 8-K filed with the SEC);</w:t>
      </w:r>
    </w:p>
    <w:p>
      <w:pPr>
        <w:spacing w:after="0" w:line="38" w:lineRule="exact"/>
        <w:rPr>
          <w:rFonts w:ascii="Arial" w:cs="Arial" w:eastAsia="Arial" w:hAnsi="Arial"/>
          <w:sz w:val="17"/>
          <w:szCs w:val="17"/>
          <w:color w:val="auto"/>
        </w:rPr>
      </w:pPr>
    </w:p>
    <w:p>
      <w:pPr>
        <w:ind w:left="1240" w:hanging="244"/>
        <w:spacing w:after="0"/>
        <w:tabs>
          <w:tab w:leader="none" w:pos="12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of the incurrence or issuance of any Indebtedness for which the Borrower is required to make a mandatory prepayment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2.05; or</w:t>
      </w:r>
    </w:p>
    <w:p>
      <w:pPr>
        <w:spacing w:after="0" w:line="102" w:lineRule="exact"/>
        <w:rPr>
          <w:rFonts w:ascii="Arial" w:cs="Arial" w:eastAsia="Arial" w:hAnsi="Arial"/>
          <w:sz w:val="16"/>
          <w:szCs w:val="16"/>
          <w:color w:val="auto"/>
        </w:rPr>
      </w:pPr>
    </w:p>
    <w:p>
      <w:pPr>
        <w:ind w:firstLine="996"/>
        <w:spacing w:after="0" w:line="264" w:lineRule="auto"/>
        <w:tabs>
          <w:tab w:leader="none" w:pos="121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change in the information provided in the applicable Beneficial Ownership Certification that would result in (i) a change to the list of beneficial owners identified as owning more than 25% of the equity interests of the applicable legal entity or (ii) the person identified as having significant responsibility for managing the applicable legal entity no longer having such responsibility.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notice pursuant to this Section 6.03 (other than Section 6.03(e)) shall be accompanied by a statement of a Responsible Officer of the Borrower setting forth details of the occurrence referred to therein and stating what action the Borrower has taken and proposes to take with respect thereto. Each notice pursuant to Section 6.03(a) shall describe with particularity any and all provisions of this Agreement and any other Loan Document, if any, that have been breached.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Preservation of Existence, Etc.</w:t>
      </w:r>
    </w:p>
    <w:p>
      <w:pPr>
        <w:spacing w:after="0" w:line="117" w:lineRule="exact"/>
        <w:rPr>
          <w:sz w:val="20"/>
          <w:szCs w:val="20"/>
          <w:color w:val="auto"/>
        </w:rPr>
      </w:pPr>
    </w:p>
    <w:p>
      <w:pPr>
        <w:ind w:right="320" w:firstLine="996"/>
        <w:spacing w:after="0" w:line="288" w:lineRule="auto"/>
        <w:tabs>
          <w:tab w:leader="none" w:pos="123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Preserve, renew and maintain in full force and effect its legal existence and good standing under the Laws of the jurisdiction of its organization except in a transaction permitted by Section 7.04; (b) maintain all rights, privileges, permits, and licenses reasonably necessary in the normal conduct of its business, except to the extent that failure to do so could not reasonably be expected to have a Material Adverse Effect;</w:t>
      </w:r>
    </w:p>
    <w:p>
      <w:pPr>
        <w:ind w:left="240" w:hanging="236"/>
        <w:spacing w:after="0"/>
        <w:tabs>
          <w:tab w:leader="none" w:pos="2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preserve, maintain, renew and keep in full force and effect all of its registered patents, trademarks, trade names, trade dress and service</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20"/>
          </w:cols>
          <w:pgMar w:left="440" w:top="273" w:right="539" w:bottom="1440" w:gutter="0" w:footer="0" w:header="0"/>
        </w:sectPr>
      </w:pPr>
    </w:p>
    <w:bookmarkStart w:id="398" w:name="page399"/>
    <w:bookmarkEnd w:id="398"/>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marks, the failure of which to so preserve, maintain, renew or keep in full force and effect could reasonably be expected to have a Material Adverse Effect; and (d) pay and discharge as the same shall become due and payable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Restricted Subsidiary.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Maintenance of Properties.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Maintain, preserve and protect all of its properties and equipment necessary in the operation of its business in good working order and condition, ordinary wear and tear excepted, and (b) make all necessary repairs thereto and renewals and replacements thereof, in each case with respect to clauses (a) and (b) except where the failure to do so could not reasonably be expected to have a Material Adverse Effect.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Maintenance of Insurance.</w:t>
      </w:r>
    </w:p>
    <w:p>
      <w:pPr>
        <w:spacing w:after="0" w:line="117" w:lineRule="exact"/>
        <w:rPr>
          <w:sz w:val="20"/>
          <w:szCs w:val="20"/>
          <w:color w:val="auto"/>
        </w:rPr>
      </w:pPr>
    </w:p>
    <w:p>
      <w:pPr>
        <w:ind w:right="160" w:firstLine="996"/>
        <w:spacing w:after="0" w:line="289" w:lineRule="auto"/>
        <w:tabs>
          <w:tab w:leader="none" w:pos="123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Maintain with financially sound and reputable insurance companies (that are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which insurance (except as to Excluded Subsidiaries) shall name the Administrative Agent, from and after the Debt Assumption as loss payee (in the case of casualty insurance), or at all times as additional insured (in the case of liability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any insurance proceeds are paid on the account of a casualty to assets or properties of any Loan Party that do not constitute Collateral and at such time no Event of Default shall have occurred and is continuing, then the Administrative Agent shall take such actions, including endorsement, to cause any such insurance proceeds to be promptly remitted to the Borrower to be used by the Borrower or such Loan Party in any manner not prohibited by this Agreement.</w:t>
      </w:r>
    </w:p>
    <w:p>
      <w:pPr>
        <w:spacing w:after="0" w:line="58" w:lineRule="exact"/>
        <w:rPr>
          <w:rFonts w:ascii="Arial" w:cs="Arial" w:eastAsia="Arial" w:hAnsi="Arial"/>
          <w:sz w:val="16"/>
          <w:szCs w:val="16"/>
          <w:color w:val="auto"/>
        </w:rPr>
      </w:pPr>
    </w:p>
    <w:p>
      <w:pPr>
        <w:ind w:firstLine="996"/>
        <w:spacing w:after="0" w:line="270" w:lineRule="auto"/>
        <w:tabs>
          <w:tab w:leader="none" w:pos="1247" w:val="left"/>
        </w:tabs>
        <w:numPr>
          <w:ilvl w:val="0"/>
          <w:numId w:val="330"/>
        </w:numPr>
        <w:rPr>
          <w:rFonts w:ascii="Arial" w:cs="Arial" w:eastAsia="Arial" w:hAnsi="Arial"/>
          <w:sz w:val="17"/>
          <w:szCs w:val="17"/>
          <w:color w:val="auto"/>
        </w:rPr>
      </w:pPr>
      <w:r>
        <w:rPr>
          <w:rFonts w:ascii="Arial" w:cs="Arial" w:eastAsia="Arial" w:hAnsi="Arial"/>
          <w:sz w:val="17"/>
          <w:szCs w:val="17"/>
          <w:color w:val="auto"/>
        </w:rPr>
        <w:t>Notwithstanding anything herein to the contrary, from and after the Debt Assumption (if any), with respect to each Mortgaged Property (if any), if at any time the area in which the buildings and other improvements (as described in the applicable Mortgage) (i) are located in an area with a high degree of seismic activity, obtain earthquake insurance in such total amount as the Administrative Agent may from time to time reasonably require or (ii) is designated a “</w:t>
      </w:r>
      <w:r>
        <w:rPr>
          <w:rFonts w:ascii="Arial" w:cs="Arial" w:eastAsia="Arial" w:hAnsi="Arial"/>
          <w:sz w:val="17"/>
          <w:szCs w:val="17"/>
          <w:b w:val="1"/>
          <w:bCs w:val="1"/>
          <w:color w:val="auto"/>
        </w:rPr>
        <w:t>flood hazard area</w:t>
      </w:r>
      <w:r>
        <w:rPr>
          <w:rFonts w:ascii="Arial" w:cs="Arial" w:eastAsia="Arial" w:hAnsi="Arial"/>
          <w:sz w:val="17"/>
          <w:szCs w:val="17"/>
          <w:color w:val="auto"/>
        </w:rPr>
        <w:t>” in any Flood Insurance Rate Map published by the Federal Emergency Management Agency (or any successor agency), obtain flood insurance in such total amount as the Administrative Agent may from time to time reasonably require, and otherwise to ensure compliance with the NFIP as set forth in the Flood Laws. Following the Debt Assumption Date, the Borrower shall deliver to the Administrative Agent annual renewals of each earthquake insurance policy, each flood insurance policy or annual renewals of each force-placed flood insurance policy, as applicable. Following the Debt Assumption Date (if any), in connection with any MIRE Event, the Borrower shall provide prior to such MIRE Event the Administrative Agent (and authorize the Administrative Agent to provide to the Lenders) for each Mortgaged Property (if any) a Flood Determination Form, Borrower Notice and Evidence of Flood Insurance, as applicable.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3" w:right="459" w:bottom="1440" w:gutter="0" w:footer="0" w:header="0"/>
        </w:sectPr>
      </w:pPr>
    </w:p>
    <w:bookmarkStart w:id="399" w:name="page400"/>
    <w:bookmarkEnd w:id="39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6.07. </w:t>
      </w:r>
      <w:r>
        <w:rPr>
          <w:rFonts w:ascii="Arial" w:cs="Arial" w:eastAsia="Arial" w:hAnsi="Arial"/>
          <w:sz w:val="18"/>
          <w:szCs w:val="18"/>
          <w:u w:val="single" w:color="auto"/>
          <w:color w:val="auto"/>
        </w:rPr>
        <w:t>Compliance with Laws.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Maintain in effect and enforce policies and procedures designed to ensure compliance in all material respects by the Borrower and its Restricted Subsidiaries and their respective directors, officers, managers and employees with Anti-Corruption Laws and applicable Sanctions.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Books and Records.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Maintain proper books of record and account, in which full, true and correct entries in conformity with GAAP consistently applied shall be made of all financial transactions, and if and to the extent required by GAAP, matters involving the assets and business of the Borrower or such Restricted Subsidiary, as the case may be.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Inspection Rights.</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Beginning on the one-month anniversary of the Closing Date, permit representatives and independent contractors of the Administrative Agent to visit and inspect any of its properties, to examine its corporate, financial and operating records, and to make copies thereof or abstracts therefrom, and to discuss its affairs, finances and accounts with its directors, managers, officers, and independent public accountants, at such reasonable times during normal business hours and as often as may be reasonably desired (but in no event more than one time per Fiscal Year of the Borrower and with the Borrower being required to pay all reasonable out-of-pocket expenses for one visit each Fiscal Year) by the Administrative Agent, upon reasonable advance notice to the Borrower; provided, however, that when an Event of Default exists the Administrative Agent or any Lender (or any of their respective representatives or independent contractors) may do any of the foregoing at the expense of the Borrower at any time during normal business hours and without advance notice, and without limitation as to frequency.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Use the proceeds of the Credit Extension for the repayment of Indebtedness (which may include the Loans) of the Company and payment of fees, costs, and expenses relating thereto. Pending the application of such proceeds in accordance with the foregoing, such proceeds may be temporarily invested in any manner not prohibited by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400" w:name="page401"/>
    <w:bookmarkEnd w:id="400"/>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8"/>
          <w:szCs w:val="18"/>
          <w:u w:val="single" w:color="auto"/>
          <w:color w:val="auto"/>
        </w:rPr>
        <w:t>Covenant to Guarantee Obligations and Give Security.</w:t>
      </w:r>
    </w:p>
    <w:p>
      <w:pPr>
        <w:spacing w:after="0" w:line="117" w:lineRule="exact"/>
        <w:rPr>
          <w:sz w:val="20"/>
          <w:szCs w:val="20"/>
          <w:color w:val="auto"/>
        </w:rPr>
      </w:pPr>
    </w:p>
    <w:p>
      <w:pPr>
        <w:ind w:left="-40" w:right="80" w:firstLine="996"/>
        <w:spacing w:after="0" w:line="264" w:lineRule="auto"/>
        <w:tabs>
          <w:tab w:leader="none" w:pos="11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Upon the formation or acquisition by any Loan Party of any new direct or indirect Subsidiary (other than any Excluded Subsidiary or any Immaterial Subsidiary), or upon a Subsidiary of any Loan Party ceasing to be an Excluded Subsidiary or ceasing to be an Immaterial Subsidiary, as applicable, the Borrower shall, at the Borrower’s expense:</w:t>
      </w:r>
    </w:p>
    <w:p>
      <w:pPr>
        <w:spacing w:after="0" w:line="73" w:lineRule="exact"/>
        <w:rPr>
          <w:rFonts w:ascii="Arial" w:cs="Arial" w:eastAsia="Arial" w:hAnsi="Arial"/>
          <w:sz w:val="18"/>
          <w:szCs w:val="18"/>
          <w:color w:val="auto"/>
        </w:rPr>
      </w:pPr>
    </w:p>
    <w:p>
      <w:pPr>
        <w:ind w:left="400" w:firstLine="957"/>
        <w:spacing w:after="0" w:line="291" w:lineRule="auto"/>
        <w:tabs>
          <w:tab w:leader="none" w:pos="1567" w:val="left"/>
        </w:tabs>
        <w:numPr>
          <w:ilvl w:val="1"/>
          <w:numId w:val="331"/>
        </w:numPr>
        <w:rPr>
          <w:rFonts w:ascii="Arial" w:cs="Arial" w:eastAsia="Arial" w:hAnsi="Arial"/>
          <w:sz w:val="16"/>
          <w:szCs w:val="16"/>
          <w:color w:val="auto"/>
        </w:rPr>
      </w:pPr>
      <w:r>
        <w:rPr>
          <w:rFonts w:ascii="Arial" w:cs="Arial" w:eastAsia="Arial" w:hAnsi="Arial"/>
          <w:sz w:val="16"/>
          <w:szCs w:val="16"/>
          <w:color w:val="auto"/>
        </w:rPr>
        <w:t>Within 30 days (as such time may be extended by the Administrative Agent in its reasonable discretion) following the creation or acquisition of such Subsidiary or following such Subsidiary ceasing to be an Excluded Subsidiary or ceasing to be an Immaterial Subsidiary, as applicable, cause such Subsidiary to (a) become a Guarantor by executing and delivering to the Administrative Agent a joinder to the Collateral Agreement or such other document as the Administrative Agent shall deem appropriate for such purpose and (b) deliver to the Administrative Agent such other customary documentation reasonably requested by the Administrative Agent including, without limitation, favorable opinions of counsel to such Person (which shall cover, among other things, the legality, validity, binding effect and enforceability of the documentation referred to in clause (a)), all in form, content and scope reasonably satisfactory to the Administrative Agent;</w:t>
      </w:r>
    </w:p>
    <w:p>
      <w:pPr>
        <w:spacing w:after="0" w:line="59" w:lineRule="exact"/>
        <w:rPr>
          <w:rFonts w:ascii="Arial" w:cs="Arial" w:eastAsia="Arial" w:hAnsi="Arial"/>
          <w:sz w:val="16"/>
          <w:szCs w:val="16"/>
          <w:color w:val="auto"/>
        </w:rPr>
      </w:pPr>
    </w:p>
    <w:p>
      <w:pPr>
        <w:ind w:left="400" w:right="180" w:firstLine="957"/>
        <w:spacing w:after="0" w:line="302" w:lineRule="auto"/>
        <w:tabs>
          <w:tab w:leader="none" w:pos="1617" w:val="left"/>
        </w:tabs>
        <w:numPr>
          <w:ilvl w:val="1"/>
          <w:numId w:val="331"/>
        </w:numPr>
        <w:rPr>
          <w:rFonts w:ascii="Arial" w:cs="Arial" w:eastAsia="Arial" w:hAnsi="Arial"/>
          <w:sz w:val="16"/>
          <w:szCs w:val="16"/>
          <w:color w:val="auto"/>
        </w:rPr>
      </w:pPr>
      <w:r>
        <w:rPr>
          <w:rFonts w:ascii="Arial" w:cs="Arial" w:eastAsia="Arial" w:hAnsi="Arial"/>
          <w:sz w:val="16"/>
          <w:szCs w:val="16"/>
          <w:color w:val="auto"/>
        </w:rPr>
        <w:t>within 30 days (as such time may be extended by the Administrative Agent in its reasonable discretion) after such formation or acquisition or after such Subsidiary ceases to be an Excluded Subsidiary or ceases to be an Immaterial Subsidiary, as applicable, if requested in writing by the Administrative Agent or if the Administrative Agent is directed in writing by the Required Lenders to request, furnish to the Administrative Agent a description of the owned real property of such Subsidiary, in detail reasonably satisfactory to the Administrative Agent;</w:t>
      </w:r>
    </w:p>
    <w:p>
      <w:pPr>
        <w:spacing w:after="0" w:line="46" w:lineRule="exact"/>
        <w:rPr>
          <w:rFonts w:ascii="Arial" w:cs="Arial" w:eastAsia="Arial" w:hAnsi="Arial"/>
          <w:sz w:val="16"/>
          <w:szCs w:val="16"/>
          <w:color w:val="auto"/>
        </w:rPr>
      </w:pPr>
    </w:p>
    <w:p>
      <w:pPr>
        <w:jc w:val="both"/>
        <w:ind w:left="400" w:right="140" w:firstLine="957"/>
        <w:spacing w:after="0" w:line="264" w:lineRule="auto"/>
        <w:tabs>
          <w:tab w:leader="none" w:pos="166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within 30 days after such formation or acquisition or after such Subsidiary ceases to be an Excluded Subsidiary or ceases to be an Immaterial Subsidiary, as applicable, cause such Subsidiary and each direct and indirect parent (to the extent such parent is the Borrower or a Subsidiary) of such Subsidiary (if it has not already done so):</w:t>
      </w:r>
    </w:p>
    <w:p>
      <w:pPr>
        <w:spacing w:after="0" w:line="73" w:lineRule="exact"/>
        <w:rPr>
          <w:rFonts w:ascii="Arial" w:cs="Arial" w:eastAsia="Arial" w:hAnsi="Arial"/>
          <w:sz w:val="18"/>
          <w:szCs w:val="18"/>
          <w:color w:val="auto"/>
        </w:rPr>
      </w:pPr>
    </w:p>
    <w:p>
      <w:pPr>
        <w:ind w:left="1400" w:firstLine="380"/>
        <w:spacing w:after="0" w:line="302" w:lineRule="auto"/>
        <w:tabs>
          <w:tab w:leader="none" w:pos="2078" w:val="left"/>
        </w:tabs>
        <w:numPr>
          <w:ilvl w:val="2"/>
          <w:numId w:val="331"/>
        </w:numPr>
        <w:rPr>
          <w:rFonts w:ascii="Arial" w:cs="Arial" w:eastAsia="Arial" w:hAnsi="Arial"/>
          <w:sz w:val="16"/>
          <w:szCs w:val="16"/>
          <w:color w:val="auto"/>
        </w:rPr>
      </w:pPr>
      <w:r>
        <w:rPr>
          <w:rFonts w:ascii="Arial" w:cs="Arial" w:eastAsia="Arial" w:hAnsi="Arial"/>
          <w:sz w:val="16"/>
          <w:szCs w:val="16"/>
          <w:color w:val="auto"/>
        </w:rPr>
        <w:t>to duly execute and deliver to the Administrative Agent collateral and security agreements or supplements thereto, as specified by and in form and substance reasonably satisfactory to the Administrative Agent (including delivery of all pledged Equity Interests in and of such Subsidiary, and other instruments reasonably requested by the Administrative Agent), securing payment of all the Obligations of such Subsidiary or such parent, as the case may be, and constituting Liens on all such personal properties; and</w:t>
      </w:r>
    </w:p>
    <w:p>
      <w:pPr>
        <w:spacing w:after="0" w:line="46" w:lineRule="exact"/>
        <w:rPr>
          <w:rFonts w:ascii="Arial" w:cs="Arial" w:eastAsia="Arial" w:hAnsi="Arial"/>
          <w:sz w:val="16"/>
          <w:szCs w:val="16"/>
          <w:color w:val="auto"/>
        </w:rPr>
      </w:pPr>
    </w:p>
    <w:p>
      <w:pPr>
        <w:ind w:left="1400" w:firstLine="380"/>
        <w:spacing w:after="0" w:line="255" w:lineRule="auto"/>
        <w:tabs>
          <w:tab w:leader="none" w:pos="2068" w:val="left"/>
        </w:tabs>
        <w:numPr>
          <w:ilvl w:val="2"/>
          <w:numId w:val="331"/>
        </w:numPr>
        <w:rPr>
          <w:rFonts w:ascii="Arial" w:cs="Arial" w:eastAsia="Arial" w:hAnsi="Arial"/>
          <w:sz w:val="18"/>
          <w:szCs w:val="18"/>
          <w:color w:val="auto"/>
        </w:rPr>
      </w:pPr>
      <w:r>
        <w:rPr>
          <w:rFonts w:ascii="Arial" w:cs="Arial" w:eastAsia="Arial" w:hAnsi="Arial"/>
          <w:sz w:val="18"/>
          <w:szCs w:val="18"/>
          <w:color w:val="auto"/>
        </w:rPr>
        <w:t>to take whatever action (including the recording of mortgages, the filing of Uniform Commercial Code financing statements, the giving of notices and the endorsement of notices on title documents) may be necessary or advisable in the reasonable opinion of the Administrative Agent to vest in the Administrative Agent (or in any representative of the Administrative Agent designated by it) valid and subsisting first priority perfected Liens on properties purported to be subject to the Collateral Agreement and equity pledge agreements delivered pursuant to this Section 6.11, subject to Permitted Prior Liens; provided that, notwithstanding the foregoing, the Loan Parties shall not be required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40"/>
          </w:cols>
          <w:pgMar w:left="480" w:top="274" w:right="479" w:bottom="1440" w:gutter="0" w:footer="0" w:header="0"/>
        </w:sectPr>
      </w:pPr>
    </w:p>
    <w:bookmarkStart w:id="401" w:name="page402"/>
    <w:bookmarkEnd w:id="401"/>
    <w:p>
      <w:pPr>
        <w:jc w:val="both"/>
        <w:ind w:left="14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take actions to perfect the security interest of the Administrative Agent (x) on any property that is covered by a certificate of title statute of any jurisdiction under the law of which the indication of a security interest on such certificate is required as a condition of perfection thereof or (y) if recordation of a security interest with the Federal Aviation Administration or the International Registry of Mobile Assets is required as a condition of perfection thereof; and</w:t>
      </w:r>
    </w:p>
    <w:p>
      <w:pPr>
        <w:spacing w:after="0" w:line="79" w:lineRule="exact"/>
        <w:rPr>
          <w:sz w:val="20"/>
          <w:szCs w:val="20"/>
          <w:color w:val="auto"/>
        </w:rPr>
      </w:pPr>
    </w:p>
    <w:p>
      <w:pPr>
        <w:ind w:left="440" w:right="180" w:firstLine="957"/>
        <w:spacing w:after="0" w:line="257" w:lineRule="auto"/>
        <w:tabs>
          <w:tab w:leader="none" w:pos="169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within 30 days after such formation or acquisition or after such Subsidiary ceases to be an Excluded Subsidiary or ceases to be an Immaterial Subsidiary, as applicable, deliver to the Administrative Agent, upon the request of the Administrative Agent, a signed copy of a favorable opinion, addressed to the Administrative Agent and the other Secured Parties, of counsel for the Loan Parties reasonably acceptable to the Administrative Agent as to the matters contained in clauses (i) and (iii) above, and as to such other matters as the Administrative Agent may reasonably request.</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Notwithstanding any of the foregoing to the contrary, (i) none of the foregoing requirements relating to the creation or perfection of security interests in the Collateral will apply until the occurrence of the Debt Assumption (it being understood that the Loans are senior unsecured Indebtedness of the Borrower at all time prior to the Debt Assumption), (ii) at all times following the Debt Assumption, the Collateral shall be subject to the limitations and exclusions set forth in the applicable Collateral Documents, (iii) if Section 6.18 is applicable to a category or type of Collateral, the deadlines set forth in Section 6.18 will apply if later notwithstanding anything to the contrary in this Section 6.11(a) and (iv) prior to the Debt Assumption, in no event will any Subsidiary be required to become a Guarantor unless such Subsidiary guarantees the Existing Credit Agreement and the Senior Notes.</w:t>
      </w:r>
    </w:p>
    <w:p>
      <w:pPr>
        <w:spacing w:after="0" w:line="165" w:lineRule="exact"/>
        <w:rPr>
          <w:sz w:val="20"/>
          <w:szCs w:val="20"/>
          <w:color w:val="auto"/>
        </w:rPr>
      </w:pPr>
    </w:p>
    <w:p>
      <w:pPr>
        <w:ind w:right="60" w:firstLine="996"/>
        <w:spacing w:after="0" w:line="255" w:lineRule="auto"/>
        <w:tabs>
          <w:tab w:leader="none" w:pos="12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 respect to any Material Real Estate Assets not owned or leased by a Loan Party on the Debt Assumption Date but owned or leased by a Loan Party thereafter, and all Material Real Estate Assets owned or leased by any Subsidiary that becomes a Loan Party pursuant to Section 6.11(a) above after the Debt Assumption Date (excluding, for the avoidance of doubt, any Immaterial Subsidiary and any Excluded Subsidiary), within 120 days (as such time may be extended by the Administrative Agent in its reasonable discretion) after the date such Material Real Estate Assets is acquired or leased (or such Subsidiary is formed or acquired or ceases to be an Excluded Subsidiary or ceases to be an Immaterial Subsidiary, as the case may be), the Borrower shall, or shall cause the applicable Loan Party to, at its expense, provide, or, with respect to clause (vii), as applicable, acknowledge receipt of, as applicable:</w:t>
      </w:r>
    </w:p>
    <w:p>
      <w:pPr>
        <w:spacing w:after="0" w:line="81" w:lineRule="exact"/>
        <w:rPr>
          <w:rFonts w:ascii="Arial" w:cs="Arial" w:eastAsia="Arial" w:hAnsi="Arial"/>
          <w:sz w:val="18"/>
          <w:szCs w:val="18"/>
          <w:color w:val="auto"/>
        </w:rPr>
      </w:pPr>
    </w:p>
    <w:p>
      <w:pPr>
        <w:ind w:left="440" w:firstLine="957"/>
        <w:spacing w:after="0" w:line="273" w:lineRule="auto"/>
        <w:tabs>
          <w:tab w:leader="none" w:pos="1607" w:val="left"/>
        </w:tabs>
        <w:numPr>
          <w:ilvl w:val="1"/>
          <w:numId w:val="333"/>
        </w:numPr>
        <w:rPr>
          <w:rFonts w:ascii="Arial" w:cs="Arial" w:eastAsia="Arial" w:hAnsi="Arial"/>
          <w:sz w:val="17"/>
          <w:szCs w:val="17"/>
          <w:color w:val="auto"/>
        </w:rPr>
      </w:pPr>
      <w:r>
        <w:rPr>
          <w:rFonts w:ascii="Arial" w:cs="Arial" w:eastAsia="Arial" w:hAnsi="Arial"/>
          <w:sz w:val="17"/>
          <w:szCs w:val="17"/>
          <w:color w:val="auto"/>
        </w:rPr>
        <w:t>(x) in the case of owned Material Real Estate Assets, deeds of trust, trust deeds, deeds to secure debt or mortgages (collectively, with each other mortgage or similar document delivered pursuant to this Section 6.11 or Section 6.18, the “</w:t>
      </w:r>
      <w:r>
        <w:rPr>
          <w:rFonts w:ascii="Arial" w:cs="Arial" w:eastAsia="Arial" w:hAnsi="Arial"/>
          <w:sz w:val="17"/>
          <w:szCs w:val="17"/>
          <w:b w:val="1"/>
          <w:bCs w:val="1"/>
          <w:color w:val="auto"/>
        </w:rPr>
        <w:t>Mortgages</w:t>
      </w:r>
      <w:r>
        <w:rPr>
          <w:rFonts w:ascii="Arial" w:cs="Arial" w:eastAsia="Arial" w:hAnsi="Arial"/>
          <w:sz w:val="17"/>
          <w:szCs w:val="17"/>
          <w:color w:val="auto"/>
        </w:rPr>
        <w:t>”), and (y) in the case of leased Material Real Estate Assets, landlord access waivers or bailee agreements (unless the Borrower shall have used its commercially reasonable efforts to obtain, but failed to obtain, such access waivers), each in form and substance reasonably satisfactory to the Administrative Agent and covering the Material Real Estate Assets then owned or leased by the applicable Loan Party, together with any other Material Real Estate Asset acquired by, or leased by, any Loan Party, in each case duly executed by the appropriate Loan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402" w:name="page403"/>
    <w:bookmarkEnd w:id="402"/>
    <w:p>
      <w:pPr>
        <w:ind w:left="1220" w:hanging="263"/>
        <w:spacing w:after="0"/>
        <w:tabs>
          <w:tab w:leader="none" w:pos="12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description of the owned property so acquired in detail reasonably satisfactory to the Administrative Agent;</w:t>
      </w:r>
    </w:p>
    <w:p>
      <w:pPr>
        <w:spacing w:after="0" w:line="117" w:lineRule="exact"/>
        <w:rPr>
          <w:rFonts w:ascii="Arial" w:cs="Arial" w:eastAsia="Arial" w:hAnsi="Arial"/>
          <w:sz w:val="18"/>
          <w:szCs w:val="18"/>
          <w:color w:val="auto"/>
        </w:rPr>
      </w:pPr>
    </w:p>
    <w:p>
      <w:pPr>
        <w:jc w:val="both"/>
        <w:ind w:right="160" w:firstLine="957"/>
        <w:spacing w:after="0" w:line="302" w:lineRule="auto"/>
        <w:tabs>
          <w:tab w:leader="none" w:pos="126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evidence that counterparts of the Mortgages have been duly executed, acknowledged and delivered and are in form suitable for filing or recording in all filing or recording offices that the Administrative Agent may deem necessary or desirable in order to create a valid first and subsisting Lien on the property described therein subject to Permitted Prior Liens in favor of the Administrative Agent for the benefit of the Secured Parties and that all filing, documentary, stamp, intangible and recording taxes and fees have been paid;</w:t>
      </w:r>
    </w:p>
    <w:p>
      <w:pPr>
        <w:spacing w:after="0" w:line="42" w:lineRule="exact"/>
        <w:rPr>
          <w:rFonts w:ascii="Arial" w:cs="Arial" w:eastAsia="Arial" w:hAnsi="Arial"/>
          <w:sz w:val="16"/>
          <w:szCs w:val="16"/>
          <w:color w:val="auto"/>
        </w:rPr>
      </w:pPr>
    </w:p>
    <w:p>
      <w:pPr>
        <w:ind w:firstLine="957"/>
        <w:spacing w:after="0" w:line="261" w:lineRule="auto"/>
        <w:tabs>
          <w:tab w:leader="none" w:pos="125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fully paid American Land Title Association Lender’s Extended Coverage title insurance policies (the “</w:t>
      </w:r>
      <w:r>
        <w:rPr>
          <w:rFonts w:ascii="Arial" w:cs="Arial" w:eastAsia="Arial" w:hAnsi="Arial"/>
          <w:sz w:val="18"/>
          <w:szCs w:val="18"/>
          <w:b w:val="1"/>
          <w:bCs w:val="1"/>
          <w:color w:val="auto"/>
        </w:rPr>
        <w:t>Mortgage Policies</w:t>
      </w:r>
      <w:r>
        <w:rPr>
          <w:rFonts w:ascii="Arial" w:cs="Arial" w:eastAsia="Arial" w:hAnsi="Arial"/>
          <w:sz w:val="18"/>
          <w:szCs w:val="18"/>
          <w:color w:val="auto"/>
        </w:rPr>
        <w:t>”), with endorsements and in amounts reasonably acceptable to the Administrative Agent, issued, coinsured and reinsured by title insurers acceptable to the Administrative Agent, insuring the Mortgages to be valid first and subsisting Liens on the property described therein, subject only to Permitted Prior Liens;</w:t>
      </w:r>
    </w:p>
    <w:p>
      <w:pPr>
        <w:spacing w:after="0" w:line="75" w:lineRule="exact"/>
        <w:rPr>
          <w:rFonts w:ascii="Arial" w:cs="Arial" w:eastAsia="Arial" w:hAnsi="Arial"/>
          <w:sz w:val="18"/>
          <w:szCs w:val="18"/>
          <w:color w:val="auto"/>
        </w:rPr>
      </w:pPr>
    </w:p>
    <w:p>
      <w:pPr>
        <w:ind w:right="20" w:firstLine="957"/>
        <w:spacing w:after="0" w:line="270" w:lineRule="auto"/>
        <w:tabs>
          <w:tab w:leader="none" w:pos="120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American Land Title Association/American Congress on Surveying and Mapping form surveys, for which all necessary fees (where applicable) have been paid, and dated no less than 120 days (or such other date as may be reasonably acceptable to the Administrative Agent (and it shall be deemed reasonably acceptable if sufficient to delete the survey exception from any such Mortgage Policy)) prior to the date of acquisition of such real property and improvements thereon or recordation of the Mortgage, as applicable, in each case certified to the Administrative Agent, the applicable Loan Party, and the issuer of the Mortgage Policies in a manner reasonably satisfactory to the Administrative Agent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encroachments, either by such improvements or on to such property, and other defects;</w:t>
      </w:r>
    </w:p>
    <w:p>
      <w:pPr>
        <w:spacing w:after="0" w:line="73" w:lineRule="exact"/>
        <w:rPr>
          <w:rFonts w:ascii="Arial" w:cs="Arial" w:eastAsia="Arial" w:hAnsi="Arial"/>
          <w:sz w:val="17"/>
          <w:szCs w:val="17"/>
          <w:color w:val="auto"/>
        </w:rPr>
      </w:pPr>
    </w:p>
    <w:p>
      <w:pPr>
        <w:ind w:left="1260" w:hanging="303"/>
        <w:spacing w:after="0"/>
        <w:tabs>
          <w:tab w:leader="none" w:pos="1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without limiting clause (vii) below, evidence of the insurance to the extent required by the terms of the Mortgages;</w:t>
      </w:r>
    </w:p>
    <w:p>
      <w:pPr>
        <w:spacing w:after="0" w:line="117" w:lineRule="exact"/>
        <w:rPr>
          <w:rFonts w:ascii="Arial" w:cs="Arial" w:eastAsia="Arial" w:hAnsi="Arial"/>
          <w:sz w:val="18"/>
          <w:szCs w:val="18"/>
          <w:color w:val="auto"/>
        </w:rPr>
      </w:pPr>
    </w:p>
    <w:p>
      <w:pPr>
        <w:ind w:right="20" w:firstLine="957"/>
        <w:spacing w:after="0" w:line="276" w:lineRule="auto"/>
        <w:tabs>
          <w:tab w:leader="none" w:pos="130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at least forty days (as such time period may be reduced by the Administrative Agent in its reasonable discretion) prior to the end of the 120 day period referred to in the lead in to this clause (b), the following documents (collectively, the “</w:t>
      </w:r>
      <w:r>
        <w:rPr>
          <w:rFonts w:ascii="Arial" w:cs="Arial" w:eastAsia="Arial" w:hAnsi="Arial"/>
          <w:sz w:val="17"/>
          <w:szCs w:val="17"/>
          <w:b w:val="1"/>
          <w:bCs w:val="1"/>
          <w:color w:val="auto"/>
        </w:rPr>
        <w:t>Flood Documents</w:t>
      </w:r>
      <w:r>
        <w:rPr>
          <w:rFonts w:ascii="Arial" w:cs="Arial" w:eastAsia="Arial" w:hAnsi="Arial"/>
          <w:sz w:val="17"/>
          <w:szCs w:val="17"/>
          <w:color w:val="auto"/>
        </w:rPr>
        <w:t>”): (A) a completed standard “life of loan” flood hazard determination form (a “</w:t>
      </w:r>
      <w:r>
        <w:rPr>
          <w:rFonts w:ascii="Arial" w:cs="Arial" w:eastAsia="Arial" w:hAnsi="Arial"/>
          <w:sz w:val="17"/>
          <w:szCs w:val="17"/>
          <w:b w:val="1"/>
          <w:bCs w:val="1"/>
          <w:color w:val="auto"/>
        </w:rPr>
        <w:t>Flood Determination Form</w:t>
      </w:r>
      <w:r>
        <w:rPr>
          <w:rFonts w:ascii="Arial" w:cs="Arial" w:eastAsia="Arial" w:hAnsi="Arial"/>
          <w:sz w:val="17"/>
          <w:szCs w:val="17"/>
          <w:color w:val="auto"/>
        </w:rPr>
        <w:t>”), (B) if the improvement(s) to the applicable improved real property is located in a special flood hazard area, a notification to the Borrower (“</w:t>
      </w:r>
      <w:r>
        <w:rPr>
          <w:rFonts w:ascii="Arial" w:cs="Arial" w:eastAsia="Arial" w:hAnsi="Arial"/>
          <w:sz w:val="17"/>
          <w:szCs w:val="17"/>
          <w:b w:val="1"/>
          <w:bCs w:val="1"/>
          <w:color w:val="auto"/>
        </w:rPr>
        <w:t>Borrower Notice</w:t>
      </w:r>
      <w:r>
        <w:rPr>
          <w:rFonts w:ascii="Arial" w:cs="Arial" w:eastAsia="Arial" w:hAnsi="Arial"/>
          <w:sz w:val="17"/>
          <w:szCs w:val="17"/>
          <w:color w:val="auto"/>
        </w:rPr>
        <w:t>”) and (if applicable) notification to the Borrower that flood insurance coverage under the National Flood Insurance Program (“</w:t>
      </w:r>
      <w:r>
        <w:rPr>
          <w:rFonts w:ascii="Arial" w:cs="Arial" w:eastAsia="Arial" w:hAnsi="Arial"/>
          <w:sz w:val="17"/>
          <w:szCs w:val="17"/>
          <w:b w:val="1"/>
          <w:bCs w:val="1"/>
          <w:color w:val="auto"/>
        </w:rPr>
        <w:t>NFIP</w:t>
      </w:r>
      <w:r>
        <w:rPr>
          <w:rFonts w:ascii="Arial" w:cs="Arial" w:eastAsia="Arial" w:hAnsi="Arial"/>
          <w:sz w:val="17"/>
          <w:szCs w:val="17"/>
          <w:color w:val="auto"/>
        </w:rPr>
        <w:t>”) is not available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580"/>
          </w:cols>
          <w:pgMar w:left="880" w:top="273" w:right="439" w:bottom="1440" w:gutter="0" w:footer="0" w:header="0"/>
        </w:sectPr>
      </w:pPr>
    </w:p>
    <w:bookmarkStart w:id="403" w:name="page404"/>
    <w:bookmarkEnd w:id="403"/>
    <w:p>
      <w:pPr>
        <w:ind w:left="44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because the community does not participate in the NFIP, (C) documentation evidencing the Borrower’s receipt of the Borrower Notice (e.g., countersigned Borrower Notice, return receipt of certified U.S. Mail, or overnight delivery), and (D) if the Borrower Notice is required to be given and flood insurance is available in the community in which the property is located, a copy of one of the following: the flood insurance policy, the Borrower’s application for a flood insurance policy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proof of premium payment, a declaration page confirming that flood insurance has been issued, or such other evidence of flood insurance reasonably satisfactory to the Administrative Agent (any of the foregoing being “</w:t>
      </w:r>
      <w:r>
        <w:rPr>
          <w:rFonts w:ascii="Arial" w:cs="Arial" w:eastAsia="Arial" w:hAnsi="Arial"/>
          <w:sz w:val="18"/>
          <w:szCs w:val="18"/>
          <w:b w:val="1"/>
          <w:bCs w:val="1"/>
          <w:color w:val="auto"/>
        </w:rPr>
        <w:t>Evidence of</w:t>
      </w:r>
      <w:r>
        <w:rPr>
          <w:rFonts w:ascii="Arial" w:cs="Arial" w:eastAsia="Arial" w:hAnsi="Arial"/>
          <w:sz w:val="18"/>
          <w:szCs w:val="18"/>
          <w:color w:val="auto"/>
        </w:rPr>
        <w:t xml:space="preserve"> </w:t>
      </w:r>
      <w:r>
        <w:rPr>
          <w:rFonts w:ascii="Arial" w:cs="Arial" w:eastAsia="Arial" w:hAnsi="Arial"/>
          <w:sz w:val="18"/>
          <w:szCs w:val="18"/>
          <w:b w:val="1"/>
          <w:bCs w:val="1"/>
          <w:color w:val="auto"/>
        </w:rPr>
        <w:t>Flood Insurance</w:t>
      </w:r>
      <w:r>
        <w:rPr>
          <w:rFonts w:ascii="Arial" w:cs="Arial" w:eastAsia="Arial" w:hAnsi="Arial"/>
          <w:sz w:val="18"/>
          <w:szCs w:val="18"/>
          <w:color w:val="auto"/>
        </w:rPr>
        <w:t>”); and</w:t>
      </w:r>
    </w:p>
    <w:p>
      <w:pPr>
        <w:spacing w:after="0" w:line="85" w:lineRule="exact"/>
        <w:rPr>
          <w:sz w:val="20"/>
          <w:szCs w:val="20"/>
          <w:color w:val="auto"/>
        </w:rPr>
      </w:pPr>
    </w:p>
    <w:p>
      <w:pPr>
        <w:ind w:left="440" w:right="40" w:firstLine="957"/>
        <w:spacing w:after="0" w:line="264" w:lineRule="auto"/>
        <w:tabs>
          <w:tab w:leader="none" w:pos="179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such legal opinions and other customary documents (including a certificate from the Borrower certifying that all conditions and requirements in clause (vii) above have been satisfied) as the Administrative Agent may reasonably request with respect to such Mortgage or Mortgaged Property.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 of the foregoing to the contrary, but without derogation of the Borrower’s obligation to deliver information as set forth in clause</w:t>
      </w:r>
    </w:p>
    <w:p>
      <w:pPr>
        <w:spacing w:after="0" w:line="35" w:lineRule="exact"/>
        <w:rPr>
          <w:sz w:val="20"/>
          <w:szCs w:val="20"/>
          <w:color w:val="auto"/>
        </w:rPr>
      </w:pPr>
    </w:p>
    <w:p>
      <w:pPr>
        <w:ind w:firstLine="4"/>
        <w:spacing w:after="0" w:line="281" w:lineRule="auto"/>
        <w:tabs>
          <w:tab w:leader="none" w:pos="35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above or acknowledge receipt of any such information, as applicable, (i) at all times after the Debt Assumption the Collateral shall be subject to the limitations and exclusions set forth in the applicable Collateral Documents, (ii) the Administrative Agent shall not enter into a Mortgage in respect of any owned Material Real Estate Asset acquired by a Loan Party after the Debt Assumption Date until (a) if such Mortgage relates to a property not located in a flood zone, five Business Days after the Administrative Agent has received and has delivered to the Lenders a completed Flood Determination Form or (b) if such Mortgage relates to property located in a flood zone, 30 calendar days after the Administrative Agent has received the following documents and has delivered such documents to the Lenders: (x) a completed Flood Determination Form, (y) if such real property is located in a “special flood hazard area”, (1) Borrower Notice and (if applicable) notification to the Borrower that flood insurance coverage under the NFIP is not available because the community does not participate in the NFIP and (2) documentation evidencing the Borrower’s receipt of the Borrower Notice (e.g., countersigned Borrower Notice, return receipt of certified U.S. Mail, or overnight delivery) and (z) if flood insurance is required by Flood Laws, Evidence of Flood Insurance, (iii) the Administrative Agent shall not include in any Mortgage any improvements to real property that (x) are located in a special flood hazard area, (y) have an aggregate value of no more than $2,500,000 and (z) are not material to the overall value of such real property and</w:t>
      </w:r>
    </w:p>
    <w:p>
      <w:pPr>
        <w:spacing w:after="0" w:line="7" w:lineRule="exact"/>
        <w:rPr>
          <w:rFonts w:ascii="Arial" w:cs="Arial" w:eastAsia="Arial" w:hAnsi="Arial"/>
          <w:sz w:val="16"/>
          <w:szCs w:val="16"/>
          <w:color w:val="auto"/>
        </w:rPr>
      </w:pPr>
    </w:p>
    <w:p>
      <w:pPr>
        <w:ind w:left="300" w:hanging="296"/>
        <w:spacing w:after="0"/>
        <w:tabs>
          <w:tab w:leader="none" w:pos="3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deadlines set forth in Section 6.18 will apply if later notwithstanding anything to the contrary in this Section 6.11(b).</w:t>
      </w:r>
    </w:p>
    <w:p>
      <w:pPr>
        <w:spacing w:after="0" w:line="210" w:lineRule="exact"/>
        <w:rPr>
          <w:rFonts w:ascii="Arial" w:cs="Arial" w:eastAsia="Arial" w:hAnsi="Arial"/>
          <w:sz w:val="18"/>
          <w:szCs w:val="18"/>
          <w:color w:val="auto"/>
        </w:rPr>
      </w:pPr>
    </w:p>
    <w:p>
      <w:pPr>
        <w:ind w:firstLine="996"/>
        <w:spacing w:after="0" w:line="272" w:lineRule="auto"/>
        <w:tabs>
          <w:tab w:leader="none" w:pos="1237"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At any time after the Debt Assumption Date upon request of the Administrative Agent, the Borrower shall, and shall cause each of its Restricted Subsidiaries that is or becomes a Guarantor to, at the Borrower’s expense, (i) promptly execute and deliver any and all further instruments and documents and take all such other action as the Administrative Agent may deem reasonably necessary or desirable in obtaining the full benefits of, or (as applicable) in perfecting and preserving the Liens of, such guaranties, deeds of trust, trust deeds, deeds to secure debt, mortgages, landlord access waivers, security agreement supplements, intellectual property security agreement supplements and other security and pledge agreements consistent with the terms and provisions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the Loan Parties shall not be required to take actions to perfect the security interest of the Administrative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3" w:right="439" w:bottom="1440" w:gutter="0" w:footer="0" w:header="0"/>
        </w:sectPr>
      </w:pPr>
    </w:p>
    <w:bookmarkStart w:id="404" w:name="page405"/>
    <w:bookmarkEnd w:id="404"/>
    <w:p>
      <w:pPr>
        <w:jc w:val="both"/>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Agent (x) on any property that is covered by a certificate of title statute of any jurisdiction under the law of which the indication of a security interest on such certificate is required as a condition of perfection thereof or (y) if recordation of a security interest with the Federal Aviation Administration or the International Registry of Mobile Assets is required as a condition of perfection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Section 6.18 is applicable to a category or type of Collateral, the deadlines set forth in Section 6.18 will apply if later notwithstanding anything to the contrary in this Section 6.11(c).</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Compliance with Environmental Laws.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Comply, and cause all lessees and other Persons operating or occupying its properties to comply with all applicable Environmental Laws and Environmental Permits, except where the failure to so comply would not reasonably be likely to have a Material Adverse Effect; and, if ordered to do so by a Governmental Authority or otherwise required pursuant to any Environmental Law, conduct any investigation, study, sampling and testing, and undertake any cleanup, removal, remedial or other action necessary to address all Hazardous Materials from any of its properties, in accordance with the requirements of all Environmental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Borrower nor any of its Restricted Subsidiaries shall be required to undertake any such ordered or required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Preparation of Environmental Reports.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any time after the Debt Assumption Date, at the written request of the Required Lenders from time to time, but no more than one time for any owned Material Real Estate Asset or other owned real property subject to a Mortgage (any such real property, an “</w:t>
      </w:r>
      <w:r>
        <w:rPr>
          <w:rFonts w:ascii="Arial" w:cs="Arial" w:eastAsia="Arial" w:hAnsi="Arial"/>
          <w:sz w:val="16"/>
          <w:szCs w:val="16"/>
          <w:b w:val="1"/>
          <w:bCs w:val="1"/>
          <w:color w:val="auto"/>
        </w:rPr>
        <w:t>Assessment Property</w:t>
      </w:r>
      <w:r>
        <w:rPr>
          <w:rFonts w:ascii="Arial" w:cs="Arial" w:eastAsia="Arial" w:hAnsi="Arial"/>
          <w:sz w:val="16"/>
          <w:szCs w:val="16"/>
          <w:color w:val="auto"/>
        </w:rPr>
        <w:t>”) (unless a Default shall have occurred and be continuing, during which time no such limitation shall apply) provide to the Lenders within 90 days after such request, at the expense of the Borrower, a written environmental site assessment report for any of such real properties described in such request, prepared by an environmental consulting firm and in form and substance reasonably acceptable to the Administrative Agent (which acceptance shall not be unreasonably withheld or delayed), reasonably investigating the presence or absence of Hazardous Materials and the estimated reasonable cost of any compliance, removal or remedial action in connection with any Hazardous Materials on such real properties to the extent required by Environmental Law (the “</w:t>
      </w:r>
      <w:r>
        <w:rPr>
          <w:rFonts w:ascii="Arial" w:cs="Arial" w:eastAsia="Arial" w:hAnsi="Arial"/>
          <w:sz w:val="16"/>
          <w:szCs w:val="16"/>
          <w:b w:val="1"/>
          <w:bCs w:val="1"/>
          <w:color w:val="auto"/>
        </w:rPr>
        <w:t>Cost Estimate</w:t>
      </w:r>
      <w:r>
        <w:rPr>
          <w:rFonts w:ascii="Arial" w:cs="Arial" w:eastAsia="Arial" w:hAnsi="Arial"/>
          <w:sz w:val="16"/>
          <w:szCs w:val="16"/>
          <w:color w:val="auto"/>
        </w:rPr>
        <w:t xml:space="preserve">”); without limiting the generality of the foregoing, if the Administrative Agent reasonably determines at any time that a material risk exists that any such report will not be provided to the Lenders within the time referred to above, the Administrative Agent may retain an environmental consulting firm to prepare such report at the expense of the Borrower, and the Borrower hereby grants and agrees to cause any Restricted Subsidiary that owns any real property described in such request to grant at the time of such request to the Administrative Agent, the Lenders, such firm and any agents or representatives thereof an irrevocable non-exclusive license, subject to the rights of tenants, to enter onto their respective real properties to undertake such an assessment at reasonable times and with reasonable advance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shall request the environmental consulting firm to carry levels of insurance, if any, as may be customary for the performance of such assessment. In determining the Cost Estimate, the Borrower’s or the Administrative Agent’s environmental consulting firm shall</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405" w:name="page406"/>
    <w:bookmarkEnd w:id="405"/>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take into account the existing use of the Assessment Property and the potential use of institutional controls to address the Hazardous Materials on the Assessment Property and the availability of risk-based approaches to address any Hazardous Materials on the Assessment Property. No Phase II or other invasive environmental report shall be required by this Section or undertaken pursuant to this Section unless an Event of Default shall have occurred and be continuing at the time that the Required Lenders have made a written request thereof.</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Lender Calls.</w:t>
      </w:r>
    </w:p>
    <w:p>
      <w:pPr>
        <w:spacing w:after="0" w:line="117" w:lineRule="exact"/>
        <w:rPr>
          <w:sz w:val="20"/>
          <w:szCs w:val="20"/>
          <w:color w:val="auto"/>
        </w:rPr>
      </w:pPr>
    </w:p>
    <w:p>
      <w:pPr>
        <w:ind w:right="40" w:firstLine="4"/>
        <w:spacing w:after="0" w:line="257" w:lineRule="auto"/>
        <w:tabs>
          <w:tab w:leader="none" w:pos="24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Participate in an annual meeting of the Administrative Agent and the Lenders to be held at the Borrower’s corporate offices (or at such other location as may be agreed to by the Borrower and the Administrative Agent, including by telephonic conference calls) at such time as may be agreed to by the Borrower and the Administrative Agent (but in any event no earlier than the one-month anniversary of the Closing Date) and (b) prior to the Debt Assumption, invite the Lenders to participate in any quarterly conference calls made available to the bondholders of any of the Senior Notes (although Borrower shall have no obligation to hold any such quarterly conference calls).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or Section 6.11,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the Loan Parties shall not be required to take actions to create or perfect the security interest of the Administrative Agent (x) on any property that is covered by a certificate of title statute of any jurisdiction under the law of which the indication of a security interest on such certificate is required as a condition of perfection thereof, (y) if recordation of a security interest with the Federal Aviation Administration or the International Registry of Mobile Assets is required as a condition of perfection thereof, or (z) prior to the Debt Assumption;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Section 6.18 is applicable to a category or type of Collateral, the deadlines set forth in Section 6.18 will apply if later notwithstanding anything to the contrary in this Section 6.15.</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440" w:top="274" w:right="439" w:bottom="1440" w:gutter="0" w:footer="0" w:header="0"/>
        </w:sectPr>
      </w:pPr>
    </w:p>
    <w:bookmarkStart w:id="406" w:name="page407"/>
    <w:bookmarkEnd w:id="4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6.17. </w:t>
      </w:r>
      <w:r>
        <w:rPr>
          <w:rFonts w:ascii="Arial" w:cs="Arial" w:eastAsia="Arial" w:hAnsi="Arial"/>
          <w:sz w:val="18"/>
          <w:szCs w:val="18"/>
          <w:u w:val="single" w:color="auto"/>
          <w:color w:val="auto"/>
        </w:rPr>
        <w:t>Designation of Restricted and Unrestricted Subsidiaries.</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Borrower may designate any Restricted Subsidiary to be an Unrestricted Subsidiary in accordance with the definition of “</w:t>
      </w:r>
      <w:r>
        <w:rPr>
          <w:rFonts w:ascii="Arial" w:cs="Arial" w:eastAsia="Arial" w:hAnsi="Arial"/>
          <w:sz w:val="16"/>
          <w:szCs w:val="16"/>
          <w:b w:val="1"/>
          <w:bCs w:val="1"/>
          <w:color w:val="auto"/>
        </w:rPr>
        <w:t>Unrestricted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Subsidiary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immediately before and after giving effect to such designation, no Default or Event of Default shall have occurred and be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and (ii) no Subsidiary may be designated as an Unrestricted Subsidiary if it is a “</w:t>
      </w:r>
      <w:r>
        <w:rPr>
          <w:rFonts w:ascii="Arial" w:cs="Arial" w:eastAsia="Arial" w:hAnsi="Arial"/>
          <w:sz w:val="16"/>
          <w:szCs w:val="16"/>
          <w:b w:val="1"/>
          <w:bCs w:val="1"/>
          <w:color w:val="auto"/>
        </w:rPr>
        <w:t>Restricted Subsidiary</w:t>
      </w:r>
      <w:r>
        <w:rPr>
          <w:rFonts w:ascii="Arial" w:cs="Arial" w:eastAsia="Arial" w:hAnsi="Arial"/>
          <w:sz w:val="16"/>
          <w:szCs w:val="16"/>
          <w:color w:val="auto"/>
        </w:rPr>
        <w:t>” as defined in any capital markets Indebtedness of the Borrower. All outstanding Investments owned by the Borrower and its Restricted Subsidiaries in the designated Unrestricted Subsidiary will be treated as an Investment by the Borrower or such Restricted Subsidiary, as applicable, made at the time of the designation. The amount of all such outstanding Investments will be the aggregate fair market value of such Investments at the time of the designation. The designation will not be permitted if such Investment would not be permitted under Section 7.02 at that time and if such Restricted Subsidiary does not otherwise meet the definition of an Unrestricted Subsidiary. Any designation of a Subsidiary of the Borrower as an Unrestricted Subsidiary shall be evidenced to the Administrative Agent by delivering to the Administrative Agent a certified copy of the board resolution of the Borrower giving effect to such designation and a certificate signed by a Responsible Officer of the Borrower certifying that such designation complied with the foregoing conditions and the conditions set forth in the definition of “</w:t>
      </w:r>
      <w:r>
        <w:rPr>
          <w:rFonts w:ascii="Arial" w:cs="Arial" w:eastAsia="Arial" w:hAnsi="Arial"/>
          <w:sz w:val="16"/>
          <w:szCs w:val="16"/>
          <w:b w:val="1"/>
          <w:bCs w:val="1"/>
          <w:color w:val="auto"/>
        </w:rPr>
        <w:t>Unrestricted Subsidiary</w:t>
      </w:r>
      <w:r>
        <w:rPr>
          <w:rFonts w:ascii="Arial" w:cs="Arial" w:eastAsia="Arial" w:hAnsi="Arial"/>
          <w:sz w:val="16"/>
          <w:szCs w:val="16"/>
          <w:color w:val="auto"/>
        </w:rPr>
        <w:t>” and was permitted by Section 6.17.</w:t>
      </w:r>
    </w:p>
    <w:p>
      <w:pPr>
        <w:spacing w:after="0" w:line="16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If, at any time, any Unrestricted Subsidiary would fail to meet any of the requirements as an Unrestricted Subsidiary, it shall thereafter cease to be an Unrestricted Subsidiary for purposes of this Agreement and (1) any Indebtedness of such Subsidiary, (2) any Liens of such Subsidiary or (3) any Investments of such Subsidiary, in each case shall be deemed to be incurred by a Restricted Subsidiary of the Borrower as of such date and, if such Indebtedness, Liens or Investments are not permitted to be incurred as of such date under Article 7, as applicable, the Borrower shall be in default of such Article 7, as applicable.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Borrower may at any time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shall be deemed to be an incurrence, on the date of designation, of Indebtedness, Liens and Investments by a Restricted Subsidiary of the Borrower of any outstanding Indebtedness, Liens and Investments of such Unrestricted Subsidiary and such designation shall only be permitted if (1) such Indebtedness is permitted under Section 7.03, such Liens are permitted under Section 7.01 and such Investments are permitted under Section 7.02; and (2) no Default or Event of Default shall have occurred and be continuing.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Post-Closing Covenants.</w:t>
      </w:r>
    </w:p>
    <w:p>
      <w:pPr>
        <w:spacing w:after="0" w:line="117" w:lineRule="exact"/>
        <w:rPr>
          <w:sz w:val="20"/>
          <w:szCs w:val="20"/>
          <w:color w:val="auto"/>
        </w:rPr>
      </w:pPr>
    </w:p>
    <w:p>
      <w:pPr>
        <w:ind w:left="1240" w:hanging="244"/>
        <w:spacing w:after="0"/>
        <w:tabs>
          <w:tab w:leader="none" w:pos="124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To the extent not already delivered on the Closing Date or on the Debt Assumption Date, as applicable, the Borrower shall deliver</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legal opinions of Lewis Rice LLC, counsel to the Loan Parties, and Epstein Becker &amp; Green, P.C., New York counsel to the Loan Parties, and</w:t>
      </w:r>
    </w:p>
    <w:p>
      <w:pPr>
        <w:spacing w:after="0" w:line="20" w:lineRule="exact"/>
        <w:rPr>
          <w:rFonts w:ascii="Arial" w:cs="Arial" w:eastAsia="Arial" w:hAnsi="Arial"/>
          <w:sz w:val="17"/>
          <w:szCs w:val="17"/>
          <w:color w:val="auto"/>
        </w:rPr>
      </w:pPr>
    </w:p>
    <w:p>
      <w:pPr>
        <w:ind w:left="260" w:hanging="256"/>
        <w:spacing w:after="0"/>
        <w:tabs>
          <w:tab w:leader="none" w:pos="2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secretary’s certificates, in each case with respect to the Guarantors and in form and substance reasonably satisfactory to the Arrangers:</w:t>
      </w:r>
    </w:p>
    <w:p>
      <w:pPr>
        <w:spacing w:after="0" w:line="114" w:lineRule="exact"/>
        <w:rPr>
          <w:rFonts w:ascii="Arial" w:cs="Arial" w:eastAsia="Arial" w:hAnsi="Arial"/>
          <w:sz w:val="17"/>
          <w:szCs w:val="17"/>
          <w:color w:val="auto"/>
        </w:rPr>
      </w:pPr>
    </w:p>
    <w:p>
      <w:pPr>
        <w:jc w:val="both"/>
        <w:ind w:left="440" w:right="60" w:firstLine="957"/>
        <w:spacing w:after="0" w:line="259" w:lineRule="auto"/>
        <w:tabs>
          <w:tab w:leader="none" w:pos="1607" w:val="left"/>
        </w:tabs>
        <w:numPr>
          <w:ilvl w:val="2"/>
          <w:numId w:val="340"/>
        </w:numPr>
        <w:rPr>
          <w:rFonts w:ascii="Arial" w:cs="Arial" w:eastAsia="Arial" w:hAnsi="Arial"/>
          <w:sz w:val="18"/>
          <w:szCs w:val="18"/>
          <w:color w:val="auto"/>
        </w:rPr>
      </w:pPr>
      <w:r>
        <w:rPr>
          <w:rFonts w:ascii="Arial" w:cs="Arial" w:eastAsia="Arial" w:hAnsi="Arial"/>
          <w:sz w:val="18"/>
          <w:szCs w:val="18"/>
          <w:color w:val="auto"/>
        </w:rPr>
        <w:t xml:space="preserve">with respect to the Pre-Assumption Guarantors, within fifteen Business Days following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opinions and secretary’s certificates shall be required to be delivered if (a) the Debt Assumption has occurred prior to such 15</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Closing Date (or such later date as the Administrative Agent may agree to in its sole discretion) or (b) the Loans have been repaid in full prior to such date;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407" w:name="page408"/>
    <w:bookmarkEnd w:id="407"/>
    <w:p>
      <w:pPr>
        <w:ind w:left="440" w:firstLine="957"/>
        <w:spacing w:after="0" w:line="342" w:lineRule="auto"/>
        <w:tabs>
          <w:tab w:leader="none" w:pos="1657" w:val="left"/>
        </w:tabs>
        <w:numPr>
          <w:ilvl w:val="1"/>
          <w:numId w:val="3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the Post-Assumption Guarantors, within ten Business Days following the Debt Assumption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opinions and secretary’s certificates shall be required to be delivered if the Loans have been repaid in full prior to such date.</w:t>
      </w:r>
    </w:p>
    <w:p>
      <w:pPr>
        <w:spacing w:after="0" w:line="123" w:lineRule="exact"/>
        <w:rPr>
          <w:rFonts w:ascii="Arial" w:cs="Arial" w:eastAsia="Arial" w:hAnsi="Arial"/>
          <w:sz w:val="16"/>
          <w:szCs w:val="16"/>
          <w:color w:val="auto"/>
        </w:rPr>
      </w:pPr>
    </w:p>
    <w:p>
      <w:pPr>
        <w:ind w:right="120" w:firstLine="996"/>
        <w:spacing w:after="0" w:line="264" w:lineRule="auto"/>
        <w:tabs>
          <w:tab w:leader="none" w:pos="12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Following the Debt Assumption Date, the Loan Parties shall, to the extent such actions are not already completed on the Debt Assumption Date (it being understood that all Collateral which may be perfected by the filing of a UCC financing statement is required to be perfected on the Debt Assumption Date pursuant to the Guarantee and Collateral Agreement):</w:t>
      </w:r>
    </w:p>
    <w:p>
      <w:pPr>
        <w:spacing w:after="0" w:line="73" w:lineRule="exact"/>
        <w:rPr>
          <w:rFonts w:ascii="Arial" w:cs="Arial" w:eastAsia="Arial" w:hAnsi="Arial"/>
          <w:sz w:val="18"/>
          <w:szCs w:val="18"/>
          <w:color w:val="auto"/>
        </w:rPr>
      </w:pPr>
    </w:p>
    <w:p>
      <w:pPr>
        <w:ind w:left="440" w:right="200" w:firstLine="957"/>
        <w:spacing w:after="0" w:line="264" w:lineRule="auto"/>
        <w:tabs>
          <w:tab w:leader="none" w:pos="1607" w:val="left"/>
        </w:tabs>
        <w:numPr>
          <w:ilvl w:val="1"/>
          <w:numId w:val="342"/>
        </w:numPr>
        <w:rPr>
          <w:rFonts w:ascii="Arial" w:cs="Arial" w:eastAsia="Arial" w:hAnsi="Arial"/>
          <w:sz w:val="18"/>
          <w:szCs w:val="18"/>
          <w:color w:val="auto"/>
        </w:rPr>
      </w:pPr>
      <w:r>
        <w:rPr>
          <w:rFonts w:ascii="Arial" w:cs="Arial" w:eastAsia="Arial" w:hAnsi="Arial"/>
          <w:sz w:val="18"/>
          <w:szCs w:val="18"/>
          <w:color w:val="auto"/>
        </w:rPr>
        <w:t>with respect to Material Real Estate Assets owned as of the Debt Assumption Date, provide the Mortgages and the other documents, and take such other actions, as are specified in Section 6.11(b)(i)-(viii), in each case within 90 days following the Debt Assumption Date; and</w:t>
      </w:r>
    </w:p>
    <w:p>
      <w:pPr>
        <w:spacing w:after="0" w:line="73" w:lineRule="exact"/>
        <w:rPr>
          <w:sz w:val="20"/>
          <w:szCs w:val="20"/>
          <w:color w:val="auto"/>
        </w:rPr>
      </w:pPr>
    </w:p>
    <w:p>
      <w:pPr>
        <w:ind w:left="440" w:right="60" w:firstLine="957"/>
        <w:spacing w:after="0" w:line="254" w:lineRule="auto"/>
        <w:tabs>
          <w:tab w:leader="none" w:pos="165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perfect a security interest in the Collateral in favor of the Administrative Agent for the benefit of the Secured Parties by the following deadlines: (i) with respect to certificated equity interests, within ten Business Days (or such later date as the Administrative Agent may agree to in its sole discretion) after the Debt Assumption Date; (ii) with respect to intellectual property (other than any intellectual property with respect to which security interests may be perfected by the filing of a UCC financing statement), within ten Business Days (or such later date as the Administrative Agent may agree to in its sole discretion) after the Debt Assumption Date; and (iii) with respect to all other Collateral, within 90 days following the Debt Assumption Date, in the case of each of the foregoing clauses (i), (ii) and (iii), subject to such arrangements to be mutually agreed between the Arrangers and the Borrower and subject to such extensions as deemed appropriate by the Arrangers in their sole discretion).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and after the Closing Date until the Loans and all other Obligations under the Loan Documents are repaid in full, the covenants set forth in this Article 7 shall be applicable to the Borrower and its Restricted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0"/>
          </w:cols>
          <w:pgMar w:left="440" w:top="273" w:right="47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7.06. </w:t>
      </w:r>
      <w:r>
        <w:rPr>
          <w:rFonts w:ascii="Arial" w:cs="Arial" w:eastAsia="Arial" w:hAnsi="Arial"/>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Restricted Payments</w:t>
      </w:r>
    </w:p>
    <w:p>
      <w:pPr>
        <w:spacing w:after="0" w:line="117" w:lineRule="exact"/>
        <w:rPr>
          <w:sz w:val="20"/>
          <w:szCs w:val="20"/>
          <w:color w:val="auto"/>
        </w:rPr>
      </w:pPr>
    </w:p>
    <w:p>
      <w:pPr>
        <w:ind w:left="800" w:hanging="244"/>
        <w:spacing w:after="0"/>
        <w:tabs>
          <w:tab w:leader="none" w:pos="8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directly or indirectly,</w:t>
      </w:r>
    </w:p>
    <w:p>
      <w:pPr>
        <w:spacing w:after="0" w:line="117" w:lineRule="exact"/>
        <w:rPr>
          <w:rFonts w:ascii="Arial" w:cs="Arial" w:eastAsia="Arial" w:hAnsi="Arial"/>
          <w:sz w:val="18"/>
          <w:szCs w:val="18"/>
          <w:color w:val="auto"/>
        </w:rPr>
      </w:pPr>
    </w:p>
    <w:p>
      <w:pPr>
        <w:ind w:right="80" w:firstLine="957"/>
        <w:spacing w:after="0" w:line="276" w:lineRule="auto"/>
        <w:tabs>
          <w:tab w:leader="none" w:pos="1167" w:val="left"/>
        </w:tabs>
        <w:numPr>
          <w:ilvl w:val="2"/>
          <w:numId w:val="344"/>
        </w:numPr>
        <w:rPr>
          <w:rFonts w:ascii="Arial" w:cs="Arial" w:eastAsia="Arial" w:hAnsi="Arial"/>
          <w:sz w:val="17"/>
          <w:szCs w:val="17"/>
          <w:color w:val="auto"/>
        </w:rPr>
      </w:pPr>
      <w:r>
        <w:rPr>
          <w:rFonts w:ascii="Arial" w:cs="Arial" w:eastAsia="Arial" w:hAnsi="Arial"/>
          <w:sz w:val="17"/>
          <w:szCs w:val="17"/>
          <w:color w:val="auto"/>
        </w:rPr>
        <w:t>Declare or pay any dividend or make any other payment or distribution on account of the Borrower’s or any of its Restricted Subsidiaries’ Equity Interests (including, without limitation, any payment in connection with any merger or consolidation involving the Borrower or any of its Restricted Subsidiaries) or to the direct or indirect holders of the Borrower’s or any of its Restricted Subsidiaries’ Equity Interests in their capacity as such (other than dividends or distributions payable in Equity Interests (other than Disqualified Equity Interests) of the Borrower and other than dividends or distributions payable to the Borrower or a Restricted Subsidiary of the Borrower;</w:t>
      </w:r>
    </w:p>
    <w:p>
      <w:pPr>
        <w:spacing w:after="0" w:line="64" w:lineRule="exact"/>
        <w:rPr>
          <w:rFonts w:ascii="Arial" w:cs="Arial" w:eastAsia="Arial" w:hAnsi="Arial"/>
          <w:sz w:val="17"/>
          <w:szCs w:val="17"/>
          <w:color w:val="auto"/>
        </w:rPr>
      </w:pPr>
    </w:p>
    <w:p>
      <w:pPr>
        <w:ind w:right="40" w:firstLine="957"/>
        <w:spacing w:after="0" w:line="264" w:lineRule="auto"/>
        <w:tabs>
          <w:tab w:leader="none" w:pos="1217" w:val="left"/>
        </w:tabs>
        <w:numPr>
          <w:ilvl w:val="2"/>
          <w:numId w:val="344"/>
        </w:numPr>
        <w:rPr>
          <w:rFonts w:ascii="Arial" w:cs="Arial" w:eastAsia="Arial" w:hAnsi="Arial"/>
          <w:sz w:val="18"/>
          <w:szCs w:val="18"/>
          <w:color w:val="auto"/>
        </w:rPr>
      </w:pPr>
      <w:r>
        <w:rPr>
          <w:rFonts w:ascii="Arial" w:cs="Arial" w:eastAsia="Arial" w:hAnsi="Arial"/>
          <w:sz w:val="18"/>
          <w:szCs w:val="18"/>
          <w:color w:val="auto"/>
        </w:rPr>
        <w:t>purchase, repurchase, redeem, defease or otherwise acquire or retire for value (including, without limitation, in connection with any merger or consolidation involving the Borrower) any Equity Interests of the Borrower or any direct or indirect parent of the Borrower, in each case held by Persons other than the Borrower or a Restricted Subsidiary of the Borrower;</w:t>
      </w:r>
    </w:p>
    <w:p>
      <w:pPr>
        <w:spacing w:after="0" w:line="73" w:lineRule="exact"/>
        <w:rPr>
          <w:rFonts w:ascii="Arial" w:cs="Arial" w:eastAsia="Arial" w:hAnsi="Arial"/>
          <w:sz w:val="18"/>
          <w:szCs w:val="18"/>
          <w:color w:val="auto"/>
        </w:rPr>
      </w:pPr>
    </w:p>
    <w:p>
      <w:pPr>
        <w:ind w:right="300" w:firstLine="957"/>
        <w:spacing w:after="0" w:line="291" w:lineRule="auto"/>
        <w:tabs>
          <w:tab w:leader="none" w:pos="1267" w:val="left"/>
        </w:tabs>
        <w:numPr>
          <w:ilvl w:val="2"/>
          <w:numId w:val="344"/>
        </w:numPr>
        <w:rPr>
          <w:rFonts w:ascii="Arial" w:cs="Arial" w:eastAsia="Arial" w:hAnsi="Arial"/>
          <w:sz w:val="16"/>
          <w:szCs w:val="16"/>
          <w:color w:val="auto"/>
        </w:rPr>
      </w:pPr>
      <w:r>
        <w:rPr>
          <w:rFonts w:ascii="Arial" w:cs="Arial" w:eastAsia="Arial" w:hAnsi="Arial"/>
          <w:sz w:val="16"/>
          <w:szCs w:val="16"/>
          <w:color w:val="auto"/>
        </w:rPr>
        <w:t>make any principal payment on or with respect to, or purchase, repurchase, redeem, defease or otherwise acquire or retire for value any Subordinated Indebtedness (other than the payment, purchase, repurchase, redemption, defeasance, acquisition or retirement of</w:t>
      </w:r>
    </w:p>
    <w:p>
      <w:pPr>
        <w:ind w:right="100" w:firstLine="4"/>
        <w:spacing w:after="0" w:line="255" w:lineRule="auto"/>
        <w:tabs>
          <w:tab w:leader="none" w:pos="21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intercompany Indebtedness between or among the Borrower and its Restricted Subsidiaries, and (ii) Subordinated Indebtedness in anticipation of satisfying a sinking fund obligation, principal installment or final maturity thereof, in each case due within one year of the date of such payment, purchase, repurchase, redemption, defeasance, acquisition or retirement); or</w:t>
      </w:r>
    </w:p>
    <w:p>
      <w:pPr>
        <w:spacing w:after="0" w:line="82" w:lineRule="exact"/>
        <w:rPr>
          <w:rFonts w:ascii="Arial" w:cs="Arial" w:eastAsia="Arial" w:hAnsi="Arial"/>
          <w:sz w:val="18"/>
          <w:szCs w:val="18"/>
          <w:color w:val="auto"/>
        </w:rPr>
      </w:pPr>
    </w:p>
    <w:p>
      <w:pPr>
        <w:ind w:firstLine="957"/>
        <w:spacing w:after="0" w:line="277" w:lineRule="auto"/>
        <w:tabs>
          <w:tab w:leader="none" w:pos="1257" w:val="left"/>
        </w:tabs>
        <w:numPr>
          <w:ilvl w:val="2"/>
          <w:numId w:val="345"/>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(i) through (iii) above being collectively referred to as “</w:t>
      </w:r>
      <w:r>
        <w:rPr>
          <w:rFonts w:ascii="Arial" w:cs="Arial" w:eastAsia="Arial" w:hAnsi="Arial"/>
          <w:sz w:val="18"/>
          <w:szCs w:val="18"/>
          <w:b w:val="1"/>
          <w:bCs w:val="1"/>
          <w:color w:val="auto"/>
        </w:rPr>
        <w:t>Restricted Payments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000" w:right="160" w:firstLine="380"/>
        <w:spacing w:after="0" w:line="277" w:lineRule="auto"/>
        <w:tabs>
          <w:tab w:leader="none" w:pos="167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of such Restricted Payment;</w:t>
      </w:r>
    </w:p>
    <w:p>
      <w:pPr>
        <w:spacing w:after="0" w:line="62" w:lineRule="exact"/>
        <w:rPr>
          <w:rFonts w:ascii="Arial" w:cs="Arial" w:eastAsia="Arial" w:hAnsi="Arial"/>
          <w:sz w:val="18"/>
          <w:szCs w:val="18"/>
          <w:color w:val="auto"/>
        </w:rPr>
      </w:pPr>
    </w:p>
    <w:p>
      <w:pPr>
        <w:ind w:left="1000" w:right="160" w:firstLine="380"/>
        <w:spacing w:after="0" w:line="286" w:lineRule="auto"/>
        <w:tabs>
          <w:tab w:leader="none" w:pos="166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Borrower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7.09(a); and</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580"/>
          </w:cols>
          <w:pgMar w:left="880" w:top="273" w:right="439" w:bottom="1440" w:gutter="0" w:footer="0" w:header="0"/>
        </w:sectPr>
      </w:pPr>
    </w:p>
    <w:bookmarkStart w:id="409" w:name="page410"/>
    <w:bookmarkEnd w:id="409"/>
    <w:p>
      <w:pPr>
        <w:ind w:left="440" w:right="60" w:firstLine="380"/>
        <w:spacing w:after="0" w:line="259" w:lineRule="auto"/>
        <w:tabs>
          <w:tab w:leader="none" w:pos="1108" w:val="left"/>
        </w:tabs>
        <w:numPr>
          <w:ilvl w:val="1"/>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Restricted Payment, together with the aggregate amount of all other Restricted Payments made by the Borrower and its Restricted Subsidiaries after July 3, 2019 (excluding Restricted Payments permitted by clause (ii), (iii), (iv), (v), (vi), (vii), (viii), (ix), (x), (xi), (xii), (xiii), (xiv), (xv), (xvi) or (xvii) of Section 7.07(b)), is less than the sum, without duplication, of (such sum, the “</w:t>
      </w:r>
      <w:r>
        <w:rPr>
          <w:rFonts w:ascii="Arial" w:cs="Arial" w:eastAsia="Arial" w:hAnsi="Arial"/>
          <w:sz w:val="18"/>
          <w:szCs w:val="18"/>
          <w:b w:val="1"/>
          <w:bCs w:val="1"/>
          <w:color w:val="auto"/>
        </w:rPr>
        <w:t>Cumulative Credit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440" w:right="120" w:firstLine="668"/>
        <w:spacing w:after="0" w:line="291" w:lineRule="auto"/>
        <w:tabs>
          <w:tab w:leader="none" w:pos="1366" w:val="left"/>
        </w:tabs>
        <w:numPr>
          <w:ilvl w:val="2"/>
          <w:numId w:val="347"/>
        </w:numPr>
        <w:rPr>
          <w:rFonts w:ascii="Arial" w:cs="Arial" w:eastAsia="Arial" w:hAnsi="Arial"/>
          <w:sz w:val="16"/>
          <w:szCs w:val="16"/>
          <w:color w:val="auto"/>
        </w:rPr>
      </w:pPr>
      <w:r>
        <w:rPr>
          <w:rFonts w:ascii="Arial" w:cs="Arial" w:eastAsia="Arial" w:hAnsi="Arial"/>
          <w:sz w:val="16"/>
          <w:szCs w:val="16"/>
          <w:color w:val="auto"/>
        </w:rPr>
        <w:t>100% of the cumulative Consolidated Cash Flow (excluding the amount of any dividends or distributions included in the calculation of Consolidated Cash Flow to the extent the Company elects to include such dividends or distributions in clause (n)</w:t>
      </w:r>
    </w:p>
    <w:p>
      <w:pPr>
        <w:jc w:val="both"/>
        <w:ind w:left="440" w:right="60" w:hanging="4"/>
        <w:spacing w:after="0" w:line="273" w:lineRule="auto"/>
        <w:tabs>
          <w:tab w:leader="none" w:pos="70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or (t)(ii) of the definition of “</w:t>
      </w:r>
      <w:r>
        <w:rPr>
          <w:rFonts w:ascii="Arial" w:cs="Arial" w:eastAsia="Arial" w:hAnsi="Arial"/>
          <w:sz w:val="17"/>
          <w:szCs w:val="17"/>
          <w:b w:val="1"/>
          <w:bCs w:val="1"/>
          <w:color w:val="auto"/>
        </w:rPr>
        <w:t>Permitted Investments</w:t>
      </w:r>
      <w:r>
        <w:rPr>
          <w:rFonts w:ascii="Arial" w:cs="Arial" w:eastAsia="Arial" w:hAnsi="Arial"/>
          <w:sz w:val="17"/>
          <w:szCs w:val="17"/>
          <w:color w:val="auto"/>
        </w:rPr>
        <w:t xml:space="preserve">” in accordance with such clause) of the Company for the period (taken as one accounting period) commencing on July 1, 2019 and ending on the last day of the fiscal quarter ended immediately prior to the date of such calculation for which internal financial statements are available at the time of such Restricted Payment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1.5 times the Fixed Charges of the Company for the same period (taken as one accounting period), </w:t>
      </w:r>
      <w:r>
        <w:rPr>
          <w:rFonts w:ascii="Arial" w:cs="Arial" w:eastAsia="Arial" w:hAnsi="Arial"/>
          <w:sz w:val="17"/>
          <w:szCs w:val="17"/>
          <w:i w:val="1"/>
          <w:iCs w:val="1"/>
          <w:color w:val="auto"/>
        </w:rPr>
        <w:t>plus</w:t>
      </w:r>
    </w:p>
    <w:p>
      <w:pPr>
        <w:spacing w:after="0" w:line="68" w:lineRule="exact"/>
        <w:rPr>
          <w:rFonts w:ascii="Arial" w:cs="Arial" w:eastAsia="Arial" w:hAnsi="Arial"/>
          <w:sz w:val="17"/>
          <w:szCs w:val="17"/>
          <w:color w:val="auto"/>
        </w:rPr>
      </w:pPr>
    </w:p>
    <w:p>
      <w:pPr>
        <w:ind w:left="440" w:right="60" w:firstLine="668"/>
        <w:spacing w:after="0" w:line="259" w:lineRule="auto"/>
        <w:tabs>
          <w:tab w:leader="none" w:pos="1366" w:val="left"/>
        </w:tabs>
        <w:numPr>
          <w:ilvl w:val="2"/>
          <w:numId w:val="348"/>
        </w:numPr>
        <w:rPr>
          <w:rFonts w:ascii="Arial" w:cs="Arial" w:eastAsia="Arial" w:hAnsi="Arial"/>
          <w:sz w:val="18"/>
          <w:szCs w:val="18"/>
          <w:color w:val="auto"/>
        </w:rPr>
      </w:pPr>
      <w:r>
        <w:rPr>
          <w:rFonts w:ascii="Arial" w:cs="Arial" w:eastAsia="Arial" w:hAnsi="Arial"/>
          <w:sz w:val="18"/>
          <w:szCs w:val="18"/>
          <w:color w:val="auto"/>
        </w:rPr>
        <w:t>100% of the aggregate net proceeds (including the fair market value of property other than cash) received by the Borrower (other than any net proceeds or assets received in connection with the contribution of assets pursuant to the Separation Agreement) after July 3, 2019, as a contribution to its common equity capital or from the issue or sale (other than to a Subsidiary of the Borrower) of:</w:t>
      </w:r>
    </w:p>
    <w:p>
      <w:pPr>
        <w:spacing w:after="0" w:line="78" w:lineRule="exact"/>
        <w:rPr>
          <w:rFonts w:ascii="Arial" w:cs="Arial" w:eastAsia="Arial" w:hAnsi="Arial"/>
          <w:sz w:val="18"/>
          <w:szCs w:val="18"/>
          <w:color w:val="auto"/>
        </w:rPr>
      </w:pPr>
    </w:p>
    <w:p>
      <w:pPr>
        <w:ind w:left="1360" w:hanging="252"/>
        <w:spacing w:after="0"/>
        <w:tabs>
          <w:tab w:leader="none" w:pos="136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Equity Interests (other than Disqualified Equity Interests or Designated Preferred Stock) of the Borrower; or</w:t>
      </w:r>
    </w:p>
    <w:p>
      <w:pPr>
        <w:spacing w:after="0" w:line="117" w:lineRule="exact"/>
        <w:rPr>
          <w:rFonts w:ascii="Arial" w:cs="Arial" w:eastAsia="Arial" w:hAnsi="Arial"/>
          <w:sz w:val="18"/>
          <w:szCs w:val="18"/>
          <w:color w:val="auto"/>
        </w:rPr>
      </w:pPr>
    </w:p>
    <w:p>
      <w:pPr>
        <w:ind w:left="440" w:right="20" w:firstLine="668"/>
        <w:spacing w:after="0" w:line="264" w:lineRule="auto"/>
        <w:tabs>
          <w:tab w:leader="none" w:pos="1366" w:val="left"/>
        </w:tabs>
        <w:numPr>
          <w:ilvl w:val="2"/>
          <w:numId w:val="348"/>
        </w:numPr>
        <w:rPr>
          <w:rFonts w:ascii="Arial" w:cs="Arial" w:eastAsia="Arial" w:hAnsi="Arial"/>
          <w:sz w:val="18"/>
          <w:szCs w:val="18"/>
          <w:color w:val="auto"/>
        </w:rPr>
      </w:pPr>
      <w:r>
        <w:rPr>
          <w:rFonts w:ascii="Arial" w:cs="Arial" w:eastAsia="Arial" w:hAnsi="Arial"/>
          <w:sz w:val="18"/>
          <w:szCs w:val="18"/>
          <w:color w:val="auto"/>
        </w:rPr>
        <w:t xml:space="preserve">Disqualified Equity Interests, Designated Preferred Stock or debt securities of the Borrower that in each case have been converted into or exchanged for Equity Interests (other than Disqualified Equity Interests or Designated Preferred Stock) of the Borrower, </w:t>
      </w:r>
      <w:r>
        <w:rPr>
          <w:rFonts w:ascii="Arial" w:cs="Arial" w:eastAsia="Arial" w:hAnsi="Arial"/>
          <w:sz w:val="18"/>
          <w:szCs w:val="18"/>
          <w:i w:val="1"/>
          <w:iCs w:val="1"/>
          <w:color w:val="auto"/>
        </w:rPr>
        <w:t>plus</w:t>
      </w:r>
    </w:p>
    <w:p>
      <w:pPr>
        <w:spacing w:after="0" w:line="73" w:lineRule="exact"/>
        <w:rPr>
          <w:rFonts w:ascii="Arial" w:cs="Arial" w:eastAsia="Arial" w:hAnsi="Arial"/>
          <w:sz w:val="18"/>
          <w:szCs w:val="18"/>
          <w:color w:val="auto"/>
        </w:rPr>
      </w:pPr>
    </w:p>
    <w:p>
      <w:pPr>
        <w:ind w:left="440" w:right="140" w:firstLine="668"/>
        <w:spacing w:after="0" w:line="279" w:lineRule="auto"/>
        <w:tabs>
          <w:tab w:leader="none" w:pos="1366" w:val="left"/>
        </w:tabs>
        <w:numPr>
          <w:ilvl w:val="2"/>
          <w:numId w:val="348"/>
        </w:numPr>
        <w:rPr>
          <w:rFonts w:ascii="Arial" w:cs="Arial" w:eastAsia="Arial" w:hAnsi="Arial"/>
          <w:sz w:val="17"/>
          <w:szCs w:val="17"/>
          <w:color w:val="auto"/>
        </w:rPr>
      </w:pPr>
      <w:r>
        <w:rPr>
          <w:rFonts w:ascii="Arial" w:cs="Arial" w:eastAsia="Arial" w:hAnsi="Arial"/>
          <w:sz w:val="17"/>
          <w:szCs w:val="17"/>
          <w:color w:val="auto"/>
        </w:rPr>
        <w:t xml:space="preserve">100% of the fair market value as of the date of issuance of any Equity Interests (other than Disqualified Equity Interests) issued since July 3, 2019, by the Borrower as consideration for the purchase by the Borrower or any of its Restricted Subsidiaries of all or substantially all of the assets of, or a majority of the Voting Stock of, a Related Business (including by means of a merger, consolidation or other business combination permitted under this Agreement);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440" w:firstLine="668"/>
        <w:spacing w:after="0" w:line="259" w:lineRule="auto"/>
        <w:tabs>
          <w:tab w:leader="none" w:pos="1366" w:val="left"/>
        </w:tabs>
        <w:numPr>
          <w:ilvl w:val="2"/>
          <w:numId w:val="348"/>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July 3, 2019, is sold for cash or other property or otherwise liquidated or repaid for cash, the lesser of (x) the cash return of capital with respect to such Restricted Investment or the fair market value of such other property (less the cost of disposition, if any) and (y) the initial amount of such Restricted Investment; </w:t>
      </w:r>
      <w:r>
        <w:rPr>
          <w:rFonts w:ascii="Arial" w:cs="Arial" w:eastAsia="Arial" w:hAnsi="Arial"/>
          <w:sz w:val="18"/>
          <w:szCs w:val="18"/>
          <w:i w:val="1"/>
          <w:iCs w:val="1"/>
          <w:color w:val="auto"/>
        </w:rPr>
        <w:t>plus</w:t>
      </w:r>
    </w:p>
    <w:p>
      <w:pPr>
        <w:spacing w:after="0" w:line="1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9980"/>
          </w:cols>
          <w:pgMar w:left="1440" w:top="274" w:right="479" w:bottom="1440" w:gutter="0" w:footer="0" w:header="0"/>
        </w:sectPr>
      </w:pPr>
    </w:p>
    <w:bookmarkStart w:id="410" w:name="page411"/>
    <w:bookmarkEnd w:id="410"/>
    <w:p>
      <w:pPr>
        <w:jc w:val="both"/>
        <w:ind w:left="1000" w:right="340" w:firstLine="668"/>
        <w:spacing w:after="0" w:line="312" w:lineRule="auto"/>
        <w:tabs>
          <w:tab w:leader="none" w:pos="1926" w:val="left"/>
        </w:tabs>
        <w:numPr>
          <w:ilvl w:val="0"/>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 of the aggregate net proceeds (including the fair market value of property other than cash) received by the Borrower or any Restricted Subsidiary from any distribution or dividend (other than a return of capital) from an Unrestricted Subsidiary (except to the extent any such amount has already been included in the calculation of Consolidated Cash Flow); </w:t>
      </w:r>
      <w:r>
        <w:rPr>
          <w:rFonts w:ascii="Arial" w:cs="Arial" w:eastAsia="Arial" w:hAnsi="Arial"/>
          <w:sz w:val="16"/>
          <w:szCs w:val="16"/>
          <w:i w:val="1"/>
          <w:iCs w:val="1"/>
          <w:color w:val="auto"/>
        </w:rPr>
        <w:t>plus</w:t>
      </w:r>
    </w:p>
    <w:p>
      <w:pPr>
        <w:spacing w:after="0" w:line="38" w:lineRule="exact"/>
        <w:rPr>
          <w:rFonts w:ascii="Arial" w:cs="Arial" w:eastAsia="Arial" w:hAnsi="Arial"/>
          <w:sz w:val="16"/>
          <w:szCs w:val="16"/>
          <w:color w:val="auto"/>
        </w:rPr>
      </w:pPr>
    </w:p>
    <w:p>
      <w:pPr>
        <w:jc w:val="both"/>
        <w:ind w:left="1000" w:right="140" w:firstLine="668"/>
        <w:spacing w:after="0" w:line="259" w:lineRule="auto"/>
        <w:tabs>
          <w:tab w:leader="none" w:pos="192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upon redesignation of an Unrestricted Subsidiary as a Restricted Subsidiary or upon the merger or consolidation of an Unrestricted Subsidiary with or into the Borrower or any of its Restricted Subsidiaries, the lesser of (x) the fair market value of the Borrower’s Investment in such Subsidiary as of the date of redesignation and (y) such fair market value as of the date such Subsidiary was originally designated as an Unrestricted Subsidiary;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1000" w:right="40" w:firstLine="668"/>
        <w:spacing w:after="0" w:line="277" w:lineRule="auto"/>
        <w:tabs>
          <w:tab w:leader="none" w:pos="192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(x) prior to the consummation of the Debt Assumption and for so long as the Company is the Borrower, $2,782 million and (y) after the consummation of the Debt Assumption, $25.0 million.</w:t>
      </w:r>
    </w:p>
    <w:p>
      <w:pPr>
        <w:spacing w:after="0" w:line="5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of and after the Debt Assumption Date, the phrase “</w:t>
      </w:r>
      <w:r>
        <w:rPr>
          <w:rFonts w:ascii="Arial" w:cs="Arial" w:eastAsia="Arial" w:hAnsi="Arial"/>
          <w:sz w:val="18"/>
          <w:szCs w:val="18"/>
          <w:b w:val="1"/>
          <w:bCs w:val="1"/>
          <w:color w:val="auto"/>
        </w:rPr>
        <w:t>July 1, 2019</w:t>
      </w:r>
      <w:r>
        <w:rPr>
          <w:rFonts w:ascii="Arial" w:cs="Arial" w:eastAsia="Arial" w:hAnsi="Arial"/>
          <w:sz w:val="18"/>
          <w:szCs w:val="18"/>
          <w:color w:val="auto"/>
        </w:rPr>
        <w:t>” included in this Section 7.07(a) will be deemed to be replaced with the phrase “</w:t>
      </w:r>
      <w:r>
        <w:rPr>
          <w:rFonts w:ascii="Arial" w:cs="Arial" w:eastAsia="Arial" w:hAnsi="Arial"/>
          <w:sz w:val="18"/>
          <w:szCs w:val="18"/>
          <w:b w:val="1"/>
          <w:bCs w:val="1"/>
          <w:color w:val="auto"/>
        </w:rPr>
        <w:t>the first day of the fiscal quarter of the Borrower in which the Debt Assumption occurs</w:t>
      </w:r>
      <w:r>
        <w:rPr>
          <w:rFonts w:ascii="Arial" w:cs="Arial" w:eastAsia="Arial" w:hAnsi="Arial"/>
          <w:sz w:val="18"/>
          <w:szCs w:val="18"/>
          <w:color w:val="auto"/>
        </w:rPr>
        <w:t>”, such that the Cumulative Credit will build (or decrease, as the case may be) from the first day of the fiscal quarter in which the Debt Assumption occurs, and each instance of the phrases “since July 3, 2019” or “after July 3, 2019” included in this Section 7.07(a) will be deemed to be replaced with the phrase “on or after the first day after the Debt Assumption Date”.</w:t>
      </w:r>
    </w:p>
    <w:p>
      <w:pPr>
        <w:spacing w:after="0" w:line="188" w:lineRule="exact"/>
        <w:rPr>
          <w:sz w:val="20"/>
          <w:szCs w:val="20"/>
          <w:color w:val="auto"/>
        </w:rPr>
      </w:pPr>
    </w:p>
    <w:p>
      <w:pPr>
        <w:ind w:left="680" w:hanging="252"/>
        <w:spacing w:after="0"/>
        <w:tabs>
          <w:tab w:leader="none" w:pos="6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provisions of Section 7.07(a) will not prohibit:</w:t>
      </w:r>
    </w:p>
    <w:p>
      <w:pPr>
        <w:spacing w:after="0" w:line="117" w:lineRule="exact"/>
        <w:rPr>
          <w:rFonts w:ascii="Arial" w:cs="Arial" w:eastAsia="Arial" w:hAnsi="Arial"/>
          <w:sz w:val="18"/>
          <w:szCs w:val="18"/>
          <w:color w:val="auto"/>
        </w:rPr>
      </w:pPr>
    </w:p>
    <w:p>
      <w:pPr>
        <w:ind w:right="440" w:firstLine="957"/>
        <w:spacing w:after="0" w:line="264" w:lineRule="auto"/>
        <w:tabs>
          <w:tab w:leader="none" w:pos="1167"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payment of any dividend or distribution or consummation of any irrevocable redemption within 90 days after the date of declaration thereof or the giving of any redemption notice related thereto, if at said date of declaration or notice such payment would have complied with the provisions of this Agreement;</w:t>
      </w:r>
    </w:p>
    <w:p>
      <w:pPr>
        <w:spacing w:after="0" w:line="73" w:lineRule="exact"/>
        <w:rPr>
          <w:rFonts w:ascii="Arial" w:cs="Arial" w:eastAsia="Arial" w:hAnsi="Arial"/>
          <w:sz w:val="18"/>
          <w:szCs w:val="18"/>
          <w:color w:val="auto"/>
        </w:rPr>
      </w:pPr>
    </w:p>
    <w:p>
      <w:pPr>
        <w:ind w:right="40" w:firstLine="957"/>
        <w:spacing w:after="0" w:line="279" w:lineRule="auto"/>
        <w:tabs>
          <w:tab w:leader="none" w:pos="1217" w:val="left"/>
        </w:tabs>
        <w:numPr>
          <w:ilvl w:val="2"/>
          <w:numId w:val="350"/>
        </w:numPr>
        <w:rPr>
          <w:rFonts w:ascii="Arial" w:cs="Arial" w:eastAsia="Arial" w:hAnsi="Arial"/>
          <w:sz w:val="17"/>
          <w:szCs w:val="17"/>
          <w:color w:val="auto"/>
        </w:rPr>
      </w:pPr>
      <w:r>
        <w:rPr>
          <w:rFonts w:ascii="Arial" w:cs="Arial" w:eastAsia="Arial" w:hAnsi="Arial"/>
          <w:sz w:val="17"/>
          <w:szCs w:val="17"/>
          <w:color w:val="auto"/>
        </w:rPr>
        <w:t>the making of any Restricted Payment in exchange for, or out of the net cash proceeds of the substantially concurrent sale (other than to a Restricted Subsidiary of the Borrower) of, Equity Interests of the Borrower (other than Disqualified Equity Interests) or from the contribution of common equity capital to the Borrower within ten Business Days; provided that the amount of any such net cash proceeds that are utilized for any such Restricted Payment shall be excluded from clause (iv)(B) of Section 7.07(a);</w:t>
      </w:r>
    </w:p>
    <w:p>
      <w:pPr>
        <w:spacing w:after="0" w:line="63" w:lineRule="exact"/>
        <w:rPr>
          <w:rFonts w:ascii="Arial" w:cs="Arial" w:eastAsia="Arial" w:hAnsi="Arial"/>
          <w:sz w:val="17"/>
          <w:szCs w:val="17"/>
          <w:color w:val="auto"/>
        </w:rPr>
      </w:pPr>
    </w:p>
    <w:p>
      <w:pPr>
        <w:ind w:right="120" w:firstLine="957"/>
        <w:spacing w:after="0" w:line="291" w:lineRule="auto"/>
        <w:tabs>
          <w:tab w:leader="none" w:pos="1267" w:val="left"/>
        </w:tabs>
        <w:numPr>
          <w:ilvl w:val="2"/>
          <w:numId w:val="350"/>
        </w:numPr>
        <w:rPr>
          <w:rFonts w:ascii="Arial" w:cs="Arial" w:eastAsia="Arial" w:hAnsi="Arial"/>
          <w:sz w:val="16"/>
          <w:szCs w:val="16"/>
          <w:color w:val="auto"/>
        </w:rPr>
      </w:pPr>
      <w:r>
        <w:rPr>
          <w:rFonts w:ascii="Arial" w:cs="Arial" w:eastAsia="Arial" w:hAnsi="Arial"/>
          <w:sz w:val="16"/>
          <w:szCs w:val="16"/>
          <w:color w:val="auto"/>
        </w:rPr>
        <w:t>the redemption, repurchase, retirement, defeasance or other acquisition or retirement for value of Subordinated Indebtedness or Disqualified Equity Interests of the Borrower or any of its Restricted Subsidiaries with the net cash proceeds from a substantially concurrent</w:t>
      </w:r>
    </w:p>
    <w:p>
      <w:pPr>
        <w:ind w:left="220" w:hanging="216"/>
        <w:spacing w:after="0"/>
        <w:tabs>
          <w:tab w:leader="none" w:pos="2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incurrence of Permitted Refinancing Indebtedness or (ii) issuance of Disqualified Equity Interests permitted to be issued under this Agreement;</w:t>
      </w:r>
    </w:p>
    <w:p>
      <w:pPr>
        <w:spacing w:after="0" w:line="16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540"/>
          </w:cols>
          <w:pgMar w:left="880" w:top="274" w:right="479" w:bottom="1440" w:gutter="0" w:footer="0" w:header="0"/>
        </w:sectPr>
      </w:pPr>
    </w:p>
    <w:bookmarkStart w:id="411" w:name="page412"/>
    <w:bookmarkEnd w:id="411"/>
    <w:p>
      <w:pPr>
        <w:ind w:right="280" w:firstLine="957"/>
        <w:spacing w:after="0" w:line="277" w:lineRule="auto"/>
        <w:tabs>
          <w:tab w:leader="none" w:pos="1257"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of any dividend (or, in the case of any partnership, limited liability company or other business entity, any similar distribution) by a Restricted Subsidiary of the Borrower to the holders of its Equity Interests on a pro rata basis;</w:t>
      </w:r>
    </w:p>
    <w:p>
      <w:pPr>
        <w:spacing w:after="0" w:line="62" w:lineRule="exact"/>
        <w:rPr>
          <w:rFonts w:ascii="Arial" w:cs="Arial" w:eastAsia="Arial" w:hAnsi="Arial"/>
          <w:sz w:val="18"/>
          <w:szCs w:val="18"/>
          <w:color w:val="auto"/>
        </w:rPr>
      </w:pPr>
    </w:p>
    <w:p>
      <w:pPr>
        <w:ind w:firstLine="957"/>
        <w:spacing w:after="0" w:line="286" w:lineRule="auto"/>
        <w:tabs>
          <w:tab w:leader="none" w:pos="120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repurchase, redemption or other acquisition or retirement for value of any Equity Interests of the Borrower or any Restricted Subsidiary of the Borrower held by any current or former officer, manager, director, or employee of the Borrower (or any of its Restricted Subsidiaries) pursuant to any equity subscription agreement, stock option agreement, employment agreement, severance agreement or other executive compensation arrangement or any other management or employee benefit plan or agreement, shareholders’ agreement or similar agreement; provided that the aggregate price paid for all such repurchased, redeemed, acquired or retired Equity Interests shall not exceed $25.0 million ($5.0 million) in any calendar year (with unused amounts in any calendar year being carried over to subsequent calendar years; provided that the aggregate purchase price for all such repurchased, redeemed, acquired or retired Equity Interests shall not exceed $40.0 million ($10.0 million) in any calendar year); and provided, further, that such amount in any calendar year may be increased by an amount not to exceed the cash proceeds received by the Borrower from sales of Equity Interests (other than Disqualified Equity Interests) of the Borrower to directors, officers, managers and employees of the Borrower or any of its Restricted Subsidiaries that occur after the Closing Date (provided that the amount of such cash proceeds used for any such repurchase, redemption, acquisition or retirement will not increase the amount available for Restricted Payments under clause (B) of Section 7.07(a); and provided, further, that the Borrower may elect to apply all or any portion of the aggregate increase contemplated by this proviso in any calendar year); and provided, further, that cancellation of Indebtedness owing to the Borrower from members of management of the Borrower or any Restricted Subsidiary of the Borrower in connection with a repurchase of Equity Interests of the Borrower will not be deemed to constitute a Restricted Payment;</w:t>
      </w:r>
    </w:p>
    <w:p>
      <w:pPr>
        <w:spacing w:after="0" w:line="60" w:lineRule="exact"/>
        <w:rPr>
          <w:rFonts w:ascii="Arial" w:cs="Arial" w:eastAsia="Arial" w:hAnsi="Arial"/>
          <w:sz w:val="16"/>
          <w:szCs w:val="16"/>
          <w:color w:val="auto"/>
        </w:rPr>
      </w:pPr>
    </w:p>
    <w:p>
      <w:pPr>
        <w:jc w:val="both"/>
        <w:ind w:right="420" w:firstLine="957"/>
        <w:spacing w:after="0" w:line="312" w:lineRule="auto"/>
        <w:tabs>
          <w:tab w:leader="none" w:pos="125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repurchase of Equity Interests deemed to occur (i) upon the exercise of stock options to the extent such Equity Interests represent a portion of the exercise price of those stock options and (ii) in connection with the withholding of a portion of the Equity Interests granted or awarded to a director or an employee to pay for the taxes payable by such director or employee upon such grant or award;</w:t>
      </w:r>
    </w:p>
    <w:p>
      <w:pPr>
        <w:spacing w:after="0" w:line="38" w:lineRule="exact"/>
        <w:rPr>
          <w:rFonts w:ascii="Arial" w:cs="Arial" w:eastAsia="Arial" w:hAnsi="Arial"/>
          <w:sz w:val="16"/>
          <w:szCs w:val="16"/>
          <w:color w:val="auto"/>
        </w:rPr>
      </w:pPr>
    </w:p>
    <w:p>
      <w:pPr>
        <w:ind w:left="1320" w:hanging="363"/>
        <w:spacing w:after="0"/>
        <w:tabs>
          <w:tab w:leader="none" w:pos="13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payments to holders of the Borrower’s capital stock in lieu of the issuance of fractional shares of its Equity Interests;</w:t>
      </w:r>
    </w:p>
    <w:p>
      <w:pPr>
        <w:spacing w:after="0" w:line="117" w:lineRule="exact"/>
        <w:rPr>
          <w:rFonts w:ascii="Arial" w:cs="Arial" w:eastAsia="Arial" w:hAnsi="Arial"/>
          <w:sz w:val="18"/>
          <w:szCs w:val="18"/>
          <w:color w:val="auto"/>
        </w:rPr>
      </w:pPr>
    </w:p>
    <w:p>
      <w:pPr>
        <w:ind w:right="100" w:firstLine="957"/>
        <w:spacing w:after="0" w:line="286" w:lineRule="auto"/>
        <w:tabs>
          <w:tab w:leader="none" w:pos="135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redemption, repurchase, retirement, defeasance or other acquisition of Disqualified Equity Interests of the Borrower in exchange for Disqualified Equity Interests of the Borrower or with the net cash proceeds from a substantially concurrent issuance of Disqualified Equity Interests by the Borrower, in each case that is permitted to be issued as described under Section 7.09;</w:t>
      </w:r>
    </w:p>
    <w:p>
      <w:pPr>
        <w:spacing w:after="0" w:line="57" w:lineRule="exact"/>
        <w:rPr>
          <w:rFonts w:ascii="Arial" w:cs="Arial" w:eastAsia="Arial" w:hAnsi="Arial"/>
          <w:sz w:val="17"/>
          <w:szCs w:val="17"/>
          <w:color w:val="auto"/>
        </w:rPr>
      </w:pPr>
    </w:p>
    <w:p>
      <w:pPr>
        <w:ind w:right="80" w:firstLine="957"/>
        <w:spacing w:after="0" w:line="277" w:lineRule="auto"/>
        <w:tabs>
          <w:tab w:leader="none" w:pos="125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for value of any Subordinated Indebtedness in accordance with the provisions similar to those described under Sections 7.10 and 7.14;</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560"/>
          </w:cols>
          <w:pgMar w:left="880" w:top="274" w:right="459" w:bottom="1440" w:gutter="0" w:footer="0" w:header="0"/>
        </w:sectPr>
      </w:pPr>
    </w:p>
    <w:bookmarkStart w:id="412" w:name="page413"/>
    <w:bookmarkEnd w:id="412"/>
    <w:p>
      <w:pPr>
        <w:ind w:left="440" w:right="60" w:firstLine="957"/>
        <w:spacing w:after="0" w:line="264" w:lineRule="auto"/>
        <w:tabs>
          <w:tab w:leader="none" w:pos="1647"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declaration and payment of dividends to holders of any class or series of Disqualified Equity Interests of the Borrower or any of its Restricted Subsidiaries or any class or series of Preferred Stock of a Restricted Subsidiary issued in accordance with Section 7.09 to the extent such dividends are included in the definition of “Fixed Charges”;</w:t>
      </w:r>
    </w:p>
    <w:p>
      <w:pPr>
        <w:spacing w:after="0" w:line="73" w:lineRule="exact"/>
        <w:rPr>
          <w:rFonts w:ascii="Arial" w:cs="Arial" w:eastAsia="Arial" w:hAnsi="Arial"/>
          <w:sz w:val="18"/>
          <w:szCs w:val="18"/>
          <w:color w:val="auto"/>
        </w:rPr>
      </w:pPr>
    </w:p>
    <w:p>
      <w:pPr>
        <w:ind w:left="1700" w:hanging="303"/>
        <w:spacing w:after="0"/>
        <w:tabs>
          <w:tab w:leader="none" w:pos="17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declaration and payment of dividends to holders of any class or series of Designated Preferred Stock of the Borrower;</w:t>
      </w:r>
    </w:p>
    <w:p>
      <w:pPr>
        <w:spacing w:after="0" w:line="128" w:lineRule="exact"/>
        <w:rPr>
          <w:rFonts w:ascii="Arial" w:cs="Arial" w:eastAsia="Arial" w:hAnsi="Arial"/>
          <w:sz w:val="17"/>
          <w:szCs w:val="17"/>
          <w:color w:val="auto"/>
        </w:rPr>
      </w:pPr>
    </w:p>
    <w:p>
      <w:pPr>
        <w:ind w:left="1760" w:hanging="363"/>
        <w:spacing w:after="0"/>
        <w:tabs>
          <w:tab w:leader="none" w:pos="17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declaration and payment of Tax Distributions;</w:t>
      </w:r>
    </w:p>
    <w:p>
      <w:pPr>
        <w:spacing w:after="0" w:line="117" w:lineRule="exact"/>
        <w:rPr>
          <w:rFonts w:ascii="Arial" w:cs="Arial" w:eastAsia="Arial" w:hAnsi="Arial"/>
          <w:sz w:val="18"/>
          <w:szCs w:val="18"/>
          <w:color w:val="auto"/>
        </w:rPr>
      </w:pPr>
    </w:p>
    <w:p>
      <w:pPr>
        <w:ind w:left="440" w:right="200" w:firstLine="957"/>
        <w:spacing w:after="0" w:line="264" w:lineRule="auto"/>
        <w:tabs>
          <w:tab w:leader="none" w:pos="1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payments or distributions to satisfy dissenters’ rights, pursuant to or in connection with a consolidation, merger or transfer of assets that complies with the provisions of this Agreement applicable to mergers, consolidations and transfers of all or substantially all of the property and assets of the Borrower;</w:t>
      </w:r>
    </w:p>
    <w:p>
      <w:pPr>
        <w:spacing w:after="0" w:line="73" w:lineRule="exact"/>
        <w:rPr>
          <w:rFonts w:ascii="Arial" w:cs="Arial" w:eastAsia="Arial" w:hAnsi="Arial"/>
          <w:sz w:val="18"/>
          <w:szCs w:val="18"/>
          <w:color w:val="auto"/>
        </w:rPr>
      </w:pPr>
    </w:p>
    <w:p>
      <w:pPr>
        <w:ind w:left="440" w:right="20" w:firstLine="957"/>
        <w:spacing w:after="0" w:line="302" w:lineRule="auto"/>
        <w:tabs>
          <w:tab w:leader="none" w:pos="1787"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purchase, redemption, acquisition, cancellation or other retirement for a nominal value per right of any rights granted to all of the holders of Common Stock of the Borrower pursuant to any shareholders’ rights plan adopted for the purpose of protecting shareholders from unfair takeover tactics; provided that any such purchase, redemption, acquisition, cancellation or other retirement of such rights is not for the purpose of evading the limitations of this Section 7.07 (all as determined in good faith by a senior financial officer of the Borrower);</w:t>
      </w:r>
    </w:p>
    <w:p>
      <w:pPr>
        <w:spacing w:after="0" w:line="46" w:lineRule="exact"/>
        <w:rPr>
          <w:rFonts w:ascii="Arial" w:cs="Arial" w:eastAsia="Arial" w:hAnsi="Arial"/>
          <w:sz w:val="16"/>
          <w:szCs w:val="16"/>
          <w:color w:val="auto"/>
        </w:rPr>
      </w:pPr>
    </w:p>
    <w:p>
      <w:pPr>
        <w:ind w:left="1740" w:hanging="343"/>
        <w:spacing w:after="0"/>
        <w:tabs>
          <w:tab w:leader="none" w:pos="174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Restricted Payments in an aggregate amount under this clause (15) at any time outstanding not to exceed the greater of</w:t>
      </w:r>
    </w:p>
    <w:p>
      <w:pPr>
        <w:spacing w:after="0" w:line="35" w:lineRule="exact"/>
        <w:rPr>
          <w:sz w:val="20"/>
          <w:szCs w:val="20"/>
          <w:color w:val="auto"/>
        </w:rPr>
      </w:pPr>
    </w:p>
    <w:p>
      <w:pPr>
        <w:ind w:left="440"/>
        <w:spacing w:after="0" w:line="261" w:lineRule="auto"/>
        <w:rPr>
          <w:sz w:val="20"/>
          <w:szCs w:val="20"/>
          <w:color w:val="auto"/>
        </w:rPr>
      </w:pPr>
      <w:r>
        <w:rPr>
          <w:rFonts w:ascii="Arial" w:cs="Arial" w:eastAsia="Arial" w:hAnsi="Arial"/>
          <w:sz w:val="18"/>
          <w:szCs w:val="18"/>
          <w:color w:val="auto"/>
        </w:rPr>
        <w:t>$300.0 million ($60.0 million) and 4.0% of Consolidated Total Assets (determined as of the date of any Restricted Payment pursuant to this clause (xv));</w:t>
      </w:r>
    </w:p>
    <w:p>
      <w:pPr>
        <w:spacing w:after="0" w:line="76" w:lineRule="exact"/>
        <w:rPr>
          <w:sz w:val="20"/>
          <w:szCs w:val="20"/>
          <w:color w:val="auto"/>
        </w:rPr>
      </w:pPr>
    </w:p>
    <w:p>
      <w:pPr>
        <w:ind w:left="440" w:right="220" w:firstLine="957"/>
        <w:spacing w:after="0" w:line="276" w:lineRule="auto"/>
        <w:tabs>
          <w:tab w:leader="none" w:pos="178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Restricted Payments in an aggregate amount in any fiscal year not to exceed an amount equal to 6.0% of the Market Capitalization; provided, that at least one class of the Borrower’s Common Stock has been listed on The New York Stock Exchange (or, if the primary listing of such Common Stock is on another exchange, on such other exchange) for the 30 consecutive trading days immediately preceding the date of such Restricted Payment (for avoidance of doubt, Restricted Payments pursuant to this clause (xvi) will only be permitted after the Debt Assumption if BRBR’s Common Stock has been so listed for at least 30 consecutive trading days); and</w:t>
      </w:r>
    </w:p>
    <w:p>
      <w:pPr>
        <w:spacing w:after="0" w:line="64" w:lineRule="exact"/>
        <w:rPr>
          <w:rFonts w:ascii="Arial" w:cs="Arial" w:eastAsia="Arial" w:hAnsi="Arial"/>
          <w:sz w:val="17"/>
          <w:szCs w:val="17"/>
          <w:color w:val="auto"/>
        </w:rPr>
      </w:pPr>
    </w:p>
    <w:p>
      <w:pPr>
        <w:ind w:left="440" w:right="20" w:firstLine="957"/>
        <w:spacing w:after="0" w:line="264" w:lineRule="auto"/>
        <w:tabs>
          <w:tab w:leader="none" w:pos="183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other Restricted Payments so long as the Consolidated Leverage Ratio, calculated as of the date of such Restricted Payment and after giving pro forma effect thereto (including, without limitation, to the incurrence of any Indebtedness to finance such Restricted Payment), does not exceed 4.0 to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clauses (v), (xiii), (xvi) and (xvii) no Default shall have occurred and be continuing.</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3" w:right="459" w:bottom="1440" w:gutter="0" w:footer="0" w:header="0"/>
        </w:sectPr>
      </w:pPr>
    </w:p>
    <w:bookmarkStart w:id="413" w:name="page414"/>
    <w:bookmarkEnd w:id="413"/>
    <w:p>
      <w:pPr>
        <w:ind w:right="10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all Restricted Payments (other than cash) shall be the fair market value on the date of the Restricted Payment of the asset(s) or securities proposed to be transferred or issued by the Borrower or such Restricted Subsidiary, as the case may be, pursuant to the Restricted Payment. For purposes of determining compliance with this Section 7.07, in the event that a Restricted Payment meets the criteria of more than one of the exceptions described in clauses (i) through (xvii) above or is entitled to be made pursuant to Section 7.07(a), the Borrower will be permitted, in its sole discretion, to classify the Restricted Payment, or later reclassify the Restricted Payment in whole or in part, in any manner that complies with this Section 7.07. For avoidance of doubt, prior to the Debt Assumption, nothing in this Agreement will restrict the repurchase, redemption, defeasance or other acquisition or retirement for value of the Senior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Dividend and Other Payment Restrictions Affecting Restricted Subsidiaries.</w:t>
      </w:r>
    </w:p>
    <w:p>
      <w:pPr>
        <w:spacing w:after="0" w:line="225" w:lineRule="exact"/>
        <w:rPr>
          <w:sz w:val="20"/>
          <w:szCs w:val="20"/>
          <w:color w:val="auto"/>
        </w:rPr>
      </w:pPr>
    </w:p>
    <w:p>
      <w:pPr>
        <w:ind w:right="500" w:firstLine="996"/>
        <w:spacing w:after="0" w:line="277" w:lineRule="auto"/>
        <w:tabs>
          <w:tab w:leader="none" w:pos="123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directly or indirectly, create or permit to exist or become effective any consensual encumbrance or restriction on the ability of any Restricted Subsidiary to:</w:t>
      </w:r>
    </w:p>
    <w:p>
      <w:pPr>
        <w:spacing w:after="0" w:line="62" w:lineRule="exact"/>
        <w:rPr>
          <w:rFonts w:ascii="Arial" w:cs="Arial" w:eastAsia="Arial" w:hAnsi="Arial"/>
          <w:sz w:val="18"/>
          <w:szCs w:val="18"/>
          <w:color w:val="auto"/>
        </w:rPr>
      </w:pPr>
    </w:p>
    <w:p>
      <w:pPr>
        <w:ind w:left="440" w:right="60" w:firstLine="957"/>
        <w:spacing w:after="0" w:line="264" w:lineRule="auto"/>
        <w:tabs>
          <w:tab w:leader="none" w:pos="160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Equity Interests to the Borrower or any of the Borrower’s Restricted Subsidiaries, or with respect to any other interest or participation in, or measured by, its profits, or pay any Indebtedness owed to the Borrower or any of the Borrower’s Restricted Subsidiaries;</w:t>
      </w:r>
    </w:p>
    <w:p>
      <w:pPr>
        <w:spacing w:after="0" w:line="73" w:lineRule="exact"/>
        <w:rPr>
          <w:rFonts w:ascii="Arial" w:cs="Arial" w:eastAsia="Arial" w:hAnsi="Arial"/>
          <w:sz w:val="18"/>
          <w:szCs w:val="18"/>
          <w:color w:val="auto"/>
        </w:rPr>
      </w:pPr>
    </w:p>
    <w:p>
      <w:pPr>
        <w:ind w:left="1660" w:hanging="263"/>
        <w:spacing w:after="0"/>
        <w:tabs>
          <w:tab w:leader="none" w:pos="16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make loans or advances to the Borrower or any of the Borrower’s Restricted Subsidiaries; or</w:t>
      </w:r>
    </w:p>
    <w:p>
      <w:pPr>
        <w:spacing w:after="0" w:line="117" w:lineRule="exact"/>
        <w:rPr>
          <w:rFonts w:ascii="Arial" w:cs="Arial" w:eastAsia="Arial" w:hAnsi="Arial"/>
          <w:sz w:val="18"/>
          <w:szCs w:val="18"/>
          <w:color w:val="auto"/>
        </w:rPr>
      </w:pPr>
    </w:p>
    <w:p>
      <w:pPr>
        <w:ind w:left="1720" w:hanging="323"/>
        <w:spacing w:after="0"/>
        <w:tabs>
          <w:tab w:leader="none" w:pos="17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transfer any of its properties or assets to the Borrower or any of the Borrower’s Restricted Subsidiaries.</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restrictions in Section 7.08(a) will not apply to encumbrances or restrictions existing under or by reason of:</w:t>
      </w:r>
    </w:p>
    <w:p>
      <w:pPr>
        <w:spacing w:after="0" w:line="117" w:lineRule="exact"/>
        <w:rPr>
          <w:rFonts w:ascii="Arial" w:cs="Arial" w:eastAsia="Arial" w:hAnsi="Arial"/>
          <w:sz w:val="18"/>
          <w:szCs w:val="18"/>
          <w:color w:val="auto"/>
        </w:rPr>
      </w:pPr>
    </w:p>
    <w:p>
      <w:pPr>
        <w:ind w:left="440" w:firstLine="957"/>
        <w:spacing w:after="0" w:line="276" w:lineRule="auto"/>
        <w:tabs>
          <w:tab w:leader="none" w:pos="1607" w:val="left"/>
        </w:tabs>
        <w:numPr>
          <w:ilvl w:val="1"/>
          <w:numId w:val="355"/>
        </w:numPr>
        <w:rPr>
          <w:rFonts w:ascii="Arial" w:cs="Arial" w:eastAsia="Arial" w:hAnsi="Arial"/>
          <w:sz w:val="17"/>
          <w:szCs w:val="17"/>
          <w:color w:val="auto"/>
        </w:rPr>
      </w:pPr>
      <w:r>
        <w:rPr>
          <w:rFonts w:ascii="Arial" w:cs="Arial" w:eastAsia="Arial" w:hAnsi="Arial"/>
          <w:sz w:val="17"/>
          <w:szCs w:val="17"/>
          <w:color w:val="auto"/>
        </w:rPr>
        <w:t>agreements governing Existing Indebtedness and any other agreement as in effect on the Closing Date or the Debt Assumption Date, as applicable, and any amendments, modifications, restatements, renewals, increases, supplements, refundings, replacements or refinancings of those agreements; provided that such amendments, modifications, restatements, renewals, increases, supplements, refundings, replacements or refinancings are not materially more restrictive, taken as a whole, with respect to such dividend and other payment restrictions than those contained in such agreements on the Closing Date or the Debt Assumption Date, as applicable;</w:t>
      </w:r>
    </w:p>
    <w:p>
      <w:pPr>
        <w:spacing w:after="0" w:line="64" w:lineRule="exact"/>
        <w:rPr>
          <w:rFonts w:ascii="Arial" w:cs="Arial" w:eastAsia="Arial" w:hAnsi="Arial"/>
          <w:sz w:val="17"/>
          <w:szCs w:val="17"/>
          <w:color w:val="auto"/>
        </w:rPr>
      </w:pPr>
    </w:p>
    <w:p>
      <w:pPr>
        <w:ind w:left="1660" w:hanging="263"/>
        <w:spacing w:after="0"/>
        <w:tabs>
          <w:tab w:leader="none" w:pos="16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this Agreement, the Loans and the related Guarantees;</w:t>
      </w:r>
    </w:p>
    <w:p>
      <w:pPr>
        <w:spacing w:after="0" w:line="117" w:lineRule="exact"/>
        <w:rPr>
          <w:rFonts w:ascii="Arial" w:cs="Arial" w:eastAsia="Arial" w:hAnsi="Arial"/>
          <w:sz w:val="18"/>
          <w:szCs w:val="18"/>
          <w:color w:val="auto"/>
        </w:rPr>
      </w:pPr>
    </w:p>
    <w:p>
      <w:pPr>
        <w:ind w:left="1720" w:hanging="323"/>
        <w:spacing w:after="0"/>
        <w:tabs>
          <w:tab w:leader="none" w:pos="17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applicable law, rule, regulation or administrative or court order;</w:t>
      </w:r>
    </w:p>
    <w:p>
      <w:pPr>
        <w:spacing w:after="0" w:line="117" w:lineRule="exact"/>
        <w:rPr>
          <w:rFonts w:ascii="Arial" w:cs="Arial" w:eastAsia="Arial" w:hAnsi="Arial"/>
          <w:sz w:val="18"/>
          <w:szCs w:val="18"/>
          <w:color w:val="auto"/>
        </w:rPr>
      </w:pPr>
    </w:p>
    <w:p>
      <w:pPr>
        <w:ind w:left="440" w:right="240" w:firstLine="957"/>
        <w:spacing w:after="0" w:line="279" w:lineRule="auto"/>
        <w:tabs>
          <w:tab w:leader="none" w:pos="1697" w:val="left"/>
        </w:tabs>
        <w:numPr>
          <w:ilvl w:val="1"/>
          <w:numId w:val="355"/>
        </w:numPr>
        <w:rPr>
          <w:rFonts w:ascii="Arial" w:cs="Arial" w:eastAsia="Arial" w:hAnsi="Arial"/>
          <w:sz w:val="17"/>
          <w:szCs w:val="17"/>
          <w:color w:val="auto"/>
        </w:rPr>
      </w:pPr>
      <w:r>
        <w:rPr>
          <w:rFonts w:ascii="Arial" w:cs="Arial" w:eastAsia="Arial" w:hAnsi="Arial"/>
          <w:sz w:val="17"/>
          <w:szCs w:val="17"/>
          <w:color w:val="auto"/>
        </w:rPr>
        <w:t>any instrument governing Indebtedness or Equity Interests of a Person acquired by the Borrower or any of its Restricted Subsidiaries as in effect at the time of such acquisition (except to the extent such Indebtedness was incurred or Equity Interests were issued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0"/>
          </w:cols>
          <w:pgMar w:left="440" w:top="273" w:right="479" w:bottom="1440" w:gutter="0" w:footer="0" w:header="0"/>
        </w:sectPr>
      </w:pPr>
    </w:p>
    <w:bookmarkStart w:id="414" w:name="page415"/>
    <w:bookmarkEnd w:id="414"/>
    <w:p>
      <w:pPr>
        <w:ind w:left="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 customary non-assignment provisions in leases, licenses, contracts and other agreements entered into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03" w:lineRule="exact"/>
        <w:rPr>
          <w:sz w:val="20"/>
          <w:szCs w:val="20"/>
          <w:color w:val="auto"/>
        </w:rPr>
      </w:pPr>
    </w:p>
    <w:p>
      <w:pPr>
        <w:ind w:right="160" w:firstLine="957"/>
        <w:spacing w:after="0" w:line="277" w:lineRule="auto"/>
        <w:tabs>
          <w:tab w:leader="none" w:pos="125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so acquired of the nature described in Section 7.08(a)(3);</w:t>
      </w:r>
    </w:p>
    <w:p>
      <w:pPr>
        <w:spacing w:after="0" w:line="62" w:lineRule="exact"/>
        <w:rPr>
          <w:rFonts w:ascii="Arial" w:cs="Arial" w:eastAsia="Arial" w:hAnsi="Arial"/>
          <w:sz w:val="18"/>
          <w:szCs w:val="18"/>
          <w:color w:val="auto"/>
        </w:rPr>
      </w:pPr>
    </w:p>
    <w:p>
      <w:pPr>
        <w:ind w:right="740" w:firstLine="957"/>
        <w:spacing w:after="0" w:line="308" w:lineRule="auto"/>
        <w:tabs>
          <w:tab w:leader="none" w:pos="1307"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any agreement for the sale or other disposition of all or substantially all of the Equity Interests or assets of a Restricted Subsidiary that restricts distributions by such Restricted Subsidiary pending the closing of such sale or other disposition;</w:t>
      </w:r>
    </w:p>
    <w:p>
      <w:pPr>
        <w:spacing w:after="0" w:line="38" w:lineRule="exact"/>
        <w:rPr>
          <w:rFonts w:ascii="Arial" w:cs="Arial" w:eastAsia="Arial" w:hAnsi="Arial"/>
          <w:sz w:val="17"/>
          <w:szCs w:val="17"/>
          <w:color w:val="auto"/>
        </w:rPr>
      </w:pPr>
    </w:p>
    <w:p>
      <w:pPr>
        <w:ind w:right="120" w:firstLine="957"/>
        <w:spacing w:after="0" w:line="312" w:lineRule="auto"/>
        <w:tabs>
          <w:tab w:leader="none" w:pos="1357"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agreements governing Permitted Refinancing Indebtedness; provided that the restrictions contained in the agreements governing such Permitted Refinancing Indebtedness are, in the good faith judgment of the senior management or the Board of Directors of the Borrower, not materially more restrictive, taken as a whole, than those contained in the agreements governing the Indebtedness being refinanced;</w:t>
      </w:r>
    </w:p>
    <w:p>
      <w:pPr>
        <w:spacing w:after="0" w:line="38" w:lineRule="exact"/>
        <w:rPr>
          <w:rFonts w:ascii="Arial" w:cs="Arial" w:eastAsia="Arial" w:hAnsi="Arial"/>
          <w:sz w:val="16"/>
          <w:szCs w:val="16"/>
          <w:color w:val="auto"/>
        </w:rPr>
      </w:pPr>
    </w:p>
    <w:p>
      <w:pPr>
        <w:ind w:left="1260" w:hanging="303"/>
        <w:spacing w:after="0"/>
        <w:tabs>
          <w:tab w:leader="none" w:pos="12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any agreement creating a Lien securing Indebtedness otherwise permitted to be incurred pursuant to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Section 7.12, to the extent limiting the right of the Borrower or any of its Restricted Subsidiaries to dispose of the assets subject to such Lien;</w:t>
      </w:r>
    </w:p>
    <w:p>
      <w:pPr>
        <w:spacing w:after="0" w:line="114" w:lineRule="exact"/>
        <w:rPr>
          <w:sz w:val="20"/>
          <w:szCs w:val="20"/>
          <w:color w:val="auto"/>
        </w:rPr>
      </w:pPr>
    </w:p>
    <w:p>
      <w:pPr>
        <w:ind w:firstLine="957"/>
        <w:spacing w:after="0" w:line="264" w:lineRule="auto"/>
        <w:tabs>
          <w:tab w:leader="none" w:pos="120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asset sale agreements, stock sale agreements and other similar agreements entered into in the ordinary course of business or with the approval of the Borrower’s Board of Directors;</w:t>
      </w:r>
    </w:p>
    <w:p>
      <w:pPr>
        <w:spacing w:after="0" w:line="73" w:lineRule="exact"/>
        <w:rPr>
          <w:rFonts w:ascii="Arial" w:cs="Arial" w:eastAsia="Arial" w:hAnsi="Arial"/>
          <w:sz w:val="18"/>
          <w:szCs w:val="18"/>
          <w:color w:val="auto"/>
        </w:rPr>
      </w:pPr>
    </w:p>
    <w:p>
      <w:pPr>
        <w:ind w:right="380" w:firstLine="957"/>
        <w:spacing w:after="0" w:line="277" w:lineRule="auto"/>
        <w:tabs>
          <w:tab w:leader="none" w:pos="125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customary restrictions on a Receivables Subsidiary and Receivables Program Assets effected in connection with a Qualified Receivables Transaction;</w:t>
      </w:r>
    </w:p>
    <w:p>
      <w:pPr>
        <w:spacing w:after="0" w:line="62" w:lineRule="exact"/>
        <w:rPr>
          <w:rFonts w:ascii="Arial" w:cs="Arial" w:eastAsia="Arial" w:hAnsi="Arial"/>
          <w:sz w:val="18"/>
          <w:szCs w:val="18"/>
          <w:color w:val="auto"/>
        </w:rPr>
      </w:pPr>
    </w:p>
    <w:p>
      <w:pPr>
        <w:ind w:left="1320" w:hanging="363"/>
        <w:spacing w:after="0"/>
        <w:tabs>
          <w:tab w:leader="none" w:pos="13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40" w:firstLine="957"/>
        <w:spacing w:after="0" w:line="302" w:lineRule="auto"/>
        <w:tabs>
          <w:tab w:leader="none" w:pos="135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in the case of the provision described in Section 7.08(a)(3): (a) that restrict in a customary manner the subletting, assignment or transfer of any property or asset that is a lease, license, conveyance or contract or similar property or asset or (b) arising or agreed to in the ordinary course of business, not relating to any Indebtedness, and that do not, individually or in the aggregate, detract from the value of property or assets of the Borrower or any Restricted Subsidiary thereof in any manner material to the Borrower or any Restricted Subsidiary thereof;</w:t>
      </w:r>
    </w:p>
    <w:p>
      <w:pPr>
        <w:spacing w:after="0" w:line="46" w:lineRule="exact"/>
        <w:rPr>
          <w:rFonts w:ascii="Arial" w:cs="Arial" w:eastAsia="Arial" w:hAnsi="Arial"/>
          <w:sz w:val="16"/>
          <w:szCs w:val="16"/>
          <w:color w:val="auto"/>
        </w:rPr>
      </w:pPr>
    </w:p>
    <w:p>
      <w:pPr>
        <w:ind w:right="120" w:firstLine="957"/>
        <w:spacing w:after="0" w:line="277" w:lineRule="auto"/>
        <w:tabs>
          <w:tab w:leader="none" w:pos="134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existing under, by reason of or with respect to customary provisions contained in leases or licenses of intellectual property and other agreements, in each case, entered into in the ordinary course of business;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580"/>
          </w:cols>
          <w:pgMar w:left="880" w:top="274" w:right="439" w:bottom="1440" w:gutter="0" w:footer="0" w:header="0"/>
        </w:sectPr>
      </w:pPr>
    </w:p>
    <w:bookmarkStart w:id="415" w:name="page416"/>
    <w:bookmarkEnd w:id="415"/>
    <w:p>
      <w:pPr>
        <w:ind w:left="400" w:right="40" w:firstLine="957"/>
        <w:spacing w:after="0" w:line="279" w:lineRule="auto"/>
        <w:tabs>
          <w:tab w:leader="none" w:pos="1697" w:val="left"/>
        </w:tabs>
        <w:numPr>
          <w:ilvl w:val="0"/>
          <w:numId w:val="3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existing under, by reason of or with respect to Indebtedness of the Borrower or a Restricted Subsidiary not prohibited to be incurred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encumbrances or restrictions are customary for the type of Indebtedness being incurred and the jurisdiction of the obligor and (b) such encumbrances or restrictions will not affect in any material respect the Borrower’s or any Guarantor’s ability to make principal and interest payments on the Loans, as determined in good faith by the Borrower;</w:t>
      </w:r>
    </w:p>
    <w:p>
      <w:pPr>
        <w:spacing w:after="0" w:line="63" w:lineRule="exact"/>
        <w:rPr>
          <w:rFonts w:ascii="Arial" w:cs="Arial" w:eastAsia="Arial" w:hAnsi="Arial"/>
          <w:sz w:val="17"/>
          <w:szCs w:val="17"/>
          <w:color w:val="auto"/>
        </w:rPr>
      </w:pPr>
    </w:p>
    <w:p>
      <w:pPr>
        <w:ind w:left="400" w:right="480" w:firstLine="957"/>
        <w:spacing w:after="0" w:line="277" w:lineRule="auto"/>
        <w:tabs>
          <w:tab w:leader="none" w:pos="174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agreements governing Indebtedness incurred in compliance with Section 7.09(b)(4), provided that such encumbrances or restrictions apply only to assets financed with the proceeds of such Indebtedness;</w:t>
      </w:r>
    </w:p>
    <w:p>
      <w:pPr>
        <w:spacing w:after="0" w:line="62" w:lineRule="exact"/>
        <w:rPr>
          <w:rFonts w:ascii="Arial" w:cs="Arial" w:eastAsia="Arial" w:hAnsi="Arial"/>
          <w:sz w:val="18"/>
          <w:szCs w:val="18"/>
          <w:color w:val="auto"/>
        </w:rPr>
      </w:pPr>
    </w:p>
    <w:p>
      <w:pPr>
        <w:ind w:left="400" w:right="140" w:firstLine="957"/>
        <w:spacing w:after="0" w:line="286" w:lineRule="auto"/>
        <w:tabs>
          <w:tab w:leader="none" w:pos="179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any other agreement governing Indebtedness incurred after the Closing Date that contains encumbrances or other restrictions that are, in the good faith judgment of the senior management or the Board of Directors of the Borrower, no more restrictive in any material respect taken as a whole than those encumbrances and other restrictions that are customary in comparable financings; and</w:t>
      </w:r>
    </w:p>
    <w:p>
      <w:pPr>
        <w:spacing w:after="0" w:line="57" w:lineRule="exact"/>
        <w:rPr>
          <w:rFonts w:ascii="Arial" w:cs="Arial" w:eastAsia="Arial" w:hAnsi="Arial"/>
          <w:sz w:val="17"/>
          <w:szCs w:val="17"/>
          <w:color w:val="auto"/>
        </w:rPr>
      </w:pPr>
    </w:p>
    <w:p>
      <w:pPr>
        <w:ind w:left="400" w:firstLine="957"/>
        <w:spacing w:after="0" w:line="297" w:lineRule="auto"/>
        <w:tabs>
          <w:tab w:leader="none" w:pos="1847"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imposed by any amendments, modifications, restatements, renewals, increases, supplements, refundings, replacements or refinancings of the contracts, instruments or obligations referred to in clauses (1) through (17)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in the good faith judgment of the Borrower, not materially more restrictive as a whole with respect to such encumbrances or restrictions than prior to such amendment, modification, restatement, renewal, increase, supplement, refunding, replacement or refinancing.</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Indebtedness</w:t>
      </w:r>
    </w:p>
    <w:p>
      <w:pPr>
        <w:spacing w:after="0" w:line="117" w:lineRule="exact"/>
        <w:rPr>
          <w:sz w:val="20"/>
          <w:szCs w:val="20"/>
          <w:color w:val="auto"/>
        </w:rPr>
      </w:pPr>
    </w:p>
    <w:p>
      <w:pPr>
        <w:ind w:left="-40" w:right="40" w:firstLine="996"/>
        <w:spacing w:after="0" w:line="270" w:lineRule="auto"/>
        <w:tabs>
          <w:tab w:leader="none" w:pos="1197"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The Borrower will not, and will not permit any of its Restricted Subsidiaries to, directly or indirectly, create, incur, issue, assume, guarantee or otherwise become directly or indirectly liable, contingently or otherwise, with respect to any Indebtedness (including Acquired Debt), and the Borrower and the Guarantors will not issue any Disqualified Equity Interests and the Borrower will not permit any of its Restricted Subsidiaries (other than the Guarantors)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Borrower and any of the Guarantors may incur Indebtedness (including Acquired Debt) or issue Disqualified Equity Interests, if the Fixed Charge Coverage Ratio for the Borrower’s most recently ended four full fiscal quarters for which internal financial statements are available immediately preceding the date on which such additional Indebtedness is incurred or such Disqualified Equity Interests are issued would have been at least 2.0 to 1.0, determined on a pro forma basis (including a pro forma application of the net proceeds therefrom) as if the additional Indebtedness had been incurred, or the Disqualified Equity Interests had been issued, as the case may be, at the beginning of such four-quarter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40"/>
          </w:cols>
          <w:pgMar w:left="480" w:top="274" w:right="479" w:bottom="1440" w:gutter="0" w:footer="0" w:header="0"/>
        </w:sectPr>
      </w:pPr>
    </w:p>
    <w:bookmarkStart w:id="416" w:name="page417"/>
    <w:bookmarkEnd w:id="416"/>
    <w:p>
      <w:pPr>
        <w:ind w:right="780" w:firstLine="996"/>
        <w:spacing w:after="0" w:line="277" w:lineRule="auto"/>
        <w:tabs>
          <w:tab w:leader="none" w:pos="1247" w:val="left"/>
        </w:tabs>
        <w:numPr>
          <w:ilvl w:val="1"/>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Section 7.09(a) will not prohibit the incurrence of any of the following items of Indebtedness (collectively, “</w:t>
      </w:r>
      <w:r>
        <w:rPr>
          <w:rFonts w:ascii="Arial" w:cs="Arial" w:eastAsia="Arial" w:hAnsi="Arial"/>
          <w:sz w:val="18"/>
          <w:szCs w:val="18"/>
          <w:b w:val="1"/>
          <w:bCs w:val="1"/>
          <w:color w:val="auto"/>
        </w:rPr>
        <w:t>Permitted Debt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957"/>
        <w:spacing w:after="0" w:line="284" w:lineRule="auto"/>
        <w:tabs>
          <w:tab w:leader="none" w:pos="1607" w:val="left"/>
        </w:tabs>
        <w:numPr>
          <w:ilvl w:val="2"/>
          <w:numId w:val="360"/>
        </w:numPr>
        <w:rPr>
          <w:rFonts w:ascii="Arial" w:cs="Arial" w:eastAsia="Arial" w:hAnsi="Arial"/>
          <w:sz w:val="16"/>
          <w:szCs w:val="16"/>
          <w:color w:val="auto"/>
        </w:rPr>
      </w:pPr>
      <w:r>
        <w:rPr>
          <w:rFonts w:ascii="Arial" w:cs="Arial" w:eastAsia="Arial" w:hAnsi="Arial"/>
          <w:sz w:val="16"/>
          <w:szCs w:val="16"/>
          <w:color w:val="auto"/>
        </w:rPr>
        <w:t>the incurrence by the Borrower and its Restricted Subsidiaries of (a) Indebtedness, letters of credit and bankers’ acceptances under Credit Facilities in an aggregate amount at any time outstanding as of any date of incurrence of any such Indebtedness (together with the aggregate amount of any Permitted Refinancing Indebtedness outstanding as of such date that was incurred pursuant to clause (1)(b) and that is not deemed to be incurred pursuant to another clause of the definition of Permitted Debt or clause (a) above as a result of reclassification) not to exceed the greater of (x) $1,500.0 million ($225.0 million) and (y) such amount as would not cause the Consolidated Senior Secured Leverage Ratio, calculated as of the date of incurrence, to exceed 3.5 to 1.0 and (b) any Permitted Refinancing Indebtedness incurred to extend, refinance, refund, renew, replace, defease or discharge any Indebtedness that was incurred pursuant to this clause (i) and was not, as of the date of incurrence of such Permitted Refinancing Indebtedness, deemed to be incurred pursuant to another clause of the definition of Permitted Debt or clause</w:t>
      </w:r>
    </w:p>
    <w:p>
      <w:pPr>
        <w:spacing w:after="0" w:line="1" w:lineRule="exact"/>
        <w:rPr>
          <w:rFonts w:ascii="Arial" w:cs="Arial" w:eastAsia="Arial" w:hAnsi="Arial"/>
          <w:sz w:val="16"/>
          <w:szCs w:val="16"/>
          <w:color w:val="auto"/>
        </w:rPr>
      </w:pPr>
    </w:p>
    <w:p>
      <w:pPr>
        <w:ind w:left="680" w:hanging="236"/>
        <w:spacing w:after="0"/>
        <w:tabs>
          <w:tab w:leader="none" w:pos="6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above as a result of reclassification;</w:t>
      </w:r>
    </w:p>
    <w:p>
      <w:pPr>
        <w:spacing w:after="0" w:line="102" w:lineRule="exact"/>
        <w:rPr>
          <w:rFonts w:ascii="Arial" w:cs="Arial" w:eastAsia="Arial" w:hAnsi="Arial"/>
          <w:sz w:val="18"/>
          <w:szCs w:val="18"/>
          <w:color w:val="auto"/>
        </w:rPr>
      </w:pPr>
    </w:p>
    <w:p>
      <w:pPr>
        <w:ind w:left="1660" w:hanging="263"/>
        <w:spacing w:after="0"/>
        <w:tabs>
          <w:tab w:leader="none" w:pos="1660" w:val="left"/>
        </w:tabs>
        <w:numPr>
          <w:ilvl w:val="2"/>
          <w:numId w:val="361"/>
        </w:numPr>
        <w:rPr>
          <w:rFonts w:ascii="Arial" w:cs="Arial" w:eastAsia="Arial" w:hAnsi="Arial"/>
          <w:sz w:val="18"/>
          <w:szCs w:val="18"/>
          <w:color w:val="auto"/>
        </w:rPr>
      </w:pPr>
      <w:r>
        <w:rPr>
          <w:rFonts w:ascii="Arial" w:cs="Arial" w:eastAsia="Arial" w:hAnsi="Arial"/>
          <w:sz w:val="18"/>
          <w:szCs w:val="18"/>
          <w:color w:val="auto"/>
        </w:rPr>
        <w:t>the incurrence by the Borrower and its Restricted Subsidiaries of Existing Indebtedness;</w:t>
      </w:r>
    </w:p>
    <w:p>
      <w:pPr>
        <w:spacing w:after="0" w:line="117" w:lineRule="exact"/>
        <w:rPr>
          <w:sz w:val="20"/>
          <w:szCs w:val="20"/>
          <w:color w:val="auto"/>
        </w:rPr>
      </w:pPr>
    </w:p>
    <w:p>
      <w:pPr>
        <w:ind w:left="1720" w:hanging="323"/>
        <w:spacing w:after="0"/>
        <w:tabs>
          <w:tab w:leader="none" w:pos="17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incurrence by the Borrower and the Guarantors of Indebtedness represented by the Loans and Guarantees of the Loans;</w:t>
      </w:r>
    </w:p>
    <w:p>
      <w:pPr>
        <w:spacing w:after="0" w:line="140" w:lineRule="exact"/>
        <w:rPr>
          <w:rFonts w:ascii="Arial" w:cs="Arial" w:eastAsia="Arial" w:hAnsi="Arial"/>
          <w:sz w:val="16"/>
          <w:szCs w:val="16"/>
          <w:color w:val="auto"/>
        </w:rPr>
      </w:pPr>
    </w:p>
    <w:p>
      <w:pPr>
        <w:ind w:left="440" w:firstLine="957"/>
        <w:spacing w:after="0" w:line="272" w:lineRule="auto"/>
        <w:tabs>
          <w:tab w:leader="none" w:pos="1697"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incurrence by the Borrower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Borrower or such Restricted Subsidiary (whether through the direct purchase of assets or the Equity Interests of any Person owning such assets), in an aggregate principal amount at any time outstanding, as of the date of incurrence of any Indebtedness pursuant to this clause (iv), including all Permitted Refinancing Indebtedness incurred to refund, refinance or replace any Indebtedness incurred pursuant to this clause (iv), not to exceed the greater of (a) $300.0 million ($185.0 million) and (b) 4.0% of Consolidated Total Assets (determined as of the date of incurrence);</w:t>
      </w:r>
    </w:p>
    <w:p>
      <w:pPr>
        <w:spacing w:after="0" w:line="69" w:lineRule="exact"/>
        <w:rPr>
          <w:rFonts w:ascii="Arial" w:cs="Arial" w:eastAsia="Arial" w:hAnsi="Arial"/>
          <w:sz w:val="17"/>
          <w:szCs w:val="17"/>
          <w:color w:val="auto"/>
        </w:rPr>
      </w:pPr>
    </w:p>
    <w:p>
      <w:pPr>
        <w:ind w:left="440" w:firstLine="957"/>
        <w:spacing w:after="0" w:line="264" w:lineRule="auto"/>
        <w:tabs>
          <w:tab w:leader="none" w:pos="164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incurrence by the Borrower or any of its Restricted Subsidiaries of Permitted Refinancing Indebtedness in exchange for, or the net proceeds of which are used to refund, refinance or replace, Indebtedness incurred under clauses (ii), (iii) or (iv) above, this clause (v), clauses (xvii), (xviii), (xx), (xxvi) or (xxvii) below or pursuant to Section 7.09(a);</w:t>
      </w:r>
    </w:p>
    <w:p>
      <w:pPr>
        <w:spacing w:after="0" w:line="73" w:lineRule="exact"/>
        <w:rPr>
          <w:rFonts w:ascii="Arial" w:cs="Arial" w:eastAsia="Arial" w:hAnsi="Arial"/>
          <w:sz w:val="18"/>
          <w:szCs w:val="18"/>
          <w:color w:val="auto"/>
        </w:rPr>
      </w:pPr>
    </w:p>
    <w:p>
      <w:pPr>
        <w:ind w:left="440" w:right="760" w:firstLine="957"/>
        <w:spacing w:after="0" w:line="277" w:lineRule="auto"/>
        <w:tabs>
          <w:tab w:leader="none" w:pos="169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the incurrence by the Borrower or any of its Restricted Subsidiaries of Indebtedness owed to the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440" w:right="40" w:firstLine="380"/>
        <w:spacing w:after="0" w:line="312" w:lineRule="auto"/>
        <w:tabs>
          <w:tab w:leader="none" w:pos="211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if the Borrower or any Guarantor is the obligor on such Indebtedness, and the payee is not the Borrower or a Guarantor, such Indebtedness must be expressly subordinated to the prior payment in full in cash of all Obligations with respect to the Loans, in the case of the Borrower, or the Guarantee of the Loans by such Guarantor, in the case of a Guarantor;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20"/>
          </w:cols>
          <w:pgMar w:left="440" w:top="274" w:right="439" w:bottom="1440" w:gutter="0" w:footer="0" w:header="0"/>
        </w:sectPr>
      </w:pPr>
    </w:p>
    <w:bookmarkStart w:id="417" w:name="page418"/>
    <w:bookmarkEnd w:id="417"/>
    <w:p>
      <w:pPr>
        <w:ind w:left="1000" w:right="220" w:firstLine="380"/>
        <w:spacing w:after="0" w:line="302" w:lineRule="auto"/>
        <w:tabs>
          <w:tab w:leader="none" w:pos="1668" w:val="left"/>
        </w:tabs>
        <w:numPr>
          <w:ilvl w:val="1"/>
          <w:numId w:val="3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any subsequent issuance or transfer of Equity Interests that results in any such Indebtedness being held by a Person other than the Borrower or a Restricted Subsidiary thereof and (2) any sale or other transfer of any such Indebtedness to a Person that is not either the Borrower or a Restricted Subsidiary thereof shall be deemed, in each case, to constitute an incurrence of such Indebtedness by the Borrower or such Restricted Subsidiary, as the case may be, that was not permitted by this clause (vi);</w:t>
      </w:r>
    </w:p>
    <w:p>
      <w:pPr>
        <w:spacing w:after="0" w:line="46" w:lineRule="exact"/>
        <w:rPr>
          <w:rFonts w:ascii="Arial" w:cs="Arial" w:eastAsia="Arial" w:hAnsi="Arial"/>
          <w:sz w:val="16"/>
          <w:szCs w:val="16"/>
          <w:color w:val="auto"/>
        </w:rPr>
      </w:pPr>
    </w:p>
    <w:p>
      <w:pPr>
        <w:ind w:right="380" w:firstLine="957"/>
        <w:spacing w:after="0" w:line="277" w:lineRule="auto"/>
        <w:tabs>
          <w:tab w:leader="none" w:pos="130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incurrence by the Borrower or any of its Restricted Subsidiaries of Indebtedness under Hedging Obligations that are not entered into for the purpose of speculation;</w:t>
      </w:r>
    </w:p>
    <w:p>
      <w:pPr>
        <w:spacing w:after="0" w:line="62" w:lineRule="exact"/>
        <w:rPr>
          <w:rFonts w:ascii="Arial" w:cs="Arial" w:eastAsia="Arial" w:hAnsi="Arial"/>
          <w:sz w:val="18"/>
          <w:szCs w:val="18"/>
          <w:color w:val="auto"/>
        </w:rPr>
      </w:pPr>
    </w:p>
    <w:p>
      <w:pPr>
        <w:ind w:right="120" w:firstLine="957"/>
        <w:spacing w:after="0" w:line="277" w:lineRule="auto"/>
        <w:tabs>
          <w:tab w:leader="none" w:pos="135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issuance by any of the Borrower’s Restricted Subsidiaries to the Borrower or to any of its Restricted Subsidiaries of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000" w:right="60" w:firstLine="380"/>
        <w:spacing w:after="0" w:line="277" w:lineRule="auto"/>
        <w:tabs>
          <w:tab w:leader="none" w:pos="1678"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Borrower or a Restricted Subsidiary of the Borrower; and</w:t>
      </w:r>
    </w:p>
    <w:p>
      <w:pPr>
        <w:spacing w:after="0" w:line="62" w:lineRule="exact"/>
        <w:rPr>
          <w:rFonts w:ascii="Arial" w:cs="Arial" w:eastAsia="Arial" w:hAnsi="Arial"/>
          <w:sz w:val="18"/>
          <w:szCs w:val="18"/>
          <w:color w:val="auto"/>
        </w:rPr>
      </w:pPr>
    </w:p>
    <w:p>
      <w:pPr>
        <w:ind w:left="1000" w:right="160" w:firstLine="380"/>
        <w:spacing w:after="0" w:line="277" w:lineRule="auto"/>
        <w:tabs>
          <w:tab w:leader="none" w:pos="1668"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the Borrower or a Restricted Subsidiary of the Borrower,</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will be deemed, in each case, to constitute an issuance of such preferred stock by such Restricted Subsidiary that was not permitted by this clause (viii);</w:t>
      </w:r>
    </w:p>
    <w:p>
      <w:pPr>
        <w:spacing w:after="0" w:line="62" w:lineRule="exact"/>
        <w:rPr>
          <w:sz w:val="20"/>
          <w:szCs w:val="20"/>
          <w:color w:val="auto"/>
        </w:rPr>
      </w:pPr>
    </w:p>
    <w:p>
      <w:pPr>
        <w:ind w:firstLine="957"/>
        <w:spacing w:after="0" w:line="264" w:lineRule="auto"/>
        <w:tabs>
          <w:tab w:leader="none" w:pos="125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Guarantee by the Borrower or any of its Restricted Subsidiaries of Indebtedness of the Borrower or a Restricted Subsidiary of the Borrower that was permitted to be incurred by another provision of this Section 7.09 and could have been incurred (in compliance with this Section 7.09) by the Person so Guaranteeing such Indebtedness;</w:t>
      </w:r>
    </w:p>
    <w:p>
      <w:pPr>
        <w:spacing w:after="0" w:line="73" w:lineRule="exact"/>
        <w:rPr>
          <w:rFonts w:ascii="Arial" w:cs="Arial" w:eastAsia="Arial" w:hAnsi="Arial"/>
          <w:sz w:val="18"/>
          <w:szCs w:val="18"/>
          <w:color w:val="auto"/>
        </w:rPr>
      </w:pPr>
    </w:p>
    <w:p>
      <w:pPr>
        <w:ind w:right="160" w:firstLine="957"/>
        <w:spacing w:after="0" w:line="264" w:lineRule="auto"/>
        <w:tabs>
          <w:tab w:leader="none" w:pos="120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incurrence of Indebtedness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 five Business Days of incurrence;</w:t>
      </w:r>
    </w:p>
    <w:p>
      <w:pPr>
        <w:spacing w:after="0" w:line="73" w:lineRule="exact"/>
        <w:rPr>
          <w:rFonts w:ascii="Arial" w:cs="Arial" w:eastAsia="Arial" w:hAnsi="Arial"/>
          <w:sz w:val="18"/>
          <w:szCs w:val="18"/>
          <w:color w:val="auto"/>
        </w:rPr>
      </w:pPr>
    </w:p>
    <w:p>
      <w:pPr>
        <w:ind w:right="60" w:firstLine="957"/>
        <w:spacing w:after="0" w:line="264" w:lineRule="auto"/>
        <w:tabs>
          <w:tab w:leader="none" w:pos="125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incurrence of Indebtedness of the Borrower or any of its Restricted Subsidiaries in respect of security for workers’ compensation claims, payment obligations in connection with self- insurance, health, disability or other employee benefits or property, casualty or liability insurance provided to the Borrower or any of its Restricted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580"/>
          </w:cols>
          <w:pgMar w:left="880" w:top="273" w:right="439" w:bottom="1440" w:gutter="0" w:footer="0" w:header="0"/>
        </w:sectPr>
      </w:pPr>
    </w:p>
    <w:bookmarkStart w:id="418" w:name="page419"/>
    <w:bookmarkEnd w:id="418"/>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Subsidiaries, bankers’ acceptances, performance, surety and similar bonds and completion guarantees provided by the Borrower or any of its Restricted Subsidiaries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underlying obligation to perform is that of the Borrower and its Restricted Subsidiaries and not that of the Borrower’s Unrestricted Subsidiaries;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underlying obligation is not in respect of borrowed money;</w:t>
      </w:r>
    </w:p>
    <w:p>
      <w:pPr>
        <w:spacing w:after="0" w:line="79" w:lineRule="exact"/>
        <w:rPr>
          <w:sz w:val="20"/>
          <w:szCs w:val="20"/>
          <w:color w:val="auto"/>
        </w:rPr>
      </w:pPr>
    </w:p>
    <w:p>
      <w:pPr>
        <w:ind w:firstLine="957"/>
        <w:spacing w:after="0" w:line="271" w:lineRule="auto"/>
        <w:tabs>
          <w:tab w:leader="none" w:pos="1307"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the incurrence of Indebtedness that may be deemed to arise as a result of agreements of the Borrower or any Restricted Subsidiary of the Borrower providing for indemnification, adjustment of purchase price, earn-out or similar obligations, in each case, incurred or assumed in connection with the disposition of any business or assets of the Borrower or any Restricted Subsidiary or Equity Interests of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amount of such obligations included on the face of the balance sheet of the Borrower or any Restricted Subsidiary shall not be permitted under this clause (xii) and (b) the maximum aggregate liability in respect of all such obligations outstanding under this clause (xii) shall at no time exceed the gross proceeds including non-cash proceeds (the fair market value of such non-cash proceeds being measured at the time received and without giving effect to any subsequent changes in value) actually received by the Borrower and the Restricted Subsidiaries in connection with such disposition;</w:t>
      </w:r>
    </w:p>
    <w:p>
      <w:pPr>
        <w:spacing w:after="0" w:line="70" w:lineRule="exact"/>
        <w:rPr>
          <w:rFonts w:ascii="Arial" w:cs="Arial" w:eastAsia="Arial" w:hAnsi="Arial"/>
          <w:sz w:val="17"/>
          <w:szCs w:val="17"/>
          <w:color w:val="auto"/>
        </w:rPr>
      </w:pPr>
    </w:p>
    <w:p>
      <w:pPr>
        <w:ind w:right="80" w:firstLine="957"/>
        <w:spacing w:after="0" w:line="259" w:lineRule="auto"/>
        <w:tabs>
          <w:tab w:leader="none" w:pos="135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Indebtedness incurred under commercial letters of credit issued for the account of the Borrower or any of its Restricted Subsidiaries in the ordinary course of business (and not for the purpose of, directly or indirectly, incurring Indebtedness or providing credit support or a similar arrangement in respect of Indebtedness); or Indebtedness of the Borrower or any of its Restricted Subsidiaries under letters of credit and bank guarantees backstopped by letters of credit under the Credit Facilities;</w:t>
      </w:r>
    </w:p>
    <w:p>
      <w:pPr>
        <w:spacing w:after="0" w:line="78" w:lineRule="exact"/>
        <w:rPr>
          <w:rFonts w:ascii="Arial" w:cs="Arial" w:eastAsia="Arial" w:hAnsi="Arial"/>
          <w:sz w:val="18"/>
          <w:szCs w:val="18"/>
          <w:color w:val="auto"/>
        </w:rPr>
      </w:pPr>
    </w:p>
    <w:p>
      <w:pPr>
        <w:ind w:right="140" w:firstLine="957"/>
        <w:spacing w:after="0" w:line="312" w:lineRule="auto"/>
        <w:tabs>
          <w:tab w:leader="none" w:pos="134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pledges, deposits or payments made or given in the ordinary course of business in connection with or to secure statutory, regulatory or similar obligations, including obligations under health, safety or environmental obligations, or arising from guarantees to suppliers, lessors, licenses, contractors, franchisees or customers of obligations, other than Indebtedness, made in the ordinary course of business;</w:t>
      </w:r>
    </w:p>
    <w:p>
      <w:pPr>
        <w:spacing w:after="0" w:line="38" w:lineRule="exact"/>
        <w:rPr>
          <w:rFonts w:ascii="Arial" w:cs="Arial" w:eastAsia="Arial" w:hAnsi="Arial"/>
          <w:sz w:val="16"/>
          <w:szCs w:val="16"/>
          <w:color w:val="auto"/>
        </w:rPr>
      </w:pPr>
    </w:p>
    <w:p>
      <w:pPr>
        <w:ind w:right="280" w:firstLine="957"/>
        <w:spacing w:after="0" w:line="257" w:lineRule="auto"/>
        <w:tabs>
          <w:tab w:leader="none" w:pos="129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incurrence of Indebtedness by the Borrower or any of its Restricted Subsidiaries issued to directors, officers, managers or employees of the Borrower or any of its Restricted Subsidiaries in connection with the redemption or purchase of Equity Interests that, by its terms, is subordinated to the notes, is not secured by any assets of the Borrower or any of its Restricted Subsidiaries and does not require cash payments prior to the Stated Maturity of the Loans, in an aggregate principal amount at any time outstanding not to exceed $25.0 million ($5.0 million);</w:t>
      </w:r>
    </w:p>
    <w:p>
      <w:pPr>
        <w:spacing w:after="0" w:line="80" w:lineRule="exact"/>
        <w:rPr>
          <w:rFonts w:ascii="Arial" w:cs="Arial" w:eastAsia="Arial" w:hAnsi="Arial"/>
          <w:sz w:val="18"/>
          <w:szCs w:val="18"/>
          <w:color w:val="auto"/>
        </w:rPr>
      </w:pPr>
    </w:p>
    <w:p>
      <w:pPr>
        <w:ind w:left="1360" w:hanging="403"/>
        <w:spacing w:after="0"/>
        <w:tabs>
          <w:tab w:leader="none" w:pos="13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Ralcorp Obligations;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580"/>
          </w:cols>
          <w:pgMar w:left="880" w:top="274" w:right="439" w:bottom="1440" w:gutter="0" w:footer="0" w:header="0"/>
        </w:sectPr>
      </w:pPr>
    </w:p>
    <w:bookmarkStart w:id="419" w:name="page420"/>
    <w:bookmarkEnd w:id="419"/>
    <w:p>
      <w:pPr>
        <w:jc w:val="both"/>
        <w:ind w:right="260" w:firstLine="957"/>
        <w:spacing w:after="0" w:line="257" w:lineRule="auto"/>
        <w:tabs>
          <w:tab w:leader="none" w:pos="1397"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incurrence by any Foreign Subsidiary of Indebtedness and/or the guarantee by the Borrower and/or any of its Restricted Subsidiaries of such Indebtedness in an aggregate principal amount (or accreted value, as applicable) at any time outstanding, as of the date of incurrence of any Indebtedness pursuant to this clause (xvii), including all Permitted Refinancing Indebtedness incurred to refund, refinance or replace any Indebtedness incurred pursuant to this clause (xvii), not to exceed the greater of (a) $300.0 million ($60.0 million) and (b) 4.0% of Consolidated Total Assets (determined as of the date of incurrence);</w:t>
      </w:r>
    </w:p>
    <w:p>
      <w:pPr>
        <w:spacing w:after="0" w:line="80" w:lineRule="exact"/>
        <w:rPr>
          <w:rFonts w:ascii="Arial" w:cs="Arial" w:eastAsia="Arial" w:hAnsi="Arial"/>
          <w:sz w:val="18"/>
          <w:szCs w:val="18"/>
          <w:color w:val="auto"/>
        </w:rPr>
      </w:pPr>
    </w:p>
    <w:p>
      <w:pPr>
        <w:ind w:firstLine="957"/>
        <w:spacing w:after="0" w:line="257" w:lineRule="auto"/>
        <w:tabs>
          <w:tab w:leader="none" w:pos="144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incurrence by the Borrower or any of its Restricted Subsidiaries of any Capitalized Lease Obligation resulting from a Sale and Leaseback Transaction in an aggregate principal amount at any time outstanding, as of the date of incurrence of any Indebtedness pursuant to this clause (xviii), including all Permitted Refinancing Indebtedness incurred to refund, refinance or replace any Indebtedness incurred pursuant to this clause (xviii), not to exceed the greater of $100.0 million ($20.0 million) and 1.50% of Consolidated Total Assets (determined as of the date of incurrence);</w:t>
      </w:r>
    </w:p>
    <w:p>
      <w:pPr>
        <w:spacing w:after="0" w:line="80" w:lineRule="exact"/>
        <w:rPr>
          <w:rFonts w:ascii="Arial" w:cs="Arial" w:eastAsia="Arial" w:hAnsi="Arial"/>
          <w:sz w:val="18"/>
          <w:szCs w:val="18"/>
          <w:color w:val="auto"/>
        </w:rPr>
      </w:pPr>
    </w:p>
    <w:p>
      <w:pPr>
        <w:ind w:left="1360" w:hanging="403"/>
        <w:spacing w:after="0"/>
        <w:tabs>
          <w:tab w:leader="none" w:pos="13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Indebtedness in respect of Receivables Program Obligations;</w:t>
      </w:r>
    </w:p>
    <w:p>
      <w:pPr>
        <w:spacing w:after="0" w:line="117" w:lineRule="exact"/>
        <w:rPr>
          <w:rFonts w:ascii="Arial" w:cs="Arial" w:eastAsia="Arial" w:hAnsi="Arial"/>
          <w:sz w:val="18"/>
          <w:szCs w:val="18"/>
          <w:color w:val="auto"/>
        </w:rPr>
      </w:pPr>
    </w:p>
    <w:p>
      <w:pPr>
        <w:ind w:right="60" w:firstLine="957"/>
        <w:spacing w:after="0" w:line="297" w:lineRule="auto"/>
        <w:tabs>
          <w:tab w:leader="none" w:pos="1297"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the incurrence of Acquired Debt or other Indebtedness incurred in connection with, or in contemplation of, an acquisition (including by way of merger or consolidation) by the Borrower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pro forma effect to such acquisition, either (a) the Borrower’s Fixed Charge Coverage Ratio immediately following such acquisition and incurrence (including a pro forma application of the net proceeds therefrom) would be at least 2.0 to 1.0 or (b) the Borrower’s pro forma Fixed Charge Coverage Ratio would be greater than the actual Fixed Charge Coverage Ratio of the Borrower immediately prior to such acquisition and incurrence;</w:t>
      </w:r>
    </w:p>
    <w:p>
      <w:pPr>
        <w:spacing w:after="0" w:line="50" w:lineRule="exact"/>
        <w:rPr>
          <w:rFonts w:ascii="Arial" w:cs="Arial" w:eastAsia="Arial" w:hAnsi="Arial"/>
          <w:sz w:val="16"/>
          <w:szCs w:val="16"/>
          <w:color w:val="auto"/>
        </w:rPr>
      </w:pPr>
    </w:p>
    <w:p>
      <w:pPr>
        <w:ind w:right="100" w:firstLine="957"/>
        <w:spacing w:after="0" w:line="277" w:lineRule="auto"/>
        <w:tabs>
          <w:tab w:leader="none" w:pos="134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of the Borrower to the extent that the net proceeds thereof are promptly deposited with the Administrative Agent to repay the Loans;</w:t>
      </w:r>
    </w:p>
    <w:p>
      <w:pPr>
        <w:spacing w:after="0" w:line="62" w:lineRule="exact"/>
        <w:rPr>
          <w:rFonts w:ascii="Arial" w:cs="Arial" w:eastAsia="Arial" w:hAnsi="Arial"/>
          <w:sz w:val="18"/>
          <w:szCs w:val="18"/>
          <w:color w:val="auto"/>
        </w:rPr>
      </w:pPr>
    </w:p>
    <w:p>
      <w:pPr>
        <w:ind w:right="700" w:firstLine="957"/>
        <w:spacing w:after="0" w:line="308" w:lineRule="auto"/>
        <w:tabs>
          <w:tab w:leader="none" w:pos="1397"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Indebtedness of the Borrower or any Restricted Subsidiary of the Borrower consisting of obligations to pay insurance premiums or take-or-pay obligations contained in supply arrangements incurred in the ordinary course of business;</w:t>
      </w:r>
    </w:p>
    <w:p>
      <w:pPr>
        <w:spacing w:after="0" w:line="38" w:lineRule="exact"/>
        <w:rPr>
          <w:rFonts w:ascii="Arial" w:cs="Arial" w:eastAsia="Arial" w:hAnsi="Arial"/>
          <w:sz w:val="17"/>
          <w:szCs w:val="17"/>
          <w:color w:val="auto"/>
        </w:rPr>
      </w:pPr>
    </w:p>
    <w:p>
      <w:pPr>
        <w:ind w:right="20" w:firstLine="957"/>
        <w:spacing w:after="0" w:line="277" w:lineRule="auto"/>
        <w:tabs>
          <w:tab w:leader="none" w:pos="144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Indebtedness in respect of overdraft facilities, employee credit card programs and other cash management arrangements in the ordinary course of business;</w:t>
      </w:r>
    </w:p>
    <w:p>
      <w:pPr>
        <w:spacing w:after="0" w:line="62" w:lineRule="exact"/>
        <w:rPr>
          <w:rFonts w:ascii="Arial" w:cs="Arial" w:eastAsia="Arial" w:hAnsi="Arial"/>
          <w:sz w:val="18"/>
          <w:szCs w:val="18"/>
          <w:color w:val="auto"/>
        </w:rPr>
      </w:pPr>
    </w:p>
    <w:p>
      <w:pPr>
        <w:ind w:right="40" w:firstLine="957"/>
        <w:spacing w:after="0" w:line="277" w:lineRule="auto"/>
        <w:tabs>
          <w:tab w:leader="none" w:pos="143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Borrower and its Restricted Subsidiaries incurred in the ordinary course of business;</w:t>
      </w:r>
    </w:p>
    <w:p>
      <w:pPr>
        <w:spacing w:after="0" w:line="62" w:lineRule="exact"/>
        <w:rPr>
          <w:rFonts w:ascii="Arial" w:cs="Arial" w:eastAsia="Arial" w:hAnsi="Arial"/>
          <w:sz w:val="18"/>
          <w:szCs w:val="18"/>
          <w:color w:val="auto"/>
        </w:rPr>
      </w:pPr>
    </w:p>
    <w:p>
      <w:pPr>
        <w:ind w:right="320" w:firstLine="957"/>
        <w:spacing w:after="0" w:line="277" w:lineRule="auto"/>
        <w:tabs>
          <w:tab w:leader="none" w:pos="138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cash management obligations and other Indebtedness in respect of netting services, automatic clearinghouse arrangements, overdraft protections and similar arrangements in each case in connection with deposit accounts;</w:t>
      </w:r>
    </w:p>
    <w:p>
      <w:pPr>
        <w:spacing w:after="0" w:line="62" w:lineRule="exact"/>
        <w:rPr>
          <w:rFonts w:ascii="Arial" w:cs="Arial" w:eastAsia="Arial" w:hAnsi="Arial"/>
          <w:sz w:val="18"/>
          <w:szCs w:val="18"/>
          <w:color w:val="auto"/>
        </w:rPr>
      </w:pPr>
    </w:p>
    <w:p>
      <w:pPr>
        <w:ind w:right="100" w:firstLine="957"/>
        <w:spacing w:after="0" w:line="264" w:lineRule="auto"/>
        <w:tabs>
          <w:tab w:leader="none" w:pos="143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incurrence of Indebtedness by any Restricted Subsidiary of the Borrower that is not a Guarantor, and/or the guarantee by the Borrower or any of its Restricted Subsidiaries of Indebtedness of any joint venture of the Borrower or any of its Restricted Subsidiaries, in an aggregate principal amount (or accreted value, as applicable)</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60"/>
          </w:cols>
          <w:pgMar w:left="880" w:top="274" w:right="459" w:bottom="1440" w:gutter="0" w:footer="0" w:header="0"/>
        </w:sectPr>
      </w:pPr>
    </w:p>
    <w:bookmarkStart w:id="420" w:name="page421"/>
    <w:bookmarkEnd w:id="420"/>
    <w:p>
      <w:pPr>
        <w:jc w:val="both"/>
        <w:ind w:left="440" w:right="5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outstanding, as of the date of incurrence of any Indebtedness pursuant to this clause (xxvi), including all Permitted Refinancing Indebtedness incurred to refund, refinance or replace any Indebtedness incurred pursuant to this clause (xxvi), not to exceed the greater of $275.0 million ($55.0 million) and 3.0% of Consolidated Total Assets (determined as of the date of incurrence);</w:t>
      </w:r>
    </w:p>
    <w:p>
      <w:pPr>
        <w:spacing w:after="0" w:line="57" w:lineRule="exact"/>
        <w:rPr>
          <w:sz w:val="20"/>
          <w:szCs w:val="20"/>
          <w:color w:val="auto"/>
        </w:rPr>
      </w:pPr>
    </w:p>
    <w:p>
      <w:pPr>
        <w:ind w:left="440" w:right="100" w:firstLine="957"/>
        <w:spacing w:after="0" w:line="288" w:lineRule="auto"/>
        <w:tabs>
          <w:tab w:leader="none" w:pos="1927"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incurrence by the Borrower or any of its Restricted Subsidiaries of additional Indebtedness in an aggregate principal amount (or accreted value, as applicable) at any time outstanding, as of the date of incurrence of any Indebtedness pursuant to this clause (xxvii), including all Permitted Refinancing Indebtedness incurred to refund, refinance or replace any Indebtedness incurred pursuant to this</w:t>
      </w:r>
    </w:p>
    <w:p>
      <w:pPr>
        <w:ind w:left="440" w:right="320"/>
        <w:spacing w:after="0" w:line="261" w:lineRule="auto"/>
        <w:rPr>
          <w:rFonts w:ascii="Arial" w:cs="Arial" w:eastAsia="Arial" w:hAnsi="Arial"/>
          <w:sz w:val="16"/>
          <w:szCs w:val="16"/>
          <w:color w:val="auto"/>
        </w:rPr>
      </w:pPr>
      <w:r>
        <w:rPr>
          <w:rFonts w:ascii="Arial" w:cs="Arial" w:eastAsia="Arial" w:hAnsi="Arial"/>
          <w:sz w:val="18"/>
          <w:szCs w:val="18"/>
          <w:color w:val="auto"/>
        </w:rPr>
        <w:t>clause (xxvii), not to exceed the greater of $400.0 million ($80.0 million) and 4.5% of Consolidated Total Assets (determined as of the date of incurrence); and</w:t>
      </w:r>
    </w:p>
    <w:p>
      <w:pPr>
        <w:spacing w:after="0" w:line="75" w:lineRule="exact"/>
        <w:rPr>
          <w:rFonts w:ascii="Arial" w:cs="Arial" w:eastAsia="Arial" w:hAnsi="Arial"/>
          <w:sz w:val="16"/>
          <w:szCs w:val="16"/>
          <w:color w:val="auto"/>
        </w:rPr>
      </w:pPr>
    </w:p>
    <w:p>
      <w:pPr>
        <w:ind w:left="440" w:right="140" w:firstLine="957"/>
        <w:spacing w:after="0" w:line="264" w:lineRule="auto"/>
        <w:tabs>
          <w:tab w:leader="none" w:pos="1977"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the incurrence by the Loan Parties as of or after the Debt Assumption of the Permanent Term Financing, in an aggregate principal amount not to exceed, at any time outstanding, (a) $700.0 million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amount of any repayment or prepayment of the Permanent Term Financing.</w:t>
      </w:r>
    </w:p>
    <w:p>
      <w:pPr>
        <w:spacing w:after="0" w:line="73" w:lineRule="exact"/>
        <w:rPr>
          <w:rFonts w:ascii="Arial" w:cs="Arial" w:eastAsia="Arial" w:hAnsi="Arial"/>
          <w:sz w:val="18"/>
          <w:szCs w:val="18"/>
          <w:color w:val="auto"/>
        </w:rPr>
      </w:pPr>
    </w:p>
    <w:p>
      <w:pPr>
        <w:ind w:right="200" w:firstLine="996"/>
        <w:spacing w:after="0" w:line="289" w:lineRule="auto"/>
        <w:tabs>
          <w:tab w:leader="none" w:pos="123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Borrower will not, and will not permit any Guarantor to, directly or indirectly, incur any Indebtedness that is contractually subordinated in right of payment to any other Indebtedness of the Borrower or of such Guarantor, as the case may be, unless such Indebtedness is also contractually subordinated in the right of payment to the Loans and the applicable Guarantee on substantially the same terms. For purposes of the foregoing, no Indebtedness will be deemed to be contractually subordinated in right of payment to any other Indebtedness of the Borrower or any Guarantor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priority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58" w:lineRule="exact"/>
        <w:rPr>
          <w:rFonts w:ascii="Arial" w:cs="Arial" w:eastAsia="Arial" w:hAnsi="Arial"/>
          <w:sz w:val="16"/>
          <w:szCs w:val="16"/>
          <w:color w:val="auto"/>
        </w:rPr>
      </w:pPr>
    </w:p>
    <w:p>
      <w:pPr>
        <w:ind w:right="20" w:firstLine="996"/>
        <w:spacing w:after="0" w:line="274" w:lineRule="auto"/>
        <w:tabs>
          <w:tab w:leader="none" w:pos="1247" w:val="left"/>
        </w:tabs>
        <w:numPr>
          <w:ilvl w:val="0"/>
          <w:numId w:val="369"/>
        </w:numPr>
        <w:rPr>
          <w:rFonts w:ascii="Arial" w:cs="Arial" w:eastAsia="Arial" w:hAnsi="Arial"/>
          <w:sz w:val="17"/>
          <w:szCs w:val="17"/>
          <w:color w:val="auto"/>
        </w:rPr>
      </w:pPr>
      <w:r>
        <w:rPr>
          <w:rFonts w:ascii="Arial" w:cs="Arial" w:eastAsia="Arial" w:hAnsi="Arial"/>
          <w:sz w:val="17"/>
          <w:szCs w:val="17"/>
          <w:color w:val="auto"/>
        </w:rPr>
        <w:t>For purposes of determining compliance with this Section 7.09, in the event that an item of proposed Indebtedness meets the criteria of more than one of the categories of Permitted Debt described in clauses (i) through (xxviii) above, or is entitled to be incurred pursuant to</w:t>
      </w:r>
    </w:p>
    <w:p>
      <w:pPr>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7.09(a), the Borrower will be permitted to classify such item of Indebtedness on the date of its incurrence (or later reclassify such Indebtedness in whole or in part) in any manner that complies with this Section 7.09;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Permanent Term Financing funded on the Debt Assumption Date will be deemed to be incurred on the Debt Assumption Date pursuant to Section 7.09(b)(xxviii) and may not be reclassified and (ii) any Permanent Revolving Financing funded on the Debt Assumption Date will be deemed to be incurred on the Debt Assumption Date pursuant to Section 7.09(b)(i) and may not be reclassified. In addition, the accrual of interest,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Equity Interests in the form of additional shares of the same class of Disqualified Equity Interests will not be treated as an incurrence of Indebtedness or an issuance of Disqualified Equity Interests for purposes of this Section 7.09.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3" w:right="459" w:bottom="1440" w:gutter="0" w:footer="0" w:header="0"/>
        </w:sectPr>
      </w:pPr>
    </w:p>
    <w:bookmarkStart w:id="421" w:name="page422"/>
    <w:bookmarkEnd w:id="421"/>
    <w:p>
      <w:pPr>
        <w:ind w:left="-40" w:firstLine="996"/>
        <w:spacing w:after="0" w:line="286" w:lineRule="auto"/>
        <w:tabs>
          <w:tab w:leader="none" w:pos="1197" w:val="left"/>
        </w:tabs>
        <w:numPr>
          <w:ilvl w:val="0"/>
          <w:numId w:val="3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maximum amount of Indebtedness that may be incurred pursuant to this Section 7.09 shall not be deemed to be exceeded with respect to any outstanding Indebtedness due solely to the result of fluctuations in the exchange rates of currencies. For purposes of determining compliance with any U.S. dollar denominated restriction on the incurrence of Indebtedness where the Indebtedness incurred, or any Indebtedness outstanding pursuant to the clause or clauses of the definition of Permitted Debt under which such Indebtedness is being incurred, is denominated in a different currency, the amount of any such Indebtedness being incurred and such outstanding Indebtedness, if any, will in each case be the U.S. Dollar Equivalent determined on the date any such Indebtedness was incurred, in the case of term Indebtedness, or first committed or first incurred (whichever yields the lower U.S. Dollar Equivalent), in the case of revolving credit Indebtedness, which U.S. Dollar Equivalent will be reduced by any repayment on such Indebtedness in proportion to the reduction in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Indebtedness denominated in a different currency is subject to a currency Swap Contract with respect to U.S. dollars covering all principal, premium, if any, and interest payable on such Indebtedness, the amount of such Indebtedness expressed in U.S. dollars will be as provided in such currency Swap Contract.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Swap Contract, in which case the Permitted Refinancing Indebtedness will be determined in accordance with the preceding sentence, and (2) if the principal amount of the Permitted Refinancing Indebtedness exceeds the principal amount of the Indebtedness being refinanced, the U.S. Dollar Equivalent of such excess, as appropriate, will be determined on the date such Permitted Refinancing Indebtedness is incurred.</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Asset Sales</w:t>
      </w:r>
    </w:p>
    <w:p>
      <w:pPr>
        <w:spacing w:after="0" w:line="117" w:lineRule="exact"/>
        <w:rPr>
          <w:sz w:val="20"/>
          <w:szCs w:val="20"/>
          <w:color w:val="auto"/>
        </w:rPr>
      </w:pPr>
    </w:p>
    <w:p>
      <w:pPr>
        <w:ind w:left="1200" w:hanging="244"/>
        <w:spacing w:after="0"/>
        <w:tabs>
          <w:tab w:leader="none" w:pos="12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consummate an Asset Sale, unless:</w:t>
      </w:r>
    </w:p>
    <w:p>
      <w:pPr>
        <w:spacing w:after="0" w:line="117" w:lineRule="exact"/>
        <w:rPr>
          <w:rFonts w:ascii="Arial" w:cs="Arial" w:eastAsia="Arial" w:hAnsi="Arial"/>
          <w:sz w:val="18"/>
          <w:szCs w:val="18"/>
          <w:color w:val="auto"/>
        </w:rPr>
      </w:pPr>
    </w:p>
    <w:p>
      <w:pPr>
        <w:ind w:left="400" w:right="20" w:firstLine="957"/>
        <w:spacing w:after="0" w:line="286" w:lineRule="auto"/>
        <w:tabs>
          <w:tab w:leader="none" w:pos="1567" w:val="left"/>
        </w:tabs>
        <w:numPr>
          <w:ilvl w:val="1"/>
          <w:numId w:val="371"/>
        </w:numPr>
        <w:rPr>
          <w:rFonts w:ascii="Arial" w:cs="Arial" w:eastAsia="Arial" w:hAnsi="Arial"/>
          <w:sz w:val="17"/>
          <w:szCs w:val="17"/>
          <w:color w:val="auto"/>
        </w:rPr>
      </w:pPr>
      <w:r>
        <w:rPr>
          <w:rFonts w:ascii="Arial" w:cs="Arial" w:eastAsia="Arial" w:hAnsi="Arial"/>
          <w:sz w:val="17"/>
          <w:szCs w:val="17"/>
          <w:color w:val="auto"/>
        </w:rPr>
        <w:t>the Borrower (or the Restricted Subsidiary, as the case may be) receives consideration at the time of such Asset Sale at least equal to the fair market value (measured as of the date of the definitive agreement with respect to such Asset Sale) of the assets or Equity Interests issued or sold or otherwise disposed of, as approved in good faith by the Borrower’s Board of Directors; and</w:t>
      </w:r>
    </w:p>
    <w:p>
      <w:pPr>
        <w:spacing w:after="0" w:line="57" w:lineRule="exact"/>
        <w:rPr>
          <w:rFonts w:ascii="Arial" w:cs="Arial" w:eastAsia="Arial" w:hAnsi="Arial"/>
          <w:sz w:val="17"/>
          <w:szCs w:val="17"/>
          <w:color w:val="auto"/>
        </w:rPr>
      </w:pPr>
    </w:p>
    <w:p>
      <w:pPr>
        <w:ind w:left="400" w:right="100" w:firstLine="957"/>
        <w:spacing w:after="0" w:line="264" w:lineRule="auto"/>
        <w:tabs>
          <w:tab w:leader="none" w:pos="161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Borrower or such Restricted Subsidiary is in the form of cash or Cash Equivalents. For purposes of this provision only (and specifically not for the purposes of the definition of “</w:t>
      </w:r>
      <w:r>
        <w:rPr>
          <w:rFonts w:ascii="Arial" w:cs="Arial" w:eastAsia="Arial" w:hAnsi="Arial"/>
          <w:sz w:val="18"/>
          <w:szCs w:val="18"/>
          <w:b w:val="1"/>
          <w:bCs w:val="1"/>
          <w:color w:val="auto"/>
        </w:rPr>
        <w:t>Net Proceeds</w:t>
      </w:r>
      <w:r>
        <w:rPr>
          <w:rFonts w:ascii="Arial" w:cs="Arial" w:eastAsia="Arial" w:hAnsi="Arial"/>
          <w:sz w:val="18"/>
          <w:szCs w:val="18"/>
          <w:color w:val="auto"/>
        </w:rPr>
        <w:t>”), each of the following shall be deemed to be cash:</w:t>
      </w:r>
    </w:p>
    <w:p>
      <w:pPr>
        <w:spacing w:after="0" w:line="73" w:lineRule="exact"/>
        <w:rPr>
          <w:rFonts w:ascii="Arial" w:cs="Arial" w:eastAsia="Arial" w:hAnsi="Arial"/>
          <w:sz w:val="18"/>
          <w:szCs w:val="18"/>
          <w:color w:val="auto"/>
        </w:rPr>
      </w:pPr>
    </w:p>
    <w:p>
      <w:pPr>
        <w:ind w:left="1400" w:right="160" w:firstLine="380"/>
        <w:spacing w:after="0" w:line="264" w:lineRule="auto"/>
        <w:tabs>
          <w:tab w:leader="none" w:pos="2078" w:val="left"/>
        </w:tabs>
        <w:numPr>
          <w:ilvl w:val="2"/>
          <w:numId w:val="371"/>
        </w:numPr>
        <w:rPr>
          <w:rFonts w:ascii="Arial" w:cs="Arial" w:eastAsia="Arial" w:hAnsi="Arial"/>
          <w:sz w:val="18"/>
          <w:szCs w:val="18"/>
          <w:color w:val="auto"/>
        </w:rPr>
      </w:pPr>
      <w:r>
        <w:rPr>
          <w:rFonts w:ascii="Arial" w:cs="Arial" w:eastAsia="Arial" w:hAnsi="Arial"/>
          <w:sz w:val="18"/>
          <w:szCs w:val="18"/>
          <w:color w:val="auto"/>
        </w:rPr>
        <w:t>any liabilities (as shown on the Borrower’s or such Restricted Subsidiary’s most recent balance sheet) of the Borrower or any Restricted Subsidiary (other than contingent liabilities and liabilities that are by their terms subordinated to the Loans or any Subsidiary Guarantee) that are assumed by the transferee of any such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40"/>
          </w:cols>
          <w:pgMar w:left="480" w:top="274" w:right="479" w:bottom="1440" w:gutter="0" w:footer="0" w:header="0"/>
        </w:sectPr>
      </w:pPr>
    </w:p>
    <w:bookmarkStart w:id="422" w:name="page423"/>
    <w:bookmarkEnd w:id="422"/>
    <w:p>
      <w:pPr>
        <w:ind w:left="1400" w:right="40" w:firstLine="380"/>
        <w:spacing w:after="0" w:line="264" w:lineRule="auto"/>
        <w:tabs>
          <w:tab w:leader="none" w:pos="2068" w:val="left"/>
        </w:tabs>
        <w:numPr>
          <w:ilvl w:val="3"/>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securities, notes or other obligations received by the Borrower or any such Restricted Subsidiary from such transferee that within 180 days are converted by the Borrower or such Restricted Subsidiary into cash (to the extent of the cash received in that conversion);</w:t>
      </w:r>
    </w:p>
    <w:p>
      <w:pPr>
        <w:spacing w:after="0" w:line="73" w:lineRule="exact"/>
        <w:rPr>
          <w:rFonts w:ascii="Arial" w:cs="Arial" w:eastAsia="Arial" w:hAnsi="Arial"/>
          <w:sz w:val="18"/>
          <w:szCs w:val="18"/>
          <w:color w:val="auto"/>
        </w:rPr>
      </w:pPr>
    </w:p>
    <w:p>
      <w:pPr>
        <w:ind w:left="1400" w:right="180" w:firstLine="380"/>
        <w:spacing w:after="0" w:line="291" w:lineRule="auto"/>
        <w:tabs>
          <w:tab w:leader="none" w:pos="2068" w:val="left"/>
        </w:tabs>
        <w:numPr>
          <w:ilvl w:val="3"/>
          <w:numId w:val="372"/>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Borrower or any Restricted Subsidiary in such Asset Sale having an aggregate fair market value, taken together with all other Designated Noncash Consideration received pursuant to this clause</w:t>
      </w:r>
    </w:p>
    <w:p>
      <w:pPr>
        <w:ind w:left="1680" w:hanging="284"/>
        <w:spacing w:after="0"/>
        <w:tabs>
          <w:tab w:leader="none" w:pos="1680" w:val="left"/>
        </w:tabs>
        <w:numPr>
          <w:ilvl w:val="2"/>
          <w:numId w:val="373"/>
        </w:numPr>
        <w:rPr>
          <w:rFonts w:ascii="Arial" w:cs="Arial" w:eastAsia="Arial" w:hAnsi="Arial"/>
          <w:sz w:val="16"/>
          <w:szCs w:val="16"/>
          <w:color w:val="auto"/>
        </w:rPr>
      </w:pPr>
      <w:r>
        <w:rPr>
          <w:rFonts w:ascii="Arial" w:cs="Arial" w:eastAsia="Arial" w:hAnsi="Arial"/>
          <w:sz w:val="16"/>
          <w:szCs w:val="16"/>
          <w:color w:val="auto"/>
        </w:rPr>
        <w:t>since the Closing Date or the Debt Assumption Date, as applicable, that is at the time outstanding, not to exceed the greater of</w:t>
      </w:r>
    </w:p>
    <w:p>
      <w:pPr>
        <w:spacing w:after="0" w:line="32" w:lineRule="exact"/>
        <w:rPr>
          <w:rFonts w:ascii="Arial" w:cs="Arial" w:eastAsia="Arial" w:hAnsi="Arial"/>
          <w:sz w:val="16"/>
          <w:szCs w:val="16"/>
          <w:color w:val="auto"/>
        </w:rPr>
      </w:pPr>
    </w:p>
    <w:p>
      <w:pPr>
        <w:ind w:left="1400" w:right="260"/>
        <w:spacing w:after="0" w:line="255" w:lineRule="auto"/>
        <w:rPr>
          <w:rFonts w:ascii="Arial" w:cs="Arial" w:eastAsia="Arial" w:hAnsi="Arial"/>
          <w:sz w:val="16"/>
          <w:szCs w:val="16"/>
          <w:color w:val="auto"/>
        </w:rPr>
      </w:pPr>
      <w:r>
        <w:rPr>
          <w:rFonts w:ascii="Arial" w:cs="Arial" w:eastAsia="Arial" w:hAnsi="Arial"/>
          <w:sz w:val="18"/>
          <w:szCs w:val="18"/>
          <w:color w:val="auto"/>
        </w:rPr>
        <w:t>(a) $300.0 million ($60.0 million) and (b) 3.5% of Consolidated Total Assets at the time of receipt of such Designated Noncash Consideration, with the fair market value of each item of Designated Noncash Consideration being measured at the time received and without giving effect to subsequent changes in value; and</w:t>
      </w:r>
    </w:p>
    <w:p>
      <w:pPr>
        <w:spacing w:after="0" w:line="82" w:lineRule="exact"/>
        <w:rPr>
          <w:rFonts w:ascii="Arial" w:cs="Arial" w:eastAsia="Arial" w:hAnsi="Arial"/>
          <w:sz w:val="16"/>
          <w:szCs w:val="16"/>
          <w:color w:val="auto"/>
        </w:rPr>
      </w:pPr>
    </w:p>
    <w:p>
      <w:pPr>
        <w:ind w:left="1400" w:right="60" w:firstLine="380"/>
        <w:spacing w:after="0" w:line="277" w:lineRule="auto"/>
        <w:tabs>
          <w:tab w:leader="none" w:pos="2078" w:val="left"/>
        </w:tabs>
        <w:numPr>
          <w:ilvl w:val="3"/>
          <w:numId w:val="373"/>
        </w:numPr>
        <w:rPr>
          <w:rFonts w:ascii="Arial" w:cs="Arial" w:eastAsia="Arial" w:hAnsi="Arial"/>
          <w:sz w:val="18"/>
          <w:szCs w:val="18"/>
          <w:color w:val="auto"/>
        </w:rPr>
      </w:pPr>
      <w:r>
        <w:rPr>
          <w:rFonts w:ascii="Arial" w:cs="Arial" w:eastAsia="Arial" w:hAnsi="Arial"/>
          <w:sz w:val="18"/>
          <w:szCs w:val="18"/>
          <w:color w:val="auto"/>
        </w:rPr>
        <w:t>the fair market value (measured as of the date such Equity Interests or assets are received) of any Equity Interests or assets of the kind referred to in clauses (ii) or (iv) of Section 7.10(b).</w:t>
      </w:r>
    </w:p>
    <w:p>
      <w:pPr>
        <w:spacing w:after="0" w:line="62" w:lineRule="exact"/>
        <w:rPr>
          <w:rFonts w:ascii="Arial" w:cs="Arial" w:eastAsia="Arial" w:hAnsi="Arial"/>
          <w:sz w:val="18"/>
          <w:szCs w:val="18"/>
          <w:color w:val="auto"/>
        </w:rPr>
      </w:pPr>
    </w:p>
    <w:p>
      <w:pPr>
        <w:ind w:left="-40" w:firstLine="996"/>
        <w:spacing w:after="0" w:line="342" w:lineRule="auto"/>
        <w:tabs>
          <w:tab w:leader="none" w:pos="1207"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After the Debt Assumption, within 365 days after the receipt of any Net Proceeds of any Asset Sale or Casualty Event, the Borrower or such Restricted Subsidiary, at its option, may apply an amount equal to the Net Proceeds from such Asset Sale or such Casualty Event:</w:t>
      </w:r>
    </w:p>
    <w:p>
      <w:pPr>
        <w:spacing w:after="0" w:line="15" w:lineRule="exact"/>
        <w:rPr>
          <w:rFonts w:ascii="Arial" w:cs="Arial" w:eastAsia="Arial" w:hAnsi="Arial"/>
          <w:sz w:val="16"/>
          <w:szCs w:val="16"/>
          <w:color w:val="auto"/>
        </w:rPr>
      </w:pPr>
    </w:p>
    <w:p>
      <w:pPr>
        <w:ind w:left="400" w:right="320" w:firstLine="957"/>
        <w:spacing w:after="0" w:line="259" w:lineRule="auto"/>
        <w:tabs>
          <w:tab w:leader="none" w:pos="156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to repay, prepay, redeem or repurchase Indebtedness (other than Subordinated Indebtedness); provided, that after the Debt Assumption, to the extent such Asset Sale or such Casualty Event is with respect to property (including Equity Interests) that constitutes Collateral, such Indebtedness being repaid, prepaid, redeemed or repurchased is secured pari passu with, or senior to, the Loans or Guarantees thereof, as applicable;</w:t>
      </w:r>
    </w:p>
    <w:p>
      <w:pPr>
        <w:spacing w:after="0" w:line="78" w:lineRule="exact"/>
        <w:rPr>
          <w:rFonts w:ascii="Arial" w:cs="Arial" w:eastAsia="Arial" w:hAnsi="Arial"/>
          <w:sz w:val="18"/>
          <w:szCs w:val="18"/>
          <w:color w:val="auto"/>
        </w:rPr>
      </w:pPr>
    </w:p>
    <w:p>
      <w:pPr>
        <w:ind w:left="400" w:right="180" w:firstLine="957"/>
        <w:spacing w:after="0" w:line="297" w:lineRule="auto"/>
        <w:tabs>
          <w:tab w:leader="none" w:pos="161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another Related Business, or to acquire any Equity Interests of another Related Business, if, after giving effect to any such acquisition of Equity Interests, the Related Business is or becomes a Restricted Subsidiary of the Borrower; provided, that after the Debt Assumption, to the extent such Asset Sale or such Casualty Event is with respect to property (including Equity Interests) that constitutes Collateral, the assets of such Related Business (other than Excluded Assets) and/or such Equity Interests, constitute Collateral and are pledged in favor of the Administrative Agent for the benefit of the Secured Parties;</w:t>
      </w:r>
    </w:p>
    <w:p>
      <w:pPr>
        <w:spacing w:after="0" w:line="50" w:lineRule="exact"/>
        <w:rPr>
          <w:rFonts w:ascii="Arial" w:cs="Arial" w:eastAsia="Arial" w:hAnsi="Arial"/>
          <w:sz w:val="16"/>
          <w:szCs w:val="16"/>
          <w:color w:val="auto"/>
        </w:rPr>
      </w:pPr>
    </w:p>
    <w:p>
      <w:pPr>
        <w:ind w:left="400" w:right="100" w:firstLine="957"/>
        <w:spacing w:after="0" w:line="312" w:lineRule="auto"/>
        <w:tabs>
          <w:tab w:leader="none" w:pos="166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to make a capital expenditure; provided, that after the Debt Assumption, to the extent such Asset Sale or such Casualty Event is with respect to property (including Equity Interests) that constitutes Collateral, such capital expenditure is made with respect to, or will result in property constituting, Collateral that is or will be pledged in favor of the Administrative Agent for the benefit of the Secured Parties;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80" w:top="273" w:right="459" w:bottom="1440" w:gutter="0" w:footer="0" w:header="0"/>
        </w:sectPr>
      </w:pPr>
    </w:p>
    <w:bookmarkStart w:id="423" w:name="page424"/>
    <w:bookmarkEnd w:id="423"/>
    <w:p>
      <w:pPr>
        <w:jc w:val="both"/>
        <w:ind w:left="440" w:right="240" w:firstLine="957"/>
        <w:spacing w:after="0" w:line="259" w:lineRule="auto"/>
        <w:tabs>
          <w:tab w:leader="none" w:pos="1697"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acquire other assets (other than securities or current assets) that will be used or useful in a Related Business; provided, that after the Debt Assumption, to the extent such Asset Sale is with respect to property (including Equity Interests) that constitutes Collateral, such other assets that will be used or useful in a Related Business constitute Collateral and are pledged in favor of the Administrative Agent for the benefit of the Secured Parties; or</w:t>
      </w:r>
    </w:p>
    <w:p>
      <w:pPr>
        <w:spacing w:after="0" w:line="78" w:lineRule="exact"/>
        <w:rPr>
          <w:rFonts w:ascii="Arial" w:cs="Arial" w:eastAsia="Arial" w:hAnsi="Arial"/>
          <w:sz w:val="18"/>
          <w:szCs w:val="18"/>
          <w:color w:val="auto"/>
        </w:rPr>
      </w:pPr>
    </w:p>
    <w:p>
      <w:pPr>
        <w:ind w:left="1660" w:hanging="263"/>
        <w:spacing w:after="0"/>
        <w:tabs>
          <w:tab w:leader="none" w:pos="16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 combination of prepayments and investments permitted by the foregoing clauses (i), (ii), (iii), and (iv);</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and its Restricted Subsidiaries will be deemed to have applied such Net Proceeds pursuant to clause (ii), (iii) or (iv)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7.10(b), as applicable, if and to the extent that, within 365 days after the Asset Sale or such Casualty Event that generated the Net Proceeds, the Borrower has entered into and not abandoned or rejected a binding agreement to consummate any reinvestment described in clause (ii), (iii) or (iv) of this paragraph, and such reinvestment is thereafter completed within 180 days after the end of such 365-day period.</w:t>
      </w:r>
    </w:p>
    <w:p>
      <w:pPr>
        <w:spacing w:after="0" w:line="63" w:lineRule="exact"/>
        <w:rPr>
          <w:sz w:val="20"/>
          <w:szCs w:val="20"/>
          <w:color w:val="auto"/>
        </w:rPr>
      </w:pPr>
    </w:p>
    <w:p>
      <w:pPr>
        <w:ind w:right="360" w:firstLine="996"/>
        <w:spacing w:after="0" w:line="277" w:lineRule="auto"/>
        <w:tabs>
          <w:tab w:leader="none" w:pos="123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Pending the final application of such Net Proceeds, the Borrower or any Restricted Subsidiary may temporarily reduce borrowings under any credit facility, if any, or otherwise invest such Net Proceeds in any manner not prohibited by this Agreement.</w:t>
      </w:r>
    </w:p>
    <w:p>
      <w:pPr>
        <w:spacing w:after="0" w:line="62" w:lineRule="exact"/>
        <w:rPr>
          <w:rFonts w:ascii="Arial" w:cs="Arial" w:eastAsia="Arial" w:hAnsi="Arial"/>
          <w:sz w:val="18"/>
          <w:szCs w:val="18"/>
          <w:color w:val="auto"/>
        </w:rPr>
      </w:pPr>
    </w:p>
    <w:p>
      <w:pPr>
        <w:ind w:firstLine="996"/>
        <w:spacing w:after="0" w:line="273" w:lineRule="auto"/>
        <w:tabs>
          <w:tab w:leader="none" w:pos="123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After the Debt Assumption, on the 366th day (as extended pursuant to the provisions in Section 7.10(b)) after an Asset Sale or Casualty Event, or such earlier date, if any, as the Board of Directors of the Borrower or of such Restricted Subsidiary determines not to apply the Net Proceeds relating to such Asset Sale or such Casualty Event as set forth in clause (i), (ii), (iii), or (iv) of Section 7.10(b), the aggregate amount of Net Proceeds which have not been applied on or before such date shall constitute “</w:t>
      </w:r>
      <w:r>
        <w:rPr>
          <w:rFonts w:ascii="Arial" w:cs="Arial" w:eastAsia="Arial" w:hAnsi="Arial"/>
          <w:sz w:val="17"/>
          <w:szCs w:val="17"/>
          <w:b w:val="1"/>
          <w:bCs w:val="1"/>
          <w:color w:val="auto"/>
        </w:rPr>
        <w:t>Excess Proceeds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amount of Excess Proceeds as of the Debt Assumption shall be deemed to be $0. In addition, when the Borrower has applied all Excess Proceeds to prepay the Loans in accordance with Section 2.05(b)(iii), the amount of Excess Proceeds will be reset to $0.</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Transactions with Affiliates</w:t>
      </w:r>
    </w:p>
    <w:p>
      <w:pPr>
        <w:spacing w:after="0" w:line="117" w:lineRule="exact"/>
        <w:rPr>
          <w:sz w:val="20"/>
          <w:szCs w:val="20"/>
          <w:color w:val="auto"/>
        </w:rPr>
      </w:pPr>
    </w:p>
    <w:p>
      <w:pPr>
        <w:ind w:right="20" w:firstLine="996"/>
        <w:spacing w:after="0" w:line="279" w:lineRule="auto"/>
        <w:tabs>
          <w:tab w:leader="none" w:pos="123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Borrower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advance or guarantee with, or for the benefit of, any Affiliate of the Borrower or any of its Restricted Subsidiaries (each, an “</w:t>
      </w:r>
      <w:r>
        <w:rPr>
          <w:rFonts w:ascii="Arial" w:cs="Arial" w:eastAsia="Arial" w:hAnsi="Arial"/>
          <w:sz w:val="17"/>
          <w:szCs w:val="17"/>
          <w:b w:val="1"/>
          <w:bCs w:val="1"/>
          <w:color w:val="auto"/>
        </w:rPr>
        <w:t>Affiliate Transaction</w:t>
      </w:r>
      <w:r>
        <w:rPr>
          <w:rFonts w:ascii="Arial" w:cs="Arial" w:eastAsia="Arial" w:hAnsi="Arial"/>
          <w:sz w:val="17"/>
          <w:szCs w:val="17"/>
          <w:color w:val="auto"/>
        </w:rPr>
        <w:t>”), involving aggregate consideration in excess of $25.0 million ($5.0 million), unless:</w:t>
      </w:r>
    </w:p>
    <w:p>
      <w:pPr>
        <w:spacing w:after="0" w:line="63" w:lineRule="exact"/>
        <w:rPr>
          <w:rFonts w:ascii="Arial" w:cs="Arial" w:eastAsia="Arial" w:hAnsi="Arial"/>
          <w:sz w:val="17"/>
          <w:szCs w:val="17"/>
          <w:color w:val="auto"/>
        </w:rPr>
      </w:pPr>
    </w:p>
    <w:p>
      <w:pPr>
        <w:ind w:left="440" w:right="160" w:firstLine="957"/>
        <w:spacing w:after="0" w:line="264" w:lineRule="auto"/>
        <w:tabs>
          <w:tab w:leader="none" w:pos="160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the Borrower or the relevant Restricted Subsidiary than those that would have been obtained in a comparable transaction at such time by the Borrower or such Restricted Subsidiary with a Person who is not an Affiliate of the Borrower or such Restricted Subsidiary;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424" w:name="page425"/>
    <w:bookmarkEnd w:id="424"/>
    <w:p>
      <w:pPr>
        <w:ind w:left="1660" w:hanging="263"/>
        <w:spacing w:after="0"/>
        <w:tabs>
          <w:tab w:leader="none" w:pos="1660" w:val="left"/>
        </w:tabs>
        <w:numPr>
          <w:ilvl w:val="1"/>
          <w:numId w:val="3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delivers to the Administrative Agent:</w:t>
      </w:r>
    </w:p>
    <w:p>
      <w:pPr>
        <w:spacing w:after="0" w:line="117" w:lineRule="exact"/>
        <w:rPr>
          <w:rFonts w:ascii="Arial" w:cs="Arial" w:eastAsia="Arial" w:hAnsi="Arial"/>
          <w:sz w:val="18"/>
          <w:szCs w:val="18"/>
          <w:color w:val="auto"/>
        </w:rPr>
      </w:pPr>
    </w:p>
    <w:p>
      <w:pPr>
        <w:ind w:left="1440" w:right="320" w:firstLine="380"/>
        <w:spacing w:after="0" w:line="264" w:lineRule="auto"/>
        <w:tabs>
          <w:tab w:leader="none" w:pos="2118" w:val="left"/>
        </w:tabs>
        <w:numPr>
          <w:ilvl w:val="2"/>
          <w:numId w:val="37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($10.0 million), an Officer’s Certificate certifying that such Affiliate Transaction complies with this Section 7.11; and</w:t>
      </w:r>
    </w:p>
    <w:p>
      <w:pPr>
        <w:spacing w:after="0" w:line="73" w:lineRule="exact"/>
        <w:rPr>
          <w:rFonts w:ascii="Arial" w:cs="Arial" w:eastAsia="Arial" w:hAnsi="Arial"/>
          <w:sz w:val="18"/>
          <w:szCs w:val="18"/>
          <w:color w:val="auto"/>
        </w:rPr>
      </w:pPr>
    </w:p>
    <w:p>
      <w:pPr>
        <w:ind w:left="1440" w:right="120" w:firstLine="380"/>
        <w:spacing w:after="0" w:line="257" w:lineRule="auto"/>
        <w:tabs>
          <w:tab w:leader="none" w:pos="2108" w:val="left"/>
        </w:tabs>
        <w:numPr>
          <w:ilvl w:val="2"/>
          <w:numId w:val="37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($15.0 million), a resolution of the Board of Directors set forth in an Officer’s Certificate certifying that such Affiliate Transaction complies with this Section 7.11 and that such Affiliate Transaction has been approved by (i) prior to the Debt Assumption, a majority of the disinterested members of the Board of Directors, and (ii) after the Debt Assumption, a majority of the Board of Directors.</w:t>
      </w:r>
    </w:p>
    <w:p>
      <w:pPr>
        <w:spacing w:after="0" w:line="80" w:lineRule="exact"/>
        <w:rPr>
          <w:rFonts w:ascii="Arial" w:cs="Arial" w:eastAsia="Arial" w:hAnsi="Arial"/>
          <w:sz w:val="18"/>
          <w:szCs w:val="18"/>
          <w:color w:val="auto"/>
        </w:rPr>
      </w:pPr>
    </w:p>
    <w:p>
      <w:pPr>
        <w:ind w:left="1260" w:hanging="264"/>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following items shall not be deemed to be Affiliate Transactions and, therefore, shall not be subject to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7.11(a):</w:t>
      </w:r>
    </w:p>
    <w:p>
      <w:pPr>
        <w:spacing w:after="0" w:line="103"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(i) transactions between or among the Borrower and/or its Restricted Subsidiaries or exclusively between or among such Restricted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Subsidiaries;</w:t>
      </w:r>
    </w:p>
    <w:p>
      <w:pPr>
        <w:spacing w:after="0" w:line="103" w:lineRule="exact"/>
        <w:rPr>
          <w:sz w:val="20"/>
          <w:szCs w:val="20"/>
          <w:color w:val="auto"/>
        </w:rPr>
      </w:pPr>
    </w:p>
    <w:p>
      <w:pPr>
        <w:ind w:left="1660" w:hanging="263"/>
        <w:spacing w:after="0"/>
        <w:tabs>
          <w:tab w:leader="none" w:pos="16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Permitted Investments and Restricted Payments that are permitted by Section 7.07;</w:t>
      </w:r>
    </w:p>
    <w:p>
      <w:pPr>
        <w:spacing w:after="0" w:line="117" w:lineRule="exact"/>
        <w:rPr>
          <w:rFonts w:ascii="Arial" w:cs="Arial" w:eastAsia="Arial" w:hAnsi="Arial"/>
          <w:sz w:val="18"/>
          <w:szCs w:val="18"/>
          <w:color w:val="auto"/>
        </w:rPr>
      </w:pPr>
    </w:p>
    <w:p>
      <w:pPr>
        <w:ind w:left="440" w:right="40" w:firstLine="957"/>
        <w:spacing w:after="0" w:line="312" w:lineRule="auto"/>
        <w:tabs>
          <w:tab w:leader="none" w:pos="170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reasonable fees and compensation paid to (including issuances and grants of Equity Interests of the Borrower, employment agreements and stock option and ownership plans for the benefit of), and indemnity and insurance provided on behalf of, current, former or future directors, officers, managers, employees or consultants of the Borrower or any Restricted Subsidiary in the ordinary course of business;</w:t>
      </w:r>
    </w:p>
    <w:p>
      <w:pPr>
        <w:spacing w:after="0" w:line="38" w:lineRule="exact"/>
        <w:rPr>
          <w:rFonts w:ascii="Arial" w:cs="Arial" w:eastAsia="Arial" w:hAnsi="Arial"/>
          <w:sz w:val="16"/>
          <w:szCs w:val="16"/>
          <w:color w:val="auto"/>
        </w:rPr>
      </w:pPr>
    </w:p>
    <w:p>
      <w:pPr>
        <w:ind w:left="440" w:right="180" w:firstLine="957"/>
        <w:spacing w:after="0" w:line="259" w:lineRule="auto"/>
        <w:tabs>
          <w:tab w:leader="none" w:pos="16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transactions pursuant to any agreement in effect on the Closing Date or the Debt Assumption Date, as in effect on the Closing Date or Debt Assumption Date, as applicable, or as thereafter amended or replaced in any manner, that, taken as a whole, is not more disadvantageous to the Lenders in any material respect than such agreement as it was in effect on the Closing Date or Debt Assumption Date, as applicable;</w:t>
      </w:r>
    </w:p>
    <w:p>
      <w:pPr>
        <w:spacing w:after="0" w:line="78" w:lineRule="exact"/>
        <w:rPr>
          <w:rFonts w:ascii="Arial" w:cs="Arial" w:eastAsia="Arial" w:hAnsi="Arial"/>
          <w:sz w:val="18"/>
          <w:szCs w:val="18"/>
          <w:color w:val="auto"/>
        </w:rPr>
      </w:pPr>
    </w:p>
    <w:p>
      <w:pPr>
        <w:ind w:left="440" w:right="20" w:firstLine="957"/>
        <w:spacing w:after="0" w:line="277" w:lineRule="auto"/>
        <w:tabs>
          <w:tab w:leader="none" w:pos="16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loans or advances to employees, managers, and officers of the Borrower and its Restricted Subsidiaries permitted by clause (h) of the definition of “</w:t>
      </w:r>
      <w:r>
        <w:rPr>
          <w:rFonts w:ascii="Arial" w:cs="Arial" w:eastAsia="Arial" w:hAnsi="Arial"/>
          <w:sz w:val="18"/>
          <w:szCs w:val="18"/>
          <w:b w:val="1"/>
          <w:bCs w:val="1"/>
          <w:color w:val="auto"/>
        </w:rPr>
        <w:t>Permitted Investments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957"/>
        <w:spacing w:after="0" w:line="259" w:lineRule="auto"/>
        <w:tabs>
          <w:tab w:leader="none" w:pos="16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transaction with a Person (other than an Unrestricted Subsidiary) which would constitute an Affiliate Transaction solely because the Borrower, directly or through any of its Restricted Subsidiaries, owns an equity interest in or otherwise controls such Person; provided that no Affiliate of the Borrower or its Restricted Subsidiaries other than the Borrower or a Restricted Subsidiary shall have a beneficial interest in such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425" w:name="page426"/>
    <w:bookmarkEnd w:id="425"/>
    <w:p>
      <w:pPr>
        <w:ind w:left="400" w:firstLine="957"/>
        <w:spacing w:after="0" w:line="257" w:lineRule="auto"/>
        <w:tabs>
          <w:tab w:leader="none" w:pos="1707"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service, purchase, lease, supply or similar agreement entered into in the ordinary course of business (including, without limitation, pursuant to any joint venture agreement) between the Borrower or any Restricted Subsidiary and any Affiliate that is a customer, client, supplier, purchaser or seller of goods or services, so long as the Borrower determines in good faith that any such agreement is on terms not materially less favorable to the Borrower or such Restricted Subsidiary than those that could be obtained in a comparable arms’-length transaction with an entity that is not an Affiliate;</w:t>
      </w:r>
    </w:p>
    <w:p>
      <w:pPr>
        <w:spacing w:after="0" w:line="80" w:lineRule="exact"/>
        <w:rPr>
          <w:rFonts w:ascii="Arial" w:cs="Arial" w:eastAsia="Arial" w:hAnsi="Arial"/>
          <w:sz w:val="18"/>
          <w:szCs w:val="18"/>
          <w:color w:val="auto"/>
        </w:rPr>
      </w:pPr>
    </w:p>
    <w:p>
      <w:pPr>
        <w:ind w:left="1760" w:hanging="403"/>
        <w:spacing w:after="0"/>
        <w:tabs>
          <w:tab w:leader="none" w:pos="17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issuance and sale of Qualified Equity Interests;</w:t>
      </w:r>
    </w:p>
    <w:p>
      <w:pPr>
        <w:spacing w:after="0" w:line="117" w:lineRule="exact"/>
        <w:rPr>
          <w:rFonts w:ascii="Arial" w:cs="Arial" w:eastAsia="Arial" w:hAnsi="Arial"/>
          <w:sz w:val="18"/>
          <w:szCs w:val="18"/>
          <w:color w:val="auto"/>
        </w:rPr>
      </w:pPr>
    </w:p>
    <w:p>
      <w:pPr>
        <w:ind w:left="1660" w:hanging="303"/>
        <w:spacing w:after="0"/>
        <w:tabs>
          <w:tab w:leader="none" w:pos="1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transaction effected in connection with a Qualified Receivables Transaction;</w:t>
      </w:r>
    </w:p>
    <w:p>
      <w:pPr>
        <w:spacing w:after="0" w:line="117" w:lineRule="exact"/>
        <w:rPr>
          <w:rFonts w:ascii="Arial" w:cs="Arial" w:eastAsia="Arial" w:hAnsi="Arial"/>
          <w:sz w:val="18"/>
          <w:szCs w:val="18"/>
          <w:color w:val="auto"/>
        </w:rPr>
      </w:pPr>
    </w:p>
    <w:p>
      <w:pPr>
        <w:ind w:left="1620" w:hanging="263"/>
        <w:spacing w:after="0"/>
        <w:tabs>
          <w:tab w:leader="none" w:pos="16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pledges of equity interests of Unrestricted Subsidiaries;</w:t>
      </w:r>
    </w:p>
    <w:p>
      <w:pPr>
        <w:spacing w:after="0" w:line="117" w:lineRule="exact"/>
        <w:rPr>
          <w:rFonts w:ascii="Arial" w:cs="Arial" w:eastAsia="Arial" w:hAnsi="Arial"/>
          <w:sz w:val="18"/>
          <w:szCs w:val="18"/>
          <w:color w:val="auto"/>
        </w:rPr>
      </w:pPr>
    </w:p>
    <w:p>
      <w:pPr>
        <w:ind w:left="400" w:right="60" w:firstLine="957"/>
        <w:spacing w:after="0" w:line="277" w:lineRule="auto"/>
        <w:tabs>
          <w:tab w:leader="none" w:pos="165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existence of, or the performance by the Borrower or any of its Restricted Subsidiaries of their obligations under the terms of, any customary registration rights agreement to which they are a party or become a party in the future;</w:t>
      </w:r>
    </w:p>
    <w:p>
      <w:pPr>
        <w:spacing w:after="0" w:line="62" w:lineRule="exact"/>
        <w:rPr>
          <w:rFonts w:ascii="Arial" w:cs="Arial" w:eastAsia="Arial" w:hAnsi="Arial"/>
          <w:sz w:val="18"/>
          <w:szCs w:val="18"/>
          <w:color w:val="auto"/>
        </w:rPr>
      </w:pPr>
    </w:p>
    <w:p>
      <w:pPr>
        <w:jc w:val="both"/>
        <w:ind w:left="400" w:right="420" w:firstLine="957"/>
        <w:spacing w:after="0" w:line="264" w:lineRule="auto"/>
        <w:tabs>
          <w:tab w:leader="none" w:pos="170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transactions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meets the requirements of Section 7.11(a)(1);</w:t>
      </w:r>
    </w:p>
    <w:p>
      <w:pPr>
        <w:spacing w:after="0" w:line="73" w:lineRule="exact"/>
        <w:rPr>
          <w:rFonts w:ascii="Arial" w:cs="Arial" w:eastAsia="Arial" w:hAnsi="Arial"/>
          <w:sz w:val="18"/>
          <w:szCs w:val="18"/>
          <w:color w:val="auto"/>
        </w:rPr>
      </w:pPr>
    </w:p>
    <w:p>
      <w:pPr>
        <w:ind w:left="1760" w:hanging="403"/>
        <w:spacing w:after="0"/>
        <w:tabs>
          <w:tab w:leader="none" w:pos="17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contribution to the common equity capital of the Borrower; and</w:t>
      </w:r>
    </w:p>
    <w:p>
      <w:pPr>
        <w:spacing w:after="0" w:line="117" w:lineRule="exact"/>
        <w:rPr>
          <w:rFonts w:ascii="Arial" w:cs="Arial" w:eastAsia="Arial" w:hAnsi="Arial"/>
          <w:sz w:val="18"/>
          <w:szCs w:val="18"/>
          <w:color w:val="auto"/>
        </w:rPr>
      </w:pPr>
    </w:p>
    <w:p>
      <w:pPr>
        <w:ind w:left="1760" w:hanging="403"/>
        <w:spacing w:after="0"/>
        <w:tabs>
          <w:tab w:leader="none" w:pos="17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any transaction or series of transactions between the Borrower or any Restricted Subsidiary of the Borrower and any of their</w:t>
      </w:r>
    </w:p>
    <w:p>
      <w:pPr>
        <w:spacing w:after="0" w:line="4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joint ventures.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Liens.</w:t>
      </w:r>
    </w:p>
    <w:p>
      <w:pPr>
        <w:spacing w:after="0" w:line="117" w:lineRule="exact"/>
        <w:rPr>
          <w:sz w:val="20"/>
          <w:szCs w:val="20"/>
          <w:color w:val="auto"/>
        </w:rPr>
      </w:pPr>
    </w:p>
    <w:p>
      <w:pPr>
        <w:ind w:left="-40" w:right="220" w:firstLine="996"/>
        <w:spacing w:after="0" w:line="264" w:lineRule="auto"/>
        <w:tabs>
          <w:tab w:leader="none" w:pos="119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Subject to Section 7.12(b), Section 7.12(c), Section 7.12(d) and Section 7.12(e), the Borrower will not, and will not permit any of its Restricted Subsidiaries to, directly or indirectly, create, incur, or assume any Lien of any kind securing Indebtedness on any property or assets now owned or hereafter acquired, other than, in each case, Permitted Liens, unless:</w:t>
      </w:r>
    </w:p>
    <w:p>
      <w:pPr>
        <w:spacing w:after="0" w:line="73" w:lineRule="exact"/>
        <w:rPr>
          <w:rFonts w:ascii="Arial" w:cs="Arial" w:eastAsia="Arial" w:hAnsi="Arial"/>
          <w:sz w:val="18"/>
          <w:szCs w:val="18"/>
          <w:color w:val="auto"/>
        </w:rPr>
      </w:pPr>
    </w:p>
    <w:p>
      <w:pPr>
        <w:ind w:left="1580" w:hanging="223"/>
        <w:spacing w:after="0"/>
        <w:tabs>
          <w:tab w:leader="none" w:pos="15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if the Loans are secured, the property or assets subject to such Lien do not constitute Collateral; and</w:t>
      </w:r>
    </w:p>
    <w:p>
      <w:pPr>
        <w:spacing w:after="0" w:line="117" w:lineRule="exact"/>
        <w:rPr>
          <w:rFonts w:ascii="Arial" w:cs="Arial" w:eastAsia="Arial" w:hAnsi="Arial"/>
          <w:sz w:val="18"/>
          <w:szCs w:val="18"/>
          <w:color w:val="auto"/>
        </w:rPr>
      </w:pPr>
    </w:p>
    <w:p>
      <w:pPr>
        <w:ind w:left="400" w:firstLine="957"/>
        <w:spacing w:after="0" w:line="259" w:lineRule="auto"/>
        <w:tabs>
          <w:tab w:leader="none" w:pos="1617" w:val="left"/>
        </w:tabs>
        <w:numPr>
          <w:ilvl w:val="1"/>
          <w:numId w:val="382"/>
        </w:numPr>
        <w:rPr>
          <w:rFonts w:ascii="Arial" w:cs="Arial" w:eastAsia="Arial" w:hAnsi="Arial"/>
          <w:sz w:val="18"/>
          <w:szCs w:val="18"/>
          <w:color w:val="auto"/>
        </w:rPr>
      </w:pPr>
      <w:r>
        <w:rPr>
          <w:rFonts w:ascii="Arial" w:cs="Arial" w:eastAsia="Arial" w:hAnsi="Arial"/>
          <w:sz w:val="18"/>
          <w:szCs w:val="18"/>
          <w:color w:val="auto"/>
        </w:rPr>
        <w:t xml:space="preserve">the Loans and the Guarantees thereof, as applicable, are (x) 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Loans or a Guarantee thereof, effective provision is made to secure the Loans or such Guarantee, as the case may be, at least equally and ratably with or prior to such obligation with a Lien on the same properties or assets of the Borrower or such Restricted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60"/>
          </w:cols>
          <w:pgMar w:left="480" w:top="273" w:right="459" w:bottom="1440" w:gutter="0" w:footer="0" w:header="0"/>
        </w:sectPr>
      </w:pPr>
    </w:p>
    <w:bookmarkStart w:id="426" w:name="page427"/>
    <w:bookmarkEnd w:id="426"/>
    <w:p>
      <w:pPr>
        <w:ind w:left="436"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the case may be; and (y) in the case of any Lien securing an obligation that is subordinated in right of payment to the Loans or a Guarantee thereof, effective provision is made to secure the Loans or such Guarantee, as the case may be, with a Lien on the same properties or assets of the Borrower or such Restricted Subsidiary, as the case may be, that is prior to the Lien securing such subordinated obligation.</w:t>
      </w:r>
    </w:p>
    <w:p>
      <w:pPr>
        <w:spacing w:after="0" w:line="39" w:lineRule="exact"/>
        <w:rPr>
          <w:sz w:val="20"/>
          <w:szCs w:val="20"/>
          <w:color w:val="auto"/>
        </w:rPr>
      </w:pPr>
    </w:p>
    <w:p>
      <w:pPr>
        <w:ind w:left="-4" w:right="80" w:firstLine="996"/>
        <w:spacing w:after="0" w:line="284" w:lineRule="auto"/>
        <w:tabs>
          <w:tab w:leader="none" w:pos="1243" w:val="left"/>
        </w:tabs>
        <w:numPr>
          <w:ilvl w:val="1"/>
          <w:numId w:val="383"/>
        </w:numPr>
        <w:rPr>
          <w:rFonts w:ascii="Arial" w:cs="Arial" w:eastAsia="Arial" w:hAnsi="Arial"/>
          <w:sz w:val="16"/>
          <w:szCs w:val="16"/>
          <w:color w:val="auto"/>
        </w:rPr>
      </w:pPr>
      <w:r>
        <w:rPr>
          <w:rFonts w:ascii="Arial" w:cs="Arial" w:eastAsia="Arial" w:hAnsi="Arial"/>
          <w:sz w:val="16"/>
          <w:szCs w:val="16"/>
          <w:color w:val="auto"/>
        </w:rPr>
        <w:t>Notwithstanding the foregoing, any Lien securing the Loans granted pursuant to clauses (1) and (2) of Section 7.12(a) shall be automatically and unconditionally released and discharged upon (a) the release by the holders of the Indebtedness described above of their Lien on the property or assets of the Borrower or any Restricted Subsidiary (including any deemed release upon payment in full of all obligations under such Indebtedness, except payment in full made with the proceeds from the foreclosure, sale or other realization from an enforcement on the collateral by the holders of the Indebtedness described above of their Lien), (b) any sale, exchange or transfer to any Person other than the Borrower or any Restricted Subsidiary of the property or assets secured by such Lien, or of all of the Equity Interests held by the Borrower or any Restricted Subsidiary in, or all or substantially all of the assets of, any Restricted Subsidiary creating such Lien in each case in accordance with the terms of this Agreement, or</w:t>
      </w:r>
    </w:p>
    <w:p>
      <w:pPr>
        <w:spacing w:after="0" w:line="2" w:lineRule="exact"/>
        <w:rPr>
          <w:rFonts w:ascii="Arial" w:cs="Arial" w:eastAsia="Arial" w:hAnsi="Arial"/>
          <w:sz w:val="16"/>
          <w:szCs w:val="16"/>
          <w:color w:val="auto"/>
        </w:rPr>
      </w:pPr>
    </w:p>
    <w:p>
      <w:pPr>
        <w:ind w:left="236" w:hanging="236"/>
        <w:spacing w:after="0"/>
        <w:tabs>
          <w:tab w:leader="none" w:pos="23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payment in full of the principal of, and accrued and unpaid interest, if any, on, the Loans.</w:t>
      </w:r>
    </w:p>
    <w:p>
      <w:pPr>
        <w:spacing w:after="0" w:line="102" w:lineRule="exact"/>
        <w:rPr>
          <w:rFonts w:ascii="Arial" w:cs="Arial" w:eastAsia="Arial" w:hAnsi="Arial"/>
          <w:sz w:val="18"/>
          <w:szCs w:val="18"/>
          <w:color w:val="auto"/>
        </w:rPr>
      </w:pPr>
    </w:p>
    <w:p>
      <w:pPr>
        <w:ind w:left="-4" w:right="60" w:firstLine="996"/>
        <w:spacing w:after="0" w:line="270" w:lineRule="auto"/>
        <w:tabs>
          <w:tab w:leader="none" w:pos="1233"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After the Debt Assumption, the Borrower will not, and will not permit any of its Restricted Subsidiaries to, directly or indirectly, create, incur, or assume any Lien of any kind securing Indebtedness on any Collateral now owned or hereafter acquired, which Lien ranks prior to the Liens in favor of the Administrative Agent for the benefit of the Secured Parties, other than (A) the Liens described in clauses (e), (f), (g), (h), (i), (j), (k), (l), (m), (n), (o), (p), (q), (r), (s), (t), (u) (to the extent the Lien refinanced pursuant to clause (u) was itself permitted to rank prior to the Liens in favor of the Administrative Agent for the benefit of the Secured Parties), (v), (x), (y), (z), (aa), (bb) and (cc) of the definition of Permitted Liens, (B) the Liens described in clauses (c) and (d) of the definition of Permitted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Indebtedness incurred pursuant to clauses (c) and (d) that is secured by Liens that rank prior to the Liens in favor of the Administrative Agent for the benefit of the Secured Parties shall not exceed $25.0 million, (C) Liens to secure Indebtedness incurred pursuant to clause (4) of the definition of Permitted Debt and (D) any Permitted Lien that arises by operation of law and is not voluntarily granted, to the extent entitled by law to priority over the Liens in favor of the Administrative Agent for the benefit of the Secured Parties.</w:t>
      </w:r>
    </w:p>
    <w:p>
      <w:pPr>
        <w:spacing w:after="0" w:line="69" w:lineRule="exact"/>
        <w:rPr>
          <w:rFonts w:ascii="Arial" w:cs="Arial" w:eastAsia="Arial" w:hAnsi="Arial"/>
          <w:sz w:val="17"/>
          <w:szCs w:val="17"/>
          <w:color w:val="auto"/>
        </w:rPr>
      </w:pPr>
    </w:p>
    <w:p>
      <w:pPr>
        <w:ind w:left="-4" w:firstLine="996"/>
        <w:spacing w:after="0" w:line="271" w:lineRule="auto"/>
        <w:tabs>
          <w:tab w:leader="none" w:pos="1243"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After the Debt Assumption, the Borrower will not, and will not permit any of its Restricted Subsidiaries to, directly or indirectly, create, incur, or assume any Lien of any kind securing Indebtedness on any Collateral now owned or hereafter acquired, which Lien ranks pari passu with the Liens in favor of the Administrative Agent for the benefit of the Secured Parties, other than (i) the Liens described in clauses (a), (w) (but only to the extent of the maximum aggregate amount of all Commodity Swap Collateral Caps permitted pursuant to the definition of Secured Hedge Agreement), (dd) and (ee) of the definition of Permitted Liens; </w:t>
      </w:r>
      <w:r>
        <w:rPr>
          <w:rFonts w:ascii="Arial" w:cs="Arial" w:eastAsia="Arial" w:hAnsi="Arial"/>
          <w:sz w:val="17"/>
          <w:szCs w:val="17"/>
          <w:i w:val="1"/>
          <w:iCs w:val="1"/>
          <w:color w:val="auto"/>
        </w:rPr>
        <w:t>provided</w:t>
      </w:r>
      <w:r>
        <w:rPr>
          <w:rFonts w:ascii="Arial" w:cs="Arial" w:eastAsia="Arial" w:hAnsi="Arial"/>
          <w:sz w:val="17"/>
          <w:szCs w:val="17"/>
          <w:color w:val="auto"/>
        </w:rPr>
        <w:t>, that prior to the creation, incurrence or assumption of any such pari passu Lien (other than under clause (ee)), the Borrower, the Administrative Agent, and the administrative agent for such pari passu lien Indebtedness, have executed and delivered a Pari Passu Intercreditor Agreement, and (ii) any Lien permitted to rank prior to the Liens in favor of the Administrative Agent for the benefit of the Secured Parties pursuant to Section 7.12(c).</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16"/>
          </w:cols>
          <w:pgMar w:left="444" w:top="274" w:right="439" w:bottom="1440" w:gutter="0" w:footer="0" w:header="0"/>
        </w:sectPr>
      </w:pPr>
    </w:p>
    <w:bookmarkStart w:id="427" w:name="page428"/>
    <w:bookmarkEnd w:id="427"/>
    <w:p>
      <w:pPr>
        <w:ind w:left="-4" w:right="40" w:firstLine="996"/>
        <w:spacing w:after="0" w:line="284" w:lineRule="auto"/>
        <w:tabs>
          <w:tab w:leader="none" w:pos="1233" w:val="left"/>
        </w:tabs>
        <w:numPr>
          <w:ilvl w:val="1"/>
          <w:numId w:val="3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the Debt Assumption, any Permitted Lien may rank junior to such Liens in favor of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creation, incurrence or assumption of any such junior Lien securing third-party Indebtedness for borrowed money, the Borrower, the Administrative Agent, and the administrative agent for such junior lien Indebtedness, have executed and delivered an intercreditor agreement, providing for the subordination of such junior lien Indebtedness and other terms customary for junior lien intercreditor arrangements, which intercreditor agreement will be reasonably satisfactory to the Administrative Agent;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intercreditor agreement shall be required unless either (i) the amount of Indebtedness incurred or committed under any individual Credit Facility secured by such junior Lien exceeds $5.0 million or</w:t>
      </w:r>
    </w:p>
    <w:p>
      <w:pPr>
        <w:spacing w:after="0" w:line="4" w:lineRule="exact"/>
        <w:rPr>
          <w:rFonts w:ascii="Arial" w:cs="Arial" w:eastAsia="Arial" w:hAnsi="Arial"/>
          <w:sz w:val="16"/>
          <w:szCs w:val="16"/>
          <w:color w:val="auto"/>
        </w:rPr>
      </w:pPr>
    </w:p>
    <w:p>
      <w:pPr>
        <w:ind w:left="-4" w:right="240" w:firstLine="4"/>
        <w:spacing w:after="0" w:line="255" w:lineRule="auto"/>
        <w:tabs>
          <w:tab w:leader="none" w:pos="26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after giving effect to the creation, incurrence or assumption of such junior Lien, the aggregate amount of all such junior lien Indebtedness for borrowed money under Credit Facilities that are not subject to intercreditor arrangements in accordance with the first proviso to this clause (e) and/or clause (i) of this proviso, exceeds $15.0 million in the aggregate.</w:t>
      </w:r>
    </w:p>
    <w:p>
      <w:pPr>
        <w:spacing w:after="0" w:line="190"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Merger, Consolidation or Sale of Assets</w:t>
      </w:r>
    </w:p>
    <w:p>
      <w:pPr>
        <w:spacing w:after="0" w:line="117" w:lineRule="exact"/>
        <w:rPr>
          <w:sz w:val="20"/>
          <w:szCs w:val="20"/>
          <w:color w:val="auto"/>
        </w:rPr>
      </w:pPr>
    </w:p>
    <w:p>
      <w:pPr>
        <w:ind w:left="-4" w:firstLine="996"/>
        <w:spacing w:after="0" w:line="255" w:lineRule="auto"/>
        <w:tabs>
          <w:tab w:leader="none" w:pos="123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Borrower will not, directly or indirectly, in a single transaction or series of related transactions, consolidate or merge with or into any other Person or sell, assign, transfer, lease, convey or otherwise dispose of all or substantially all of its properties or assets (determined on a consolidated basis) to any Person or group of affiliated Persons, or permit any of its Restricted Subsidiaries to enter into any such transaction or transactions if such transaction or transactions, in the aggregate, would result in sale, assignment transfer, lease, conveyance or other disposition of all or substantially all of the properties or assets of the Borrower and its Restricted Subsidiaries taken as a whole to any other Person or group of Persons unless:</w:t>
      </w:r>
    </w:p>
    <w:p>
      <w:pPr>
        <w:spacing w:after="0" w:line="85" w:lineRule="exact"/>
        <w:rPr>
          <w:rFonts w:ascii="Arial" w:cs="Arial" w:eastAsia="Arial" w:hAnsi="Arial"/>
          <w:sz w:val="18"/>
          <w:szCs w:val="18"/>
          <w:color w:val="auto"/>
        </w:rPr>
      </w:pPr>
    </w:p>
    <w:p>
      <w:pPr>
        <w:ind w:left="1616" w:hanging="223"/>
        <w:spacing w:after="0"/>
        <w:tabs>
          <w:tab w:leader="none" w:pos="161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2116" w:hanging="300"/>
        <w:spacing w:after="0"/>
        <w:tabs>
          <w:tab w:leader="none" w:pos="2116" w:val="left"/>
        </w:tabs>
        <w:numPr>
          <w:ilvl w:val="2"/>
          <w:numId w:val="387"/>
        </w:numPr>
        <w:rPr>
          <w:rFonts w:ascii="Arial" w:cs="Arial" w:eastAsia="Arial" w:hAnsi="Arial"/>
          <w:sz w:val="18"/>
          <w:szCs w:val="18"/>
          <w:color w:val="auto"/>
        </w:rPr>
      </w:pPr>
      <w:r>
        <w:rPr>
          <w:rFonts w:ascii="Arial" w:cs="Arial" w:eastAsia="Arial" w:hAnsi="Arial"/>
          <w:sz w:val="18"/>
          <w:szCs w:val="18"/>
          <w:color w:val="auto"/>
        </w:rPr>
        <w:t>the Borrower shall be the surviving or continuing corporation or</w:t>
      </w:r>
    </w:p>
    <w:p>
      <w:pPr>
        <w:spacing w:after="0" w:line="117" w:lineRule="exact"/>
        <w:rPr>
          <w:rFonts w:ascii="Arial" w:cs="Arial" w:eastAsia="Arial" w:hAnsi="Arial"/>
          <w:sz w:val="18"/>
          <w:szCs w:val="18"/>
          <w:color w:val="auto"/>
        </w:rPr>
      </w:pPr>
    </w:p>
    <w:p>
      <w:pPr>
        <w:ind w:left="1436" w:firstLine="380"/>
        <w:spacing w:after="0" w:line="271" w:lineRule="auto"/>
        <w:tabs>
          <w:tab w:leader="none" w:pos="2105" w:val="left"/>
        </w:tabs>
        <w:numPr>
          <w:ilvl w:val="2"/>
          <w:numId w:val="387"/>
        </w:numPr>
        <w:rPr>
          <w:rFonts w:ascii="Arial" w:cs="Arial" w:eastAsia="Arial" w:hAnsi="Arial"/>
          <w:sz w:val="17"/>
          <w:szCs w:val="17"/>
          <w:color w:val="auto"/>
        </w:rPr>
      </w:pPr>
      <w:r>
        <w:rPr>
          <w:rFonts w:ascii="Arial" w:cs="Arial" w:eastAsia="Arial" w:hAnsi="Arial"/>
          <w:sz w:val="17"/>
          <w:szCs w:val="17"/>
          <w:color w:val="auto"/>
        </w:rPr>
        <w:t>the Person formed by or surviving such consolidation or merger (if other than the Borrower) or the Person to which such sale, assignment, transfer, lease, conveyance or other disposition has been made (the “</w:t>
      </w:r>
      <w:r>
        <w:rPr>
          <w:rFonts w:ascii="Arial" w:cs="Arial" w:eastAsia="Arial" w:hAnsi="Arial"/>
          <w:sz w:val="17"/>
          <w:szCs w:val="17"/>
          <w:b w:val="1"/>
          <w:bCs w:val="1"/>
          <w:color w:val="auto"/>
        </w:rPr>
        <w:t>Surviving Entity</w:t>
      </w:r>
      <w:r>
        <w:rPr>
          <w:rFonts w:ascii="Arial" w:cs="Arial" w:eastAsia="Arial" w:hAnsi="Arial"/>
          <w:sz w:val="17"/>
          <w:szCs w:val="17"/>
          <w:color w:val="auto"/>
        </w:rPr>
        <w:t>”) is a corporation, limited liability company, partnership (including a limited partnership) or trust organized or existing under the laws of the United States, any state or territory thereof or the District of Columbia (provided that if such Person is not a corporation, (i) a corporate Wholly Owned Restricted Subsidiary of such Person organized or existing under the laws of the United States, any state or territory thereof or the District of Columbia, or (ii) a corporation of which such Person is a Wholly Owned Restricted Subsidiary organized or existing under the laws of the United States, any state or territory thereof or the District of Columbia, is a co-borrower of the Loans or becomes a co-borrower of the Loans in connection therewith);</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96"/>
          </w:cols>
          <w:pgMar w:left="444" w:top="273" w:right="459" w:bottom="1440" w:gutter="0" w:footer="0" w:header="0"/>
        </w:sectPr>
      </w:pPr>
    </w:p>
    <w:bookmarkStart w:id="428" w:name="page429"/>
    <w:bookmarkEnd w:id="428"/>
    <w:p>
      <w:pPr>
        <w:ind w:left="440" w:right="220" w:firstLine="957"/>
        <w:spacing w:after="0" w:line="259" w:lineRule="auto"/>
        <w:tabs>
          <w:tab w:leader="none" w:pos="1657"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Surviving Entity, if applicable, expressly assumes, by amendment to this Agreement (in form and substance reasonably satisfactory to the Administrative Agent), executed and delivered to the Administrative Agent, the due and punctual payment of the principal of and premium, if any, and interest on all of the Loans and the performance of every covenant of the Loans and this Agreement on the part of the Borrower to be performed or observed;</w:t>
      </w:r>
    </w:p>
    <w:p>
      <w:pPr>
        <w:spacing w:after="0" w:line="78" w:lineRule="exact"/>
        <w:rPr>
          <w:rFonts w:ascii="Arial" w:cs="Arial" w:eastAsia="Arial" w:hAnsi="Arial"/>
          <w:sz w:val="18"/>
          <w:szCs w:val="18"/>
          <w:color w:val="auto"/>
        </w:rPr>
      </w:pPr>
    </w:p>
    <w:p>
      <w:pPr>
        <w:ind w:left="440" w:right="20" w:firstLine="957"/>
        <w:spacing w:after="0" w:line="255" w:lineRule="auto"/>
        <w:tabs>
          <w:tab w:leader="none" w:pos="170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immediately after giving pro forma effect to such transaction or series of transactions and the assumption contemplated by clause (2) above (including giving effect to any Indebtedness and Acquired Debt, in each case, incurred or anticipated to be incurred in connection with or in respect of such transaction), the Borrower or the Surviving Entity, as the case may be, shall (a) be able to incur at least $1.00 of additional Indebtedness (other than Permitted Debt) pursuant to Section 7.09 or (b) have a Fixed Charge Coverage Ratio that is equal to or greater than the Fixed Charge Coverage Ratio of the Borrower immediately prior to such consolidation, merger, sale, assignment, transfer, conveyance or other disposition;</w:t>
      </w:r>
    </w:p>
    <w:p>
      <w:pPr>
        <w:spacing w:after="0" w:line="85" w:lineRule="exact"/>
        <w:rPr>
          <w:rFonts w:ascii="Arial" w:cs="Arial" w:eastAsia="Arial" w:hAnsi="Arial"/>
          <w:sz w:val="18"/>
          <w:szCs w:val="18"/>
          <w:color w:val="auto"/>
        </w:rPr>
      </w:pPr>
    </w:p>
    <w:p>
      <w:pPr>
        <w:ind w:left="440" w:right="40" w:firstLine="957"/>
        <w:spacing w:after="0" w:line="312" w:lineRule="auto"/>
        <w:tabs>
          <w:tab w:leader="none" w:pos="169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(2)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38" w:lineRule="exact"/>
        <w:rPr>
          <w:rFonts w:ascii="Arial" w:cs="Arial" w:eastAsia="Arial" w:hAnsi="Arial"/>
          <w:sz w:val="16"/>
          <w:szCs w:val="16"/>
          <w:color w:val="auto"/>
        </w:rPr>
      </w:pPr>
    </w:p>
    <w:p>
      <w:pPr>
        <w:ind w:left="440" w:firstLine="957"/>
        <w:spacing w:after="0" w:line="257" w:lineRule="auto"/>
        <w:tabs>
          <w:tab w:leader="none" w:pos="164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Borrower or the Surviving Entity, as the case may be, shall have delivered to the Administrative Agent an Officer’s Certificate and an Opinion of Counsel (subject to customary assumptions and exceptions), each stating that such consolidation, merger, sale, assignment, transfer, lease, conveyance or other disposition and, if an amendment to this Agreement is required in connection with such transaction, such amendment complies with the applicable provisions of this Agreement and that all conditions precedent in this Agreement relating to such transaction have been satisfied.</w:t>
      </w:r>
    </w:p>
    <w:p>
      <w:pPr>
        <w:spacing w:after="0" w:line="18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Notwithstanding the foregoing, (i) any merger of the Borrower with an Affiliate incorporated solely for the purpose of reincorporating the Borrower in another jurisdiction shall be permitted without regard to clause (3) of Section 7.15(a) and (ii) any consolidation or merger, or any sale, assignment, transfer, conveyance, lease or other disposition of assets between or among the Borrower and its Restricted Subsidiaries shall be permitted. For purposes of the foregoing, the transfer (by lease, assignment, sale or otherwise, in a single transaction or series of transactions) of all or substantially all of the properties or assets of one or more Restricted Subsidiaries of the Borrower the Equity Interests of which constitutes all or substantially all of the properties and assets of the Borrower, shall be deemed to be the transfer of all or substantially all of the properties and assets of the Borrower.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440" w:top="274" w:right="439" w:bottom="1440" w:gutter="0" w:footer="0" w:header="0"/>
        </w:sectPr>
      </w:pPr>
    </w:p>
    <w:bookmarkStart w:id="429" w:name="page430"/>
    <w:bookmarkEnd w:id="429"/>
    <w:p>
      <w:pPr>
        <w:ind w:right="240" w:firstLine="996"/>
        <w:spacing w:after="0" w:line="342" w:lineRule="auto"/>
        <w:tabs>
          <w:tab w:leader="none" w:pos="1247" w:val="left"/>
        </w:tabs>
        <w:numPr>
          <w:ilvl w:val="0"/>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will not, and the Borrower will not cause or permit any Guarantor to, directly or indirectly, in a single transaction or series of related transactions, consolidate or merge with or into any Person other than the Borrower or any other Guarantor unless:</w:t>
      </w:r>
    </w:p>
    <w:p>
      <w:pPr>
        <w:spacing w:after="0" w:line="15" w:lineRule="exact"/>
        <w:rPr>
          <w:rFonts w:ascii="Arial" w:cs="Arial" w:eastAsia="Arial" w:hAnsi="Arial"/>
          <w:sz w:val="16"/>
          <w:szCs w:val="16"/>
          <w:color w:val="auto"/>
        </w:rPr>
      </w:pPr>
    </w:p>
    <w:p>
      <w:pPr>
        <w:ind w:left="440" w:right="180" w:firstLine="957"/>
        <w:spacing w:after="0" w:line="286" w:lineRule="auto"/>
        <w:tabs>
          <w:tab w:leader="none" w:pos="160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57" w:lineRule="exact"/>
        <w:rPr>
          <w:rFonts w:ascii="Arial" w:cs="Arial" w:eastAsia="Arial" w:hAnsi="Arial"/>
          <w:sz w:val="17"/>
          <w:szCs w:val="17"/>
          <w:color w:val="auto"/>
        </w:rPr>
      </w:pPr>
    </w:p>
    <w:p>
      <w:pPr>
        <w:ind w:left="440" w:right="580" w:firstLine="957"/>
        <w:spacing w:after="0" w:line="277" w:lineRule="auto"/>
        <w:tabs>
          <w:tab w:leader="none" w:pos="165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such entity assumes by joinder to the Guarantee and Collateral Agreement all of the obligations of the Guarantor under its Guarantee of the Loans;</w:t>
      </w:r>
    </w:p>
    <w:p>
      <w:pPr>
        <w:spacing w:after="0" w:line="62" w:lineRule="exact"/>
        <w:rPr>
          <w:rFonts w:ascii="Arial" w:cs="Arial" w:eastAsia="Arial" w:hAnsi="Arial"/>
          <w:sz w:val="18"/>
          <w:szCs w:val="18"/>
          <w:color w:val="auto"/>
        </w:rPr>
      </w:pPr>
    </w:p>
    <w:p>
      <w:pPr>
        <w:ind w:left="1720" w:hanging="323"/>
        <w:spacing w:after="0"/>
        <w:tabs>
          <w:tab w:leader="none" w:pos="1720" w:val="left"/>
        </w:tabs>
        <w:numPr>
          <w:ilvl w:val="1"/>
          <w:numId w:val="389"/>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w:t>
      </w:r>
    </w:p>
    <w:p>
      <w:pPr>
        <w:spacing w:after="0" w:line="128" w:lineRule="exact"/>
        <w:rPr>
          <w:rFonts w:ascii="Arial" w:cs="Arial" w:eastAsia="Arial" w:hAnsi="Arial"/>
          <w:sz w:val="17"/>
          <w:szCs w:val="17"/>
          <w:color w:val="auto"/>
        </w:rPr>
      </w:pPr>
    </w:p>
    <w:p>
      <w:pPr>
        <w:ind w:left="440" w:right="80" w:firstLine="957"/>
        <w:spacing w:after="0" w:line="277" w:lineRule="auto"/>
        <w:tabs>
          <w:tab w:leader="none" w:pos="169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the use of any net proceeds therefrom on a pro forma basis, the Borrower could satisfy the provisions of Section 7.15(a)(3); and</w:t>
      </w:r>
    </w:p>
    <w:p>
      <w:pPr>
        <w:spacing w:after="0" w:line="62" w:lineRule="exact"/>
        <w:rPr>
          <w:rFonts w:ascii="Arial" w:cs="Arial" w:eastAsia="Arial" w:hAnsi="Arial"/>
          <w:sz w:val="18"/>
          <w:szCs w:val="18"/>
          <w:color w:val="auto"/>
        </w:rPr>
      </w:pPr>
    </w:p>
    <w:p>
      <w:pPr>
        <w:ind w:left="440" w:right="260" w:firstLine="957"/>
        <w:spacing w:after="0" w:line="257" w:lineRule="auto"/>
        <w:tabs>
          <w:tab w:leader="none" w:pos="164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Guarantor or the Surviving Entity, as the case may be, shall have delivered to the Administrative Agent an Officer’s Certificate and an Opinion of Counsel (subject to customary assumptions and exceptions), each stating that such consolidation, merger, sale, assignment, transfer, lease, conveyance or other disposition and, if a supplement or amendment is required in connection with such transaction, such supplement or amendment, complies with the applicable provisions of this Agreement and that all conditions precedent in this Agreement relating to such transaction have been satisfied</w:t>
      </w:r>
      <w:r>
        <w:rPr>
          <w:rFonts w:ascii="Arial" w:cs="Arial" w:eastAsia="Arial" w:hAnsi="Arial"/>
          <w:sz w:val="18"/>
          <w:szCs w:val="18"/>
          <w:b w:val="1"/>
          <w:bCs w:val="1"/>
          <w:color w:val="auto"/>
        </w:rPr>
        <w:t>.</w:t>
      </w:r>
    </w:p>
    <w:p>
      <w:pPr>
        <w:spacing w:after="0" w:line="188"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Notwithstanding the foregoing, the requirements of Section 7.15(b) will not apply to any transaction pursuant to which such Guarantor is automatically released from its Subsidiary Guarantee in accordance with the provisions of Section 8.15 of the Guarantee and Collateral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Events of Default.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constitute an Event of Default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21" w:lineRule="exact"/>
        <w:rPr>
          <w:sz w:val="20"/>
          <w:szCs w:val="20"/>
          <w:color w:val="auto"/>
        </w:rPr>
      </w:pPr>
    </w:p>
    <w:p>
      <w:pPr>
        <w:jc w:val="both"/>
        <w:ind w:firstLine="996"/>
        <w:spacing w:after="0" w:line="264" w:lineRule="auto"/>
        <w:tabs>
          <w:tab w:leader="none" w:pos="1236"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Non-Payment</w:t>
      </w:r>
      <w:r>
        <w:rPr>
          <w:rFonts w:ascii="Arial" w:cs="Arial" w:eastAsia="Arial" w:hAnsi="Arial"/>
          <w:sz w:val="18"/>
          <w:szCs w:val="18"/>
          <w:color w:val="auto"/>
        </w:rPr>
        <w:t>. The Borrower or any other Loan Party fails to pay (i) when and as required to be paid herein, any amount of principal of</w:t>
      </w:r>
      <w:r>
        <w:rPr>
          <w:rFonts w:ascii="Arial" w:cs="Arial" w:eastAsia="Arial" w:hAnsi="Arial"/>
          <w:sz w:val="18"/>
          <w:szCs w:val="18"/>
          <w:i w:val="1"/>
          <w:iCs w:val="1"/>
          <w:color w:val="auto"/>
        </w:rPr>
        <w:t xml:space="preserve"> </w:t>
      </w:r>
      <w:r>
        <w:rPr>
          <w:rFonts w:ascii="Arial" w:cs="Arial" w:eastAsia="Arial" w:hAnsi="Arial"/>
          <w:sz w:val="18"/>
          <w:szCs w:val="18"/>
          <w:color w:val="auto"/>
        </w:rPr>
        <w:t>any Loan, or (ii) within thirty Business Days after the same becomes due, any interest on any Loan or any fee due hereunder, or (iii) within five Business Days after the same becomes due, any other amount payable hereunder or under any other Loan Document; or</w:t>
      </w:r>
    </w:p>
    <w:p>
      <w:pPr>
        <w:spacing w:after="0" w:line="73" w:lineRule="exact"/>
        <w:rPr>
          <w:rFonts w:ascii="Arial" w:cs="Arial" w:eastAsia="Arial" w:hAnsi="Arial"/>
          <w:sz w:val="18"/>
          <w:szCs w:val="18"/>
          <w:color w:val="auto"/>
        </w:rPr>
      </w:pPr>
    </w:p>
    <w:p>
      <w:pPr>
        <w:ind w:left="1260" w:hanging="264"/>
        <w:spacing w:after="0"/>
        <w:tabs>
          <w:tab w:leader="none" w:pos="12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4" w:right="439" w:bottom="1440" w:gutter="0" w:footer="0" w:header="0"/>
        </w:sectPr>
      </w:pPr>
    </w:p>
    <w:bookmarkStart w:id="430" w:name="page431"/>
    <w:bookmarkEnd w:id="430"/>
    <w:p>
      <w:pPr>
        <w:ind w:left="-4" w:right="280" w:firstLine="996"/>
        <w:spacing w:after="0" w:line="264" w:lineRule="auto"/>
        <w:tabs>
          <w:tab w:leader="none" w:pos="1233" w:val="left"/>
        </w:tabs>
        <w:numPr>
          <w:ilvl w:val="1"/>
          <w:numId w:val="39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Defaults</w:t>
      </w:r>
      <w:r>
        <w:rPr>
          <w:rFonts w:ascii="Arial" w:cs="Arial" w:eastAsia="Arial" w:hAnsi="Arial"/>
          <w:sz w:val="18"/>
          <w:szCs w:val="18"/>
          <w:color w:val="auto"/>
        </w:rPr>
        <w:t>. Any Loan Party fails to perform or observe any other covenant or agreement (not specified in subsection (a) above)</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any Loan Document on its part to be performed or observed and such failure continues for 60 days after the Administrative Agent or a Lender provides written notice to the Borrower of such failure; or</w:t>
      </w:r>
    </w:p>
    <w:p>
      <w:pPr>
        <w:spacing w:after="0" w:line="73" w:lineRule="exact"/>
        <w:rPr>
          <w:rFonts w:ascii="Arial" w:cs="Arial" w:eastAsia="Arial" w:hAnsi="Arial"/>
          <w:sz w:val="18"/>
          <w:szCs w:val="18"/>
          <w:color w:val="auto"/>
        </w:rPr>
      </w:pPr>
    </w:p>
    <w:p>
      <w:pPr>
        <w:jc w:val="both"/>
        <w:ind w:left="-4" w:right="20" w:firstLine="996"/>
        <w:spacing w:after="0" w:line="264" w:lineRule="auto"/>
        <w:tabs>
          <w:tab w:leader="none" w:pos="1243" w:val="left"/>
        </w:tabs>
        <w:numPr>
          <w:ilvl w:val="1"/>
          <w:numId w:val="39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Any representation, warranty, certification or statement of fact made or deemed made by or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Borrower or any other Loan Party herein, in any other Loan Document, or in any document delivered in connection herewith or therewith shall be incorrect or misleading, in any material respect, when made or deemed made; or</w:t>
      </w:r>
    </w:p>
    <w:p>
      <w:pPr>
        <w:spacing w:after="0" w:line="73" w:lineRule="exact"/>
        <w:rPr>
          <w:rFonts w:ascii="Arial" w:cs="Arial" w:eastAsia="Arial" w:hAnsi="Arial"/>
          <w:sz w:val="18"/>
          <w:szCs w:val="18"/>
          <w:color w:val="auto"/>
        </w:rPr>
      </w:pPr>
    </w:p>
    <w:p>
      <w:pPr>
        <w:ind w:left="-4" w:right="20" w:firstLine="996"/>
        <w:spacing w:after="0" w:line="284" w:lineRule="auto"/>
        <w:tabs>
          <w:tab w:leader="none" w:pos="1233" w:val="left"/>
        </w:tabs>
        <w:numPr>
          <w:ilvl w:val="1"/>
          <w:numId w:val="391"/>
        </w:numPr>
        <w:rPr>
          <w:rFonts w:ascii="Arial" w:cs="Arial" w:eastAsia="Arial" w:hAnsi="Arial"/>
          <w:sz w:val="16"/>
          <w:szCs w:val="16"/>
          <w:color w:val="auto"/>
        </w:rPr>
      </w:pPr>
      <w:r>
        <w:rPr>
          <w:rFonts w:ascii="Arial" w:cs="Arial" w:eastAsia="Arial" w:hAnsi="Arial"/>
          <w:sz w:val="16"/>
          <w:szCs w:val="16"/>
          <w:i w:val="1"/>
          <w:iCs w:val="1"/>
          <w:color w:val="auto"/>
        </w:rPr>
        <w:t>Cross-Payment Default; Cross-Acceleration; Swap Termination Events</w:t>
      </w:r>
      <w:r>
        <w:rPr>
          <w:rFonts w:ascii="Arial" w:cs="Arial" w:eastAsia="Arial" w:hAnsi="Arial"/>
          <w:sz w:val="16"/>
          <w:szCs w:val="16"/>
          <w:color w:val="auto"/>
        </w:rPr>
        <w:t>. (i) The Borrower or any Restricted Subsidiary (other than an</w:t>
      </w:r>
      <w:r>
        <w:rPr>
          <w:rFonts w:ascii="Arial" w:cs="Arial" w:eastAsia="Arial" w:hAnsi="Arial"/>
          <w:sz w:val="16"/>
          <w:szCs w:val="16"/>
          <w:i w:val="1"/>
          <w:iCs w:val="1"/>
          <w:color w:val="auto"/>
        </w:rPr>
        <w:t xml:space="preserve"> </w:t>
      </w:r>
      <w:r>
        <w:rPr>
          <w:rFonts w:ascii="Arial" w:cs="Arial" w:eastAsia="Arial" w:hAnsi="Arial"/>
          <w:sz w:val="16"/>
          <w:szCs w:val="16"/>
          <w:color w:val="auto"/>
        </w:rPr>
        <w:t>Escrow Subsidiary) (A) fails to make any payment of principal, premium or interest when due (whether by scheduled maturity, required prepayment, acceleration, demand, or otherwise), and such payment is not made prior to the expiration of any applicable grace period, in respect of any Indebtedness or Guarantee (other than Indebtedness under the Loan Documents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in each case after any applicable grace, cure or notice period, the effect of which default or other event is the acceleration of such Indebtedness prior to its express maturity; or</w:t>
      </w:r>
    </w:p>
    <w:p>
      <w:pPr>
        <w:spacing w:after="0" w:line="1" w:lineRule="exact"/>
        <w:rPr>
          <w:rFonts w:ascii="Arial" w:cs="Arial" w:eastAsia="Arial" w:hAnsi="Arial"/>
          <w:sz w:val="16"/>
          <w:szCs w:val="16"/>
          <w:color w:val="auto"/>
        </w:rPr>
      </w:pPr>
    </w:p>
    <w:p>
      <w:pPr>
        <w:ind w:left="-4" w:right="120" w:firstLine="4"/>
        <w:spacing w:after="0" w:line="290" w:lineRule="auto"/>
        <w:tabs>
          <w:tab w:leader="none" w:pos="26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there occurs under any Swap Contract an Early Termination Date (as defined, or as such comparable term may be used and defined, in such Swap Contract) resulting from (A) any event of default under such Swap Contract as to which the Borrower or any Restricted Subsidiary is the Defaulting Party (as defined, or as such comparable term may be used and defined, in such Swap Contract) or (B) any Termination Event (as defined, or as such comparable term may be used and defined, in such Swap Contract) under such Swap Contract as to which the Borrower or any Restricted Subsidiary is an Affected Party (as defined, or as such comparable term may be used and defined, in such Swap Contract) and, in either event, the Swap Termination Value owed by the Borrower or such Restricted Subsidiary as a result thereof is greater than the Threshold Amount; or</w:t>
      </w:r>
    </w:p>
    <w:p>
      <w:pPr>
        <w:spacing w:after="0" w:line="56" w:lineRule="exact"/>
        <w:rPr>
          <w:rFonts w:ascii="Arial" w:cs="Arial" w:eastAsia="Arial" w:hAnsi="Arial"/>
          <w:sz w:val="16"/>
          <w:szCs w:val="16"/>
          <w:color w:val="auto"/>
        </w:rPr>
      </w:pPr>
    </w:p>
    <w:p>
      <w:pPr>
        <w:ind w:left="-4" w:firstLine="996"/>
        <w:spacing w:after="0" w:line="272" w:lineRule="auto"/>
        <w:tabs>
          <w:tab w:leader="none" w:pos="1213" w:val="left"/>
        </w:tabs>
        <w:numPr>
          <w:ilvl w:val="1"/>
          <w:numId w:val="392"/>
        </w:numPr>
        <w:rPr>
          <w:rFonts w:ascii="Arial" w:cs="Arial" w:eastAsia="Arial" w:hAnsi="Arial"/>
          <w:sz w:val="17"/>
          <w:szCs w:val="17"/>
          <w:color w:val="auto"/>
        </w:rPr>
      </w:pPr>
      <w:r>
        <w:rPr>
          <w:rFonts w:ascii="Arial" w:cs="Arial" w:eastAsia="Arial" w:hAnsi="Arial"/>
          <w:sz w:val="17"/>
          <w:szCs w:val="17"/>
          <w:i w:val="1"/>
          <w:iCs w:val="1"/>
          <w:color w:val="auto"/>
        </w:rPr>
        <w:t>Insolvency Proceedings</w:t>
      </w:r>
      <w:r>
        <w:rPr>
          <w:rFonts w:ascii="Arial" w:cs="Arial" w:eastAsia="Arial" w:hAnsi="Arial"/>
          <w:sz w:val="17"/>
          <w:szCs w:val="17"/>
          <w:color w:val="auto"/>
        </w:rPr>
        <w:t>,</w:t>
      </w:r>
      <w:r>
        <w:rPr>
          <w:rFonts w:ascii="Arial" w:cs="Arial" w:eastAsia="Arial" w:hAnsi="Arial"/>
          <w:sz w:val="17"/>
          <w:szCs w:val="17"/>
          <w:i w:val="1"/>
          <w:iCs w:val="1"/>
          <w:color w:val="auto"/>
        </w:rPr>
        <w:t xml:space="preserve"> Etc. </w:t>
      </w:r>
      <w:r>
        <w:rPr>
          <w:rFonts w:ascii="Arial" w:cs="Arial" w:eastAsia="Arial" w:hAnsi="Arial"/>
          <w:sz w:val="17"/>
          <w:szCs w:val="17"/>
          <w:color w:val="auto"/>
        </w:rPr>
        <w:t>Any Loan Party or any of its Restricted Subsidiaries (other than an Escrow Subsidiary) institutes or</w:t>
      </w:r>
      <w:r>
        <w:rPr>
          <w:rFonts w:ascii="Arial" w:cs="Arial" w:eastAsia="Arial" w:hAnsi="Arial"/>
          <w:sz w:val="17"/>
          <w:szCs w:val="17"/>
          <w:i w:val="1"/>
          <w:iCs w:val="1"/>
          <w:color w:val="auto"/>
        </w:rPr>
        <w:t xml:space="preserve"> </w:t>
      </w:r>
      <w:r>
        <w:rPr>
          <w:rFonts w:ascii="Arial" w:cs="Arial" w:eastAsia="Arial" w:hAnsi="Arial"/>
          <w:sz w:val="17"/>
          <w:szCs w:val="17"/>
          <w:color w:val="auto"/>
        </w:rPr>
        <w:t>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1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96"/>
          </w:cols>
          <w:pgMar w:left="444" w:top="273" w:right="459" w:bottom="1440" w:gutter="0" w:footer="0" w:header="0"/>
        </w:sectPr>
      </w:pPr>
    </w:p>
    <w:bookmarkStart w:id="431" w:name="page432"/>
    <w:bookmarkEnd w:id="431"/>
    <w:p>
      <w:pPr>
        <w:ind w:right="80" w:firstLine="996"/>
        <w:spacing w:after="0" w:line="259" w:lineRule="auto"/>
        <w:tabs>
          <w:tab w:leader="none" w:pos="1247"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Inability to Pay Debts</w:t>
      </w:r>
      <w:r>
        <w:rPr>
          <w:rFonts w:ascii="Arial" w:cs="Arial" w:eastAsia="Arial" w:hAnsi="Arial"/>
          <w:sz w:val="18"/>
          <w:szCs w:val="18"/>
          <w:color w:val="auto"/>
        </w:rPr>
        <w:t>;</w:t>
      </w:r>
      <w:r>
        <w:rPr>
          <w:rFonts w:ascii="Arial" w:cs="Arial" w:eastAsia="Arial" w:hAnsi="Arial"/>
          <w:sz w:val="18"/>
          <w:szCs w:val="18"/>
          <w:i w:val="1"/>
          <w:iCs w:val="1"/>
          <w:color w:val="auto"/>
        </w:rPr>
        <w:t xml:space="preserve"> Attachment</w:t>
      </w:r>
      <w:r>
        <w:rPr>
          <w:rFonts w:ascii="Arial" w:cs="Arial" w:eastAsia="Arial" w:hAnsi="Arial"/>
          <w:sz w:val="18"/>
          <w:szCs w:val="18"/>
          <w:color w:val="auto"/>
        </w:rPr>
        <w:t>. (i) The Borrower or any Restricted Subsidiary (other than an Escrow Subsidiary) becomes unable</w:t>
      </w:r>
      <w:r>
        <w:rPr>
          <w:rFonts w:ascii="Arial" w:cs="Arial" w:eastAsia="Arial" w:hAnsi="Arial"/>
          <w:sz w:val="18"/>
          <w:szCs w:val="18"/>
          <w:i w:val="1"/>
          <w:iCs w:val="1"/>
          <w:color w:val="auto"/>
        </w:rPr>
        <w:t xml:space="preserve"> </w:t>
      </w:r>
      <w:r>
        <w:rPr>
          <w:rFonts w:ascii="Arial" w:cs="Arial" w:eastAsia="Arial" w:hAnsi="Arial"/>
          <w:sz w:val="18"/>
          <w:szCs w:val="18"/>
          <w:color w:val="auto"/>
        </w:rPr>
        <w:t>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78" w:lineRule="exact"/>
        <w:rPr>
          <w:rFonts w:ascii="Arial" w:cs="Arial" w:eastAsia="Arial" w:hAnsi="Arial"/>
          <w:sz w:val="18"/>
          <w:szCs w:val="18"/>
          <w:color w:val="auto"/>
        </w:rPr>
      </w:pPr>
    </w:p>
    <w:p>
      <w:pPr>
        <w:ind w:right="40" w:firstLine="996"/>
        <w:spacing w:after="0" w:line="257" w:lineRule="auto"/>
        <w:tabs>
          <w:tab w:leader="none" w:pos="1247"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Judgments</w:t>
      </w:r>
      <w:r>
        <w:rPr>
          <w:rFonts w:ascii="Arial" w:cs="Arial" w:eastAsia="Arial" w:hAnsi="Arial"/>
          <w:sz w:val="18"/>
          <w:szCs w:val="18"/>
          <w:color w:val="auto"/>
        </w:rPr>
        <w:t>. Failure by the Borrower or any of its Restricted Subsidiaries to pay non-appealable final judgments entered by a court or</w:t>
      </w:r>
      <w:r>
        <w:rPr>
          <w:rFonts w:ascii="Arial" w:cs="Arial" w:eastAsia="Arial" w:hAnsi="Arial"/>
          <w:sz w:val="18"/>
          <w:szCs w:val="18"/>
          <w:i w:val="1"/>
          <w:iCs w:val="1"/>
          <w:color w:val="auto"/>
        </w:rPr>
        <w:t xml:space="preserve"> </w:t>
      </w:r>
      <w:r>
        <w:rPr>
          <w:rFonts w:ascii="Arial" w:cs="Arial" w:eastAsia="Arial" w:hAnsi="Arial"/>
          <w:sz w:val="18"/>
          <w:szCs w:val="18"/>
          <w:color w:val="auto"/>
        </w:rPr>
        <w:t>courts of competent jurisdiction aggregating in excess of the Threshold Amount (excluding amounts covered by insurance or bonded), which judgments are not paid, discharged or stayed, for a period of more than 60 days after such judgments have become final and non-appealable and, in the event such judgment is covered by insurance, an enforcement proceeding has been commenced by any creditor upon such judgment or decree which is not promptly stayed;</w:t>
      </w:r>
    </w:p>
    <w:p>
      <w:pPr>
        <w:spacing w:after="0" w:line="80" w:lineRule="exact"/>
        <w:rPr>
          <w:rFonts w:ascii="Arial" w:cs="Arial" w:eastAsia="Arial" w:hAnsi="Arial"/>
          <w:sz w:val="18"/>
          <w:szCs w:val="18"/>
          <w:color w:val="auto"/>
        </w:rPr>
      </w:pPr>
    </w:p>
    <w:p>
      <w:pPr>
        <w:ind w:left="1220" w:hanging="224"/>
        <w:spacing w:after="0"/>
        <w:tabs>
          <w:tab w:leader="none" w:pos="12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996"/>
        <w:spacing w:after="0" w:line="259" w:lineRule="auto"/>
        <w:tabs>
          <w:tab w:leader="none" w:pos="1207"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Invalidity of Guarantees</w:t>
      </w:r>
      <w:r>
        <w:rPr>
          <w:rFonts w:ascii="Arial" w:cs="Arial" w:eastAsia="Arial" w:hAnsi="Arial"/>
          <w:sz w:val="18"/>
          <w:szCs w:val="18"/>
          <w:color w:val="auto"/>
        </w:rPr>
        <w:t>. Except as permitted by this Agreement or the Guarantee and Collateral Agreement, any Guarantee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Loans shall be held in any judicial proceeding to be unenforceable or invalid or shall cease for any reason to be in full force and effect or any Guarantor, or any Person acting on behalf of any Guarantor, shall deny or disaffirm its Obligations under its Guarantee if, and only if, in each such case, such default continues for 10 days; or</w:t>
      </w:r>
    </w:p>
    <w:p>
      <w:pPr>
        <w:spacing w:after="0" w:line="78" w:lineRule="exact"/>
        <w:rPr>
          <w:rFonts w:ascii="Arial" w:cs="Arial" w:eastAsia="Arial" w:hAnsi="Arial"/>
          <w:sz w:val="18"/>
          <w:szCs w:val="18"/>
          <w:color w:val="auto"/>
        </w:rPr>
      </w:pPr>
    </w:p>
    <w:p>
      <w:pPr>
        <w:ind w:left="1260" w:hanging="264"/>
        <w:spacing w:after="0"/>
        <w:tabs>
          <w:tab w:leader="none" w:pos="12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firstLine="996"/>
        <w:spacing w:after="0" w:line="259" w:lineRule="auto"/>
        <w:tabs>
          <w:tab w:leader="none" w:pos="1207"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After the Debt Assumption, any Collateral Document after delivery thereof pursuant to Article 4 or Section 6.11</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 any reason (other than pursuant to the terms hereof) cease to create a valid and perfected first priority Lien (subject to Permitted Prior Liens and any exceptions on the Mortgage Policies issued in connection with the Mortgaged Properties reasonably acceptable to the Administrative Agent) on the Collateral purported to be covered thereby.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Remedies Upon Event of Default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declare the commitment of each Lender to make Loans to be terminated, whereupon such commitments and obligation shall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103" w:lineRule="exact"/>
        <w:rPr>
          <w:sz w:val="20"/>
          <w:szCs w:val="20"/>
          <w:color w:val="auto"/>
        </w:rPr>
      </w:pPr>
    </w:p>
    <w:p>
      <w:pPr>
        <w:jc w:val="both"/>
        <w:ind w:right="140" w:firstLine="996"/>
        <w:spacing w:after="0" w:line="264" w:lineRule="auto"/>
        <w:tabs>
          <w:tab w:leader="none" w:pos="124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3" w:lineRule="exact"/>
        <w:rPr>
          <w:rFonts w:ascii="Arial" w:cs="Arial" w:eastAsia="Arial" w:hAnsi="Arial"/>
          <w:sz w:val="18"/>
          <w:szCs w:val="18"/>
          <w:color w:val="auto"/>
        </w:rPr>
      </w:pPr>
    </w:p>
    <w:p>
      <w:pPr>
        <w:ind w:left="1240" w:hanging="244"/>
        <w:spacing w:after="0"/>
        <w:tabs>
          <w:tab w:leader="none" w:pos="12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432" w:name="page433"/>
    <w:bookmarkEnd w:id="432"/>
    <w:p>
      <w:pPr>
        <w:ind w:left="1260" w:hanging="264"/>
        <w:spacing w:after="0"/>
        <w:tabs>
          <w:tab w:leader="none" w:pos="12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on behalf of itself and the Lenders all rights and remedies available to it and the Lenders under the Loan Documents or at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 equity; and</w:t>
      </w:r>
    </w:p>
    <w:p>
      <w:pPr>
        <w:spacing w:after="0" w:line="102" w:lineRule="exact"/>
        <w:rPr>
          <w:rFonts w:ascii="Arial" w:cs="Arial" w:eastAsia="Arial" w:hAnsi="Arial"/>
          <w:sz w:val="16"/>
          <w:szCs w:val="16"/>
          <w:color w:val="auto"/>
        </w:rPr>
      </w:pPr>
    </w:p>
    <w:p>
      <w:pPr>
        <w:ind w:left="1240" w:hanging="244"/>
        <w:spacing w:after="0"/>
        <w:tabs>
          <w:tab w:leader="none" w:pos="12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Application of Funds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After the exercise of remedies provided for in Section 8.02 (or after the Loans have automatically become immediately due and payable), any amounts received on account of the Obligations shall, subject to the provisions of Section 2.16, be applied by the Administrative Agent in the order specified in Section 6.05 of the Guarantee and Collateral Agreement.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AGENCY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Appointment and Authority</w:t>
      </w:r>
    </w:p>
    <w:p>
      <w:pPr>
        <w:spacing w:after="0" w:line="117" w:lineRule="exact"/>
        <w:rPr>
          <w:sz w:val="20"/>
          <w:szCs w:val="20"/>
          <w:color w:val="auto"/>
        </w:rPr>
      </w:pPr>
    </w:p>
    <w:p>
      <w:pPr>
        <w:ind w:firstLine="996"/>
        <w:spacing w:after="0" w:line="271" w:lineRule="auto"/>
        <w:tabs>
          <w:tab w:leader="none" w:pos="1237" w:val="left"/>
        </w:tabs>
        <w:numPr>
          <w:ilvl w:val="0"/>
          <w:numId w:val="396"/>
        </w:numPr>
        <w:rPr>
          <w:rFonts w:ascii="Arial" w:cs="Arial" w:eastAsia="Arial" w:hAnsi="Arial"/>
          <w:sz w:val="17"/>
          <w:szCs w:val="17"/>
          <w:color w:val="auto"/>
        </w:rPr>
      </w:pPr>
      <w:r>
        <w:rPr>
          <w:rFonts w:ascii="Arial" w:cs="Arial" w:eastAsia="Arial" w:hAnsi="Arial"/>
          <w:sz w:val="17"/>
          <w:szCs w:val="17"/>
          <w:color w:val="auto"/>
        </w:rPr>
        <w:t>Each of the Lenders hereby irrevocably appoints Morgan Stanley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third-party beneficiary of any of such provisions. It is understood and agreed that the use of the term “agent” herein or in any other Loan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70" w:lineRule="exact"/>
        <w:rPr>
          <w:rFonts w:ascii="Arial" w:cs="Arial" w:eastAsia="Arial" w:hAnsi="Arial"/>
          <w:sz w:val="17"/>
          <w:szCs w:val="17"/>
          <w:color w:val="auto"/>
        </w:rPr>
      </w:pPr>
    </w:p>
    <w:p>
      <w:pPr>
        <w:ind w:right="20" w:firstLine="996"/>
        <w:spacing w:after="0" w:line="288" w:lineRule="auto"/>
        <w:tabs>
          <w:tab w:leader="none" w:pos="124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Administrative Agent shall also act as the “collateral agent” under the Loan Documents, and each of the Lenders (including in its capacities as a potential Cash Management Bank and potential Hedge Bank) irrevocably appoints and authorizes the Administrative Agent to act as the agent of such Lender, after the Debt Assumption, if any,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9.05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9 and Article 11 (including Section 11.04(c)), as though such co-agents, sub-agents and attorneys-in-fact were the “collateral agent” under the Loan Documents, as if set forth in full herein with respect thereto. The provisions of this Article 9 shall survive the payment in full of the Obligations, the termination of the Commitments and the termination of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80"/>
          </w:cols>
          <w:pgMar w:left="440" w:top="274" w:right="479" w:bottom="1440" w:gutter="0" w:footer="0" w:header="0"/>
        </w:sectPr>
      </w:pPr>
    </w:p>
    <w:bookmarkStart w:id="433" w:name="page434"/>
    <w:bookmarkEnd w:id="4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Rights as a Lender</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Any Agent shall have the same rights and powers in its capacity as a Lender as any other Lender and may exercise the same as though it were not an Agent hereunder, and the term “</w:t>
      </w:r>
      <w:r>
        <w:rPr>
          <w:rFonts w:ascii="Arial" w:cs="Arial" w:eastAsia="Arial" w:hAnsi="Arial"/>
          <w:sz w:val="16"/>
          <w:szCs w:val="16"/>
          <w:b w:val="1"/>
          <w:bCs w:val="1"/>
          <w:color w:val="auto"/>
        </w:rPr>
        <w:t>Lender</w:t>
      </w:r>
      <w:r>
        <w:rPr>
          <w:rFonts w:ascii="Arial" w:cs="Arial" w:eastAsia="Arial" w:hAnsi="Arial"/>
          <w:sz w:val="16"/>
          <w:szCs w:val="16"/>
          <w:color w:val="auto"/>
        </w:rPr>
        <w:t>” or “</w:t>
      </w:r>
      <w:r>
        <w:rPr>
          <w:rFonts w:ascii="Arial" w:cs="Arial" w:eastAsia="Arial" w:hAnsi="Arial"/>
          <w:sz w:val="16"/>
          <w:szCs w:val="16"/>
          <w:b w:val="1"/>
          <w:bCs w:val="1"/>
          <w:color w:val="auto"/>
        </w:rPr>
        <w:t>Lenders</w:t>
      </w:r>
      <w:r>
        <w:rPr>
          <w:rFonts w:ascii="Arial" w:cs="Arial" w:eastAsia="Arial" w:hAnsi="Arial"/>
          <w:sz w:val="16"/>
          <w:szCs w:val="16"/>
          <w:color w:val="auto"/>
        </w:rPr>
        <w:t>” shall, unless otherwise expressly indicated or unless the context otherwise requires, include the Person serving as such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Exculpatory Provisions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Agent shall have any duties or obligations except those expressly set forth herein and in the other Loan Documents. Without limiting the generality of the foregoing, the Agents:</w:t>
      </w:r>
    </w:p>
    <w:p>
      <w:pPr>
        <w:spacing w:after="0" w:line="62" w:lineRule="exact"/>
        <w:rPr>
          <w:sz w:val="20"/>
          <w:szCs w:val="20"/>
          <w:color w:val="auto"/>
        </w:rPr>
      </w:pPr>
    </w:p>
    <w:p>
      <w:pPr>
        <w:ind w:left="1240" w:hanging="244"/>
        <w:spacing w:after="0"/>
        <w:tabs>
          <w:tab w:leader="none" w:pos="12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right="100" w:firstLine="996"/>
        <w:spacing w:after="0" w:line="272" w:lineRule="auto"/>
        <w:tabs>
          <w:tab w:leader="none" w:pos="1247" w:val="left"/>
        </w:tabs>
        <w:numPr>
          <w:ilvl w:val="0"/>
          <w:numId w:val="397"/>
        </w:numPr>
        <w:rPr>
          <w:rFonts w:ascii="Arial" w:cs="Arial" w:eastAsia="Arial" w:hAnsi="Arial"/>
          <w:sz w:val="17"/>
          <w:szCs w:val="17"/>
          <w:color w:val="auto"/>
        </w:rPr>
      </w:pPr>
      <w:r>
        <w:rPr>
          <w:rFonts w:ascii="Arial" w:cs="Arial" w:eastAsia="Arial" w:hAnsi="Arial"/>
          <w:sz w:val="17"/>
          <w:szCs w:val="17"/>
          <w:color w:val="auto"/>
        </w:rPr>
        <w:t>shall not have any duty to take any discretionary action or exercise any discretionary powers, except (in the case of the Administrative Agent)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69" w:lineRule="exact"/>
        <w:rPr>
          <w:rFonts w:ascii="Arial" w:cs="Arial" w:eastAsia="Arial" w:hAnsi="Arial"/>
          <w:sz w:val="17"/>
          <w:szCs w:val="17"/>
          <w:color w:val="auto"/>
        </w:rPr>
      </w:pPr>
    </w:p>
    <w:p>
      <w:pPr>
        <w:ind w:firstLine="996"/>
        <w:spacing w:after="0" w:line="264" w:lineRule="auto"/>
        <w:tabs>
          <w:tab w:leader="none" w:pos="123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such Agent or any of its Affiliates in any capacity.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Section 8.02) or (ii) in the absence of its own gross negligence or willful misconduct as determined by a court of competent jurisdiction by final and nonappealable judgment. The Administrative Agent shall be deemed not to have knowledge of any Default unless and until it shall have received written notice from a Lender or the Borrower referring to this Agreement, describing such Default and stating that such notice is a “notice of default.”</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 Agent 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440" w:top="274" w:right="439" w:bottom="1440" w:gutter="0" w:footer="0" w:header="0"/>
        </w:sectPr>
      </w:pPr>
    </w:p>
    <w:bookmarkStart w:id="434" w:name="page435"/>
    <w:bookmarkEnd w:id="4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or observance of any of the covenants, agreements or other terms or conditions set forth herein or therein or the occurrence of any Default,</w:t>
      </w:r>
    </w:p>
    <w:p>
      <w:pPr>
        <w:spacing w:after="0" w:line="46" w:lineRule="exact"/>
        <w:rPr>
          <w:sz w:val="20"/>
          <w:szCs w:val="20"/>
          <w:color w:val="auto"/>
        </w:rPr>
      </w:pPr>
    </w:p>
    <w:p>
      <w:pPr>
        <w:ind w:right="80" w:firstLine="4"/>
        <w:spacing w:after="0" w:line="254" w:lineRule="auto"/>
        <w:tabs>
          <w:tab w:leader="none" w:pos="30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4 or elsewhere herein, other than, in the case of the Administrative Agent, to confirm receipt of items expressly required to be delivered to the Administrative Agent.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Reliance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Delegation of Duties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Resignation of Administrative Agent</w:t>
      </w:r>
    </w:p>
    <w:p>
      <w:pPr>
        <w:spacing w:after="0" w:line="11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440" w:top="274" w:right="439" w:bottom="1440" w:gutter="0" w:footer="0" w:header="0"/>
        </w:sectPr>
      </w:pPr>
    </w:p>
    <w:bookmarkStart w:id="435" w:name="page436"/>
    <w:bookmarkEnd w:id="43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gives notice of its resignation, then the retiring Administrative Agent may on behalf of the Lenders appoint a successor Administrative Agent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9 and Section 11.04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Non-Reliance on Administrative Agent and Other Lenders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No Other Duties, Etc.</w:t>
      </w:r>
    </w:p>
    <w:p>
      <w:pPr>
        <w:spacing w:after="0" w:line="11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Anything herein to the contrary notwithstanding, none of the Arrangers or the Agents shall have any powers, duties or responsibilities under this Agreement or any of the other Loan Documents, except in its capacity, as applicable, as the Administrative Agent or a Lender hereunder.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0"/>
          </w:cols>
          <w:pgMar w:left="440" w:top="273" w:right="439" w:bottom="1440" w:gutter="0" w:footer="0" w:header="0"/>
        </w:sectPr>
      </w:pPr>
    </w:p>
    <w:bookmarkStart w:id="436" w:name="page437"/>
    <w:bookmarkEnd w:id="4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9.09. </w:t>
      </w:r>
      <w:r>
        <w:rPr>
          <w:rFonts w:ascii="Arial" w:cs="Arial" w:eastAsia="Arial" w:hAnsi="Arial"/>
          <w:sz w:val="18"/>
          <w:szCs w:val="18"/>
          <w:u w:val="single" w:color="auto"/>
          <w:color w:val="auto"/>
        </w:rPr>
        <w:t>Administrative Agent May File Proofs of Claim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relating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9" w:lineRule="exact"/>
        <w:rPr>
          <w:sz w:val="20"/>
          <w:szCs w:val="20"/>
          <w:color w:val="auto"/>
        </w:rPr>
      </w:pPr>
    </w:p>
    <w:p>
      <w:pPr>
        <w:ind w:right="80" w:firstLine="996"/>
        <w:spacing w:after="0" w:line="257" w:lineRule="auto"/>
        <w:tabs>
          <w:tab w:leader="none" w:pos="123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 2.09 and 11.04) allowed in such judicial proceeding; and</w:t>
      </w:r>
    </w:p>
    <w:p>
      <w:pPr>
        <w:spacing w:after="0" w:line="80" w:lineRule="exact"/>
        <w:rPr>
          <w:rFonts w:ascii="Arial" w:cs="Arial" w:eastAsia="Arial" w:hAnsi="Arial"/>
          <w:sz w:val="18"/>
          <w:szCs w:val="18"/>
          <w:color w:val="auto"/>
        </w:rPr>
      </w:pPr>
    </w:p>
    <w:p>
      <w:pPr>
        <w:ind w:left="1260" w:hanging="264"/>
        <w:spacing w:after="0"/>
        <w:tabs>
          <w:tab w:leader="none" w:pos="12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2.09 and 11.04.</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Collateral and Guaranty Matters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Lender (including in its capacities as a potential Cash Management Bank and as a potential Hedge Bank) irrevocably authorizes the Administrative Agent, at its option and in its discretion, after the Closing Date:</w:t>
      </w:r>
    </w:p>
    <w:p>
      <w:pPr>
        <w:spacing w:after="0" w:line="62" w:lineRule="exact"/>
        <w:rPr>
          <w:sz w:val="20"/>
          <w:szCs w:val="20"/>
          <w:color w:val="auto"/>
        </w:rPr>
      </w:pPr>
    </w:p>
    <w:p>
      <w:pPr>
        <w:ind w:right="60" w:firstLine="996"/>
        <w:spacing w:after="0" w:line="284" w:lineRule="auto"/>
        <w:tabs>
          <w:tab w:leader="none" w:pos="1237"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to release any Lien to the extent securing the Obligations on any property granted to or held by the Administrative Agent under any Loan Document (i), upon termination of the Commitments and payment in full of all Obligations (other than (A) contingent indemnification obligations as to which no claim has been asserted and (B) obligations and liabilities under Secured Cash Management Agreements and Secured Hedge Agreements) and the termination and payment in full of all obligations and liabilities under Secured Cash Management Agreements and Secured Hedge Agreements in respect of which the Administrative Agent has received notice pursuant to Section 9.11 (other than any such agreements as to which other arrangements reasonably satisfactory to the applicable Cash Management Bank or Hedge Bank have been made), (ii) that is sold as part of or in connection with any sale permitted hereunder or that constitutes a Disposition of Receivables Program Assets permitted pursuant to Section 7.05(l) or</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if approved, authorized or ratified in writing in accordance with Section 11.01;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3" w:right="459" w:bottom="1440" w:gutter="0" w:footer="0" w:header="0"/>
        </w:sectPr>
      </w:pPr>
    </w:p>
    <w:bookmarkStart w:id="437" w:name="page438"/>
    <w:bookmarkEnd w:id="437"/>
    <w:p>
      <w:pPr>
        <w:ind w:right="120" w:firstLine="996"/>
        <w:spacing w:after="0" w:line="255" w:lineRule="auto"/>
        <w:tabs>
          <w:tab w:leader="none" w:pos="12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release any Guarantor from its Guarantee of the Obligations under the Guarantee and Collateral Agreement (i) upon termination of the Commitments and payment in full of all Obligations (other than (A) contingent indemnification obligations as to which no claim has been asserted and (B) obligations and liabilities under Secured Cash Management Agreements and Secured Hedge Agreements, and the termination and payment in full of all obligations and liabilities under Secured Cash Management Agreements and Secured Hedge Agreements in respect of which the Administrative Agent has received notice pursuant to Section 9.11 (other than any such agreements as to which other arrangements reasonably satisfactory to the applicable Cash Management Bank or Hedge Bank have been made), or (ii) if approved, authorized or ratified in writing in accordance with Section 11.01;</w:t>
      </w:r>
    </w:p>
    <w:p>
      <w:pPr>
        <w:spacing w:after="0" w:line="81" w:lineRule="exact"/>
        <w:rPr>
          <w:rFonts w:ascii="Arial" w:cs="Arial" w:eastAsia="Arial" w:hAnsi="Arial"/>
          <w:sz w:val="18"/>
          <w:szCs w:val="18"/>
          <w:color w:val="auto"/>
        </w:rPr>
      </w:pPr>
    </w:p>
    <w:p>
      <w:pPr>
        <w:ind w:firstLine="996"/>
        <w:spacing w:after="0" w:line="297" w:lineRule="auto"/>
        <w:tabs>
          <w:tab w:leader="none" w:pos="123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to release any Guarantor from its Guarantee of the Obligations and all Liens granted by any such Guarantor, and all pledges of Equity Interests in any such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Guarantor becomes an Excluded Subsidiary (other than an Unrestricted Subsidiary and an Escrow Subsidiary) then such release shall be limited to 35% of such voting Equity Interests) under the Guarantee and Collateral Agreement if such Person ceases to be a Restricted Subsidiary (including by being designated an Unrestricted Subsidiary in accordance with Section 6.17 hereof) or becomes an Immaterial Subsidiary or an Excluded Subsidiary (unless such Person continues to guarantee any other Credit Facility);</w:t>
      </w:r>
    </w:p>
    <w:p>
      <w:pPr>
        <w:spacing w:after="0" w:line="50" w:lineRule="exact"/>
        <w:rPr>
          <w:rFonts w:ascii="Arial" w:cs="Arial" w:eastAsia="Arial" w:hAnsi="Arial"/>
          <w:sz w:val="16"/>
          <w:szCs w:val="16"/>
          <w:color w:val="auto"/>
        </w:rPr>
      </w:pPr>
    </w:p>
    <w:p>
      <w:pPr>
        <w:jc w:val="both"/>
        <w:ind w:right="180" w:firstLine="996"/>
        <w:spacing w:after="0" w:line="342" w:lineRule="auto"/>
        <w:tabs>
          <w:tab w:leader="none" w:pos="124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to execute any intercreditor agreements and/or subordination agreements with any holder of any Indebtedness or Liens permitted by this Agreement to the extent such intercreditor agreement and/or subordination agreement is required or reasonably contemplated by the terms hereof;</w:t>
      </w:r>
    </w:p>
    <w:p>
      <w:pPr>
        <w:spacing w:after="0" w:line="15" w:lineRule="exact"/>
        <w:rPr>
          <w:rFonts w:ascii="Arial" w:cs="Arial" w:eastAsia="Arial" w:hAnsi="Arial"/>
          <w:sz w:val="16"/>
          <w:szCs w:val="16"/>
          <w:color w:val="auto"/>
        </w:rPr>
      </w:pPr>
    </w:p>
    <w:p>
      <w:pPr>
        <w:ind w:right="480" w:firstLine="996"/>
        <w:spacing w:after="0" w:line="277" w:lineRule="auto"/>
        <w:tabs>
          <w:tab w:leader="none" w:pos="123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Administrative Agent under any Loan Document, to the extent securing the Obligations, to the holder of any Lien on such property that is permitted by Section 7.01(i); and</w:t>
      </w:r>
    </w:p>
    <w:p>
      <w:pPr>
        <w:spacing w:after="0" w:line="62" w:lineRule="exact"/>
        <w:rPr>
          <w:rFonts w:ascii="Arial" w:cs="Arial" w:eastAsia="Arial" w:hAnsi="Arial"/>
          <w:sz w:val="18"/>
          <w:szCs w:val="18"/>
          <w:color w:val="auto"/>
        </w:rPr>
      </w:pPr>
    </w:p>
    <w:p>
      <w:pPr>
        <w:ind w:right="180" w:firstLine="996"/>
        <w:spacing w:after="0" w:line="277" w:lineRule="auto"/>
        <w:tabs>
          <w:tab w:leader="none" w:pos="121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upon satisfaction of the conditions to the Debt Assumption set forth in Section 4.02, to execute and deliver the Borrower Assignment and Assumption.</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Upon request by the Administrative Agent at any time, the Required Lenders will confirm in writing the Administrative Agent’s authority to release or subordinate its interest in particular types or items of Collateral, or to release any Guarantor from its Guarantee of the Obligations under the Guarantee and Collateral Agreement pursuant to this Section 9.10. In each case as specified in this Section 9.10,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Guarantee of the Obligations under the Guarantee and Collateral Agreement, in each case in accordance with the terms of the Loan Documents and this Section 9.10.</w:t>
      </w:r>
    </w:p>
    <w:p>
      <w:pPr>
        <w:spacing w:after="0" w:line="17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Notwithstanding anything to the contrary in this Agreement, upon a Subsidiary being designated an Unrestricted Subsidiary in accordance with Section 6.17 of this Agreement or otherwise ceasing to be a Restricted Subsidiary (including by way of liquidation or dissolution) in a transaction permitted by this Agreement, such Subsidiary shall be automatically released and relieved of 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80"/>
          </w:cols>
          <w:pgMar w:left="440" w:top="274" w:right="479" w:bottom="1440" w:gutter="0" w:footer="0" w:header="0"/>
        </w:sectPr>
      </w:pPr>
    </w:p>
    <w:bookmarkStart w:id="438" w:name="page439"/>
    <w:bookmarkEnd w:id="43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under this Agreement, the Guarantee and Collateral Agreement and all other Loan Documents, all Liens granted by such Subsidiary in its assets to the Administrative Agent shall be automatically released, all pledges to the Administrative Agent of Equity Interests in any such Subsidiary shall be automatically released, and the Administrative Agent is authorized to, and shall promptly, deliver to the Borrower any acknowledgement confirming such releases and all necessary releases and terminations, in each case as the Borrower may reasonably request to evidence such release and at Borrower’s expense. To the extent any Loan Document conflicts or is inconsistent with the terms of this Section, this Section shall govern and control in all respects.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Additional Secured Parties.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 Cash Management Bank or Hedge Bank that obtains the benefits of the Guarantee and Collateral Agreement or any Collateral by virtue of the provisions hereof or of the Guarantee and Collateral Agreement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9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Exchange for Exchange Notes.</w:t>
      </w:r>
    </w:p>
    <w:p>
      <w:pPr>
        <w:spacing w:after="0" w:line="117" w:lineRule="exact"/>
        <w:rPr>
          <w:sz w:val="20"/>
          <w:szCs w:val="20"/>
          <w:color w:val="auto"/>
        </w:rPr>
      </w:pPr>
    </w:p>
    <w:p>
      <w:pPr>
        <w:ind w:firstLine="996"/>
        <w:spacing w:after="0" w:line="287" w:lineRule="auto"/>
        <w:tabs>
          <w:tab w:leader="none" w:pos="123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On the Conversion Date and on any Business Day from time to time thereafter, at the option of any Lender, the Loans of such Lender may be exchanged by such Lender in whole or in part for senior notes of the Borrower (the “</w:t>
      </w:r>
      <w:r>
        <w:rPr>
          <w:rFonts w:ascii="Arial" w:cs="Arial" w:eastAsia="Arial" w:hAnsi="Arial"/>
          <w:sz w:val="16"/>
          <w:szCs w:val="16"/>
          <w:b w:val="1"/>
          <w:bCs w:val="1"/>
          <w:color w:val="auto"/>
        </w:rPr>
        <w:t>Exchange Notes</w:t>
      </w:r>
      <w:r>
        <w:rPr>
          <w:rFonts w:ascii="Arial" w:cs="Arial" w:eastAsia="Arial" w:hAnsi="Arial"/>
          <w:sz w:val="16"/>
          <w:szCs w:val="16"/>
          <w:color w:val="auto"/>
        </w:rPr>
        <w:t xml:space="preserve">”) issued under the Exchange Notes Indenture, having an aggregate principal amount equal to the outstanding principal amount of such Loans or portion thereof. In connection with any such exchange on the Conversion Date, or, if no Loans are exchanged on the Conversion Date, on the date of the first issuance of Exchange Notes under the Exchange Notes Indenture, the applicable Lender will, at the time of such exchange, be entitled to receive accrued and unpaid interest on such Lender’s Loans being exchanged for Exchange Notes on such date. In connection with any exchange other than the first issuance of Exchange Notes under the Exchange Notes Indenture, the applicable Lender will, at the time of such exchange, (i) if the Net Interest Accrual is a negative number, pay an amount in cash to the Borrower equal to the absolute value of the Net Interest Accrual and (ii) if the Net Interest Accrual is a positive number, receive an amount in cash from the Borrower equal to the Net Interest Accrual (and, for avoidance of doubt, if the Net Interest Accrual is zero, no accrued and unpaid interest will be paid on such Lender’s Loans being exchanged, and no cash payment to the Borrower will be required in connection with such exchange). The terms of the Exchange Notes will be set forth in the Exchange Notes Indenture, and the Exchange Notes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Loans and any other “</w:t>
      </w:r>
      <w:r>
        <w:rPr>
          <w:rFonts w:ascii="Arial" w:cs="Arial" w:eastAsia="Arial" w:hAnsi="Arial"/>
          <w:sz w:val="16"/>
          <w:szCs w:val="16"/>
          <w:b w:val="1"/>
          <w:bCs w:val="1"/>
          <w:color w:val="auto"/>
        </w:rPr>
        <w:t>Senior Indebtedness</w:t>
      </w:r>
      <w:r>
        <w:rPr>
          <w:rFonts w:ascii="Arial" w:cs="Arial" w:eastAsia="Arial" w:hAnsi="Arial"/>
          <w:sz w:val="16"/>
          <w:szCs w:val="16"/>
          <w:color w:val="auto"/>
        </w:rPr>
        <w:t>” of the Borrower.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439" w:name="page440"/>
    <w:bookmarkEnd w:id="439"/>
    <w:p>
      <w:pPr>
        <w:ind w:right="20" w:firstLine="996"/>
        <w:spacing w:after="0" w:line="268" w:lineRule="auto"/>
        <w:tabs>
          <w:tab w:leader="none" w:pos="1247" w:val="left"/>
        </w:tabs>
        <w:numPr>
          <w:ilvl w:val="0"/>
          <w:numId w:val="4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exchanging Lender shall provide the Borrower and the Administrative Agent prior irrevocable written notice of such exchange (each such notice, an “</w:t>
      </w:r>
      <w:r>
        <w:rPr>
          <w:rFonts w:ascii="Arial" w:cs="Arial" w:eastAsia="Arial" w:hAnsi="Arial"/>
          <w:sz w:val="17"/>
          <w:szCs w:val="17"/>
          <w:b w:val="1"/>
          <w:bCs w:val="1"/>
          <w:color w:val="auto"/>
        </w:rPr>
        <w:t>Exchange Notice</w:t>
      </w:r>
      <w:r>
        <w:rPr>
          <w:rFonts w:ascii="Arial" w:cs="Arial" w:eastAsia="Arial" w:hAnsi="Arial"/>
          <w:sz w:val="17"/>
          <w:szCs w:val="17"/>
          <w:color w:val="auto"/>
        </w:rPr>
        <w:t>”), substantially in the form of Exhibit M, at least ten Business Days prior to the date of exchange specified in such Exchange Notice. The Exchange Notice shall specify the principal amount of the Loans to be exchanged (which shall be, when taken together with Exchange Notices from other Lenders whose requested exchange has not yet been completed, at least $150.0 million or, if less than $150.0 million, the entire remaining aggregate principal amount of the Loans of such Lender), the date of exchange (the “</w:t>
      </w:r>
      <w:r>
        <w:rPr>
          <w:rFonts w:ascii="Arial" w:cs="Arial" w:eastAsia="Arial" w:hAnsi="Arial"/>
          <w:sz w:val="17"/>
          <w:szCs w:val="17"/>
          <w:b w:val="1"/>
          <w:bCs w:val="1"/>
          <w:color w:val="auto"/>
        </w:rPr>
        <w:t>Exchange Date</w:t>
      </w:r>
      <w:r>
        <w:rPr>
          <w:rFonts w:ascii="Arial" w:cs="Arial" w:eastAsia="Arial" w:hAnsi="Arial"/>
          <w:sz w:val="17"/>
          <w:szCs w:val="17"/>
          <w:color w:val="auto"/>
        </w:rPr>
        <w:t xml:space="preserve">”), which shall be a Business Day, and, subject to the terms of the Exchange Notes Indenture, the name and account of the DTC participant to be credited with such notes (or, if applicable, the name of the proposed registered holder) and the amount of each Exchange Note requested. If any Exchange Date would occur after a record date and prior to the immediately following interest payment date, then the Exchange Date shall be deferred until the date of such immediately following interest payment date. The Loans exchanged for Exchange Notes pursuant to this Article 10 shall be deemed repaid (without premium or penalty, except as set forth in Section 3.05) and canceled, and the Exchange Notes so issued shall be governed by and construed in accordance with the provisions of the Exchange Notes Indenture. The Exchange Notes shall be issued in the form set forth in the Exchange Notes Indenture, with such changes as the Exchange Notes Trustee or the Administrative Agent may request to effect the provisions of this Agreement and the Exchange Notes Indenture and to comply with any applicable requirement of law, regulations or trustee procedures or policies, including such changes as are reasonably necessary to cause the Exchange Notes to become eligible for book-entry transfer via the facilities DTC;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changes shall be adverse in any material respect to the interests of the Borrower or the Lenders or would be adverse in any material respect to a holder of Exchange Notes upon issuance.</w:t>
      </w:r>
    </w:p>
    <w:p>
      <w:pPr>
        <w:spacing w:after="0" w:line="72" w:lineRule="exact"/>
        <w:rPr>
          <w:rFonts w:ascii="Arial" w:cs="Arial" w:eastAsia="Arial" w:hAnsi="Arial"/>
          <w:sz w:val="17"/>
          <w:szCs w:val="17"/>
          <w:color w:val="auto"/>
        </w:rPr>
      </w:pPr>
    </w:p>
    <w:p>
      <w:pPr>
        <w:ind w:firstLine="996"/>
        <w:spacing w:after="0" w:line="257" w:lineRule="auto"/>
        <w:tabs>
          <w:tab w:leader="none" w:pos="123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As more particularly provided in the Exchange Notes Indenture, (A) the interest rate payable by the Borrower under the Exchange Notes issued pursuant to the Senior Exchange Notes Indenture shall equal the Total Cap, (B) Exchange Notes issued pursuant to the Exchange Notes Indenture shall mature on the Maturity Date, (C) the Exchange Notes shall be redeemable as set forth in the Exchange Notes Indenture and the form of Exchange Notes attached thereto and (D) if the Conversion Date occurs after the Debt Assumption, the Exchange Notes will be secured by the Collateral on a pari passu basis with the Loans.</w:t>
      </w:r>
    </w:p>
    <w:p>
      <w:pPr>
        <w:spacing w:after="0" w:line="80" w:lineRule="exact"/>
        <w:rPr>
          <w:rFonts w:ascii="Arial" w:cs="Arial" w:eastAsia="Arial" w:hAnsi="Arial"/>
          <w:sz w:val="18"/>
          <w:szCs w:val="18"/>
          <w:color w:val="auto"/>
        </w:rPr>
      </w:pPr>
    </w:p>
    <w:p>
      <w:pPr>
        <w:ind w:left="1260" w:hanging="264"/>
        <w:spacing w:after="0"/>
        <w:tabs>
          <w:tab w:leader="none" w:pos="12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Not later than five Business Days following receipt by the Borrower of the first Exchange Notice pursuant to Section 10.01(b),</w:t>
      </w:r>
    </w:p>
    <w:p>
      <w:pPr>
        <w:spacing w:after="0" w:line="128" w:lineRule="exact"/>
        <w:rPr>
          <w:rFonts w:ascii="Arial" w:cs="Arial" w:eastAsia="Arial" w:hAnsi="Arial"/>
          <w:sz w:val="17"/>
          <w:szCs w:val="17"/>
          <w:color w:val="auto"/>
        </w:rPr>
      </w:pPr>
    </w:p>
    <w:p>
      <w:pPr>
        <w:ind w:left="440" w:right="160" w:firstLine="957"/>
        <w:spacing w:after="0" w:line="264" w:lineRule="auto"/>
        <w:tabs>
          <w:tab w:leader="none" w:pos="160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Borrower shall execute and deliver, and shall use commercially reasonable efforts to cause the trustee under the Exchange Notes Indenture (which trustee shall be selected by the Borrower and shall be acceptable to the Administrative Agent in its reasonable discretion (the “</w:t>
      </w:r>
      <w:r>
        <w:rPr>
          <w:rFonts w:ascii="Arial" w:cs="Arial" w:eastAsia="Arial" w:hAnsi="Arial"/>
          <w:sz w:val="18"/>
          <w:szCs w:val="18"/>
          <w:b w:val="1"/>
          <w:bCs w:val="1"/>
          <w:color w:val="auto"/>
        </w:rPr>
        <w:t>Exchange Notes Trustee</w:t>
      </w:r>
      <w:r>
        <w:rPr>
          <w:rFonts w:ascii="Arial" w:cs="Arial" w:eastAsia="Arial" w:hAnsi="Arial"/>
          <w:sz w:val="18"/>
          <w:szCs w:val="18"/>
          <w:color w:val="auto"/>
        </w:rPr>
        <w:t>”)), to execute and deliver, the Exchange Notes Indenture,</w:t>
      </w:r>
    </w:p>
    <w:p>
      <w:pPr>
        <w:spacing w:after="0" w:line="73" w:lineRule="exact"/>
        <w:rPr>
          <w:rFonts w:ascii="Arial" w:cs="Arial" w:eastAsia="Arial" w:hAnsi="Arial"/>
          <w:sz w:val="18"/>
          <w:szCs w:val="18"/>
          <w:color w:val="auto"/>
        </w:rPr>
      </w:pPr>
    </w:p>
    <w:p>
      <w:pPr>
        <w:ind w:left="440" w:right="560" w:firstLine="957"/>
        <w:spacing w:after="0" w:line="264" w:lineRule="auto"/>
        <w:tabs>
          <w:tab w:leader="none" w:pos="165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Borrower shall use all commercially reasonable efforts to cause the Exchange Notes to become eligible for book-entry transfer via the facilities of DTC prior to the initial issuance thereof, including by filing with DTC an appropriately executed letter of representations,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440" w:name="page441"/>
    <w:bookmarkEnd w:id="440"/>
    <w:p>
      <w:pPr>
        <w:ind w:left="440" w:right="60" w:firstLine="957"/>
        <w:spacing w:after="0" w:line="290" w:lineRule="auto"/>
        <w:tabs>
          <w:tab w:leader="none" w:pos="1707" w:val="left"/>
        </w:tabs>
        <w:numPr>
          <w:ilvl w:val="1"/>
          <w:numId w:val="4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use all commercially reasonable efforts to obtain “</w:t>
      </w:r>
      <w:r>
        <w:rPr>
          <w:rFonts w:ascii="Arial" w:cs="Arial" w:eastAsia="Arial" w:hAnsi="Arial"/>
          <w:sz w:val="16"/>
          <w:szCs w:val="16"/>
          <w:b w:val="1"/>
          <w:bCs w:val="1"/>
          <w:color w:val="auto"/>
        </w:rPr>
        <w:t>CUSIP</w:t>
      </w:r>
      <w:r>
        <w:rPr>
          <w:rFonts w:ascii="Arial" w:cs="Arial" w:eastAsia="Arial" w:hAnsi="Arial"/>
          <w:sz w:val="16"/>
          <w:szCs w:val="16"/>
          <w:color w:val="auto"/>
        </w:rPr>
        <w:t>” and “</w:t>
      </w:r>
      <w:r>
        <w:rPr>
          <w:rFonts w:ascii="Arial" w:cs="Arial" w:eastAsia="Arial" w:hAnsi="Arial"/>
          <w:sz w:val="16"/>
          <w:szCs w:val="16"/>
          <w:b w:val="1"/>
          <w:bCs w:val="1"/>
          <w:color w:val="auto"/>
        </w:rPr>
        <w:t>ISIN</w:t>
      </w:r>
      <w:r>
        <w:rPr>
          <w:rFonts w:ascii="Arial" w:cs="Arial" w:eastAsia="Arial" w:hAnsi="Arial"/>
          <w:sz w:val="16"/>
          <w:szCs w:val="16"/>
          <w:color w:val="auto"/>
        </w:rPr>
        <w:t>” numbers and ratings from each of Moody’s and S&amp;P for the Exchange Notes prior to the initial issuance thereof. Not later than five Business Days following delivery of any Exchange Notice, the Borrower shall (A) deliver a written notice to the Exchange Notes Trustee, directing such Exchange Notes Trustee to authenticate and deliver Exchange Notes as specified in the Exchange Notice and (B) use all commercially reasonable efforts to effect delivery of such Exchange Notes to the requesting Lender on the requested Exchange Date. Each Exchange Note shall be recorded in book-entry form as a beneficial interest in one or more global notes deposited with the Exchange Notes Trustee as custodian for DTC and credited to the account of the exchanging Lender directly or indirectly through the participant in DTC’s system specified by such Lender in the applicable Exchange Notice, unless the foregoing is not possible after the Borrower’s use of commercially reasonable efforts in which case each Exchange Note shall be issued as a definitive registered note payable to the registered holder specified by the exchanging Lender in the applicable Exchange Notice.</w:t>
      </w:r>
    </w:p>
    <w:p>
      <w:pPr>
        <w:spacing w:after="0" w:line="55" w:lineRule="exact"/>
        <w:rPr>
          <w:rFonts w:ascii="Arial" w:cs="Arial" w:eastAsia="Arial" w:hAnsi="Arial"/>
          <w:sz w:val="16"/>
          <w:szCs w:val="16"/>
          <w:color w:val="auto"/>
        </w:rPr>
      </w:pPr>
    </w:p>
    <w:p>
      <w:pPr>
        <w:ind w:firstLine="996"/>
        <w:spacing w:after="0" w:line="255" w:lineRule="auto"/>
        <w:tabs>
          <w:tab w:leader="none" w:pos="123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If requested by one or more of Arrangers not later than 30 days prior to the Conversion Date, the Borrower will deliver, not later than 10 days prior to the Conversion Date, an Offering Document (as defined in the Fee Letter) suitable for use in a customary “high yield road show” relating to an offering of the Exchange Notes, and containing financial statements with respect to which the independent accountants of the Borrower are prepared to deliver a customary comfort letter (including customary “negative assurance” comfort). The Borrower (i) will use commercially reasonable efforts to cause such independent accountants to issue such comfort letters to the Arrangers or their broker-dealer affiliates, (ii) upon request of the Arrangers, will deliver customary legal opinions and (iii) will otherwise cooperate with the Arrangers with respect to any marketing of the Exchange Notes to prospective investors.</w:t>
      </w:r>
    </w:p>
    <w:p>
      <w:pPr>
        <w:spacing w:after="0" w:line="81" w:lineRule="exact"/>
        <w:rPr>
          <w:rFonts w:ascii="Arial" w:cs="Arial" w:eastAsia="Arial" w:hAnsi="Arial"/>
          <w:sz w:val="18"/>
          <w:szCs w:val="18"/>
          <w:color w:val="auto"/>
        </w:rPr>
      </w:pPr>
    </w:p>
    <w:p>
      <w:pPr>
        <w:ind w:right="140" w:firstLine="996"/>
        <w:spacing w:after="0" w:line="277" w:lineRule="auto"/>
        <w:tabs>
          <w:tab w:leader="none" w:pos="121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It is understood and agreed that following any exchange of the Loans for Senior Exchange Notes, such Loans shall be deemed to have been repaid in full.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Exchange Notes Indenture.</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the Exchange Notes are issued prior to the Debt Assumption, the terms, conditions, and covenants of the Exchange Notes Indenture will be based on the indenture for the 2029 Senior Notes. If the Exchange Notes are issued after the Debt Assumption, the terms, conditions, and covenants of the Exchange Notes Indenture will be reasonable and customary for senior secured high yield debt securities, in light of then-prevailing market conditions for comparable issuers. The Borrower and Arrangers agree to negotiate in good faith and finalize the Exchange Notes Indenture, and, if the Exchange Notes will be secured, appropriate collateral and intercreditor documents (including the Pari Passu Intercreditor Agreement), no later than 10 days prior to the Conversion Date. In no event will the Exchange Notes Indenture contain any covenant that would cause the Borrower to be in default under the Exchange Notes Indenture, the Senior Notes (if the Exchange Notes Indenture is entered into prior to the Debt Assumption) as in effect on the date hereof, the Existing Credit Agreement (if the Exchange Notes Indenture is entered into prior to the Debt Assumption) as in effect on the date hereof, or this Agreement, in each case immediately upon issuance of the Exchange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0"/>
          </w:cols>
          <w:pgMar w:left="440" w:top="269" w:right="439" w:bottom="1440" w:gutter="0" w:footer="0" w:header="0"/>
        </w:sectPr>
      </w:pPr>
    </w:p>
    <w:bookmarkStart w:id="441" w:name="page442"/>
    <w:bookmarkEnd w:id="4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Not a Registered Security.</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Lender acknowledges that no issuance of the Exchange Notes will be registered under the Securities Act and represents and agrees that it may only acquire Exchange Notes for its own account and that it will not, directly or indirectly, transfer, sell, assign, pledge or otherwise dispose of the Exchange Notes (or any interest therein) unless such transfer, sale, assignment, pledge or other disposition is made (i) pursuant to an effective registration statement under the Securities Act or (ii) pursuant to an available exemption from registration under, and otherwise in compliance with, the Securities Act. Each of the Lenders acknowledges that the Exchange Notes will bear a legend restricting the transfer thereof in accordance with the Securities Act.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Amendments, Etc.</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Except as set forth below in this Section 11.01,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(or signed by the Administrative Agent on behalf of and with the written consent of the Required Lenders), and each such waiver or consent shall be effective only in the specific instance and for the specific purpose for which given;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amendment, waiver or consent shall:</w:t>
      </w:r>
    </w:p>
    <w:p>
      <w:pPr>
        <w:spacing w:after="0" w:line="64" w:lineRule="exact"/>
        <w:rPr>
          <w:sz w:val="20"/>
          <w:szCs w:val="20"/>
          <w:color w:val="auto"/>
        </w:rPr>
      </w:pPr>
    </w:p>
    <w:p>
      <w:pPr>
        <w:ind w:left="1240" w:hanging="244"/>
        <w:spacing w:after="0"/>
        <w:tabs>
          <w:tab w:leader="none" w:pos="12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waive any condition to the Credit Extension set forth in Section 4.01 without the written consent of each Lender;</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waive any condition to the Debt Assumption set forth in Section 4.02 without the written consent of each Lender;</w:t>
      </w:r>
    </w:p>
    <w:p>
      <w:pPr>
        <w:spacing w:after="0" w:line="117" w:lineRule="exact"/>
        <w:rPr>
          <w:rFonts w:ascii="Arial" w:cs="Arial" w:eastAsia="Arial" w:hAnsi="Arial"/>
          <w:sz w:val="18"/>
          <w:szCs w:val="18"/>
          <w:color w:val="auto"/>
        </w:rPr>
      </w:pPr>
    </w:p>
    <w:p>
      <w:pPr>
        <w:ind w:right="300" w:firstLine="996"/>
        <w:spacing w:after="0" w:line="277" w:lineRule="auto"/>
        <w:tabs>
          <w:tab w:leader="none" w:pos="123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extend or increase the Commitment of any Lender (or reinstate any Commitment terminated upon funding of such Lender’s Loans) without the written consent of such Lender;</w:t>
      </w:r>
    </w:p>
    <w:p>
      <w:pPr>
        <w:spacing w:after="0" w:line="62" w:lineRule="exact"/>
        <w:rPr>
          <w:rFonts w:ascii="Arial" w:cs="Arial" w:eastAsia="Arial" w:hAnsi="Arial"/>
          <w:sz w:val="18"/>
          <w:szCs w:val="18"/>
          <w:color w:val="auto"/>
        </w:rPr>
      </w:pPr>
    </w:p>
    <w:p>
      <w:pPr>
        <w:ind w:right="60" w:firstLine="996"/>
        <w:spacing w:after="0" w:line="286" w:lineRule="auto"/>
        <w:tabs>
          <w:tab w:leader="none" w:pos="124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postpone any date fixed by this Agreement or any other Loan Document for any payment (excluding mandatory prepayments pursuant to Section 2.05(b)) of principal, interest, fees or other amounts due to the Lenders (or any of them) or any scheduled or mandatory reduction hereunder or under any other Loan Document without the written consent of each Lender directly affected thereby;</w:t>
      </w:r>
    </w:p>
    <w:p>
      <w:pPr>
        <w:spacing w:after="0" w:line="57" w:lineRule="exact"/>
        <w:rPr>
          <w:rFonts w:ascii="Arial" w:cs="Arial" w:eastAsia="Arial" w:hAnsi="Arial"/>
          <w:sz w:val="17"/>
          <w:szCs w:val="17"/>
          <w:color w:val="auto"/>
        </w:rPr>
      </w:pPr>
    </w:p>
    <w:p>
      <w:pPr>
        <w:ind w:right="540" w:firstLine="996"/>
        <w:spacing w:after="0" w:line="308" w:lineRule="auto"/>
        <w:tabs>
          <w:tab w:leader="none" w:pos="123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reduce the principal of, or the rate of interest specified herein on, any Loan or the Exchange Notes, or any fees or other amounts payable hereunder or under any other Loan Document without the written consent of each Lender directly affected thereby;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3" w:right="459" w:bottom="1440" w:gutter="0" w:footer="0" w:header="0"/>
        </w:sectPr>
      </w:pPr>
    </w:p>
    <w:bookmarkStart w:id="442" w:name="page443"/>
    <w:bookmarkEnd w:id="442"/>
    <w:p>
      <w:pPr>
        <w:ind w:right="60" w:firstLine="996"/>
        <w:spacing w:after="0" w:line="276" w:lineRule="auto"/>
        <w:tabs>
          <w:tab w:leader="none" w:pos="1217" w:val="left"/>
        </w:tabs>
        <w:numPr>
          <w:ilvl w:val="0"/>
          <w:numId w:val="4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 Section 8.03 of this Agreement or Section 6.05 of the Guarantee and Collateral Agreement in a manner that would alter the pro rata sharing of payments required thereby without the written consent of each Lender or (ii) the order of application or pro rata nature of application of any reduction in the Commitments or any prepayment of Loans from the application thereof set forth in the applicable provisions of Sections 2.05(a) or 2.05(b), or other provisions in respect of the pro rata application of payments or offers hereunder under Section 2.12, 2.13 or 11.06(b)(vii) in any manner that materially and adversely affects the Lenders without the written consent of the Required Lenders;</w:t>
      </w:r>
    </w:p>
    <w:p>
      <w:pPr>
        <w:spacing w:after="0" w:line="60" w:lineRule="exact"/>
        <w:rPr>
          <w:rFonts w:ascii="Arial" w:cs="Arial" w:eastAsia="Arial" w:hAnsi="Arial"/>
          <w:sz w:val="17"/>
          <w:szCs w:val="17"/>
          <w:color w:val="auto"/>
        </w:rPr>
      </w:pPr>
    </w:p>
    <w:p>
      <w:pPr>
        <w:ind w:right="220" w:firstLine="996"/>
        <w:spacing w:after="0" w:line="266" w:lineRule="auto"/>
        <w:tabs>
          <w:tab w:leader="none" w:pos="124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change any provision of this Section 11.01 or the definition of “</w:t>
      </w:r>
      <w:r>
        <w:rPr>
          <w:rFonts w:ascii="Arial" w:cs="Arial" w:eastAsia="Arial" w:hAnsi="Arial"/>
          <w:sz w:val="18"/>
          <w:szCs w:val="18"/>
          <w:b w:val="1"/>
          <w:bCs w:val="1"/>
          <w:color w:val="auto"/>
        </w:rPr>
        <w:t>Required Lenders</w:t>
      </w:r>
      <w:r>
        <w:rPr>
          <w:rFonts w:ascii="Arial" w:cs="Arial" w:eastAsia="Arial" w:hAnsi="Arial"/>
          <w:sz w:val="18"/>
          <w:szCs w:val="18"/>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72" w:lineRule="exact"/>
        <w:rPr>
          <w:rFonts w:ascii="Arial" w:cs="Arial" w:eastAsia="Arial" w:hAnsi="Arial"/>
          <w:sz w:val="18"/>
          <w:szCs w:val="18"/>
          <w:color w:val="auto"/>
        </w:rPr>
      </w:pPr>
    </w:p>
    <w:p>
      <w:pPr>
        <w:jc w:val="both"/>
        <w:ind w:right="140" w:firstLine="996"/>
        <w:spacing w:after="0" w:line="264" w:lineRule="auto"/>
        <w:tabs>
          <w:tab w:leader="none" w:pos="124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Guarantees of the Obligations in any transaction or series of transactions without the written consent of each Lender, except to the extent the release of any Guarantor is permitted pursuant to Section 9.10 (in which case such release may be made by the Administrative Agent acting alone);</w:t>
      </w:r>
    </w:p>
    <w:p>
      <w:pPr>
        <w:spacing w:after="0" w:line="73" w:lineRule="exact"/>
        <w:rPr>
          <w:rFonts w:ascii="Arial" w:cs="Arial" w:eastAsia="Arial" w:hAnsi="Arial"/>
          <w:sz w:val="18"/>
          <w:szCs w:val="18"/>
          <w:color w:val="auto"/>
        </w:rPr>
      </w:pPr>
    </w:p>
    <w:p>
      <w:pPr>
        <w:ind w:right="280" w:firstLine="996"/>
        <w:spacing w:after="0" w:line="264" w:lineRule="auto"/>
        <w:tabs>
          <w:tab w:leader="none" w:pos="120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any transaction or series of related transactions without the written consent of each Lender, except to the extent the release of any Collateral is permitted pursuant to Section 9.10 (in which case such release may be made by the Administrative Agent acting alone);</w:t>
      </w:r>
    </w:p>
    <w:p>
      <w:pPr>
        <w:spacing w:after="0" w:line="73" w:lineRule="exact"/>
        <w:rPr>
          <w:rFonts w:ascii="Arial" w:cs="Arial" w:eastAsia="Arial" w:hAnsi="Arial"/>
          <w:sz w:val="18"/>
          <w:szCs w:val="18"/>
          <w:color w:val="auto"/>
        </w:rPr>
      </w:pPr>
    </w:p>
    <w:p>
      <w:pPr>
        <w:ind w:right="520" w:firstLine="996"/>
        <w:spacing w:after="0" w:line="277" w:lineRule="auto"/>
        <w:tabs>
          <w:tab w:leader="none" w:pos="120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to assign any of its rights or obligations hereunder without the written consent of the Required Lenders;</w:t>
      </w:r>
    </w:p>
    <w:p>
      <w:pPr>
        <w:spacing w:after="0" w:line="62" w:lineRule="exact"/>
        <w:rPr>
          <w:rFonts w:ascii="Arial" w:cs="Arial" w:eastAsia="Arial" w:hAnsi="Arial"/>
          <w:sz w:val="18"/>
          <w:szCs w:val="18"/>
          <w:color w:val="auto"/>
        </w:rPr>
      </w:pPr>
    </w:p>
    <w:p>
      <w:pPr>
        <w:ind w:right="200" w:firstLine="996"/>
        <w:spacing w:after="0" w:line="277" w:lineRule="auto"/>
        <w:tabs>
          <w:tab w:leader="none" w:pos="124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amendment to the terms of the Exchange Notes or the Exchange Notes Indenture that requires (or would, if any Exchange Notes were outstanding, require) the approval of all holders of Exchange Notes; or</w:t>
      </w:r>
    </w:p>
    <w:p>
      <w:pPr>
        <w:spacing w:after="0" w:line="62" w:lineRule="exact"/>
        <w:rPr>
          <w:rFonts w:ascii="Arial" w:cs="Arial" w:eastAsia="Arial" w:hAnsi="Arial"/>
          <w:sz w:val="18"/>
          <w:szCs w:val="18"/>
          <w:color w:val="auto"/>
        </w:rPr>
      </w:pPr>
    </w:p>
    <w:p>
      <w:pPr>
        <w:ind w:right="140" w:firstLine="996"/>
        <w:spacing w:after="0" w:line="264" w:lineRule="auto"/>
        <w:tabs>
          <w:tab w:leader="none" w:pos="120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extend the Conversion Date or decrease the rate at which Loans may be exchanged for Exchange Notes without the prior written consent of each Lender, or impose any greater restriction on the ability of any Lender to exchange its Loans for Exchange Notes pursuant to Article 10 without the prior written consent of each affected Lender;</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and rights or privileges thereunder may be waived, in a writing executed only by the parties thereto.</w:t>
      </w:r>
    </w:p>
    <w:p>
      <w:pPr>
        <w:spacing w:after="0" w:line="166"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Notwithstanding anything to the contrary contained herein, if, following the Closing Date, the Administrative Agent and the Borrower shall have jointly identified an obvious error or any error or omission of a technical or immaterial nature, in each case, in any provision of this Agreement or any other Loan Document, then the Administrative Agent and the Borrower shall be permitted to amend such provision and such amendment shall become effective without any further action or consent of any other party to this Agreement or any other Loan Document if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443" w:name="page444"/>
    <w:bookmarkEnd w:id="443"/>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same is not objected to in writing by the Required Lenders within three Business Days following receipt of notice thereof. It is understood that posting such amendment electronically on IntraLinks/IntraAgency, SyndTrak or another relevant website with notice of such posting by the Administrative Agent to the Required Lenders shall be deemed adequate receipt of notice thereof.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Notices; Effectiveness; Electronic Communication</w:t>
      </w:r>
    </w:p>
    <w:p>
      <w:pPr>
        <w:spacing w:after="0" w:line="117" w:lineRule="exact"/>
        <w:rPr>
          <w:sz w:val="20"/>
          <w:szCs w:val="20"/>
          <w:color w:val="auto"/>
        </w:rPr>
      </w:pPr>
    </w:p>
    <w:p>
      <w:pPr>
        <w:ind w:right="420" w:firstLine="996"/>
        <w:spacing w:after="0" w:line="277" w:lineRule="auto"/>
        <w:tabs>
          <w:tab w:leader="none" w:pos="1236"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Notices Generally</w:t>
      </w:r>
      <w:r>
        <w:rPr>
          <w:rFonts w:ascii="Arial" w:cs="Arial" w:eastAsia="Arial" w:hAnsi="Arial"/>
          <w:sz w:val="18"/>
          <w:szCs w:val="18"/>
          <w:color w:val="auto"/>
        </w:rPr>
        <w:t>. All notices and other communications provided for herein shall be in writing and shall be delivered by hand or</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courier service, mailed by certified or registered mail or sent as follows:</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if to the Borrower or the Administrative Agent, to the address or electronic mail address specified for such Person on Schedule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11.02; and</w:t>
      </w:r>
    </w:p>
    <w:p>
      <w:pPr>
        <w:spacing w:after="0" w:line="102" w:lineRule="exact"/>
        <w:rPr>
          <w:rFonts w:ascii="Arial" w:cs="Arial" w:eastAsia="Arial" w:hAnsi="Arial"/>
          <w:sz w:val="16"/>
          <w:szCs w:val="16"/>
          <w:color w:val="auto"/>
        </w:rPr>
      </w:pPr>
    </w:p>
    <w:p>
      <w:pPr>
        <w:ind w:left="1660" w:hanging="263"/>
        <w:spacing w:after="0"/>
        <w:tabs>
          <w:tab w:leader="none" w:pos="16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if to any other Lender, to the address or electronic mail address specified in its Administrative Questionnaire.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delivered through electronic communications shall be effective as provided in such subsection (b).</w:t>
      </w:r>
    </w:p>
    <w:p>
      <w:pPr>
        <w:spacing w:after="0" w:line="73" w:lineRule="exact"/>
        <w:rPr>
          <w:sz w:val="20"/>
          <w:szCs w:val="20"/>
          <w:color w:val="auto"/>
        </w:rPr>
      </w:pPr>
    </w:p>
    <w:p>
      <w:pPr>
        <w:ind w:right="140" w:firstLine="996"/>
        <w:spacing w:after="0" w:line="272" w:lineRule="auto"/>
        <w:tabs>
          <w:tab w:leader="none" w:pos="1247" w:val="left"/>
        </w:tabs>
        <w:numPr>
          <w:ilvl w:val="0"/>
          <w:numId w:val="410"/>
        </w:numPr>
        <w:rPr>
          <w:rFonts w:ascii="Arial" w:cs="Arial" w:eastAsia="Arial" w:hAnsi="Arial"/>
          <w:sz w:val="17"/>
          <w:szCs w:val="17"/>
          <w:color w:val="auto"/>
        </w:rPr>
      </w:pPr>
      <w:r>
        <w:rPr>
          <w:rFonts w:ascii="Arial" w:cs="Arial" w:eastAsia="Arial" w:hAnsi="Arial"/>
          <w:sz w:val="17"/>
          <w:szCs w:val="17"/>
          <w:i w:val="1"/>
          <w:iCs w:val="1"/>
          <w:color w:val="auto"/>
        </w:rPr>
        <w:t>Electronic Communications</w:t>
      </w:r>
      <w:r>
        <w:rPr>
          <w:rFonts w:ascii="Arial" w:cs="Arial" w:eastAsia="Arial" w:hAnsi="Arial"/>
          <w:sz w:val="17"/>
          <w:szCs w:val="17"/>
          <w:color w:val="auto"/>
        </w:rPr>
        <w:t>. Notices and other communications to the Lenders hereunder may be delivered or furnished by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communication (including e-mail and Internet or intranet websites) pursuant to procedures approved by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apply to notices to any Lender pursuant to Article 2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 The Borrower hereby approves receipt of all notices and other communications by delivery to the electronic mail address specified on schedule 11.02.</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440" w:top="274" w:right="439" w:bottom="1440" w:gutter="0" w:footer="0" w:header="0"/>
        </w:sectPr>
      </w:pPr>
    </w:p>
    <w:bookmarkStart w:id="444" w:name="page445"/>
    <w:bookmarkEnd w:id="444"/>
    <w:p>
      <w:pPr>
        <w:ind w:left="-20" w:right="40" w:firstLine="996"/>
        <w:spacing w:after="0" w:line="269" w:lineRule="auto"/>
        <w:tabs>
          <w:tab w:leader="none" w:pos="1216" w:val="left"/>
        </w:tabs>
        <w:numPr>
          <w:ilvl w:val="0"/>
          <w:numId w:val="41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Platform</w:t>
      </w:r>
      <w:r>
        <w:rPr>
          <w:rFonts w:ascii="Arial" w:cs="Arial" w:eastAsia="Arial" w:hAnsi="Arial"/>
          <w:sz w:val="17"/>
          <w:szCs w:val="17"/>
          <w:color w:val="auto"/>
        </w:rPr>
        <w:t>. THE PLATFORM IS PROVIDED “</w:t>
      </w:r>
      <w:r>
        <w:rPr>
          <w:rFonts w:ascii="Arial" w:cs="Arial" w:eastAsia="Arial" w:hAnsi="Arial"/>
          <w:sz w:val="17"/>
          <w:szCs w:val="17"/>
          <w:b w:val="1"/>
          <w:bCs w:val="1"/>
          <w:color w:val="auto"/>
        </w:rPr>
        <w:t>AS IS</w:t>
      </w:r>
      <w:r>
        <w:rPr>
          <w:rFonts w:ascii="Arial" w:cs="Arial" w:eastAsia="Arial" w:hAnsi="Arial"/>
          <w:sz w:val="17"/>
          <w:szCs w:val="17"/>
          <w:color w:val="auto"/>
        </w:rPr>
        <w:t>” AND “</w:t>
      </w:r>
      <w:r>
        <w:rPr>
          <w:rFonts w:ascii="Arial" w:cs="Arial" w:eastAsia="Arial" w:hAnsi="Arial"/>
          <w:sz w:val="17"/>
          <w:szCs w:val="17"/>
          <w:b w:val="1"/>
          <w:bCs w:val="1"/>
          <w:color w:val="auto"/>
        </w:rPr>
        <w:t>AS AVAILABLE.</w:t>
      </w:r>
      <w:r>
        <w:rPr>
          <w:rFonts w:ascii="Arial" w:cs="Arial" w:eastAsia="Arial" w:hAnsi="Arial"/>
          <w:sz w:val="17"/>
          <w:szCs w:val="17"/>
          <w:color w:val="auto"/>
        </w:rPr>
        <w:t>” THE AGENT PARTIES DO NOT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any Agent Party have any liability to the Borrower, any Lender, or any other Person for indirect, special, incidental, consequential or punitive damages (as opposed to direct or actual damages).</w:t>
      </w:r>
    </w:p>
    <w:p>
      <w:pPr>
        <w:spacing w:after="0" w:line="75" w:lineRule="exact"/>
        <w:rPr>
          <w:rFonts w:ascii="Arial" w:cs="Arial" w:eastAsia="Arial" w:hAnsi="Arial"/>
          <w:sz w:val="17"/>
          <w:szCs w:val="17"/>
          <w:color w:val="auto"/>
        </w:rPr>
      </w:pPr>
    </w:p>
    <w:p>
      <w:pPr>
        <w:ind w:left="-20" w:firstLine="996"/>
        <w:spacing w:after="0" w:line="270" w:lineRule="auto"/>
        <w:tabs>
          <w:tab w:leader="none" w:pos="1227" w:val="left"/>
        </w:tabs>
        <w:numPr>
          <w:ilvl w:val="0"/>
          <w:numId w:val="411"/>
        </w:numPr>
        <w:rPr>
          <w:rFonts w:ascii="Arial" w:cs="Arial" w:eastAsia="Arial" w:hAnsi="Arial"/>
          <w:sz w:val="17"/>
          <w:szCs w:val="17"/>
          <w:color w:val="auto"/>
        </w:rPr>
      </w:pPr>
      <w:r>
        <w:rPr>
          <w:rFonts w:ascii="Arial" w:cs="Arial" w:eastAsia="Arial" w:hAnsi="Arial"/>
          <w:sz w:val="17"/>
          <w:szCs w:val="17"/>
          <w:i w:val="1"/>
          <w:iCs w:val="1"/>
          <w:color w:val="auto"/>
        </w:rPr>
        <w:t>Change of Address</w:t>
      </w:r>
      <w:r>
        <w:rPr>
          <w:rFonts w:ascii="Arial" w:cs="Arial" w:eastAsia="Arial" w:hAnsi="Arial"/>
          <w:sz w:val="17"/>
          <w:szCs w:val="17"/>
          <w:color w:val="auto"/>
        </w:rPr>
        <w:t>,</w:t>
      </w:r>
      <w:r>
        <w:rPr>
          <w:rFonts w:ascii="Arial" w:cs="Arial" w:eastAsia="Arial" w:hAnsi="Arial"/>
          <w:sz w:val="17"/>
          <w:szCs w:val="17"/>
          <w:i w:val="1"/>
          <w:iCs w:val="1"/>
          <w:color w:val="auto"/>
        </w:rPr>
        <w:t xml:space="preserve"> Etc</w:t>
      </w:r>
      <w:r>
        <w:rPr>
          <w:rFonts w:ascii="Arial" w:cs="Arial" w:eastAsia="Arial" w:hAnsi="Arial"/>
          <w:sz w:val="17"/>
          <w:szCs w:val="17"/>
          <w:color w:val="auto"/>
        </w:rPr>
        <w:t>. Each of the Borrower and the Administrative Agent may change its address or electronic address for notices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communications hereunder by notice to the other parties hereto. Each Lender may change its address or electronic address for notices and other communications hereunder by notice to the Borrower and the Administrative Agent. In addition, each Lender agrees to notify the Administrative Agent from time to time to ensure that the Administrative Agent has on record (i) an effective address, contact name, and electronic mail address to which notices and other communications may be sent and (ii) accurate wire instructions for such Lender. Furthermore, each Public Lender agrees to cause at least one individual at or on behalf of such Public Lender to at all times have selected the “</w:t>
      </w:r>
      <w:r>
        <w:rPr>
          <w:rFonts w:ascii="Arial" w:cs="Arial" w:eastAsia="Arial" w:hAnsi="Arial"/>
          <w:sz w:val="17"/>
          <w:szCs w:val="17"/>
          <w:b w:val="1"/>
          <w:bCs w:val="1"/>
          <w:color w:val="auto"/>
        </w:rPr>
        <w:t>Private Side Information</w:t>
      </w:r>
      <w:r>
        <w:rPr>
          <w:rFonts w:ascii="Arial" w:cs="Arial" w:eastAsia="Arial" w:hAnsi="Arial"/>
          <w:sz w:val="17"/>
          <w:szCs w:val="17"/>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Arial" w:cs="Arial" w:eastAsia="Arial" w:hAnsi="Arial"/>
          <w:sz w:val="17"/>
          <w:szCs w:val="17"/>
          <w:b w:val="1"/>
          <w:bCs w:val="1"/>
          <w:color w:val="auto"/>
        </w:rPr>
        <w:t>Public Side Information</w:t>
      </w:r>
      <w:r>
        <w:rPr>
          <w:rFonts w:ascii="Arial" w:cs="Arial" w:eastAsia="Arial" w:hAnsi="Arial"/>
          <w:sz w:val="17"/>
          <w:szCs w:val="17"/>
          <w:color w:val="auto"/>
        </w:rPr>
        <w:t>” portion of the Platform and that may contain MNPI with respect to the Borrower or any of its Subsidiaries or their respective securities for purposes of United States Federal or state securities laws.</w:t>
      </w:r>
    </w:p>
    <w:p>
      <w:pPr>
        <w:spacing w:after="0" w:line="69" w:lineRule="exact"/>
        <w:rPr>
          <w:rFonts w:ascii="Arial" w:cs="Arial" w:eastAsia="Arial" w:hAnsi="Arial"/>
          <w:sz w:val="17"/>
          <w:szCs w:val="17"/>
          <w:color w:val="auto"/>
        </w:rPr>
      </w:pPr>
    </w:p>
    <w:p>
      <w:pPr>
        <w:ind w:left="-20" w:right="100" w:firstLine="996"/>
        <w:spacing w:after="0" w:line="290" w:lineRule="auto"/>
        <w:tabs>
          <w:tab w:leader="none" w:pos="1216" w:val="left"/>
        </w:tabs>
        <w:numPr>
          <w:ilvl w:val="0"/>
          <w:numId w:val="411"/>
        </w:numPr>
        <w:rPr>
          <w:rFonts w:ascii="Arial" w:cs="Arial" w:eastAsia="Arial" w:hAnsi="Arial"/>
          <w:sz w:val="16"/>
          <w:szCs w:val="16"/>
          <w:color w:val="auto"/>
        </w:rPr>
      </w:pPr>
      <w:r>
        <w:rPr>
          <w:rFonts w:ascii="Arial" w:cs="Arial" w:eastAsia="Arial" w:hAnsi="Arial"/>
          <w:sz w:val="16"/>
          <w:szCs w:val="16"/>
          <w:i w:val="1"/>
          <w:iCs w:val="1"/>
          <w:color w:val="auto"/>
        </w:rPr>
        <w:t>Reliance by Administrative Agent and Lenders</w:t>
      </w:r>
      <w:r>
        <w:rPr>
          <w:rFonts w:ascii="Arial" w:cs="Arial" w:eastAsia="Arial" w:hAnsi="Arial"/>
          <w:sz w:val="16"/>
          <w:szCs w:val="16"/>
          <w:color w:val="auto"/>
        </w:rPr>
        <w:t>. The Administrative Agent and the Lenders shall be entitled to rely and act upon any</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except to the extent that such losses, claims, damages, liabilities or related expenses are determined by a court of competent jurisdiction by final and nonappealable judgment to have resulted from the gross negligence or willful misconduct of such Person. All telephonic communications with the Administrative Agent may be recorded by the Administrative Agent, and each of the parties hereby consents to such recording.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60" w:top="270" w:right="439" w:bottom="1440" w:gutter="0" w:footer="0" w:header="0"/>
        </w:sectPr>
      </w:pPr>
    </w:p>
    <w:bookmarkStart w:id="445" w:name="page446"/>
    <w:bookmarkEnd w:id="4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No Waiver; Cumulative Remedies; Enforcement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failure by any Lender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in respect of the Collateral Documents, any other Secured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not prohibit</w:t>
      </w:r>
    </w:p>
    <w:p>
      <w:pPr>
        <w:spacing w:after="0" w:line="2" w:lineRule="exact"/>
        <w:rPr>
          <w:sz w:val="20"/>
          <w:szCs w:val="20"/>
          <w:color w:val="auto"/>
        </w:rPr>
      </w:pPr>
    </w:p>
    <w:p>
      <w:pPr>
        <w:ind w:right="20" w:firstLine="4"/>
        <w:spacing w:after="0" w:line="252" w:lineRule="auto"/>
        <w:tabs>
          <w:tab w:leader="none" w:pos="24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the Administrative Agent from exercising on its own behalf the rights and remedies that inure to its benefit (solely in its capacity as Administrative Agent) hereunder and under the other Loan Documents, (b) [Reserved], (c) any Lender from exercising setoff rights in accordance with Section 11.08 (subject to the terms of Section 2.13), or (d) any Secured Party from filing proofs of claim or appearing and filing pleadings on its own behalf during the pendency of a proceeding relative to any Loan Party under any Debtor Relief Law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(c), and (d) of the preceding proviso and subject to Section 2.13, any Lender may, with the consent of the Required Lenders, enforce any rights and remedies available to it and as authorized by the Required Lenders.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Expenses; Indemnity; Damage Waiver</w:t>
      </w:r>
    </w:p>
    <w:p>
      <w:pPr>
        <w:spacing w:after="0" w:line="117" w:lineRule="exact"/>
        <w:rPr>
          <w:sz w:val="20"/>
          <w:szCs w:val="20"/>
          <w:color w:val="auto"/>
        </w:rPr>
      </w:pPr>
    </w:p>
    <w:p>
      <w:pPr>
        <w:ind w:right="100" w:firstLine="996"/>
        <w:spacing w:after="0" w:line="290" w:lineRule="auto"/>
        <w:tabs>
          <w:tab w:leader="none" w:pos="1236" w:val="left"/>
        </w:tabs>
        <w:numPr>
          <w:ilvl w:val="0"/>
          <w:numId w:val="413"/>
        </w:numPr>
        <w:rPr>
          <w:rFonts w:ascii="Arial" w:cs="Arial" w:eastAsia="Arial" w:hAnsi="Arial"/>
          <w:sz w:val="16"/>
          <w:szCs w:val="16"/>
          <w:color w:val="auto"/>
        </w:rPr>
      </w:pPr>
      <w:r>
        <w:rPr>
          <w:rFonts w:ascii="Arial" w:cs="Arial" w:eastAsia="Arial" w:hAnsi="Arial"/>
          <w:sz w:val="16"/>
          <w:szCs w:val="16"/>
          <w:i w:val="1"/>
          <w:iCs w:val="1"/>
          <w:color w:val="auto"/>
        </w:rPr>
        <w:t>Costs and Expenses</w:t>
      </w:r>
      <w:r>
        <w:rPr>
          <w:rFonts w:ascii="Arial" w:cs="Arial" w:eastAsia="Arial" w:hAnsi="Arial"/>
          <w:sz w:val="16"/>
          <w:szCs w:val="16"/>
          <w:color w:val="auto"/>
        </w:rPr>
        <w:t>. The Borrower shall pay (i) all reasonable out-of-pocket expenses incurred by the Administrative Agent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3" w:right="459" w:bottom="1440" w:gutter="0" w:footer="0" w:header="0"/>
        </w:sectPr>
      </w:pPr>
    </w:p>
    <w:bookmarkStart w:id="446" w:name="page447"/>
    <w:bookmarkEnd w:id="446"/>
    <w:p>
      <w:pPr>
        <w:ind w:firstLine="996"/>
        <w:spacing w:after="0" w:line="267" w:lineRule="auto"/>
        <w:tabs>
          <w:tab w:leader="none" w:pos="1247" w:val="left"/>
        </w:tabs>
        <w:numPr>
          <w:ilvl w:val="0"/>
          <w:numId w:val="41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7"/>
          <w:szCs w:val="17"/>
          <w:color w:val="auto"/>
        </w:rPr>
        <w:t>. Each Loan Party shall indemnify the Administrative Agent (and any sub-agent thereof), each Lender and each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Party of any of the foregoing Persons (each such Person being called an “</w:t>
      </w:r>
      <w:r>
        <w:rPr>
          <w:rFonts w:ascii="Arial" w:cs="Arial" w:eastAsia="Arial" w:hAnsi="Arial"/>
          <w:sz w:val="17"/>
          <w:szCs w:val="17"/>
          <w:b w:val="1"/>
          <w:bCs w:val="1"/>
          <w:color w:val="auto"/>
        </w:rPr>
        <w:t>Indemnitee</w:t>
      </w:r>
      <w:r>
        <w:rPr>
          <w:rFonts w:ascii="Arial" w:cs="Arial" w:eastAsia="Arial" w:hAnsi="Arial"/>
          <w:sz w:val="17"/>
          <w:szCs w:val="17"/>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and the transactions contemplated hereby or thereby, or, in the case of the Administrative Agent (and any sub-agent thereof) and its Related Parties only, the administration of this Agreement and the other Loan Documents (including in respect of any matters addressed in Section 3.01), (ii) any Loan or the use or proposed use of the proceeds therefrom, (iii) any actual or alleged presence or release of Hazardous Materials on, through, under or from any property currently or formerly owned, leased or operated by the Borrower or any of its Restricted Subsidiaries, or any Environmental Claim or Environmental Liability related in any way to any of the Loan Parties or any of their respective Restricted Subsidiaries or (iv) any claim, litigation, investigation or proceeding relating to any of the foregoing, whether based on contract, tort or any other theory, whether brought by a Lender, a third party or by the Borrower or any other Loan Party, and regardless of whether any Indemnitee is a party thereto (collectively, the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indemnity shall not, as to any Indemnitee, be available to the extent that such losses, claims, damages, liabilities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expenses are determined by a court of competent jurisdiction by final and nonappealable judgment to have resulted from the gross negligence or willful misconduct of such Indemnitee.</w:t>
      </w:r>
    </w:p>
    <w:p>
      <w:pPr>
        <w:spacing w:after="0" w:line="84" w:lineRule="exact"/>
        <w:rPr>
          <w:rFonts w:ascii="Arial" w:cs="Arial" w:eastAsia="Arial" w:hAnsi="Arial"/>
          <w:sz w:val="17"/>
          <w:szCs w:val="17"/>
          <w:color w:val="auto"/>
        </w:rPr>
      </w:pPr>
    </w:p>
    <w:p>
      <w:pPr>
        <w:ind w:right="20" w:firstLine="996"/>
        <w:spacing w:after="0" w:line="270" w:lineRule="auto"/>
        <w:tabs>
          <w:tab w:leader="none" w:pos="1236" w:val="left"/>
        </w:tabs>
        <w:numPr>
          <w:ilvl w:val="0"/>
          <w:numId w:val="414"/>
        </w:numPr>
        <w:rPr>
          <w:rFonts w:ascii="Arial" w:cs="Arial" w:eastAsia="Arial" w:hAnsi="Arial"/>
          <w:sz w:val="17"/>
          <w:szCs w:val="17"/>
          <w:color w:val="auto"/>
        </w:rPr>
      </w:pPr>
      <w:r>
        <w:rPr>
          <w:rFonts w:ascii="Arial" w:cs="Arial" w:eastAsia="Arial" w:hAnsi="Arial"/>
          <w:sz w:val="17"/>
          <w:szCs w:val="17"/>
          <w:i w:val="1"/>
          <w:iCs w:val="1"/>
          <w:color w:val="auto"/>
        </w:rPr>
        <w:t>Reimbursement by Lenders</w:t>
      </w:r>
      <w:r>
        <w:rPr>
          <w:rFonts w:ascii="Arial" w:cs="Arial" w:eastAsia="Arial" w:hAnsi="Arial"/>
          <w:sz w:val="17"/>
          <w:szCs w:val="17"/>
          <w:color w:val="auto"/>
        </w:rPr>
        <w:t>. To the extent that the Borrower for any reason fails to indefeasibly pay any amount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subsection (a) or (b) of this Section to be paid by it to the Administrative Agent (or any sub-agent thereof), each Lender severally agrees to pay to the Administrative Agent (or any such sub-agent) such Lender’s Applicable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the proviso in subclause (b) above, it is understood and agreed that any action taken by the Administrative Agent (and any sub-agent thereof) and/or any of its Related Parties in accordance with the directions of the Required Lenders or any other appropriate group of Lenders pursuant to Section 11.01 shall not be deemed to constitute gross negligence or willful misconduct for purposes of such proviso. The obligations of the Lenders under this subsection (c) are subject to the provisions of Section 2.12(d).</w:t>
      </w:r>
    </w:p>
    <w:p>
      <w:pPr>
        <w:spacing w:after="0" w:line="69" w:lineRule="exact"/>
        <w:rPr>
          <w:rFonts w:ascii="Arial" w:cs="Arial" w:eastAsia="Arial" w:hAnsi="Arial"/>
          <w:sz w:val="17"/>
          <w:szCs w:val="17"/>
          <w:color w:val="auto"/>
        </w:rPr>
      </w:pPr>
    </w:p>
    <w:p>
      <w:pPr>
        <w:jc w:val="both"/>
        <w:ind w:right="340" w:firstLine="996"/>
        <w:spacing w:after="0" w:line="264" w:lineRule="auto"/>
        <w:tabs>
          <w:tab w:leader="none" w:pos="1247" w:val="left"/>
        </w:tabs>
        <w:numPr>
          <w:ilvl w:val="0"/>
          <w:numId w:val="414"/>
        </w:numPr>
        <w:rPr>
          <w:rFonts w:ascii="Arial" w:cs="Arial" w:eastAsia="Arial" w:hAnsi="Arial"/>
          <w:sz w:val="18"/>
          <w:szCs w:val="18"/>
          <w:color w:val="auto"/>
        </w:rPr>
      </w:pPr>
      <w:r>
        <w:rPr>
          <w:rFonts w:ascii="Arial" w:cs="Arial" w:eastAsia="Arial" w:hAnsi="Arial"/>
          <w:sz w:val="18"/>
          <w:szCs w:val="18"/>
          <w:i w:val="1"/>
          <w:iCs w:val="1"/>
          <w:color w:val="auto"/>
        </w:rPr>
        <w:t>Waiver of Consequential Damages</w:t>
      </w:r>
      <w:r>
        <w:rPr>
          <w:rFonts w:ascii="Arial" w:cs="Arial" w:eastAsia="Arial" w:hAnsi="Arial"/>
          <w:sz w:val="18"/>
          <w:szCs w:val="18"/>
          <w:color w:val="auto"/>
        </w:rPr>
        <w:t>,</w:t>
      </w:r>
      <w:r>
        <w:rPr>
          <w:rFonts w:ascii="Arial" w:cs="Arial" w:eastAsia="Arial" w:hAnsi="Arial"/>
          <w:sz w:val="18"/>
          <w:szCs w:val="18"/>
          <w:i w:val="1"/>
          <w:iCs w:val="1"/>
          <w:color w:val="auto"/>
        </w:rPr>
        <w:t xml:space="preserve"> Etc</w:t>
      </w:r>
      <w:r>
        <w:rPr>
          <w:rFonts w:ascii="Arial" w:cs="Arial" w:eastAsia="Arial" w:hAnsi="Arial"/>
          <w:sz w:val="18"/>
          <w:szCs w:val="18"/>
          <w:color w:val="auto"/>
        </w:rPr>
        <w:t>. To the fullest extent permitted by applicable law, the Borrower shall not assert, and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waives, any claim against any Indemnitee, on any theory of liability, for special, indirect, consequential or punitive damages (as opposed to direct or actual damages) arising out of, in connection with, or as a result of,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440" w:top="274" w:right="439" w:bottom="1440" w:gutter="0" w:footer="0" w:header="0"/>
        </w:sectPr>
      </w:pPr>
    </w:p>
    <w:bookmarkStart w:id="447" w:name="page448"/>
    <w:bookmarkEnd w:id="447"/>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any other Loan Document or any agreement or instrument contemplated hereby, the transactions contemplated hereby or thereby, any Loan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70" w:lineRule="exact"/>
        <w:rPr>
          <w:sz w:val="20"/>
          <w:szCs w:val="20"/>
          <w:color w:val="auto"/>
        </w:rPr>
      </w:pPr>
    </w:p>
    <w:p>
      <w:pPr>
        <w:ind w:left="1240" w:hanging="244"/>
        <w:spacing w:after="0"/>
        <w:tabs>
          <w:tab w:leader="none" w:pos="1240"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17" w:lineRule="exact"/>
        <w:rPr>
          <w:rFonts w:ascii="Arial" w:cs="Arial" w:eastAsia="Arial" w:hAnsi="Arial"/>
          <w:sz w:val="18"/>
          <w:szCs w:val="18"/>
          <w:color w:val="auto"/>
        </w:rPr>
      </w:pPr>
    </w:p>
    <w:p>
      <w:pPr>
        <w:ind w:right="620" w:firstLine="996"/>
        <w:spacing w:after="0" w:line="264" w:lineRule="auto"/>
        <w:tabs>
          <w:tab w:leader="none" w:pos="1217"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agreements in this Section 11.04 shall survive the resignation of the Administrative Agent, the replacement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or any, the termination of the Commitments, the repayment, satisfaction or discharge of all the other Obligations and the termination of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Payments Set Aside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payment in full of the Obligations, the termination of the Commitments and the termination of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Successors and Assigns</w:t>
      </w:r>
    </w:p>
    <w:p>
      <w:pPr>
        <w:spacing w:after="0" w:line="117" w:lineRule="exact"/>
        <w:rPr>
          <w:sz w:val="20"/>
          <w:szCs w:val="20"/>
          <w:color w:val="auto"/>
        </w:rPr>
      </w:pPr>
    </w:p>
    <w:p>
      <w:pPr>
        <w:ind w:right="20" w:firstLine="996"/>
        <w:spacing w:after="0" w:line="277" w:lineRule="auto"/>
        <w:tabs>
          <w:tab w:leader="none" w:pos="1236"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Successors and Assigns Generally</w:t>
      </w:r>
      <w:r>
        <w:rPr>
          <w:rFonts w:ascii="Arial" w:cs="Arial" w:eastAsia="Arial" w:hAnsi="Arial"/>
          <w:sz w:val="18"/>
          <w:szCs w:val="18"/>
          <w:color w:val="auto"/>
        </w:rPr>
        <w:t>. The provisions of this Agreement shall be binding upon and inure to the benefit of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and assigns permitted hereby, except that:</w:t>
      </w:r>
    </w:p>
    <w:p>
      <w:pPr>
        <w:spacing w:after="0" w:line="62" w:lineRule="exact"/>
        <w:rPr>
          <w:rFonts w:ascii="Arial" w:cs="Arial" w:eastAsia="Arial" w:hAnsi="Arial"/>
          <w:sz w:val="18"/>
          <w:szCs w:val="18"/>
          <w:color w:val="auto"/>
        </w:rPr>
      </w:pPr>
    </w:p>
    <w:p>
      <w:pPr>
        <w:ind w:left="440" w:firstLine="957"/>
        <w:spacing w:after="0" w:line="259" w:lineRule="auto"/>
        <w:tabs>
          <w:tab w:leader="none" w:pos="1607" w:val="left"/>
        </w:tabs>
        <w:numPr>
          <w:ilvl w:val="1"/>
          <w:numId w:val="416"/>
        </w:numPr>
        <w:rPr>
          <w:rFonts w:ascii="Arial" w:cs="Arial" w:eastAsia="Arial" w:hAnsi="Arial"/>
          <w:sz w:val="18"/>
          <w:szCs w:val="18"/>
          <w:color w:val="auto"/>
        </w:rPr>
      </w:pPr>
      <w:r>
        <w:rPr>
          <w:rFonts w:ascii="Arial" w:cs="Arial" w:eastAsia="Arial" w:hAnsi="Arial"/>
          <w:sz w:val="18"/>
          <w:szCs w:val="18"/>
          <w:color w:val="auto"/>
        </w:rPr>
        <w:t xml:space="preserve">except as provided in Section 7.15(a), the Borrower may not assign or otherwise transfer any of its rights or obligations hereunder without the prior written consent of the Administrative Agent and each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prior written consent of the Administrative Agent and each Lender shall not be required for the Company to assign or otherwise transfer its rights and obligations hereunder to BellRing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440" w:top="274" w:right="439" w:bottom="1440" w:gutter="0" w:footer="0" w:header="0"/>
        </w:sectPr>
      </w:pPr>
    </w:p>
    <w:bookmarkStart w:id="448" w:name="page449"/>
    <w:bookmarkEnd w:id="448"/>
    <w:p>
      <w:pPr>
        <w:ind w:left="440"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Brands if (A) each of the conditions precedent set forth in Section 4.02 have been satisfied (or waived by each Lender pursuant to Section 11.01) and (B) the Company and BellRing Brands execute and deliver the Borrower Assignment and Assumption (and upon such execution and delivery in accordance with this Section 11.06(a)(i), the Company’s rights and obligations hereunder and under the other Loan Documents will be transferred and assigned to BellRing Brands to the extent and as provided in the Borrower Assignment and Assumption, and, except as otherwise provided in Sections 2.1 and 2.5 of the Borrower Assignment and Assumption, the Company shall be released of all of its obligations and liabilities hereunder and under the other Loan Documents, and the Administrative Agent shall confirm such assignment and assumption and release by execution and delivery of the Borrower Assignment and Assumption); and</w:t>
      </w:r>
    </w:p>
    <w:p>
      <w:pPr>
        <w:spacing w:after="0" w:line="70" w:lineRule="exact"/>
        <w:rPr>
          <w:sz w:val="20"/>
          <w:szCs w:val="20"/>
          <w:color w:val="auto"/>
        </w:rPr>
      </w:pPr>
    </w:p>
    <w:p>
      <w:pPr>
        <w:ind w:left="440" w:firstLine="957"/>
        <w:spacing w:after="0" w:line="291" w:lineRule="auto"/>
        <w:tabs>
          <w:tab w:leader="none" w:pos="1657" w:val="left"/>
        </w:tabs>
        <w:numPr>
          <w:ilvl w:val="2"/>
          <w:numId w:val="417"/>
        </w:numPr>
        <w:rPr>
          <w:rFonts w:ascii="Arial" w:cs="Arial" w:eastAsia="Arial" w:hAnsi="Arial"/>
          <w:sz w:val="16"/>
          <w:szCs w:val="16"/>
          <w:color w:val="auto"/>
        </w:rPr>
      </w:pPr>
      <w:r>
        <w:rPr>
          <w:rFonts w:ascii="Arial" w:cs="Arial" w:eastAsia="Arial" w:hAnsi="Arial"/>
          <w:sz w:val="16"/>
          <w:szCs w:val="16"/>
          <w:color w:val="auto"/>
        </w:rPr>
        <w:t>no Lender may assign or otherwise transfer any of its rights or obligations hereunder except (A) to an assignee in accordance with the provisions of subsection (b) of this Section, (B) by way of participation in accordance with the provisions of subsection (d) of this Section or</w:t>
      </w:r>
    </w:p>
    <w:p>
      <w:pPr>
        <w:ind w:left="720" w:hanging="276"/>
        <w:spacing w:after="0"/>
        <w:tabs>
          <w:tab w:leader="none" w:pos="7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by way of pledge or assignment of a security interest subject to the restrictions of subsection (f) of this Section (and any other attempted</w:t>
      </w:r>
    </w:p>
    <w:p>
      <w:pPr>
        <w:spacing w:after="0" w:line="20" w:lineRule="exact"/>
        <w:rPr>
          <w:rFonts w:ascii="Arial" w:cs="Arial" w:eastAsia="Arial" w:hAnsi="Arial"/>
          <w:sz w:val="17"/>
          <w:szCs w:val="17"/>
          <w:color w:val="auto"/>
        </w:rPr>
      </w:pPr>
    </w:p>
    <w:p>
      <w:pPr>
        <w:ind w:left="440" w:right="200"/>
        <w:spacing w:after="0" w:line="295" w:lineRule="auto"/>
        <w:rPr>
          <w:rFonts w:ascii="Arial" w:cs="Arial" w:eastAsia="Arial" w:hAnsi="Arial"/>
          <w:sz w:val="17"/>
          <w:szCs w:val="17"/>
          <w:color w:val="auto"/>
        </w:rPr>
      </w:pPr>
      <w:r>
        <w:rPr>
          <w:rFonts w:ascii="Arial" w:cs="Arial" w:eastAsia="Arial" w:hAnsi="Arial"/>
          <w:sz w:val="16"/>
          <w:szCs w:val="16"/>
          <w:color w:val="auto"/>
        </w:rPr>
        <w:t>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Indemnitees and the Related Parties of each of the Administrative Agent and the Lenders) any legal or equitable right, remedy or claim under or by reason of this Agreement.</w:t>
      </w:r>
    </w:p>
    <w:p>
      <w:pPr>
        <w:spacing w:after="0" w:line="53" w:lineRule="exact"/>
        <w:rPr>
          <w:rFonts w:ascii="Arial" w:cs="Arial" w:eastAsia="Arial" w:hAnsi="Arial"/>
          <w:sz w:val="17"/>
          <w:szCs w:val="17"/>
          <w:color w:val="auto"/>
        </w:rPr>
      </w:pPr>
    </w:p>
    <w:p>
      <w:pPr>
        <w:ind w:right="60" w:firstLine="996"/>
        <w:spacing w:after="0" w:line="264" w:lineRule="auto"/>
        <w:tabs>
          <w:tab w:leader="none" w:pos="1247" w:val="left"/>
        </w:tabs>
        <w:numPr>
          <w:ilvl w:val="1"/>
          <w:numId w:val="418"/>
        </w:numPr>
        <w:rPr>
          <w:rFonts w:ascii="Arial" w:cs="Arial" w:eastAsia="Arial" w:hAnsi="Arial"/>
          <w:sz w:val="18"/>
          <w:szCs w:val="18"/>
          <w:color w:val="auto"/>
        </w:rPr>
      </w:pPr>
      <w:r>
        <w:rPr>
          <w:rFonts w:ascii="Arial" w:cs="Arial" w:eastAsia="Arial" w:hAnsi="Arial"/>
          <w:sz w:val="18"/>
          <w:szCs w:val="18"/>
          <w:i w:val="1"/>
          <w:iCs w:val="1"/>
          <w:color w:val="auto"/>
        </w:rPr>
        <w:t>Assignments by Lenders</w:t>
      </w:r>
      <w:r>
        <w:rPr>
          <w:rFonts w:ascii="Arial" w:cs="Arial" w:eastAsia="Arial" w:hAnsi="Arial"/>
          <w:sz w:val="18"/>
          <w:szCs w:val="18"/>
          <w:color w:val="auto"/>
        </w:rPr>
        <w:t>. Any Lender may at any time assign to one or more assignees all or a portion of its rights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this Agreement (including all or a portion of its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73" w:lineRule="exact"/>
        <w:rPr>
          <w:rFonts w:ascii="Arial" w:cs="Arial" w:eastAsia="Arial" w:hAnsi="Arial"/>
          <w:sz w:val="18"/>
          <w:szCs w:val="18"/>
          <w:color w:val="auto"/>
        </w:rPr>
      </w:pPr>
    </w:p>
    <w:p>
      <w:pPr>
        <w:ind w:left="1620" w:hanging="223"/>
        <w:spacing w:after="0"/>
        <w:tabs>
          <w:tab w:leader="none" w:pos="1620" w:val="left"/>
        </w:tabs>
        <w:numPr>
          <w:ilvl w:val="2"/>
          <w:numId w:val="418"/>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117" w:lineRule="exact"/>
        <w:rPr>
          <w:rFonts w:ascii="Arial" w:cs="Arial" w:eastAsia="Arial" w:hAnsi="Arial"/>
          <w:sz w:val="18"/>
          <w:szCs w:val="18"/>
          <w:color w:val="auto"/>
        </w:rPr>
      </w:pPr>
    </w:p>
    <w:p>
      <w:pPr>
        <w:ind w:left="1440" w:right="340" w:firstLine="380"/>
        <w:spacing w:after="0" w:line="277" w:lineRule="auto"/>
        <w:tabs>
          <w:tab w:leader="none" w:pos="2118" w:val="left"/>
        </w:tabs>
        <w:numPr>
          <w:ilvl w:val="3"/>
          <w:numId w:val="418"/>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Loans at the time owing to it, no minimum amount need be assigned; and</w:t>
      </w:r>
    </w:p>
    <w:p>
      <w:pPr>
        <w:spacing w:after="0" w:line="62" w:lineRule="exact"/>
        <w:rPr>
          <w:rFonts w:ascii="Arial" w:cs="Arial" w:eastAsia="Arial" w:hAnsi="Arial"/>
          <w:sz w:val="18"/>
          <w:szCs w:val="18"/>
          <w:color w:val="auto"/>
        </w:rPr>
      </w:pPr>
    </w:p>
    <w:p>
      <w:pPr>
        <w:ind w:left="1440" w:firstLine="380"/>
        <w:spacing w:after="0" w:line="270" w:lineRule="auto"/>
        <w:tabs>
          <w:tab w:leader="none" w:pos="2108" w:val="left"/>
        </w:tabs>
        <w:numPr>
          <w:ilvl w:val="3"/>
          <w:numId w:val="418"/>
        </w:numPr>
        <w:rPr>
          <w:rFonts w:ascii="Arial" w:cs="Arial" w:eastAsia="Arial" w:hAnsi="Arial"/>
          <w:sz w:val="17"/>
          <w:szCs w:val="17"/>
          <w:color w:val="auto"/>
        </w:rPr>
      </w:pPr>
      <w:r>
        <w:rPr>
          <w:rFonts w:ascii="Arial" w:cs="Arial" w:eastAsia="Arial" w:hAnsi="Arial"/>
          <w:sz w:val="17"/>
          <w:szCs w:val="17"/>
          <w:color w:val="auto"/>
        </w:rPr>
        <w:t>in any case not described in subsection (b)(i)(A) of this Section, the aggregate amount of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17"/>
          <w:szCs w:val="17"/>
          <w:b w:val="1"/>
          <w:bCs w:val="1"/>
          <w:color w:val="auto"/>
        </w:rPr>
        <w:t>Trade Date</w:t>
      </w:r>
      <w:r>
        <w:rPr>
          <w:rFonts w:ascii="Arial" w:cs="Arial" w:eastAsia="Arial" w:hAnsi="Arial"/>
          <w:sz w:val="17"/>
          <w:szCs w:val="17"/>
          <w:color w:val="auto"/>
        </w:rPr>
        <w:t>” is specified in the Assignment and Assumption, as of the Trade Date, shall not be less than $1,000,000, in the case of any assignment in respect of any Loans, unless each of the Administrative Agent and, so long as no Event of Default has occurred and is continuing, the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20"/>
          </w:cols>
          <w:pgMar w:left="440" w:top="274" w:right="439" w:bottom="1440" w:gutter="0" w:footer="0" w:header="0"/>
        </w:sectPr>
      </w:pPr>
    </w:p>
    <w:bookmarkStart w:id="449" w:name="page450"/>
    <w:bookmarkEnd w:id="449"/>
    <w:p>
      <w:pPr>
        <w:ind w:right="440" w:firstLine="957"/>
        <w:spacing w:after="0" w:line="277" w:lineRule="auto"/>
        <w:tabs>
          <w:tab w:leader="none" w:pos="1217"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Proportionate Amounts</w:t>
      </w:r>
      <w:r>
        <w:rPr>
          <w:rFonts w:ascii="Arial" w:cs="Arial" w:eastAsia="Arial" w:hAnsi="Arial"/>
          <w:sz w:val="18"/>
          <w:szCs w:val="18"/>
          <w:color w:val="auto"/>
        </w:rPr>
        <w:t>. Each partial assignment shall be made as an assignment of a proportionate part of all the assigning</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rights and obligations under this Agreement with respect to the Loans assigned.</w:t>
      </w:r>
    </w:p>
    <w:p>
      <w:pPr>
        <w:spacing w:after="0" w:line="62" w:lineRule="exact"/>
        <w:rPr>
          <w:rFonts w:ascii="Arial" w:cs="Arial" w:eastAsia="Arial" w:hAnsi="Arial"/>
          <w:sz w:val="18"/>
          <w:szCs w:val="18"/>
          <w:color w:val="auto"/>
        </w:rPr>
      </w:pPr>
    </w:p>
    <w:p>
      <w:pPr>
        <w:ind w:right="40" w:firstLine="957"/>
        <w:spacing w:after="0" w:line="277" w:lineRule="auto"/>
        <w:tabs>
          <w:tab w:leader="none" w:pos="1267"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subsection (b)(i)(B)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and, in addition:</w:t>
      </w:r>
    </w:p>
    <w:p>
      <w:pPr>
        <w:spacing w:after="0" w:line="62" w:lineRule="exact"/>
        <w:rPr>
          <w:rFonts w:ascii="Arial" w:cs="Arial" w:eastAsia="Arial" w:hAnsi="Arial"/>
          <w:sz w:val="18"/>
          <w:szCs w:val="18"/>
          <w:color w:val="auto"/>
        </w:rPr>
      </w:pPr>
    </w:p>
    <w:p>
      <w:pPr>
        <w:ind w:left="1000" w:firstLine="380"/>
        <w:spacing w:after="0" w:line="255" w:lineRule="auto"/>
        <w:tabs>
          <w:tab w:leader="none" w:pos="167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shall be required unless (1) an Event of Default or Demand Failure Event has occurred and is continuing at the time of such assignment, (2) (x) such assignment is to a Lender, an Affiliate of a Lender or an Approved Fund or (y) such assignment is from Goldman Sachs Bank USA to Goldman Sachs Lending Partners LLC or (3) such assignment is made at any time after the one-month anniversary of the Closing Date; provided that the Borrower shall be deemed to have consented to any such assignment unless it shall object thereto by written notice to the Administrative Agent within five Business Days after having received notice thereof in the case of assignments of any Loans; and</w:t>
      </w:r>
    </w:p>
    <w:p>
      <w:pPr>
        <w:spacing w:after="0" w:line="81" w:lineRule="exact"/>
        <w:rPr>
          <w:rFonts w:ascii="Arial" w:cs="Arial" w:eastAsia="Arial" w:hAnsi="Arial"/>
          <w:sz w:val="18"/>
          <w:szCs w:val="18"/>
          <w:color w:val="auto"/>
        </w:rPr>
      </w:pPr>
    </w:p>
    <w:p>
      <w:pPr>
        <w:ind w:left="1000" w:right="580" w:firstLine="380"/>
        <w:spacing w:after="0" w:line="342" w:lineRule="auto"/>
        <w:tabs>
          <w:tab w:leader="none" w:pos="1668" w:val="left"/>
        </w:tabs>
        <w:numPr>
          <w:ilvl w:val="1"/>
          <w:numId w:val="419"/>
        </w:numPr>
        <w:rPr>
          <w:rFonts w:ascii="Arial" w:cs="Arial" w:eastAsia="Arial" w:hAnsi="Arial"/>
          <w:sz w:val="16"/>
          <w:szCs w:val="16"/>
          <w:color w:val="auto"/>
        </w:rPr>
      </w:pPr>
      <w:r>
        <w:rPr>
          <w:rFonts w:ascii="Arial" w:cs="Arial" w:eastAsia="Arial" w:hAnsi="Arial"/>
          <w:sz w:val="16"/>
          <w:szCs w:val="16"/>
          <w:color w:val="auto"/>
        </w:rPr>
        <w:t>the prior notification of the Administrative Agent shall be required for assignments in respect of any Loan if such assignment is to a Person that is not a Lender, an Affiliate of such Lender or an Approved Fund with respect to such Lender.</w:t>
      </w:r>
    </w:p>
    <w:p>
      <w:pPr>
        <w:spacing w:after="0" w:line="15" w:lineRule="exact"/>
        <w:rPr>
          <w:rFonts w:ascii="Arial" w:cs="Arial" w:eastAsia="Arial" w:hAnsi="Arial"/>
          <w:sz w:val="16"/>
          <w:szCs w:val="16"/>
          <w:color w:val="auto"/>
        </w:rPr>
      </w:pPr>
    </w:p>
    <w:p>
      <w:pPr>
        <w:ind w:right="80" w:firstLine="957"/>
        <w:spacing w:after="0" w:line="259" w:lineRule="auto"/>
        <w:tabs>
          <w:tab w:leader="none" w:pos="1257"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Assignment and Assumption</w:t>
      </w:r>
      <w:r>
        <w:rPr>
          <w:rFonts w:ascii="Arial" w:cs="Arial" w:eastAsia="Arial" w:hAnsi="Arial"/>
          <w:sz w:val="18"/>
          <w:szCs w:val="18"/>
          <w:color w:val="auto"/>
        </w:rPr>
        <w:t>. The parties to each assignment shall execute and deliver to the Administrative Agent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Assignment and Assumption, together with a processing and recordation fee in the amount of $3,500;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right="20" w:firstLine="957"/>
        <w:spacing w:after="0" w:line="312" w:lineRule="auto"/>
        <w:tabs>
          <w:tab w:leader="none" w:pos="1207"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t>No Assignment to Certain Persons</w:t>
      </w:r>
      <w:r>
        <w:rPr>
          <w:rFonts w:ascii="Arial" w:cs="Arial" w:eastAsia="Arial" w:hAnsi="Arial"/>
          <w:sz w:val="16"/>
          <w:szCs w:val="16"/>
          <w:color w:val="auto"/>
        </w:rPr>
        <w:t>. No such assignment shall be made (A) to the Borrower or any of the Borrower’s Affiliates or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except as provided below in clause (vii) or (B) to a Defaulting Lender, a Disqualified Lender, or any of its Subsidiaries, or any Person who, upon becoming a Lender hereunder, would constitute any of the foregoing Persons described in this clause (B).</w:t>
      </w:r>
    </w:p>
    <w:p>
      <w:pPr>
        <w:spacing w:after="0" w:line="38" w:lineRule="exact"/>
        <w:rPr>
          <w:rFonts w:ascii="Arial" w:cs="Arial" w:eastAsia="Arial" w:hAnsi="Arial"/>
          <w:sz w:val="16"/>
          <w:szCs w:val="16"/>
          <w:color w:val="auto"/>
        </w:rPr>
      </w:pPr>
    </w:p>
    <w:p>
      <w:pPr>
        <w:ind w:left="1260" w:hanging="303"/>
        <w:spacing w:after="0"/>
        <w:tabs>
          <w:tab w:leader="none" w:pos="1260"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w:t>
      </w:r>
    </w:p>
    <w:p>
      <w:pPr>
        <w:spacing w:after="0" w:line="117" w:lineRule="exact"/>
        <w:rPr>
          <w:rFonts w:ascii="Arial" w:cs="Arial" w:eastAsia="Arial" w:hAnsi="Arial"/>
          <w:sz w:val="18"/>
          <w:szCs w:val="18"/>
          <w:color w:val="auto"/>
        </w:rPr>
      </w:pPr>
    </w:p>
    <w:p>
      <w:pPr>
        <w:jc w:val="both"/>
        <w:ind w:right="260" w:firstLine="957"/>
        <w:spacing w:after="0" w:line="264" w:lineRule="auto"/>
        <w:tabs>
          <w:tab w:leader="none" w:pos="1307"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Borrower Purchases</w:t>
      </w:r>
      <w:r>
        <w:rPr>
          <w:rFonts w:ascii="Arial" w:cs="Arial" w:eastAsia="Arial" w:hAnsi="Arial"/>
          <w:sz w:val="18"/>
          <w:szCs w:val="18"/>
          <w:color w:val="auto"/>
        </w:rPr>
        <w:t>. Notwithstanding anything to the contrary contained in this Section 11.06 or any other provision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so long as no Default or Event of Default has occurred and is continuing or would result therefrom, the Borrower may repurchase outstanding Loans on the following basis:</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520"/>
          </w:cols>
          <w:pgMar w:left="880" w:top="274" w:right="499" w:bottom="1440" w:gutter="0" w:footer="0" w:header="0"/>
        </w:sectPr>
      </w:pPr>
    </w:p>
    <w:bookmarkStart w:id="450" w:name="page451"/>
    <w:bookmarkEnd w:id="450"/>
    <w:p>
      <w:pPr>
        <w:ind w:left="440" w:right="20" w:firstLine="380"/>
        <w:spacing w:after="0" w:line="285" w:lineRule="auto"/>
        <w:tabs>
          <w:tab w:leader="none" w:pos="1118" w:val="left"/>
        </w:tabs>
        <w:numPr>
          <w:ilvl w:val="1"/>
          <w:numId w:val="4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prior to the date that occurs one year prior to the Maturity Date, the Borrower may conduct one or more auctions (each, an “</w:t>
      </w:r>
      <w:r>
        <w:rPr>
          <w:rFonts w:ascii="Arial" w:cs="Arial" w:eastAsia="Arial" w:hAnsi="Arial"/>
          <w:sz w:val="16"/>
          <w:szCs w:val="16"/>
          <w:b w:val="1"/>
          <w:bCs w:val="1"/>
          <w:color w:val="auto"/>
        </w:rPr>
        <w:t>Auction</w:t>
      </w:r>
      <w:r>
        <w:rPr>
          <w:rFonts w:ascii="Arial" w:cs="Arial" w:eastAsia="Arial" w:hAnsi="Arial"/>
          <w:sz w:val="16"/>
          <w:szCs w:val="16"/>
          <w:color w:val="auto"/>
        </w:rPr>
        <w:t>”) to repurchase all or any portion of the applicable Loans (such Loans, the “</w:t>
      </w:r>
      <w:r>
        <w:rPr>
          <w:rFonts w:ascii="Arial" w:cs="Arial" w:eastAsia="Arial" w:hAnsi="Arial"/>
          <w:sz w:val="16"/>
          <w:szCs w:val="16"/>
          <w:b w:val="1"/>
          <w:bCs w:val="1"/>
          <w:color w:val="auto"/>
        </w:rPr>
        <w:t>Offer Loans</w:t>
      </w:r>
      <w:r>
        <w:rPr>
          <w:rFonts w:ascii="Arial" w:cs="Arial" w:eastAsia="Arial" w:hAnsi="Arial"/>
          <w:sz w:val="16"/>
          <w:szCs w:val="16"/>
          <w:color w:val="auto"/>
        </w:rPr>
        <w:t>”) of Lenders; provided that (1) the Borrower delivers to the Administrative Agent (for distribution to such Lenders) a notice of the aggregate principal amount of the Offer Loans that will be subject to such Auction no later than 12:00 p.m. at least five Business Days (or such shorter period as may be agreed to by the Administrative Agent) in advance of a proposed consummation date of such Auction indicating</w:t>
      </w:r>
    </w:p>
    <w:p>
      <w:pPr>
        <w:spacing w:after="0" w:line="2" w:lineRule="exact"/>
        <w:rPr>
          <w:rFonts w:ascii="Arial" w:cs="Arial" w:eastAsia="Arial" w:hAnsi="Arial"/>
          <w:sz w:val="16"/>
          <w:szCs w:val="16"/>
          <w:color w:val="auto"/>
        </w:rPr>
      </w:pPr>
    </w:p>
    <w:p>
      <w:pPr>
        <w:ind w:left="440" w:right="40" w:hanging="4"/>
        <w:spacing w:after="0" w:line="281" w:lineRule="auto"/>
        <w:tabs>
          <w:tab w:leader="none" w:pos="685"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 date on which the Auction will conclude, (b) the maximum principal amount of the Offer Loans the Borrower is willing to purchase in the Auction and (c) the range of discounts to par at which the Borrower would be willing to repurchase the Offer Loans;</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(2) the minimum dollar amount of the Auction shall be no less than $10,000,000 or whole multiples of $1,000,000 in excess thereof;</w:t>
      </w:r>
    </w:p>
    <w:p>
      <w:pPr>
        <w:spacing w:after="0" w:line="32" w:lineRule="exact"/>
        <w:rPr>
          <w:rFonts w:ascii="Arial" w:cs="Arial" w:eastAsia="Arial" w:hAnsi="Arial"/>
          <w:sz w:val="16"/>
          <w:szCs w:val="16"/>
          <w:color w:val="auto"/>
        </w:rPr>
      </w:pPr>
    </w:p>
    <w:p>
      <w:pPr>
        <w:ind w:left="440" w:right="20"/>
        <w:spacing w:after="0" w:line="252" w:lineRule="auto"/>
        <w:rPr>
          <w:rFonts w:ascii="Arial" w:cs="Arial" w:eastAsia="Arial" w:hAnsi="Arial"/>
          <w:sz w:val="16"/>
          <w:szCs w:val="16"/>
          <w:color w:val="auto"/>
        </w:rPr>
      </w:pPr>
      <w:r>
        <w:rPr>
          <w:rFonts w:ascii="Arial" w:cs="Arial" w:eastAsia="Arial" w:hAnsi="Arial"/>
          <w:sz w:val="18"/>
          <w:szCs w:val="18"/>
          <w:color w:val="auto"/>
        </w:rPr>
        <w:t>(3) the Borrower shall hold the Auction open for a minimum period of three Business Days; (4) a Lender who elects to participate in the Auction may choose to tender all or part of such Lender’s Offer Loans; (5) the Auction shall be made to the Lenders holding the Offer Loans on a pro rata basis in accordance with the respective principal amount then due and owing to the applicable Lenders; and (6) the Auction shall be conducted pursuant to such procedures as the Administrative Agent may establish which are consistent with this Section 11.06 and are reasonably acceptable to the Borrower, which procedures must be followed by a Lender in order to have its Offer Loans repurchased;</w:t>
      </w:r>
    </w:p>
    <w:p>
      <w:pPr>
        <w:spacing w:after="0" w:line="86" w:lineRule="exact"/>
        <w:rPr>
          <w:rFonts w:ascii="Arial" w:cs="Arial" w:eastAsia="Arial" w:hAnsi="Arial"/>
          <w:sz w:val="16"/>
          <w:szCs w:val="16"/>
          <w:color w:val="auto"/>
        </w:rPr>
      </w:pPr>
    </w:p>
    <w:p>
      <w:pPr>
        <w:ind w:left="440" w:firstLine="380"/>
        <w:spacing w:after="0" w:line="291" w:lineRule="auto"/>
        <w:tabs>
          <w:tab w:leader="none" w:pos="1108" w:val="left"/>
        </w:tabs>
        <w:numPr>
          <w:ilvl w:val="1"/>
          <w:numId w:val="421"/>
        </w:numPr>
        <w:rPr>
          <w:rFonts w:ascii="Arial" w:cs="Arial" w:eastAsia="Arial" w:hAnsi="Arial"/>
          <w:sz w:val="16"/>
          <w:szCs w:val="16"/>
          <w:color w:val="auto"/>
        </w:rPr>
      </w:pPr>
      <w:r>
        <w:rPr>
          <w:rFonts w:ascii="Arial" w:cs="Arial" w:eastAsia="Arial" w:hAnsi="Arial"/>
          <w:sz w:val="16"/>
          <w:szCs w:val="16"/>
          <w:color w:val="auto"/>
        </w:rPr>
        <w:t>with respect to all repurchases made pursuant to this Section 11.06, (1) the Borrower shall pay to the applicable selling Lender all accrued and unpaid interest, if any, on the repurchased Offer Loans to the date of repurchase of such Offer Loans, (2) the Borrower shall represent to each selling Lender that it is not in possession of any material non-public information regarding the Borrower or its Subsidiaries or their respective securities, that could reasonably be expected to have a material effect upon, or otherwise be material to, such Lender’s decision to assign the Offer Loans to the Borrower, (3) such repurchases shall not be deemed to be optional prepayments pursuant to Section 2.05(a), and (4) the amount of the Loans so repurchased shall be applied on a pro rata basis to reduce the scheduled remaining installments of principal on the Offer Loans; and</w:t>
      </w:r>
    </w:p>
    <w:p>
      <w:pPr>
        <w:spacing w:after="0" w:line="59" w:lineRule="exact"/>
        <w:rPr>
          <w:rFonts w:ascii="Arial" w:cs="Arial" w:eastAsia="Arial" w:hAnsi="Arial"/>
          <w:sz w:val="16"/>
          <w:szCs w:val="16"/>
          <w:color w:val="auto"/>
        </w:rPr>
      </w:pPr>
    </w:p>
    <w:p>
      <w:pPr>
        <w:jc w:val="both"/>
        <w:ind w:left="440" w:right="20" w:firstLine="380"/>
        <w:spacing w:after="0" w:line="259" w:lineRule="auto"/>
        <w:tabs>
          <w:tab w:leader="none" w:pos="1108" w:val="left"/>
        </w:tabs>
        <w:numPr>
          <w:ilvl w:val="1"/>
          <w:numId w:val="421"/>
        </w:numPr>
        <w:rPr>
          <w:rFonts w:ascii="Arial" w:cs="Arial" w:eastAsia="Arial" w:hAnsi="Arial"/>
          <w:sz w:val="18"/>
          <w:szCs w:val="18"/>
          <w:color w:val="auto"/>
        </w:rPr>
      </w:pPr>
      <w:r>
        <w:rPr>
          <w:rFonts w:ascii="Arial" w:cs="Arial" w:eastAsia="Arial" w:hAnsi="Arial"/>
          <w:sz w:val="18"/>
          <w:szCs w:val="18"/>
          <w:color w:val="auto"/>
        </w:rPr>
        <w:t>following a repurchase pursuant to this Section 11.06, the Offer Loans so repurchased shall, without further action by any Person, be deemed cancelled for all purposes and no longer outstanding (and may not be resold) for all purposes of this Agreement and all the other Loan Documents, including, but not limited to (1) the making of, or the application of, any payments to the Lenders under this Agreement or any</w:t>
      </w:r>
    </w:p>
    <w:p>
      <w:pPr>
        <w:spacing w:after="0" w:line="1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000"/>
          </w:cols>
          <w:pgMar w:left="1440" w:top="273" w:right="459" w:bottom="1440" w:gutter="0" w:footer="0" w:header="0"/>
        </w:sectPr>
      </w:pPr>
    </w:p>
    <w:bookmarkStart w:id="451" w:name="page452"/>
    <w:bookmarkEnd w:id="451"/>
    <w:p>
      <w:pPr>
        <w:ind w:left="1440"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Loan Document, (2) the making of any request, demand, authorization, direction, notice, consent or waiver under this Agreement or any other Loan Document or (3) the determination of Required Lenders, or for any similar or related purpose, under this Agreement or any other Loan Document. In connection with any Loans repurchased and cancelled pursuant to this</w:t>
      </w:r>
    </w:p>
    <w:p>
      <w:pPr>
        <w:ind w:left="1440"/>
        <w:spacing w:after="0"/>
        <w:rPr>
          <w:sz w:val="20"/>
          <w:szCs w:val="20"/>
          <w:color w:val="auto"/>
        </w:rPr>
      </w:pPr>
      <w:r>
        <w:rPr>
          <w:rFonts w:ascii="Arial" w:cs="Arial" w:eastAsia="Arial" w:hAnsi="Arial"/>
          <w:sz w:val="16"/>
          <w:szCs w:val="16"/>
          <w:color w:val="auto"/>
        </w:rPr>
        <w:t>Section 11.06, the Administrative Agent is authorized to make appropriate entries in the Register to reflect any such cancellation.</w:t>
      </w:r>
    </w:p>
    <w:p>
      <w:pPr>
        <w:spacing w:after="0" w:line="126" w:lineRule="exact"/>
        <w:rPr>
          <w:sz w:val="20"/>
          <w:szCs w:val="20"/>
          <w:color w:val="auto"/>
        </w:rPr>
      </w:pPr>
    </w:p>
    <w:p>
      <w:pPr>
        <w:ind w:left="440" w:right="20" w:firstLine="957"/>
        <w:spacing w:after="0" w:line="269" w:lineRule="auto"/>
        <w:tabs>
          <w:tab w:leader="none" w:pos="1797" w:val="left"/>
        </w:tabs>
        <w:numPr>
          <w:ilvl w:val="0"/>
          <w:numId w:val="422"/>
        </w:numPr>
        <w:rPr>
          <w:rFonts w:ascii="Arial" w:cs="Arial" w:eastAsia="Arial" w:hAnsi="Arial"/>
          <w:sz w:val="17"/>
          <w:szCs w:val="17"/>
          <w:color w:val="auto"/>
        </w:rPr>
      </w:pPr>
      <w:r>
        <w:rPr>
          <w:rFonts w:ascii="Arial" w:cs="Arial" w:eastAsia="Arial" w:hAnsi="Arial"/>
          <w:sz w:val="17"/>
          <w:szCs w:val="17"/>
          <w:i w:val="1"/>
          <w:iCs w:val="1"/>
          <w:color w:val="auto"/>
        </w:rPr>
        <w:t>Certain Additional Payments</w:t>
      </w:r>
      <w:r>
        <w:rPr>
          <w:rFonts w:ascii="Arial" w:cs="Arial" w:eastAsia="Arial" w:hAnsi="Arial"/>
          <w:sz w:val="17"/>
          <w:szCs w:val="17"/>
          <w:color w:val="auto"/>
        </w:rPr>
        <w:t>. In connection with any assignment of rights and obligations of any Defaulting Lender hereunder,</w:t>
      </w:r>
      <w:r>
        <w:rPr>
          <w:rFonts w:ascii="Arial" w:cs="Arial" w:eastAsia="Arial" w:hAnsi="Arial"/>
          <w:sz w:val="17"/>
          <w:szCs w:val="17"/>
          <w:i w:val="1"/>
          <w:iCs w:val="1"/>
          <w:color w:val="auto"/>
        </w:rPr>
        <w:t xml:space="preserve"> </w:t>
      </w:r>
      <w:r>
        <w:rPr>
          <w:rFonts w:ascii="Arial" w:cs="Arial" w:eastAsia="Arial" w:hAnsi="Arial"/>
          <w:sz w:val="17"/>
          <w:szCs w:val="17"/>
          <w:color w:val="auto"/>
        </w:rPr>
        <w:t>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Subject to acceptance and recording in the Register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3.01, 3.04, 3.05, and 11.04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59" w:lineRule="exact"/>
        <w:rPr>
          <w:sz w:val="20"/>
          <w:szCs w:val="20"/>
          <w:color w:val="auto"/>
        </w:rPr>
      </w:pPr>
    </w:p>
    <w:p>
      <w:pPr>
        <w:ind w:firstLine="996"/>
        <w:spacing w:after="0" w:line="259" w:lineRule="auto"/>
        <w:tabs>
          <w:tab w:leader="none" w:pos="1236"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Register</w:t>
      </w:r>
      <w:r>
        <w:rPr>
          <w:rFonts w:ascii="Arial" w:cs="Arial" w:eastAsia="Arial" w:hAnsi="Arial"/>
          <w:sz w:val="18"/>
          <w:szCs w:val="18"/>
          <w:color w:val="auto"/>
        </w:rPr>
        <w:t>. The Administrative Agent, acting solely for this purpose as a non-fiduciary agent of the Borrower (and such agency being</w:t>
      </w:r>
      <w:r>
        <w:rPr>
          <w:rFonts w:ascii="Arial" w:cs="Arial" w:eastAsia="Arial" w:hAnsi="Arial"/>
          <w:sz w:val="18"/>
          <w:szCs w:val="18"/>
          <w:i w:val="1"/>
          <w:iCs w:val="1"/>
          <w:color w:val="auto"/>
        </w:rPr>
        <w:t xml:space="preserve"> </w:t>
      </w:r>
      <w:r>
        <w:rPr>
          <w:rFonts w:ascii="Arial" w:cs="Arial" w:eastAsia="Arial" w:hAnsi="Arial"/>
          <w:sz w:val="18"/>
          <w:szCs w:val="18"/>
          <w:color w:val="auto"/>
        </w:rPr>
        <w:t>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owing to, each Lender pursuant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0"/>
          </w:cols>
          <w:pgMar w:left="440" w:top="274" w:right="459" w:bottom="1440" w:gutter="0" w:footer="0" w:header="0"/>
        </w:sectPr>
      </w:pPr>
    </w:p>
    <w:bookmarkStart w:id="452" w:name="page453"/>
    <w:bookmarkEnd w:id="45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Upon its receipt of a duly completed and executed Assignment and Assumption, the Administrative Agent shall record the information contained therein in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(with respect to such Lender’s entry), at any reasonable time and from time to time upon reasonable prior notice.</w:t>
      </w:r>
    </w:p>
    <w:p>
      <w:pPr>
        <w:spacing w:after="0" w:line="85" w:lineRule="exact"/>
        <w:rPr>
          <w:sz w:val="20"/>
          <w:szCs w:val="20"/>
          <w:color w:val="auto"/>
        </w:rPr>
      </w:pPr>
    </w:p>
    <w:p>
      <w:pPr>
        <w:ind w:firstLine="996"/>
        <w:spacing w:after="0" w:line="285" w:lineRule="auto"/>
        <w:tabs>
          <w:tab w:leader="none" w:pos="1247"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Any Lender may at any time, without the consent of, or notice to, the Borrower or the Administrative Agent, sell</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to any Person (other than a natural person, a Defaulting Lender or the Borrower or any of the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Lenders shall continue to deal solely and directly with such Lender in connection with such Lender’s rights and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bank that is a Farm Credit Lender that (a) has purchased a participation from any Lender that is a Farm Credit Lender in the minimum amount of $5,000,000 on or after the Closing Date, (b) is, by written notice to the Borrower and the Administrative Agent (a “</w:t>
      </w:r>
      <w:r>
        <w:rPr>
          <w:rFonts w:ascii="Arial" w:cs="Arial" w:eastAsia="Arial" w:hAnsi="Arial"/>
          <w:sz w:val="16"/>
          <w:szCs w:val="16"/>
          <w:b w:val="1"/>
          <w:bCs w:val="1"/>
          <w:color w:val="auto"/>
        </w:rPr>
        <w:t>Voting Participant</w:t>
      </w:r>
      <w:r>
        <w:rPr>
          <w:rFonts w:ascii="Arial" w:cs="Arial" w:eastAsia="Arial" w:hAnsi="Arial"/>
          <w:sz w:val="16"/>
          <w:szCs w:val="16"/>
          <w:color w:val="auto"/>
        </w:rPr>
        <w:t xml:space="preserve"> </w:t>
      </w:r>
      <w:r>
        <w:rPr>
          <w:rFonts w:ascii="Arial" w:cs="Arial" w:eastAsia="Arial" w:hAnsi="Arial"/>
          <w:sz w:val="16"/>
          <w:szCs w:val="16"/>
          <w:b w:val="1"/>
          <w:bCs w:val="1"/>
          <w:color w:val="auto"/>
        </w:rPr>
        <w:t>Notification</w:t>
      </w:r>
      <w:r>
        <w:rPr>
          <w:rFonts w:ascii="Arial" w:cs="Arial" w:eastAsia="Arial" w:hAnsi="Arial"/>
          <w:sz w:val="16"/>
          <w:szCs w:val="16"/>
          <w:color w:val="auto"/>
        </w:rPr>
        <w:t>”), designated by such Lender as being entitled to be accorded the rights of a voting participant hereunder (any such bank so designated,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Voting Participant</w:t>
      </w:r>
      <w:r>
        <w:rPr>
          <w:rFonts w:ascii="Arial" w:cs="Arial" w:eastAsia="Arial" w:hAnsi="Arial"/>
          <w:sz w:val="16"/>
          <w:szCs w:val="16"/>
          <w:color w:val="auto"/>
        </w:rPr>
        <w:t>”) and (c) received the prior written consent of the Borrower and the Administrative Agent to become a Voting Participant (such consent to be required only to the extent and under the circumstances it would be required if such Voting Participant were to become a Lender pursuant to an assignment in accordance with Section 11.06(b)(iii)), shall be entitled to vote (and the voting rights of such Lender from whom it purchased such participation shall be correspondingly reduced), on a dollar for dollar basis, as if such Voting Participant were a Lender under the applicable Loans with a Commitment and/or Loans (as applicable) in an amount equal to the U.S. Dollar amount of the participation purchased, on any matter requiring or allowing such Lender from whom it purchased such participation, in its capacity as a Lender, to provide or withhold its consent, or to otherwise vote on any proposed action. To be effective, each Voting Participant Notification shall, with respect to any Voting Participant, (i) state the full name of such Voting Participant, as well as all contact information required of an assignee as set forth in Exhibit E-2 hereto and (ii) state the dollar amount and the applicable Loans of the participation purchased. The Borrower and the Administrative Agent shall be entitled to conclusively rely on information contained in notices delivered pursuant to this paragraph.</w:t>
      </w:r>
    </w:p>
    <w:p>
      <w:pPr>
        <w:spacing w:after="0" w:line="3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clause</w:t>
      </w:r>
    </w:p>
    <w:p>
      <w:pPr>
        <w:ind w:left="5380" w:right="3120" w:hanging="5376"/>
        <w:spacing w:after="0" w:line="433" w:lineRule="auto"/>
        <w:tabs>
          <w:tab w:leader="none" w:pos="27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of the first proviso to Section 11.01 requiring the consent of each Lender affected thereby and that affects 153</w:t>
      </w:r>
    </w:p>
    <w:p>
      <w:pPr>
        <w:sectPr>
          <w:pgSz w:w="11900" w:h="16838" w:orient="portrait"/>
          <w:cols w:equalWidth="0" w:num="1">
            <w:col w:w="10980"/>
          </w:cols>
          <w:pgMar w:left="440" w:top="269" w:right="479" w:bottom="1440" w:gutter="0" w:footer="0" w:header="0"/>
        </w:sectPr>
      </w:pPr>
    </w:p>
    <w:bookmarkStart w:id="453" w:name="page454"/>
    <w:bookmarkEnd w:id="453"/>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Participant. Subject to subsection (e) of this Section, the Borrower agrees that each Participant shall be entitled to the benefits of Sections 3.01, 3.04 and 3.05 to the same extent as if it were a Lender and had acquired its interest by assignment pursuant to subsection (b)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such agreement or instrument shall provide that the Participant understands that the value of the loan asset (including Participant’s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 thereof) may increase or decrease based on fluctuations in currency exchange rates and agrees that any losses (gains) experienced as a result of changes in currency exchange rates shall be shared by such Participant in accordance with the Participant’s pro rata share. To the extent permitted by law, each Participant shall also be entitled to the benefits of Section 11.08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2.13 as though it were a Lender. Each Lender that sells a participation shall, acting solely for this purpose as an non-fiduciary agent of the Borrower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Lender shall have any obligation to disclose all or any portion of the Participant Register (including the identity of any Participant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70" w:lineRule="exact"/>
        <w:rPr>
          <w:sz w:val="20"/>
          <w:szCs w:val="20"/>
          <w:color w:val="auto"/>
        </w:rPr>
      </w:pPr>
    </w:p>
    <w:p>
      <w:pPr>
        <w:ind w:right="80" w:firstLine="996"/>
        <w:spacing w:after="0" w:line="273" w:lineRule="auto"/>
        <w:tabs>
          <w:tab w:leader="none" w:pos="1236" w:val="left"/>
        </w:tabs>
        <w:numPr>
          <w:ilvl w:val="0"/>
          <w:numId w:val="426"/>
        </w:numPr>
        <w:rPr>
          <w:rFonts w:ascii="Arial" w:cs="Arial" w:eastAsia="Arial" w:hAnsi="Arial"/>
          <w:sz w:val="17"/>
          <w:szCs w:val="17"/>
          <w:color w:val="auto"/>
        </w:rPr>
      </w:pPr>
      <w:r>
        <w:rPr>
          <w:rFonts w:ascii="Arial" w:cs="Arial" w:eastAsia="Arial" w:hAnsi="Arial"/>
          <w:sz w:val="17"/>
          <w:szCs w:val="17"/>
          <w:i w:val="1"/>
          <w:iCs w:val="1"/>
          <w:color w:val="auto"/>
        </w:rPr>
        <w:t>Limitations upon Participant Rights</w:t>
      </w:r>
      <w:r>
        <w:rPr>
          <w:rFonts w:ascii="Arial" w:cs="Arial" w:eastAsia="Arial" w:hAnsi="Arial"/>
          <w:sz w:val="17"/>
          <w:szCs w:val="17"/>
          <w:color w:val="auto"/>
        </w:rPr>
        <w:t>. A Participant shall not be entitled to receive any greater payment under Section 3.01 or 3.04 than</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 A Participant shall be entitled to the benefits of Section 3.01 if such Participant agrees, for the benefit of the Borrower, to comply with Section 3.01(e)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forms required under Section 3.01(e) shall instead be delivered to the applicable Lender).</w:t>
      </w:r>
    </w:p>
    <w:p>
      <w:pPr>
        <w:spacing w:after="0" w:line="70" w:lineRule="exact"/>
        <w:rPr>
          <w:rFonts w:ascii="Arial" w:cs="Arial" w:eastAsia="Arial" w:hAnsi="Arial"/>
          <w:sz w:val="17"/>
          <w:szCs w:val="17"/>
          <w:color w:val="auto"/>
        </w:rPr>
      </w:pPr>
    </w:p>
    <w:p>
      <w:pPr>
        <w:ind w:firstLine="996"/>
        <w:spacing w:after="0" w:line="259" w:lineRule="auto"/>
        <w:tabs>
          <w:tab w:leader="none" w:pos="1217" w:val="left"/>
        </w:tabs>
        <w:numPr>
          <w:ilvl w:val="0"/>
          <w:numId w:val="426"/>
        </w:numPr>
        <w:rPr>
          <w:rFonts w:ascii="Arial" w:cs="Arial" w:eastAsia="Arial" w:hAnsi="Arial"/>
          <w:sz w:val="18"/>
          <w:szCs w:val="18"/>
          <w:color w:val="auto"/>
        </w:rPr>
      </w:pPr>
      <w:r>
        <w:rPr>
          <w:rFonts w:ascii="Arial" w:cs="Arial" w:eastAsia="Arial" w:hAnsi="Arial"/>
          <w:sz w:val="18"/>
          <w:szCs w:val="18"/>
          <w:i w:val="1"/>
          <w:iCs w:val="1"/>
          <w:color w:val="auto"/>
        </w:rPr>
        <w:t>Certain Pledges</w:t>
      </w:r>
      <w:r>
        <w:rPr>
          <w:rFonts w:ascii="Arial" w:cs="Arial" w:eastAsia="Arial" w:hAnsi="Arial"/>
          <w:sz w:val="18"/>
          <w:szCs w:val="18"/>
          <w:color w:val="auto"/>
        </w:rPr>
        <w:t>. Any Lender may at any time pledge or assign a security interest in all or any portion of its rights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under its Note, if any) to secure obligations of such Lender, including any pledge or assignment to secure obligations to a Federal Reserve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left="1260" w:hanging="264"/>
        <w:spacing w:after="0"/>
        <w:tabs>
          <w:tab w:leader="none" w:pos="12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Disqualified Lenders.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454" w:name="page455"/>
    <w:bookmarkEnd w:id="454"/>
    <w:p>
      <w:pPr>
        <w:ind w:right="180" w:firstLine="957"/>
        <w:spacing w:after="0" w:line="258" w:lineRule="auto"/>
        <w:tabs>
          <w:tab w:leader="none" w:pos="1167" w:val="left"/>
        </w:tabs>
        <w:numPr>
          <w:ilvl w:val="1"/>
          <w:numId w:val="4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assignment or participation shall be made to any Person that was a Disqualified Lender as of the date (the “</w:t>
      </w:r>
      <w:r>
        <w:rPr>
          <w:rFonts w:ascii="Arial" w:cs="Arial" w:eastAsia="Arial" w:hAnsi="Arial"/>
          <w:sz w:val="18"/>
          <w:szCs w:val="18"/>
          <w:b w:val="1"/>
          <w:bCs w:val="1"/>
          <w:color w:val="auto"/>
        </w:rPr>
        <w:t>Trade Date</w:t>
      </w:r>
      <w:r>
        <w:rPr>
          <w:rFonts w:ascii="Arial" w:cs="Arial" w:eastAsia="Arial" w:hAnsi="Arial"/>
          <w:sz w:val="18"/>
          <w:szCs w:val="18"/>
          <w:color w:val="auto"/>
        </w:rPr>
        <w:t>”) on which the assigning or transferring Lender entered into a binding agreement to sell and assign, or grant a participation in, all or a portion of its rights and obligations under this Agreement, as applicable, to such Person. For the avoidance of doubt, no assignment or participation shall be retroactively invalidated pursuant to this Section 10.06(h) if the Trade Date therefor occurred prior to the assignee’s or participant’s becoming a Disqualified Lender.</w:t>
      </w:r>
    </w:p>
    <w:p>
      <w:pPr>
        <w:spacing w:after="0" w:line="79" w:lineRule="exact"/>
        <w:rPr>
          <w:rFonts w:ascii="Arial" w:cs="Arial" w:eastAsia="Arial" w:hAnsi="Arial"/>
          <w:sz w:val="18"/>
          <w:szCs w:val="18"/>
          <w:color w:val="auto"/>
        </w:rPr>
      </w:pPr>
    </w:p>
    <w:p>
      <w:pPr>
        <w:ind w:right="20" w:firstLine="957"/>
        <w:spacing w:after="0" w:line="291" w:lineRule="auto"/>
        <w:tabs>
          <w:tab w:leader="none" w:pos="121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 xml:space="preserve">The Administrative Agent and each assignor of a Loan or Commitment or seller of a participation hereunder shall be entitled to rely conclusively on a representation of the assignee Lender or Participant in the relevant Assignment and Assumption or participation agreement, as applicable, that such assignee or purchaser is not a Disqualified Lender. The Administrative Agent shall have the right, and the Borrower hereby expressly authorizes the Administrative Agent, to provide the list of Disqualified Lenders to each Lender upon request. Subject to 11.06(h) (iii), any assignment by a Lender to a Disqualified Lender in violation of this Section 11.06(h) shall be treated for purposes of this Agreement as a sale by such Lender of a participation of such rights and obligations in accordance with Section 11.06(d),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treatment shall not relieve any assigning Lender from any liabilities arising as a consequence of its breach of this Agreement.</w:t>
      </w:r>
    </w:p>
    <w:p>
      <w:pPr>
        <w:spacing w:after="0" w:line="59" w:lineRule="exact"/>
        <w:rPr>
          <w:rFonts w:ascii="Arial" w:cs="Arial" w:eastAsia="Arial" w:hAnsi="Arial"/>
          <w:sz w:val="16"/>
          <w:szCs w:val="16"/>
          <w:color w:val="auto"/>
        </w:rPr>
      </w:pPr>
    </w:p>
    <w:p>
      <w:pPr>
        <w:ind w:right="100" w:firstLine="957"/>
        <w:spacing w:after="0" w:line="271" w:lineRule="auto"/>
        <w:tabs>
          <w:tab w:leader="none" w:pos="1267" w:val="left"/>
        </w:tabs>
        <w:numPr>
          <w:ilvl w:val="1"/>
          <w:numId w:val="427"/>
        </w:numPr>
        <w:rPr>
          <w:rFonts w:ascii="Arial" w:cs="Arial" w:eastAsia="Arial" w:hAnsi="Arial"/>
          <w:sz w:val="17"/>
          <w:szCs w:val="17"/>
          <w:color w:val="auto"/>
        </w:rPr>
      </w:pPr>
      <w:r>
        <w:rPr>
          <w:rFonts w:ascii="Arial" w:cs="Arial" w:eastAsia="Arial" w:hAnsi="Arial"/>
          <w:sz w:val="17"/>
          <w:szCs w:val="17"/>
          <w:color w:val="auto"/>
        </w:rPr>
        <w:t>If any assignment or participation is made to any Disqualified Lender without the Borrower’s prior written consent in violation of clause (i) above, or if any Person becomes a Disqualified Lender after the applicable Trade Date, the Borrower may, at its sole expense and effort, upon notice to the applicable Disqualified Lender and the Administrative Agent, (A) in the case of outstanding Loans held by Disqualified Lender, purchase or prepay such Loan by paying the lesser of (x) the principal amount thereof and (y) the amount that such Disqualified Lender paid to acquire such Loans and or (B) require such Disqualified Lender to assign, without recourse (in accordance with and subject to the restrictions contained in this Section 11.06 all of its interest, rights and obligations under this Agreement to one or more Eligible Assignees that agrees to such assignment in writing of the lesser of (x) the principal amount of the Loans thereof and (y) the amount that such Disqualified Lender paid to acquire such interests, rights and obligations.</w:t>
      </w:r>
    </w:p>
    <w:p>
      <w:pPr>
        <w:spacing w:after="0" w:line="70" w:lineRule="exact"/>
        <w:rPr>
          <w:rFonts w:ascii="Arial" w:cs="Arial" w:eastAsia="Arial" w:hAnsi="Arial"/>
          <w:sz w:val="17"/>
          <w:szCs w:val="17"/>
          <w:color w:val="auto"/>
        </w:rPr>
      </w:pPr>
    </w:p>
    <w:p>
      <w:pPr>
        <w:ind w:left="1260" w:hanging="303"/>
        <w:spacing w:after="0"/>
        <w:tabs>
          <w:tab w:leader="none" w:pos="126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Disqualified Lenders (1) will not have the right to</w:t>
      </w:r>
    </w:p>
    <w:p>
      <w:pPr>
        <w:spacing w:after="0" w:line="34" w:lineRule="exact"/>
        <w:rPr>
          <w:rFonts w:ascii="Arial" w:cs="Arial" w:eastAsia="Arial" w:hAnsi="Arial"/>
          <w:sz w:val="17"/>
          <w:szCs w:val="17"/>
          <w:color w:val="auto"/>
        </w:rPr>
      </w:pPr>
    </w:p>
    <w:p>
      <w:pPr>
        <w:ind w:firstLine="4"/>
        <w:spacing w:after="0" w:line="290" w:lineRule="auto"/>
        <w:tabs>
          <w:tab w:leader="none" w:pos="25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receive information, reports or other materials provided to the Administrative Agent or the Lenders by the Borrower or any of its Subsidiaries, the Administrative Agent or any other Lender, (y) attend or participate (including by telephone) in meetings attended by any of the Lenders and/or the Administrative Agent, or (z) access any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to such matter in the same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560"/>
          </w:cols>
          <w:pgMar w:left="880" w:top="270" w:right="459" w:bottom="1440" w:gutter="0" w:footer="0" w:header="0"/>
        </w:sectPr>
      </w:pPr>
    </w:p>
    <w:bookmarkStart w:id="455" w:name="page456"/>
    <w:bookmarkEnd w:id="455"/>
    <w:p>
      <w:pPr>
        <w:ind w:left="44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proportion as the Lenders that are not Disqualified Lenders consented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any Disqualified Lender’s consent shall be required for any amendment, waiver or other modification described in clause (c) of Section 11.01 with respect to any increase to the Commitments of such Disqualified Lender, and (y) for purposes of voting on any plan of reorganization pursuant to Section 1126 of the Bankruptcy Code of the United States or any similar plan or proposal under any other Debtor Relief Law with respect to Borrower or any of its Subsidiaries, each Disqualified Lender hereby agrees (1) not to vote on such plan, (2) if such Disqualified Lender does vote on such plan notwithstanding the restriction in the immediately foregoing clause (1), such vote will be deemed not to be in good faith and shall be “designated” pursuant to Section 1126(e) of the Bankruptcy Code of the United States (or any similar provision in any other similar federal, state or foreign law affecting creditor’s rights, including any Debtor Relief Law), and such vote shall not be counted in determining whether the applicable class has accepted or rejected such plan in accordance with Section 1126(c) of the Bankruptcy Code of the United States (or any similar provision in any other similar federal, state or foreign law affecting creditor’s rights including any Debtor Relief Laws) and (3) not to contest any request by any party for a determination by the bankruptcy court (or other applicable court of competent jurisdiction) effectuating the foregoing clause (2).</w:t>
      </w:r>
    </w:p>
    <w:p>
      <w:pPr>
        <w:spacing w:after="0" w:line="65" w:lineRule="exact"/>
        <w:rPr>
          <w:sz w:val="20"/>
          <w:szCs w:val="20"/>
          <w:color w:val="auto"/>
        </w:rPr>
      </w:pPr>
    </w:p>
    <w:p>
      <w:pPr>
        <w:ind w:left="440" w:right="160" w:firstLine="957"/>
        <w:spacing w:after="0" w:line="286" w:lineRule="auto"/>
        <w:tabs>
          <w:tab w:leader="none" w:pos="164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Loan Parties and the Lenders acknowledge and agree that in no event shall the Administrative Agent or any of its Affiliates or Related Parties be responsible or have any liability for, or have any duty to ascertain, inquire into, monitor or enforce, compliance with the provisions hereof relating to Disqualified Lenders.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Treatment of Certain Information; Confidentiality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of the Administrative Agent and the Lenders agrees to maintain the confidentiality of the Information (as defined below), except that Information may be disclosed (a) to its Affiliates and to its and its Affiliates’ respective partners, directors, officers, managers, employees agents, trustees,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or (ii) any actual or prospective counterparty (or its advisors) to any swap or derivative transaction relating to the Borrower and its obligations, (g) with the consent of the Borrower, (h) on a confidential basis to (i) any rating agency in connection with rating the Borrower or its Restricted Subsidiaries or any of the Loans or (ii) the CUSIP Service Bureau or any similar agency in connection with the issuance and monitoring of CUSIP numbers with respect to any of the Loans or (i) to the extent such Information (x) becomes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20"/>
          </w:cols>
          <w:pgMar w:left="440" w:top="273" w:right="439" w:bottom="1440" w:gutter="0" w:footer="0" w:header="0"/>
        </w:sectPr>
      </w:pPr>
    </w:p>
    <w:bookmarkStart w:id="456" w:name="page457"/>
    <w:bookmarkEnd w:id="456"/>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publicly available other than as a result of a breach of this Section, (y) becomes available to the Administrative Agent, any Lender, or any of their respective Affiliates on a nonconfidential basis from a source other than the Borrower or (z) is independently developed by the Administrative Agent, any Lender, or any of their respective Affiliates without reliance on any confidential Information of the Borrower and its Subsidiaries. In addition, each of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Credit Extension.</w:t>
      </w:r>
    </w:p>
    <w:p>
      <w:pPr>
        <w:spacing w:after="0" w:line="174" w:lineRule="exact"/>
        <w:rPr>
          <w:sz w:val="20"/>
          <w:szCs w:val="20"/>
          <w:color w:val="auto"/>
        </w:rPr>
      </w:pPr>
    </w:p>
    <w:p>
      <w:pPr>
        <w:ind w:right="480"/>
        <w:spacing w:after="0" w:line="277"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b w:val="1"/>
          <w:bCs w:val="1"/>
          <w:color w:val="auto"/>
        </w:rPr>
        <w:t>Information</w:t>
      </w:r>
      <w:r>
        <w:rPr>
          <w:rFonts w:ascii="Arial" w:cs="Arial" w:eastAsia="Arial" w:hAnsi="Arial"/>
          <w:sz w:val="17"/>
          <w:szCs w:val="17"/>
          <w:color w:val="auto"/>
        </w:rPr>
        <w:t>” means all information received from the Borrower or any Subsidiary relating to the Borrower or any Subsidiary or any of their respective businesses other than any such information that is available to the Administrative Agent and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Each of the Administrative Agent and the Lenders acknowledges that (a) the Information may include MNPI concerning the Borrower or a Subsidiary, as the case may be, (b) it has developed compliance procedures regarding the use of MNPI and (c) it will handle such MNPI in accordance with applicable Law, including United States Federal and state securities Laws.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Right of Setoff</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2.16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all other rights and remedies (including other rights of setoff) that such Lender or their respective Affiliates may have under applicable Law or otherwise. Each Lender agrees to notify the Borrower and the Administrative Agent promptly after any such setoff and application;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274" w:right="459" w:bottom="1440" w:gutter="0" w:footer="0" w:header="0"/>
        </w:sectPr>
      </w:pPr>
    </w:p>
    <w:bookmarkStart w:id="457" w:name="page458"/>
    <w:bookmarkEnd w:id="4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11.09. </w:t>
      </w:r>
      <w:r>
        <w:rPr>
          <w:rFonts w:ascii="Arial" w:cs="Arial" w:eastAsia="Arial" w:hAnsi="Arial"/>
          <w:sz w:val="18"/>
          <w:szCs w:val="18"/>
          <w:u w:val="single" w:color="auto"/>
          <w:color w:val="auto"/>
        </w:rPr>
        <w:t>Interest Rate Limitation</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unpaid principal of the Loans or, if it exceeds such unpaid principal, refunded to the Borrower. In determining whether the interest contracted for, charged, or received by the Administrative Agent or any Lender exceeds the Maximum Rate, such Person may, to the extent permitted by applicable Law, (a) characterize any payment that is not principal as an expense, fee, or premium rather than interest, (b) exclude optional prepayments and the effects thereof and (c) amortize, prorate, allocate, and spread in equal or unequal parts the total amount of interest throughout the contemplated term of the Obligations hereunder.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Counterparts; Integration; Effectiveness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Agreement may be executed in counterparts (and by different parties hereto in different counterparts), each of which shall constitute an original, but all of which when taken together shall constitute a single contract. This Agreement, the Fee Letter and the other Loan Documents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“pdf” or other electronic imaging means shall be effective as delivery of a manually executed counterpart of this Agreement.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Survival of Representations and Warranties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Credit Extension, and shall continue in full force and effect as long as any Loan or any other Obligation (other than contingent indemnification obligations as to which no claim has been asserted and obligations and liabilities under Secured Cash Management Agreements and Secured Hedge Agreements) hereunder shall remain unpaid or unsatisfied, any Commitment remains in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20"/>
          </w:cols>
          <w:pgMar w:left="440" w:top="273" w:right="439" w:bottom="1440" w:gutter="0" w:footer="0" w:header="0"/>
        </w:sectPr>
      </w:pPr>
    </w:p>
    <w:bookmarkStart w:id="458" w:name="page459"/>
    <w:bookmarkEnd w:id="4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11.12. </w:t>
      </w:r>
      <w:r>
        <w:rPr>
          <w:rFonts w:ascii="Arial" w:cs="Arial" w:eastAsia="Arial" w:hAnsi="Arial"/>
          <w:sz w:val="18"/>
          <w:szCs w:val="18"/>
          <w:u w:val="single" w:color="auto"/>
          <w:color w:val="auto"/>
        </w:rPr>
        <w:t>Severability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then, to the fullest extent permitted by law,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Replacement of Lenders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If any Lender requests compensation under Section 3.04, or if the Borrower is required to pay any additional amount to any Lender or any Governmental Authority for the account of any Lender pursuant to Section 3.01, or if any Lender shall have not consented to any proposed amendment, modification, termination, waiver or consent requiring the consent of all Lenders or all affected Lenders as contemplated by Section 11.01 and the consent of the Required Lenders has been obtained, or if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4" w:lineRule="exact"/>
        <w:rPr>
          <w:sz w:val="20"/>
          <w:szCs w:val="20"/>
          <w:color w:val="auto"/>
        </w:rPr>
      </w:pPr>
    </w:p>
    <w:p>
      <w:pPr>
        <w:ind w:left="1240" w:hanging="244"/>
        <w:spacing w:after="0"/>
        <w:tabs>
          <w:tab w:leader="none" w:pos="12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11.06(b);</w:t>
      </w:r>
    </w:p>
    <w:p>
      <w:pPr>
        <w:spacing w:after="0" w:line="117" w:lineRule="exact"/>
        <w:rPr>
          <w:rFonts w:ascii="Arial" w:cs="Arial" w:eastAsia="Arial" w:hAnsi="Arial"/>
          <w:sz w:val="18"/>
          <w:szCs w:val="18"/>
          <w:color w:val="auto"/>
        </w:rPr>
      </w:pPr>
    </w:p>
    <w:p>
      <w:pPr>
        <w:ind w:right="200" w:firstLine="996"/>
        <w:spacing w:after="0" w:line="312" w:lineRule="auto"/>
        <w:tabs>
          <w:tab w:leader="none" w:pos="1247" w:val="left"/>
        </w:tabs>
        <w:numPr>
          <w:ilvl w:val="0"/>
          <w:numId w:val="430"/>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3.05) from the assignee (to the extent of such outstanding principal and accrued interest and fees) or the Borrower (in the case of all other amounts);</w:t>
      </w:r>
    </w:p>
    <w:p>
      <w:pPr>
        <w:spacing w:after="0" w:line="38" w:lineRule="exact"/>
        <w:rPr>
          <w:rFonts w:ascii="Arial" w:cs="Arial" w:eastAsia="Arial" w:hAnsi="Arial"/>
          <w:sz w:val="16"/>
          <w:szCs w:val="16"/>
          <w:color w:val="auto"/>
        </w:rPr>
      </w:pPr>
    </w:p>
    <w:p>
      <w:pPr>
        <w:ind w:right="500" w:firstLine="996"/>
        <w:spacing w:after="0" w:line="308" w:lineRule="auto"/>
        <w:tabs>
          <w:tab w:leader="none" w:pos="1237"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3.04 or payments required to be made pursuant to Section 3.01, such assignment will result in a reduction in such compensation or payments thereafter;</w:t>
      </w:r>
    </w:p>
    <w:p>
      <w:pPr>
        <w:spacing w:after="0" w:line="38" w:lineRule="exact"/>
        <w:rPr>
          <w:rFonts w:ascii="Arial" w:cs="Arial" w:eastAsia="Arial" w:hAnsi="Arial"/>
          <w:sz w:val="17"/>
          <w:szCs w:val="17"/>
          <w:color w:val="auto"/>
        </w:rPr>
      </w:pPr>
    </w:p>
    <w:p>
      <w:pPr>
        <w:ind w:left="1260" w:hanging="264"/>
        <w:spacing w:after="0"/>
        <w:tabs>
          <w:tab w:leader="none" w:pos="12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right="400" w:firstLine="996"/>
        <w:spacing w:after="0" w:line="277" w:lineRule="auto"/>
        <w:tabs>
          <w:tab w:leader="none" w:pos="123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Lender becoming a non-consenting Lender, the applicable assignee shall have consented to the applicable amendment, modification, termination, waiver or consent.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 Each Lender hereby agrees and acknowledges that, with regard to any assignment and acceptance necessary to effectuate any assignment of such Lender’s interests hereunder in the circumstances contemplated by this Section 11.13, consent to such assignment and acceptance shall have been deemed to have been given if such Lender has not responded within one Business Day of a request for such consent.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80"/>
          </w:cols>
          <w:pgMar w:left="440" w:top="274" w:right="479" w:bottom="1440" w:gutter="0" w:footer="0" w:header="0"/>
        </w:sectPr>
      </w:pPr>
    </w:p>
    <w:bookmarkStart w:id="459" w:name="page460"/>
    <w:bookmarkEnd w:id="4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11.14. </w:t>
      </w:r>
      <w:r>
        <w:rPr>
          <w:rFonts w:ascii="Arial" w:cs="Arial" w:eastAsia="Arial" w:hAnsi="Arial"/>
          <w:sz w:val="18"/>
          <w:szCs w:val="18"/>
          <w:u w:val="single" w:color="auto"/>
          <w:color w:val="auto"/>
        </w:rPr>
        <w:t>Governing Law; Jurisdiction; Etc.</w:t>
      </w:r>
    </w:p>
    <w:p>
      <w:pPr>
        <w:spacing w:after="0" w:line="117" w:lineRule="exact"/>
        <w:rPr>
          <w:sz w:val="20"/>
          <w:szCs w:val="20"/>
          <w:color w:val="auto"/>
        </w:rPr>
      </w:pPr>
    </w:p>
    <w:p>
      <w:pPr>
        <w:ind w:firstLine="996"/>
        <w:spacing w:after="0" w:line="257" w:lineRule="auto"/>
        <w:tabs>
          <w:tab w:leader="none" w:pos="1236" w:val="left"/>
        </w:tabs>
        <w:numPr>
          <w:ilvl w:val="0"/>
          <w:numId w:val="43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OTHER LOAN DOCUMENTS AND ALL CLAIMS OR CAUSES OF ACTION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IN CONTRACT, TORT OR OTHERWISE) THAT MAY BE BASED UPON, ARISE OUT OF OR RELATE IN ANY WAY HERETO OR THERETO OR THE NEGOTIATION, EXECUTION OR PERFORMANCE HEREOF OR THEREOF OR THE TRANSACTIONS CONTEMPLATED HEREBY OR THEREBY, UNLESS OTHERWISE EXPRESSLY SET FORTH THEREIN, SHALL BE GOVERNED BY, AND CONSTRUED IN ACCORDANCE WITH, THE LAW OF THE STATE OF NEW YORK.</w:t>
      </w:r>
    </w:p>
    <w:p>
      <w:pPr>
        <w:spacing w:after="0" w:line="80" w:lineRule="exact"/>
        <w:rPr>
          <w:rFonts w:ascii="Arial" w:cs="Arial" w:eastAsia="Arial" w:hAnsi="Arial"/>
          <w:sz w:val="18"/>
          <w:szCs w:val="18"/>
          <w:color w:val="auto"/>
        </w:rPr>
      </w:pPr>
    </w:p>
    <w:p>
      <w:pPr>
        <w:ind w:right="80" w:firstLine="996"/>
        <w:spacing w:after="0" w:line="252" w:lineRule="auto"/>
        <w:tabs>
          <w:tab w:leader="none" w:pos="1247" w:val="left"/>
        </w:tabs>
        <w:numPr>
          <w:ilvl w:val="0"/>
          <w:numId w:val="431"/>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BORROWER IRREVOCABLY AND UNCONDITIONALLY SUBMITS, FOR ITSELF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TO THE EXCLUSIVE JURISDICTION OF THE COURTS OF THE STATE OF NEW YORK SITTING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91" w:lineRule="exact"/>
        <w:rPr>
          <w:rFonts w:ascii="Arial" w:cs="Arial" w:eastAsia="Arial" w:hAnsi="Arial"/>
          <w:sz w:val="18"/>
          <w:szCs w:val="18"/>
          <w:color w:val="auto"/>
        </w:rPr>
      </w:pPr>
    </w:p>
    <w:p>
      <w:pPr>
        <w:ind w:right="80" w:firstLine="996"/>
        <w:spacing w:after="0" w:line="255" w:lineRule="auto"/>
        <w:tabs>
          <w:tab w:leader="none" w:pos="1236" w:val="left"/>
        </w:tabs>
        <w:numPr>
          <w:ilvl w:val="0"/>
          <w:numId w:val="431"/>
        </w:numPr>
        <w:rPr>
          <w:rFonts w:ascii="Arial" w:cs="Arial" w:eastAsia="Arial" w:hAnsi="Arial"/>
          <w:sz w:val="18"/>
          <w:szCs w:val="18"/>
          <w:color w:val="auto"/>
        </w:rPr>
      </w:pPr>
      <w:r>
        <w:rPr>
          <w:rFonts w:ascii="Arial" w:cs="Arial" w:eastAsia="Arial" w:hAnsi="Arial"/>
          <w:sz w:val="18"/>
          <w:szCs w:val="18"/>
          <w:i w:val="1"/>
          <w:iCs w:val="1"/>
          <w:color w:val="auto"/>
        </w:rPr>
        <w:t>Waiver of Venue</w:t>
      </w:r>
      <w:r>
        <w:rPr>
          <w:rFonts w:ascii="Arial" w:cs="Arial" w:eastAsia="Arial" w:hAnsi="Arial"/>
          <w:sz w:val="18"/>
          <w:szCs w:val="18"/>
          <w:color w:val="auto"/>
        </w:rPr>
        <w:t>. THE BORROWER IRREVOCABLY AND UNCONDITIONALLY WAIVES, TO THE FULLEST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0"/>
          </w:cols>
          <w:pgMar w:left="440" w:top="274" w:right="439" w:bottom="1440" w:gutter="0" w:footer="0" w:header="0"/>
        </w:sectPr>
      </w:pPr>
    </w:p>
    <w:bookmarkStart w:id="460" w:name="page461"/>
    <w:bookmarkEnd w:id="460"/>
    <w:p>
      <w:pPr>
        <w:ind w:right="120" w:firstLine="996"/>
        <w:spacing w:after="0" w:line="264" w:lineRule="auto"/>
        <w:tabs>
          <w:tab w:leader="none" w:pos="1247" w:val="left"/>
        </w:tabs>
        <w:numPr>
          <w:ilvl w:val="0"/>
          <w:numId w:val="4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of Process</w:t>
      </w:r>
      <w:r>
        <w:rPr>
          <w:rFonts w:ascii="Arial" w:cs="Arial" w:eastAsia="Arial" w:hAnsi="Arial"/>
          <w:sz w:val="18"/>
          <w:szCs w:val="18"/>
          <w:color w:val="auto"/>
        </w:rPr>
        <w:t>. EACH PARTY HERETO IRREVOCABLY CONSENTS TO SERVICE OF PROCESS IN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NOTICES IN SECTION 11.02. NOTHING IN THIS AGREEMENT WILL AFFECT THE RIGHT OF ANY PARTY HERETO TO SERVE PROCESS IN ANY OTHER MANNER PERMITTED BY APPLICABLE LAW.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Waiver of Jury Trial</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1" w:lineRule="exact"/>
        <w:rPr>
          <w:sz w:val="20"/>
          <w:szCs w:val="20"/>
          <w:color w:val="auto"/>
        </w:rPr>
      </w:pPr>
    </w:p>
    <w:p>
      <w:pPr>
        <w:ind w:right="240" w:firstLine="4"/>
        <w:spacing w:after="0" w:line="290" w:lineRule="auto"/>
        <w:tabs>
          <w:tab w:leader="none" w:pos="27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ACKNOWLEDGES THAT IT AND THE OTHER PARTIES HERETO HAVE BEEN INDUCED TO ENTER INTO THIS AGREEMENT AND THE OTHER LOAN DOCUMENTS BY, AMONG OTHER THINGS, THE MUTUAL WAIVERS AND CERTIFICATIONS IN THIS SECTION.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California Judicial Reference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option of any party to such proceeding, any such issues pertaining to a “provisional remedy” as defined in California Code of Civil Procedure Section 1281.8 shall be heard and determined by the court, and (b) without limiting the generality of Section 11.04, the Borrower shall be solely responsible to pay all fees and expenses of any referee appointed in such action or proceeding.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No Advisory or Fiduciary Responsibility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each of the Arrangers and the Lenders is and has been acting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0"/>
          </w:cols>
          <w:pgMar w:left="440" w:top="274" w:right="439" w:bottom="1440" w:gutter="0" w:footer="0" w:header="0"/>
        </w:sectPr>
      </w:pPr>
    </w:p>
    <w:bookmarkStart w:id="461" w:name="page462"/>
    <w:bookmarkEnd w:id="46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as a principal and, except as expressly agreed in writing by the relevant parties, has not been, is not, and will not be acting as an advisor, agent or fiduciary for the Borrower or any of its Affiliates, or any other Person and (B) neither the Administrative Agent nor any of the Arrangers or the Lenders has any obligation to the Borrower or any of its Affiliates with respect to the transactions contemplated hereby except those obligations expressly set forth herein and in the other Loan Documents; and (iii) the Administrative Agent and each of the Arrangers and the Lenders and their respective Affiliates may be engaged in a broad range of transactions that involve interests that differ from those of the Borrower and its Affiliates, and neither the Administrative Agent nor any of the Arrangers or the Lenders has any obligation to disclose any of such interests to the Borrower or its Affiliates. To the fullest extent permitted by law, the Borrower agrees that it will not assert any claim and hereby waives and releases any claims that it may have against the Administrative Agent and each of the Arrangers and the Lenders with respect to any breach or alleged breach of agency or fiduciary duty in connection with any aspect of any transaction contemplated hereby.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Electronic Execution of Assignments and Certain Other Documents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USA PATRIOT Act</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6"/>
          <w:szCs w:val="16"/>
          <w:b w:val="1"/>
          <w:bCs w:val="1"/>
          <w:color w:val="auto"/>
        </w:rPr>
        <w:t>Act</w:t>
      </w:r>
      <w:r>
        <w:rPr>
          <w:rFonts w:ascii="Arial" w:cs="Arial" w:eastAsia="Arial" w:hAnsi="Arial"/>
          <w:sz w:val="16"/>
          <w:szCs w:val="16"/>
          <w:color w:val="auto"/>
        </w:rPr>
        <w:t>”) and the requirements of 31 C.F.R. § 1010.230 (the “</w:t>
      </w:r>
      <w:r>
        <w:rPr>
          <w:rFonts w:ascii="Arial" w:cs="Arial" w:eastAsia="Arial" w:hAnsi="Arial"/>
          <w:sz w:val="16"/>
          <w:szCs w:val="16"/>
          <w:b w:val="1"/>
          <w:bCs w:val="1"/>
          <w:color w:val="auto"/>
        </w:rPr>
        <w:t>Beneficial Ownership Regulation</w:t>
      </w:r>
      <w:r>
        <w:rPr>
          <w:rFonts w:ascii="Arial" w:cs="Arial" w:eastAsia="Arial" w:hAnsi="Arial"/>
          <w:sz w:val="16"/>
          <w:szCs w:val="16"/>
          <w:color w:val="auto"/>
        </w:rPr>
        <w:t>”), it is required to obtain, verify and record information that identifies the Borrower and each Guarantor, which information includes the name, tax identification number and address of the Borrower and each Guarantor and other information that will allow such Lender or the Administrative Agent, as applicable, to identify the Borrower and each Guarantor in accordance with the Act. The Borrower shall, and shall cause each Guarantor to,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440" w:top="274" w:right="439" w:bottom="1440" w:gutter="0" w:footer="0" w:header="0"/>
        </w:sectPr>
      </w:pPr>
    </w:p>
    <w:bookmarkStart w:id="462" w:name="page463"/>
    <w:bookmarkEnd w:id="4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11.20. </w:t>
      </w:r>
      <w:r>
        <w:rPr>
          <w:rFonts w:ascii="Arial" w:cs="Arial" w:eastAsia="Arial" w:hAnsi="Arial"/>
          <w:sz w:val="18"/>
          <w:szCs w:val="18"/>
          <w:u w:val="single" w:color="auto"/>
          <w:color w:val="auto"/>
        </w:rPr>
        <w:t>Judgment Currency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b w:val="1"/>
          <w:bCs w:val="1"/>
          <w:color w:val="auto"/>
        </w:rPr>
        <w:t>Agreement Currency</w:t>
      </w:r>
      <w:r>
        <w:rPr>
          <w:rFonts w:ascii="Arial" w:cs="Arial" w:eastAsia="Arial" w:hAnsi="Arial"/>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The provisions of this Section 11.20 shall survive the payment in full of Obligations, the termination of the Commitments and the termination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11.21. </w:t>
      </w:r>
      <w:r>
        <w:rPr>
          <w:rFonts w:ascii="Arial" w:cs="Arial" w:eastAsia="Arial" w:hAnsi="Arial"/>
          <w:sz w:val="18"/>
          <w:szCs w:val="18"/>
          <w:u w:val="single" w:color="auto"/>
          <w:color w:val="auto"/>
        </w:rPr>
        <w:t>Pari Passu Intercreditor Agreement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anything to the contrary in this Agreement or in any other Loan Document: (i) the Liens, if any, granted to the Administrative Agent in favor of the Secured Parties pursuant to the Loan Documents and the exercise of any right related to any Collateral shall be subject, in each case, to the terms of the Pari Passu Intercreditor Agreement (if in effect), (ii) in the event of any conflict between the express terms and provisions of this Agreement or any other Loan Document, on the one hand, and of the Pari Passu Intercreditor Agreement, on the other hand, the terms and provisions of the Pari Passu Intercreditor Agreement shall control and (iii) each Lender (A) authorizes the Administrative Agent to execute the Pari Passu Intercreditor Agreement on behalf of such Lender, and (B) agrees to be bound by the terms of the Pari Passu Intercreditor Agreement and agrees that any action taken by the Administrative Agent under the Pari Passu Intercreditor Agreement shall be binding upon such Lender.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11.22. </w:t>
      </w:r>
      <w:r>
        <w:rPr>
          <w:rFonts w:ascii="Arial" w:cs="Arial" w:eastAsia="Arial" w:hAnsi="Arial"/>
          <w:sz w:val="18"/>
          <w:szCs w:val="18"/>
          <w:u w:val="single" w:color="auto"/>
          <w:color w:val="auto"/>
        </w:rPr>
        <w:t>Acknowledgement and Consent to Bail-In of EEA Financial Institutions.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Write Down and Conversion Powers of an EEA Resolution Authority and agrees and consents to, and acknowledges and agrees to be bound by:</w:t>
      </w:r>
    </w:p>
    <w:p>
      <w:pPr>
        <w:spacing w:after="0" w:line="79" w:lineRule="exact"/>
        <w:rPr>
          <w:sz w:val="20"/>
          <w:szCs w:val="20"/>
          <w:color w:val="auto"/>
        </w:rPr>
      </w:pPr>
    </w:p>
    <w:p>
      <w:pPr>
        <w:ind w:right="220" w:firstLine="996"/>
        <w:spacing w:after="0" w:line="277" w:lineRule="auto"/>
        <w:tabs>
          <w:tab w:leader="none" w:pos="123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20"/>
          </w:cols>
          <w:pgMar w:left="440" w:top="273" w:right="439" w:bottom="1440" w:gutter="0" w:footer="0" w:header="0"/>
        </w:sectPr>
      </w:pPr>
    </w:p>
    <w:bookmarkStart w:id="463" w:name="page464"/>
    <w:bookmarkEnd w:id="463"/>
    <w:p>
      <w:pPr>
        <w:jc w:val="both"/>
        <w:ind w:left="440" w:right="20" w:firstLine="957"/>
        <w:spacing w:after="0" w:line="312" w:lineRule="auto"/>
        <w:tabs>
          <w:tab w:leader="none" w:pos="1657" w:val="left"/>
        </w:tabs>
        <w:numPr>
          <w:ilvl w:val="0"/>
          <w:numId w:val="4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440" w:right="360" w:firstLine="957"/>
        <w:spacing w:after="0" w:line="277" w:lineRule="auto"/>
        <w:tabs>
          <w:tab w:leader="none" w:pos="170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11.23. </w:t>
      </w:r>
      <w:r>
        <w:rPr>
          <w:rFonts w:ascii="Arial" w:cs="Arial" w:eastAsia="Arial" w:hAnsi="Arial"/>
          <w:sz w:val="18"/>
          <w:szCs w:val="18"/>
          <w:u w:val="single" w:color="auto"/>
          <w:color w:val="auto"/>
        </w:rPr>
        <w:t>Acknowledgement Regarding Any Supported QFCs.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the extent that the Loan Documents provide support, through a guarantee or otherwise, for Secured Hedge Agreements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Regimes</w:t>
      </w:r>
      <w:r>
        <w:rPr>
          <w:rFonts w:ascii="Arial" w:cs="Arial" w:eastAsia="Arial" w:hAnsi="Arial"/>
          <w:sz w:val="18"/>
          <w:szCs w:val="18"/>
          <w:color w:val="auto"/>
        </w:rPr>
        <w:t>”) in respect of such Supported QFC and QFC Credit Support (with the provisions below applicable notwithstanding that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Supported QFC may in fact be stated to be governed by the laws of the State of New York and/or of the United States or any other state of the United States):</w:t>
      </w:r>
    </w:p>
    <w:p>
      <w:pPr>
        <w:spacing w:after="0" w:line="77" w:lineRule="exact"/>
        <w:rPr>
          <w:sz w:val="20"/>
          <w:szCs w:val="20"/>
          <w:color w:val="auto"/>
        </w:rPr>
      </w:pPr>
    </w:p>
    <w:p>
      <w:pPr>
        <w:ind w:firstLine="996"/>
        <w:spacing w:after="0" w:line="288" w:lineRule="auto"/>
        <w:tabs>
          <w:tab w:leader="none" w:pos="1237"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0" w:lineRule="exact"/>
        <w:rPr>
          <w:rFonts w:ascii="Arial" w:cs="Arial" w:eastAsia="Arial" w:hAnsi="Arial"/>
          <w:sz w:val="16"/>
          <w:szCs w:val="16"/>
          <w:color w:val="auto"/>
        </w:rPr>
      </w:pPr>
    </w:p>
    <w:p>
      <w:pPr>
        <w:ind w:left="1260" w:hanging="264"/>
        <w:spacing w:after="0"/>
        <w:tabs>
          <w:tab w:leader="none" w:pos="12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As used in this Section 11.23, the following terms have the following meanings:</w:t>
      </w:r>
    </w:p>
    <w:p>
      <w:pPr>
        <w:spacing w:after="0" w:line="113" w:lineRule="exact"/>
        <w:rPr>
          <w:sz w:val="20"/>
          <w:szCs w:val="20"/>
          <w:color w:val="auto"/>
        </w:rPr>
      </w:pPr>
    </w:p>
    <w:p>
      <w:pPr>
        <w:ind w:left="440" w:right="20" w:firstLine="52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54" w:lineRule="exact"/>
        <w:rPr>
          <w:sz w:val="20"/>
          <w:szCs w:val="20"/>
          <w:color w:val="auto"/>
        </w:rPr>
      </w:pPr>
    </w:p>
    <w:p>
      <w:pPr>
        <w:jc w:val="both"/>
        <w:ind w:left="440" w:right="340" w:firstLine="52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440" w:top="273" w:right="459" w:bottom="1440" w:gutter="0" w:footer="0" w:header="0"/>
        </w:sectPr>
      </w:pPr>
    </w:p>
    <w:bookmarkStart w:id="464" w:name="page465"/>
    <w:bookmarkEnd w:id="464"/>
    <w:p>
      <w:pPr>
        <w:ind w:firstLine="52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500"/>
          </w:cols>
          <w:pgMar w:left="880" w:top="270" w:right="519" w:bottom="1440" w:gutter="0" w:footer="0" w:header="0"/>
        </w:sectPr>
      </w:pPr>
    </w:p>
    <w:bookmarkStart w:id="465" w:name="page466"/>
    <w:bookmarkEnd w:id="4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POST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 A. Zadoks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 A. Zadoks</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Bridge Facility Agreement]</w:t>
      </w:r>
    </w:p>
    <w:p>
      <w:pPr>
        <w:sectPr>
          <w:pgSz w:w="11900" w:h="16838" w:orient="portrait"/>
          <w:cols w:equalWidth="0" w:num="1">
            <w:col w:w="10480"/>
          </w:cols>
          <w:pgMar w:left="440" w:top="274" w:right="979" w:bottom="1440" w:gutter="0" w:footer="0" w:header="0"/>
        </w:sectPr>
      </w:pPr>
    </w:p>
    <w:bookmarkStart w:id="466" w:name="page467"/>
    <w:bookmarkEnd w:id="46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 and as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Ethan Plater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Ethan Plater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[Signature Page to Bridge Facility Agreement]</w:t>
      </w:r>
    </w:p>
    <w:p>
      <w:pPr>
        <w:sectPr>
          <w:pgSz w:w="11900" w:h="16838" w:orient="portrait"/>
          <w:cols w:equalWidth="0" w:num="1">
            <w:col w:w="9660"/>
          </w:cols>
          <w:pgMar w:left="1440" w:top="270" w:right="799" w:bottom="1440" w:gutter="0" w:footer="0" w:header="0"/>
        </w:sectPr>
      </w:pPr>
    </w:p>
    <w:bookmarkStart w:id="467" w:name="page468"/>
    <w:bookmarkEnd w:id="46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Arial" w:cs="Arial" w:eastAsia="Arial" w:hAnsi="Arial"/>
          <w:sz w:val="17"/>
          <w:szCs w:val="17"/>
          <w:color w:val="auto"/>
        </w:rPr>
        <w:t>, as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Miscimarra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Jonathan Miscimarra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Bridge Facility Agreement]</w:t>
      </w:r>
    </w:p>
    <w:p>
      <w:pPr>
        <w:sectPr>
          <w:pgSz w:w="11900" w:h="16838" w:orient="portrait"/>
          <w:cols w:equalWidth="0" w:num="1">
            <w:col w:w="9019"/>
          </w:cols>
          <w:pgMar w:left="1440" w:top="269" w:right="1440" w:bottom="1440" w:gutter="0" w:footer="0" w:header="0"/>
        </w:sectPr>
      </w:pPr>
    </w:p>
    <w:bookmarkStart w:id="468" w:name="page469"/>
    <w:bookmarkEnd w:id="46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8"/>
          <w:szCs w:val="18"/>
          <w:color w:val="auto"/>
        </w:rPr>
        <w:t>, as Lender</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Moore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Director and Vice President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Bridge Facility Agreement]</w:t>
      </w:r>
    </w:p>
    <w:p>
      <w:pPr>
        <w:sectPr>
          <w:pgSz w:w="11900" w:h="16838" w:orient="portrait"/>
          <w:cols w:equalWidth="0" w:num="1">
            <w:col w:w="9019"/>
          </w:cols>
          <w:pgMar w:left="1440" w:top="269" w:right="1440" w:bottom="1440" w:gutter="0" w:footer="0" w:header="0"/>
        </w:sectPr>
      </w:pPr>
    </w:p>
    <w:bookmarkStart w:id="469" w:name="page470"/>
    <w:bookmarkEnd w:id="46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w:t>
      </w:r>
      <w:r>
        <w:rPr>
          <w:rFonts w:ascii="Arial" w:cs="Arial" w:eastAsia="Arial" w:hAnsi="Arial"/>
          <w:sz w:val="18"/>
          <w:szCs w:val="18"/>
          <w:color w:val="auto"/>
        </w:rPr>
        <w:t>,</w:t>
      </w:r>
      <w:r>
        <w:rPr>
          <w:rFonts w:ascii="Arial" w:cs="Arial" w:eastAsia="Arial" w:hAnsi="Arial"/>
          <w:sz w:val="18"/>
          <w:szCs w:val="18"/>
          <w:b w:val="1"/>
          <w:bCs w:val="1"/>
          <w:color w:val="auto"/>
        </w:rPr>
        <w:t xml:space="preserve"> CAYMAN ISLANDS BRANCH</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Mikhail Faybusovich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Mikhail Faybusovich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Komal Shah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Komal Shah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[Signature Page to Bridge Facility Agreement]</w:t>
      </w:r>
    </w:p>
    <w:p>
      <w:pPr>
        <w:sectPr>
          <w:pgSz w:w="11900" w:h="16838" w:orient="portrait"/>
          <w:cols w:equalWidth="0" w:num="1">
            <w:col w:w="10040"/>
          </w:cols>
          <w:pgMar w:left="1440" w:top="270" w:right="419" w:bottom="1440" w:gutter="0" w:footer="0" w:header="0"/>
        </w:sectPr>
      </w:pPr>
    </w:p>
    <w:bookmarkStart w:id="470" w:name="page471"/>
    <w:bookmarkEnd w:id="47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r>
        <w:rPr>
          <w:rFonts w:ascii="Arial" w:cs="Arial" w:eastAsia="Arial" w:hAnsi="Arial"/>
          <w:sz w:val="17"/>
          <w:szCs w:val="17"/>
          <w:color w:val="auto"/>
        </w:rPr>
        <w:t>, as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Thomas M. Manning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Bridge Facility Agreement]</w:t>
      </w:r>
    </w:p>
    <w:p>
      <w:pPr>
        <w:sectPr>
          <w:pgSz w:w="11900" w:h="16838" w:orient="portrait"/>
          <w:cols w:equalWidth="0" w:num="1">
            <w:col w:w="9019"/>
          </w:cols>
          <w:pgMar w:left="1440" w:top="270" w:right="1440" w:bottom="1440" w:gutter="0" w:footer="0" w:header="0"/>
        </w:sectPr>
      </w:pPr>
    </w:p>
    <w:bookmarkStart w:id="471" w:name="page472"/>
    <w:bookmarkEnd w:id="47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7"/>
          <w:szCs w:val="17"/>
          <w:color w:val="auto"/>
        </w:rPr>
        <w:t>, as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Brendan Korb</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Bridge Facility Agreement]</w:t>
      </w:r>
    </w:p>
    <w:p>
      <w:pPr>
        <w:sectPr>
          <w:pgSz w:w="11900" w:h="16838" w:orient="portrait"/>
          <w:cols w:equalWidth="0" w:num="1">
            <w:col w:w="9120"/>
          </w:cols>
          <w:pgMar w:left="1440" w:top="270" w:right="133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ANNEX A TO</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100" w:type="dxa"/>
            <w:vAlign w:val="bottom"/>
            <w:gridSpan w:val="4"/>
          </w:tcPr>
          <w:p>
            <w:pPr>
              <w:jc w:val="right"/>
              <w:ind w:right="20"/>
              <w:spacing w:after="0"/>
              <w:rPr>
                <w:sz w:val="20"/>
                <w:szCs w:val="20"/>
                <w:color w:val="auto"/>
              </w:rPr>
            </w:pPr>
            <w:r>
              <w:rPr>
                <w:rFonts w:ascii="Arial" w:cs="Arial" w:eastAsia="Arial" w:hAnsi="Arial"/>
                <w:sz w:val="18"/>
                <w:szCs w:val="18"/>
                <w:color w:val="auto"/>
              </w:rPr>
              <w:t>BRIDGE FACILITY AGREEMENT</w:t>
            </w:r>
          </w:p>
        </w:tc>
      </w:tr>
      <w:tr>
        <w:trPr>
          <w:trHeight w:val="43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740" w:type="dxa"/>
            <w:vAlign w:val="bottom"/>
            <w:gridSpan w:val="2"/>
          </w:tcPr>
          <w:p>
            <w:pPr>
              <w:jc w:val="right"/>
              <w:ind w:right="3365"/>
              <w:spacing w:after="0"/>
              <w:rPr>
                <w:sz w:val="20"/>
                <w:szCs w:val="20"/>
                <w:color w:val="auto"/>
              </w:rPr>
            </w:pPr>
            <w:r>
              <w:rPr>
                <w:rFonts w:ascii="Arial" w:cs="Arial" w:eastAsia="Arial" w:hAnsi="Arial"/>
                <w:sz w:val="18"/>
                <w:szCs w:val="18"/>
                <w:b w:val="1"/>
                <w:bCs w:val="1"/>
                <w:color w:val="auto"/>
              </w:rPr>
              <w:t>COMMITMENTS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940" w:type="dxa"/>
            <w:vAlign w:val="bottom"/>
            <w:gridSpan w:val="3"/>
          </w:tcPr>
          <w:p>
            <w:pPr>
              <w:spacing w:after="0"/>
              <w:rPr>
                <w:sz w:val="20"/>
                <w:szCs w:val="20"/>
                <w:color w:val="auto"/>
              </w:rPr>
            </w:pPr>
            <w:r>
              <w:rPr>
                <w:rFonts w:ascii="Arial" w:cs="Arial" w:eastAsia="Arial" w:hAnsi="Arial"/>
                <w:sz w:val="14"/>
                <w:szCs w:val="14"/>
                <w:color w:val="auto"/>
              </w:rPr>
              <w:t>Lender</w:t>
            </w: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Commitment</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Senior Funding, Inc.</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204,166,666.67</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204,166,666.67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Citibank, N.A.</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204,166,666.67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Credit Suisse AG, Cayman Islands Branch</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204,166,666.67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204,166,666.67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204,166,666.67</w:t>
            </w:r>
          </w:p>
        </w:tc>
        <w:tc>
          <w:tcPr>
            <w:tcW w:w="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1,225,000,000.00</w:t>
            </w:r>
          </w:p>
        </w:tc>
        <w:tc>
          <w:tcPr>
            <w:tcW w:w="80" w:type="dxa"/>
            <w:vAlign w:val="bottom"/>
            <w:shd w:val="clear" w:color="auto" w:fill="CCEEFF"/>
          </w:tcPr>
          <w:p>
            <w:pPr>
              <w:spacing w:after="0"/>
              <w:rPr>
                <w:sz w:val="18"/>
                <w:szCs w:val="18"/>
                <w:color w:val="auto"/>
              </w:rPr>
            </w:pPr>
          </w:p>
        </w:tc>
      </w:tr>
    </w:tbl>
    <w:p>
      <w:pPr>
        <w:spacing w:after="0"/>
        <w:rPr>
          <w:sz w:val="20"/>
          <w:szCs w:val="20"/>
          <w:color w:val="auto"/>
        </w:rPr>
        <w:sectPr>
          <w:pgSz w:w="11900" w:h="16838" w:orient="portrait"/>
          <w:cols w:equalWidth="0" w:num="1">
            <w:col w:w="11040"/>
          </w:cols>
          <w:pgMar w:left="440" w:top="273"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GUARANTEE AND COLLATERAL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certain of its Subsidiaries,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Administrative Agent</w:t>
      </w:r>
    </w:p>
    <w:p>
      <w:pPr>
        <w:spacing w:after="0" w:line="20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Dated as of October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8960" w:type="dxa"/>
            <w:vAlign w:val="bottom"/>
          </w:tcPr>
          <w:p>
            <w:pPr>
              <w:ind w:left="296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1. DEFINED TERMS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1.01.</w:t>
            </w:r>
          </w:p>
        </w:tc>
        <w:tc>
          <w:tcPr>
            <w:tcW w:w="896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1.02.</w:t>
            </w:r>
          </w:p>
        </w:tc>
        <w:tc>
          <w:tcPr>
            <w:tcW w:w="8960" w:type="dxa"/>
            <w:vAlign w:val="bottom"/>
          </w:tcPr>
          <w:p>
            <w:pPr>
              <w:ind w:left="260"/>
              <w:spacing w:after="0"/>
              <w:rPr>
                <w:sz w:val="20"/>
                <w:szCs w:val="20"/>
                <w:color w:val="auto"/>
              </w:rPr>
            </w:pPr>
            <w:r>
              <w:rPr>
                <w:rFonts w:ascii="Arial" w:cs="Arial" w:eastAsia="Arial" w:hAnsi="Arial"/>
                <w:sz w:val="18"/>
                <w:szCs w:val="18"/>
                <w:color w:val="auto"/>
              </w:rPr>
              <w:t>Other Definitional Provisions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1.03.</w:t>
            </w:r>
          </w:p>
        </w:tc>
        <w:tc>
          <w:tcPr>
            <w:tcW w:w="8960" w:type="dxa"/>
            <w:vAlign w:val="bottom"/>
          </w:tcPr>
          <w:p>
            <w:pPr>
              <w:ind w:left="260"/>
              <w:spacing w:after="0"/>
              <w:rPr>
                <w:sz w:val="20"/>
                <w:szCs w:val="20"/>
                <w:color w:val="auto"/>
              </w:rPr>
            </w:pPr>
            <w:r>
              <w:rPr>
                <w:rFonts w:ascii="Arial" w:cs="Arial" w:eastAsia="Arial" w:hAnsi="Arial"/>
                <w:sz w:val="18"/>
                <w:szCs w:val="18"/>
                <w:color w:val="auto"/>
              </w:rPr>
              <w:t>Schedules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6"/>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ARTICLE 2. GUARANTEE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2.01.</w:t>
            </w:r>
          </w:p>
        </w:tc>
        <w:tc>
          <w:tcPr>
            <w:tcW w:w="8960" w:type="dxa"/>
            <w:vAlign w:val="bottom"/>
          </w:tcPr>
          <w:p>
            <w:pPr>
              <w:ind w:left="260"/>
              <w:spacing w:after="0"/>
              <w:rPr>
                <w:sz w:val="20"/>
                <w:szCs w:val="20"/>
                <w:color w:val="auto"/>
              </w:rPr>
            </w:pPr>
            <w:r>
              <w:rPr>
                <w:rFonts w:ascii="Arial" w:cs="Arial" w:eastAsia="Arial" w:hAnsi="Arial"/>
                <w:sz w:val="18"/>
                <w:szCs w:val="18"/>
                <w:color w:val="auto"/>
              </w:rPr>
              <w:t>Guarantee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2.02.</w:t>
            </w:r>
          </w:p>
        </w:tc>
        <w:tc>
          <w:tcPr>
            <w:tcW w:w="8960" w:type="dxa"/>
            <w:vAlign w:val="bottom"/>
          </w:tcPr>
          <w:p>
            <w:pPr>
              <w:ind w:left="260"/>
              <w:spacing w:after="0"/>
              <w:rPr>
                <w:sz w:val="20"/>
                <w:szCs w:val="20"/>
                <w:color w:val="auto"/>
              </w:rPr>
            </w:pPr>
            <w:r>
              <w:rPr>
                <w:rFonts w:ascii="Arial" w:cs="Arial" w:eastAsia="Arial" w:hAnsi="Arial"/>
                <w:sz w:val="18"/>
                <w:szCs w:val="18"/>
                <w:color w:val="auto"/>
              </w:rPr>
              <w:t>Rights of Reimbursement, Contribution and Subrogation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2.03.</w:t>
            </w:r>
          </w:p>
        </w:tc>
        <w:tc>
          <w:tcPr>
            <w:tcW w:w="8960" w:type="dxa"/>
            <w:vAlign w:val="bottom"/>
          </w:tcPr>
          <w:p>
            <w:pPr>
              <w:ind w:left="260"/>
              <w:spacing w:after="0"/>
              <w:rPr>
                <w:sz w:val="20"/>
                <w:szCs w:val="20"/>
                <w:color w:val="auto"/>
              </w:rPr>
            </w:pPr>
            <w:r>
              <w:rPr>
                <w:rFonts w:ascii="Arial" w:cs="Arial" w:eastAsia="Arial" w:hAnsi="Arial"/>
                <w:sz w:val="18"/>
                <w:szCs w:val="18"/>
                <w:color w:val="auto"/>
              </w:rPr>
              <w:t>Amendments, etc. with respect to the Obligations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2.04.</w:t>
            </w:r>
          </w:p>
        </w:tc>
        <w:tc>
          <w:tcPr>
            <w:tcW w:w="8960" w:type="dxa"/>
            <w:vAlign w:val="bottom"/>
          </w:tcPr>
          <w:p>
            <w:pPr>
              <w:ind w:left="260"/>
              <w:spacing w:after="0"/>
              <w:rPr>
                <w:sz w:val="20"/>
                <w:szCs w:val="20"/>
                <w:color w:val="auto"/>
              </w:rPr>
            </w:pPr>
            <w:r>
              <w:rPr>
                <w:rFonts w:ascii="Arial" w:cs="Arial" w:eastAsia="Arial" w:hAnsi="Arial"/>
                <w:sz w:val="18"/>
                <w:szCs w:val="18"/>
                <w:color w:val="auto"/>
              </w:rPr>
              <w:t>Guarantee Absolute and Unconditional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2.05.</w:t>
            </w:r>
          </w:p>
        </w:tc>
        <w:tc>
          <w:tcPr>
            <w:tcW w:w="8960" w:type="dxa"/>
            <w:vAlign w:val="bottom"/>
          </w:tcPr>
          <w:p>
            <w:pPr>
              <w:ind w:left="260"/>
              <w:spacing w:after="0"/>
              <w:rPr>
                <w:sz w:val="20"/>
                <w:szCs w:val="20"/>
                <w:color w:val="auto"/>
              </w:rPr>
            </w:pPr>
            <w:r>
              <w:rPr>
                <w:rFonts w:ascii="Arial" w:cs="Arial" w:eastAsia="Arial" w:hAnsi="Arial"/>
                <w:sz w:val="18"/>
                <w:szCs w:val="18"/>
                <w:color w:val="auto"/>
              </w:rPr>
              <w:t>Reinstatement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2.06.</w:t>
            </w:r>
          </w:p>
        </w:tc>
        <w:tc>
          <w:tcPr>
            <w:tcW w:w="8960" w:type="dxa"/>
            <w:vAlign w:val="bottom"/>
          </w:tcPr>
          <w:p>
            <w:pPr>
              <w:ind w:left="260"/>
              <w:spacing w:after="0"/>
              <w:rPr>
                <w:sz w:val="20"/>
                <w:szCs w:val="20"/>
                <w:color w:val="auto"/>
              </w:rPr>
            </w:pPr>
            <w:r>
              <w:rPr>
                <w:rFonts w:ascii="Arial" w:cs="Arial" w:eastAsia="Arial" w:hAnsi="Arial"/>
                <w:sz w:val="18"/>
                <w:szCs w:val="18"/>
                <w:color w:val="auto"/>
              </w:rPr>
              <w:t>Payments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2.07.</w:t>
            </w:r>
          </w:p>
        </w:tc>
        <w:tc>
          <w:tcPr>
            <w:tcW w:w="8960" w:type="dxa"/>
            <w:vAlign w:val="bottom"/>
          </w:tcPr>
          <w:p>
            <w:pPr>
              <w:ind w:left="260"/>
              <w:spacing w:after="0"/>
              <w:rPr>
                <w:sz w:val="20"/>
                <w:szCs w:val="20"/>
                <w:color w:val="auto"/>
              </w:rPr>
            </w:pPr>
            <w:r>
              <w:rPr>
                <w:rFonts w:ascii="Arial" w:cs="Arial" w:eastAsia="Arial" w:hAnsi="Arial"/>
                <w:sz w:val="18"/>
                <w:szCs w:val="18"/>
                <w:color w:val="auto"/>
              </w:rPr>
              <w:t>Bankruptcy, Etc.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2.08.</w:t>
            </w:r>
          </w:p>
        </w:tc>
        <w:tc>
          <w:tcPr>
            <w:tcW w:w="8960" w:type="dxa"/>
            <w:vAlign w:val="bottom"/>
          </w:tcPr>
          <w:p>
            <w:pPr>
              <w:ind w:left="260"/>
              <w:spacing w:after="0"/>
              <w:rPr>
                <w:sz w:val="20"/>
                <w:szCs w:val="20"/>
                <w:color w:val="auto"/>
              </w:rPr>
            </w:pPr>
            <w:r>
              <w:rPr>
                <w:rFonts w:ascii="Arial" w:cs="Arial" w:eastAsia="Arial" w:hAnsi="Arial"/>
                <w:sz w:val="18"/>
                <w:szCs w:val="18"/>
                <w:color w:val="auto"/>
              </w:rPr>
              <w:t>Subordination of Other Obligations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2.09.</w:t>
            </w:r>
          </w:p>
        </w:tc>
        <w:tc>
          <w:tcPr>
            <w:tcW w:w="8960" w:type="dxa"/>
            <w:vAlign w:val="bottom"/>
          </w:tcPr>
          <w:p>
            <w:pPr>
              <w:ind w:left="260"/>
              <w:spacing w:after="0"/>
              <w:rPr>
                <w:sz w:val="20"/>
                <w:szCs w:val="20"/>
                <w:color w:val="auto"/>
              </w:rPr>
            </w:pPr>
            <w:r>
              <w:rPr>
                <w:rFonts w:ascii="Arial" w:cs="Arial" w:eastAsia="Arial" w:hAnsi="Arial"/>
                <w:sz w:val="18"/>
                <w:szCs w:val="18"/>
                <w:color w:val="auto"/>
              </w:rPr>
              <w:t>Keepwell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ARTICLE 3. GRANT OF SECURITY INTEREST; CONTINUING LIABILITY UNDER COLLATERAL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6"/>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4.01.</w:t>
            </w:r>
          </w:p>
        </w:tc>
        <w:tc>
          <w:tcPr>
            <w:tcW w:w="8960" w:type="dxa"/>
            <w:vAlign w:val="bottom"/>
          </w:tcPr>
          <w:p>
            <w:pPr>
              <w:ind w:left="260"/>
              <w:spacing w:after="0"/>
              <w:rPr>
                <w:sz w:val="20"/>
                <w:szCs w:val="20"/>
                <w:color w:val="auto"/>
              </w:rPr>
            </w:pPr>
            <w:r>
              <w:rPr>
                <w:rFonts w:ascii="Arial" w:cs="Arial" w:eastAsia="Arial" w:hAnsi="Arial"/>
                <w:sz w:val="18"/>
                <w:szCs w:val="18"/>
                <w:color w:val="auto"/>
              </w:rPr>
              <w:t>Representations in Bridge Facility Agreement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4.02.</w:t>
            </w:r>
          </w:p>
        </w:tc>
        <w:tc>
          <w:tcPr>
            <w:tcW w:w="8960" w:type="dxa"/>
            <w:vAlign w:val="bottom"/>
          </w:tcPr>
          <w:p>
            <w:pPr>
              <w:ind w:left="260"/>
              <w:spacing w:after="0"/>
              <w:rPr>
                <w:sz w:val="20"/>
                <w:szCs w:val="20"/>
                <w:color w:val="auto"/>
              </w:rPr>
            </w:pPr>
            <w:r>
              <w:rPr>
                <w:rFonts w:ascii="Arial" w:cs="Arial" w:eastAsia="Arial" w:hAnsi="Arial"/>
                <w:sz w:val="18"/>
                <w:szCs w:val="18"/>
                <w:color w:val="auto"/>
              </w:rPr>
              <w:t>Title; No Other Liens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4.03.</w:t>
            </w:r>
          </w:p>
        </w:tc>
        <w:tc>
          <w:tcPr>
            <w:tcW w:w="8960" w:type="dxa"/>
            <w:vAlign w:val="bottom"/>
          </w:tcPr>
          <w:p>
            <w:pPr>
              <w:ind w:left="260"/>
              <w:spacing w:after="0"/>
              <w:rPr>
                <w:sz w:val="20"/>
                <w:szCs w:val="20"/>
                <w:color w:val="auto"/>
              </w:rPr>
            </w:pPr>
            <w:r>
              <w:rPr>
                <w:rFonts w:ascii="Arial" w:cs="Arial" w:eastAsia="Arial" w:hAnsi="Arial"/>
                <w:sz w:val="18"/>
                <w:szCs w:val="18"/>
                <w:color w:val="auto"/>
              </w:rPr>
              <w:t>Perfected First Priority Liens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4.04.</w:t>
            </w:r>
          </w:p>
        </w:tc>
        <w:tc>
          <w:tcPr>
            <w:tcW w:w="8960" w:type="dxa"/>
            <w:vAlign w:val="bottom"/>
          </w:tcPr>
          <w:p>
            <w:pPr>
              <w:ind w:left="260"/>
              <w:spacing w:after="0"/>
              <w:rPr>
                <w:sz w:val="20"/>
                <w:szCs w:val="20"/>
                <w:color w:val="auto"/>
              </w:rPr>
            </w:pPr>
            <w:r>
              <w:rPr>
                <w:rFonts w:ascii="Arial" w:cs="Arial" w:eastAsia="Arial" w:hAnsi="Arial"/>
                <w:sz w:val="18"/>
                <w:szCs w:val="18"/>
                <w:color w:val="auto"/>
              </w:rPr>
              <w:t>Name; Jurisdiction of Organization, etc.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4.05.</w:t>
            </w:r>
          </w:p>
        </w:tc>
        <w:tc>
          <w:tcPr>
            <w:tcW w:w="8960" w:type="dxa"/>
            <w:vAlign w:val="bottom"/>
          </w:tcPr>
          <w:p>
            <w:pPr>
              <w:ind w:left="260"/>
              <w:spacing w:after="0"/>
              <w:rPr>
                <w:sz w:val="20"/>
                <w:szCs w:val="20"/>
                <w:color w:val="auto"/>
              </w:rPr>
            </w:pPr>
            <w:r>
              <w:rPr>
                <w:rFonts w:ascii="Arial" w:cs="Arial" w:eastAsia="Arial" w:hAnsi="Arial"/>
                <w:sz w:val="18"/>
                <w:szCs w:val="18"/>
                <w:color w:val="auto"/>
              </w:rPr>
              <w:t>Inventory and Equipment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4.06.</w:t>
            </w:r>
          </w:p>
        </w:tc>
        <w:tc>
          <w:tcPr>
            <w:tcW w:w="896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4.07.</w:t>
            </w:r>
          </w:p>
        </w:tc>
        <w:tc>
          <w:tcPr>
            <w:tcW w:w="8960" w:type="dxa"/>
            <w:vAlign w:val="bottom"/>
          </w:tcPr>
          <w:p>
            <w:pPr>
              <w:ind w:left="260"/>
              <w:spacing w:after="0"/>
              <w:rPr>
                <w:sz w:val="20"/>
                <w:szCs w:val="20"/>
                <w:color w:val="auto"/>
              </w:rPr>
            </w:pPr>
            <w:r>
              <w:rPr>
                <w:rFonts w:ascii="Arial" w:cs="Arial" w:eastAsia="Arial" w:hAnsi="Arial"/>
                <w:sz w:val="18"/>
                <w:szCs w:val="18"/>
                <w:color w:val="auto"/>
              </w:rPr>
              <w:t>Investment Property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4.08.</w:t>
            </w:r>
          </w:p>
        </w:tc>
        <w:tc>
          <w:tcPr>
            <w:tcW w:w="896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4.09.</w:t>
            </w:r>
          </w:p>
        </w:tc>
        <w:tc>
          <w:tcPr>
            <w:tcW w:w="896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4.10.</w:t>
            </w:r>
          </w:p>
        </w:tc>
        <w:tc>
          <w:tcPr>
            <w:tcW w:w="8960" w:type="dxa"/>
            <w:vAlign w:val="bottom"/>
          </w:tcPr>
          <w:p>
            <w:pPr>
              <w:ind w:left="260"/>
              <w:spacing w:after="0"/>
              <w:rPr>
                <w:sz w:val="20"/>
                <w:szCs w:val="20"/>
                <w:color w:val="auto"/>
              </w:rPr>
            </w:pPr>
            <w:r>
              <w:rPr>
                <w:rFonts w:ascii="Arial" w:cs="Arial" w:eastAsia="Arial" w:hAnsi="Arial"/>
                <w:sz w:val="18"/>
                <w:szCs w:val="18"/>
                <w:color w:val="auto"/>
              </w:rPr>
              <w:t>Letter of Credit Rights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4.11.</w:t>
            </w:r>
          </w:p>
        </w:tc>
        <w:tc>
          <w:tcPr>
            <w:tcW w:w="8960" w:type="dxa"/>
            <w:vAlign w:val="bottom"/>
          </w:tcPr>
          <w:p>
            <w:pPr>
              <w:ind w:left="260"/>
              <w:spacing w:after="0"/>
              <w:rPr>
                <w:sz w:val="20"/>
                <w:szCs w:val="20"/>
                <w:color w:val="auto"/>
              </w:rPr>
            </w:pPr>
            <w:r>
              <w:rPr>
                <w:rFonts w:ascii="Arial" w:cs="Arial" w:eastAsia="Arial" w:hAnsi="Arial"/>
                <w:sz w:val="18"/>
                <w:szCs w:val="18"/>
                <w:color w:val="auto"/>
              </w:rPr>
              <w:t>Commercial Tort Claims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6"/>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5.01.</w:t>
            </w:r>
          </w:p>
        </w:tc>
        <w:tc>
          <w:tcPr>
            <w:tcW w:w="8960" w:type="dxa"/>
            <w:vAlign w:val="bottom"/>
          </w:tcPr>
          <w:p>
            <w:pPr>
              <w:ind w:left="260"/>
              <w:spacing w:after="0"/>
              <w:rPr>
                <w:sz w:val="20"/>
                <w:szCs w:val="20"/>
                <w:color w:val="auto"/>
              </w:rPr>
            </w:pPr>
            <w:r>
              <w:rPr>
                <w:rFonts w:ascii="Arial" w:cs="Arial" w:eastAsia="Arial" w:hAnsi="Arial"/>
                <w:sz w:val="18"/>
                <w:szCs w:val="18"/>
                <w:color w:val="auto"/>
              </w:rPr>
              <w:t>Covenants in Bridge Facility Agreement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5.02.</w:t>
            </w:r>
          </w:p>
        </w:tc>
        <w:tc>
          <w:tcPr>
            <w:tcW w:w="8960" w:type="dxa"/>
            <w:vAlign w:val="bottom"/>
          </w:tcPr>
          <w:p>
            <w:pPr>
              <w:ind w:left="260"/>
              <w:spacing w:after="0"/>
              <w:rPr>
                <w:sz w:val="20"/>
                <w:szCs w:val="20"/>
                <w:color w:val="auto"/>
              </w:rPr>
            </w:pPr>
            <w:r>
              <w:rPr>
                <w:rFonts w:ascii="Arial" w:cs="Arial" w:eastAsia="Arial" w:hAnsi="Arial"/>
                <w:sz w:val="18"/>
                <w:szCs w:val="18"/>
                <w:color w:val="auto"/>
                <w:w w:val="91"/>
              </w:rPr>
              <w:t>Delivery and Control of Instruments, Chattel Paper, Negotiable Documents, Investment Property and Deposit Accounts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5.03.</w:t>
            </w:r>
          </w:p>
        </w:tc>
        <w:tc>
          <w:tcPr>
            <w:tcW w:w="896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5.04.</w:t>
            </w:r>
          </w:p>
        </w:tc>
        <w:tc>
          <w:tcPr>
            <w:tcW w:w="8960" w:type="dxa"/>
            <w:vAlign w:val="bottom"/>
          </w:tcPr>
          <w:p>
            <w:pPr>
              <w:ind w:left="260"/>
              <w:spacing w:after="0"/>
              <w:rPr>
                <w:sz w:val="20"/>
                <w:szCs w:val="20"/>
                <w:color w:val="auto"/>
              </w:rPr>
            </w:pPr>
            <w:r>
              <w:rPr>
                <w:rFonts w:ascii="Arial" w:cs="Arial" w:eastAsia="Arial" w:hAnsi="Arial"/>
                <w:sz w:val="18"/>
                <w:szCs w:val="18"/>
                <w:color w:val="auto"/>
              </w:rPr>
              <w:t>Maintenance of Perfected Security Interest; Further Documentation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5.05.</w:t>
            </w:r>
          </w:p>
        </w:tc>
        <w:tc>
          <w:tcPr>
            <w:tcW w:w="8960" w:type="dxa"/>
            <w:vAlign w:val="bottom"/>
          </w:tcPr>
          <w:p>
            <w:pPr>
              <w:ind w:left="260"/>
              <w:spacing w:after="0"/>
              <w:rPr>
                <w:sz w:val="20"/>
                <w:szCs w:val="20"/>
                <w:color w:val="auto"/>
              </w:rPr>
            </w:pPr>
            <w:r>
              <w:rPr>
                <w:rFonts w:ascii="Arial" w:cs="Arial" w:eastAsia="Arial" w:hAnsi="Arial"/>
                <w:sz w:val="18"/>
                <w:szCs w:val="18"/>
                <w:color w:val="auto"/>
              </w:rPr>
              <w:t>Changes in Locations, etc.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5.06.</w:t>
            </w:r>
          </w:p>
        </w:tc>
        <w:tc>
          <w:tcPr>
            <w:tcW w:w="8960" w:type="dxa"/>
            <w:vAlign w:val="bottom"/>
          </w:tcPr>
          <w:p>
            <w:pPr>
              <w:ind w:left="260"/>
              <w:spacing w:after="0"/>
              <w:rPr>
                <w:sz w:val="20"/>
                <w:szCs w:val="20"/>
                <w:color w:val="auto"/>
              </w:rPr>
            </w:pPr>
            <w:r>
              <w:rPr>
                <w:rFonts w:ascii="Arial" w:cs="Arial" w:eastAsia="Arial" w:hAnsi="Arial"/>
                <w:sz w:val="18"/>
                <w:szCs w:val="18"/>
                <w:color w:val="auto"/>
              </w:rPr>
              <w:t>Notices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5.07.</w:t>
            </w:r>
          </w:p>
        </w:tc>
        <w:tc>
          <w:tcPr>
            <w:tcW w:w="8960" w:type="dxa"/>
            <w:vAlign w:val="bottom"/>
          </w:tcPr>
          <w:p>
            <w:pPr>
              <w:ind w:left="260"/>
              <w:spacing w:after="0"/>
              <w:rPr>
                <w:sz w:val="20"/>
                <w:szCs w:val="20"/>
                <w:color w:val="auto"/>
              </w:rPr>
            </w:pPr>
            <w:r>
              <w:rPr>
                <w:rFonts w:ascii="Arial" w:cs="Arial" w:eastAsia="Arial" w:hAnsi="Arial"/>
                <w:sz w:val="18"/>
                <w:szCs w:val="18"/>
                <w:color w:val="auto"/>
              </w:rPr>
              <w:t>Investment Property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5.08.</w:t>
            </w:r>
          </w:p>
        </w:tc>
        <w:tc>
          <w:tcPr>
            <w:tcW w:w="896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5.09.</w:t>
            </w:r>
          </w:p>
        </w:tc>
        <w:tc>
          <w:tcPr>
            <w:tcW w:w="896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5.10.</w:t>
            </w:r>
          </w:p>
        </w:tc>
        <w:tc>
          <w:tcPr>
            <w:tcW w:w="8960" w:type="dxa"/>
            <w:vAlign w:val="bottom"/>
          </w:tcPr>
          <w:p>
            <w:pPr>
              <w:ind w:left="260"/>
              <w:spacing w:after="0"/>
              <w:rPr>
                <w:sz w:val="20"/>
                <w:szCs w:val="20"/>
                <w:color w:val="auto"/>
              </w:rPr>
            </w:pPr>
            <w:r>
              <w:rPr>
                <w:rFonts w:ascii="Arial" w:cs="Arial" w:eastAsia="Arial" w:hAnsi="Arial"/>
                <w:sz w:val="18"/>
                <w:szCs w:val="18"/>
                <w:color w:val="auto"/>
              </w:rPr>
              <w:t>Commercial Tort Claims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5.11.</w:t>
            </w:r>
          </w:p>
        </w:tc>
        <w:tc>
          <w:tcPr>
            <w:tcW w:w="8960" w:type="dxa"/>
            <w:vAlign w:val="bottom"/>
          </w:tcPr>
          <w:p>
            <w:pPr>
              <w:ind w:left="260"/>
              <w:spacing w:after="0"/>
              <w:rPr>
                <w:sz w:val="20"/>
                <w:szCs w:val="20"/>
                <w:color w:val="auto"/>
              </w:rPr>
            </w:pPr>
            <w:r>
              <w:rPr>
                <w:rFonts w:ascii="Arial" w:cs="Arial" w:eastAsia="Arial" w:hAnsi="Arial"/>
                <w:sz w:val="18"/>
                <w:szCs w:val="18"/>
                <w:color w:val="auto"/>
              </w:rPr>
              <w:t>Changes in Locations, Name, Jurisdiction of Incorporation, etc.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21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6. REMEDIAL PROVISIONS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6.01.</w:t>
            </w:r>
          </w:p>
        </w:tc>
        <w:tc>
          <w:tcPr>
            <w:tcW w:w="6960" w:type="dxa"/>
            <w:vAlign w:val="bottom"/>
          </w:tcPr>
          <w:p>
            <w:pPr>
              <w:ind w:left="260"/>
              <w:spacing w:after="0"/>
              <w:rPr>
                <w:sz w:val="20"/>
                <w:szCs w:val="20"/>
                <w:color w:val="auto"/>
              </w:rPr>
            </w:pPr>
            <w:r>
              <w:rPr>
                <w:rFonts w:ascii="Arial" w:cs="Arial" w:eastAsia="Arial" w:hAnsi="Arial"/>
                <w:sz w:val="18"/>
                <w:szCs w:val="18"/>
                <w:color w:val="auto"/>
              </w:rPr>
              <w:t>Certain Matters Relating to Receivables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6.02.</w:t>
            </w:r>
          </w:p>
        </w:tc>
        <w:tc>
          <w:tcPr>
            <w:tcW w:w="6960" w:type="dxa"/>
            <w:vAlign w:val="bottom"/>
          </w:tcPr>
          <w:p>
            <w:pPr>
              <w:ind w:left="260"/>
              <w:spacing w:after="0"/>
              <w:rPr>
                <w:sz w:val="20"/>
                <w:szCs w:val="20"/>
                <w:color w:val="auto"/>
              </w:rPr>
            </w:pPr>
            <w:r>
              <w:rPr>
                <w:rFonts w:ascii="Arial" w:cs="Arial" w:eastAsia="Arial" w:hAnsi="Arial"/>
                <w:sz w:val="18"/>
                <w:szCs w:val="18"/>
                <w:color w:val="auto"/>
              </w:rPr>
              <w:t>Communications with Obligors; Grantors Remain Liable</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6.03.</w:t>
            </w:r>
          </w:p>
        </w:tc>
        <w:tc>
          <w:tcPr>
            <w:tcW w:w="6960" w:type="dxa"/>
            <w:vAlign w:val="bottom"/>
          </w:tcPr>
          <w:p>
            <w:pPr>
              <w:ind w:left="260"/>
              <w:spacing w:after="0"/>
              <w:rPr>
                <w:sz w:val="20"/>
                <w:szCs w:val="20"/>
                <w:color w:val="auto"/>
              </w:rPr>
            </w:pPr>
            <w:r>
              <w:rPr>
                <w:rFonts w:ascii="Arial" w:cs="Arial" w:eastAsia="Arial" w:hAnsi="Arial"/>
                <w:sz w:val="18"/>
                <w:szCs w:val="18"/>
                <w:color w:val="auto"/>
              </w:rPr>
              <w:t>Pledged Securities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6.04.</w:t>
            </w:r>
          </w:p>
        </w:tc>
        <w:tc>
          <w:tcPr>
            <w:tcW w:w="6960" w:type="dxa"/>
            <w:vAlign w:val="bottom"/>
          </w:tcPr>
          <w:p>
            <w:pPr>
              <w:ind w:left="260"/>
              <w:spacing w:after="0"/>
              <w:rPr>
                <w:sz w:val="20"/>
                <w:szCs w:val="20"/>
                <w:color w:val="auto"/>
              </w:rPr>
            </w:pPr>
            <w:r>
              <w:rPr>
                <w:rFonts w:ascii="Arial" w:cs="Arial" w:eastAsia="Arial" w:hAnsi="Arial"/>
                <w:sz w:val="18"/>
                <w:szCs w:val="18"/>
                <w:color w:val="auto"/>
              </w:rPr>
              <w:t>Proceeds to be Turned Over To Administrative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6.05.</w:t>
            </w:r>
          </w:p>
        </w:tc>
        <w:tc>
          <w:tcPr>
            <w:tcW w:w="6960" w:type="dxa"/>
            <w:vAlign w:val="bottom"/>
          </w:tcPr>
          <w:p>
            <w:pPr>
              <w:ind w:left="260"/>
              <w:spacing w:after="0"/>
              <w:rPr>
                <w:sz w:val="20"/>
                <w:szCs w:val="20"/>
                <w:color w:val="auto"/>
              </w:rPr>
            </w:pPr>
            <w:r>
              <w:rPr>
                <w:rFonts w:ascii="Arial" w:cs="Arial" w:eastAsia="Arial" w:hAnsi="Arial"/>
                <w:sz w:val="18"/>
                <w:szCs w:val="18"/>
                <w:color w:val="auto"/>
              </w:rPr>
              <w:t>Application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6.06.</w:t>
            </w:r>
          </w:p>
        </w:tc>
        <w:tc>
          <w:tcPr>
            <w:tcW w:w="6960" w:type="dxa"/>
            <w:vAlign w:val="bottom"/>
          </w:tcPr>
          <w:p>
            <w:pPr>
              <w:ind w:left="260"/>
              <w:spacing w:after="0"/>
              <w:rPr>
                <w:sz w:val="20"/>
                <w:szCs w:val="20"/>
                <w:color w:val="auto"/>
              </w:rPr>
            </w:pPr>
            <w:r>
              <w:rPr>
                <w:rFonts w:ascii="Arial" w:cs="Arial" w:eastAsia="Arial" w:hAnsi="Arial"/>
                <w:sz w:val="18"/>
                <w:szCs w:val="18"/>
                <w:color w:val="auto"/>
              </w:rPr>
              <w:t>Code and Other Remedies</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6.07.</w:t>
            </w:r>
          </w:p>
        </w:tc>
        <w:tc>
          <w:tcPr>
            <w:tcW w:w="6960" w:type="dxa"/>
            <w:vAlign w:val="bottom"/>
          </w:tcPr>
          <w:p>
            <w:pPr>
              <w:ind w:left="260"/>
              <w:spacing w:after="0"/>
              <w:rPr>
                <w:sz w:val="20"/>
                <w:szCs w:val="20"/>
                <w:color w:val="auto"/>
              </w:rPr>
            </w:pPr>
            <w:r>
              <w:rPr>
                <w:rFonts w:ascii="Arial" w:cs="Arial" w:eastAsia="Arial" w:hAnsi="Arial"/>
                <w:sz w:val="18"/>
                <w:szCs w:val="18"/>
                <w:color w:val="auto"/>
              </w:rPr>
              <w:t>Registration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6.08.</w:t>
            </w:r>
          </w:p>
        </w:tc>
        <w:tc>
          <w:tcPr>
            <w:tcW w:w="6960" w:type="dxa"/>
            <w:vAlign w:val="bottom"/>
          </w:tcPr>
          <w:p>
            <w:pPr>
              <w:ind w:left="260"/>
              <w:spacing w:after="0"/>
              <w:rPr>
                <w:sz w:val="20"/>
                <w:szCs w:val="20"/>
                <w:color w:val="auto"/>
              </w:rPr>
            </w:pPr>
            <w:r>
              <w:rPr>
                <w:rFonts w:ascii="Arial" w:cs="Arial" w:eastAsia="Arial" w:hAnsi="Arial"/>
                <w:sz w:val="18"/>
                <w:szCs w:val="18"/>
                <w:color w:val="auto"/>
              </w:rPr>
              <w:t>Waiver; Deficiency</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6.09.</w:t>
            </w:r>
          </w:p>
        </w:tc>
        <w:tc>
          <w:tcPr>
            <w:tcW w:w="696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6.10.</w:t>
            </w:r>
          </w:p>
        </w:tc>
        <w:tc>
          <w:tcPr>
            <w:tcW w:w="6960" w:type="dxa"/>
            <w:vAlign w:val="bottom"/>
          </w:tcPr>
          <w:p>
            <w:pPr>
              <w:ind w:left="260"/>
              <w:spacing w:after="0"/>
              <w:rPr>
                <w:sz w:val="20"/>
                <w:szCs w:val="20"/>
                <w:color w:val="auto"/>
              </w:rPr>
            </w:pPr>
            <w:r>
              <w:rPr>
                <w:rFonts w:ascii="Arial" w:cs="Arial" w:eastAsia="Arial" w:hAnsi="Arial"/>
                <w:sz w:val="18"/>
                <w:szCs w:val="18"/>
                <w:color w:val="auto"/>
              </w:rPr>
              <w:t>IP Licenses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7. THE ADMINISTRATIVE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7.01.</w:t>
            </w:r>
          </w:p>
        </w:tc>
        <w:tc>
          <w:tcPr>
            <w:tcW w:w="6960" w:type="dxa"/>
            <w:vAlign w:val="bottom"/>
          </w:tcPr>
          <w:p>
            <w:pPr>
              <w:ind w:left="260"/>
              <w:spacing w:after="0"/>
              <w:rPr>
                <w:sz w:val="20"/>
                <w:szCs w:val="20"/>
                <w:color w:val="auto"/>
              </w:rPr>
            </w:pPr>
            <w:r>
              <w:rPr>
                <w:rFonts w:ascii="Arial" w:cs="Arial" w:eastAsia="Arial" w:hAnsi="Arial"/>
                <w:sz w:val="18"/>
                <w:szCs w:val="18"/>
                <w:color w:val="auto"/>
              </w:rPr>
              <w:t>Administrative Agent’s Appointment as Attorney-in-Fact, etc.</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7.02.</w:t>
            </w:r>
          </w:p>
        </w:tc>
        <w:tc>
          <w:tcPr>
            <w:tcW w:w="6960" w:type="dxa"/>
            <w:vAlign w:val="bottom"/>
          </w:tcPr>
          <w:p>
            <w:pPr>
              <w:ind w:left="260"/>
              <w:spacing w:after="0"/>
              <w:rPr>
                <w:sz w:val="20"/>
                <w:szCs w:val="20"/>
                <w:color w:val="auto"/>
              </w:rPr>
            </w:pPr>
            <w:r>
              <w:rPr>
                <w:rFonts w:ascii="Arial" w:cs="Arial" w:eastAsia="Arial" w:hAnsi="Arial"/>
                <w:sz w:val="18"/>
                <w:szCs w:val="18"/>
                <w:color w:val="auto"/>
              </w:rPr>
              <w:t>Duty of Administrative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7.03.</w:t>
            </w:r>
          </w:p>
        </w:tc>
        <w:tc>
          <w:tcPr>
            <w:tcW w:w="6960" w:type="dxa"/>
            <w:vAlign w:val="bottom"/>
          </w:tcPr>
          <w:p>
            <w:pPr>
              <w:ind w:left="260"/>
              <w:spacing w:after="0"/>
              <w:rPr>
                <w:sz w:val="20"/>
                <w:szCs w:val="20"/>
                <w:color w:val="auto"/>
              </w:rPr>
            </w:pPr>
            <w:r>
              <w:rPr>
                <w:rFonts w:ascii="Arial" w:cs="Arial" w:eastAsia="Arial" w:hAnsi="Arial"/>
                <w:sz w:val="18"/>
                <w:szCs w:val="18"/>
                <w:color w:val="auto"/>
              </w:rPr>
              <w:t>Execution of Financing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7.04.</w:t>
            </w:r>
          </w:p>
        </w:tc>
        <w:tc>
          <w:tcPr>
            <w:tcW w:w="6960" w:type="dxa"/>
            <w:vAlign w:val="bottom"/>
          </w:tcPr>
          <w:p>
            <w:pPr>
              <w:ind w:left="260"/>
              <w:spacing w:after="0"/>
              <w:rPr>
                <w:sz w:val="20"/>
                <w:szCs w:val="20"/>
                <w:color w:val="auto"/>
              </w:rPr>
            </w:pPr>
            <w:r>
              <w:rPr>
                <w:rFonts w:ascii="Arial" w:cs="Arial" w:eastAsia="Arial" w:hAnsi="Arial"/>
                <w:sz w:val="18"/>
                <w:szCs w:val="18"/>
                <w:color w:val="auto"/>
              </w:rPr>
              <w:t>Authority of Administrative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7.05.</w:t>
            </w:r>
          </w:p>
        </w:tc>
        <w:tc>
          <w:tcPr>
            <w:tcW w:w="6960" w:type="dxa"/>
            <w:vAlign w:val="bottom"/>
          </w:tcPr>
          <w:p>
            <w:pPr>
              <w:ind w:left="260"/>
              <w:spacing w:after="0"/>
              <w:rPr>
                <w:sz w:val="20"/>
                <w:szCs w:val="20"/>
                <w:color w:val="auto"/>
              </w:rPr>
            </w:pPr>
            <w:r>
              <w:rPr>
                <w:rFonts w:ascii="Arial" w:cs="Arial" w:eastAsia="Arial" w:hAnsi="Arial"/>
                <w:sz w:val="18"/>
                <w:szCs w:val="18"/>
                <w:color w:val="auto"/>
              </w:rPr>
              <w:t>Appointment of Co-Administrative Agents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6"/>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8.01.</w:t>
            </w:r>
          </w:p>
        </w:tc>
        <w:tc>
          <w:tcPr>
            <w:tcW w:w="6960" w:type="dxa"/>
            <w:vAlign w:val="bottom"/>
          </w:tcPr>
          <w:p>
            <w:pPr>
              <w:ind w:left="260"/>
              <w:spacing w:after="0"/>
              <w:rPr>
                <w:sz w:val="20"/>
                <w:szCs w:val="20"/>
                <w:color w:val="auto"/>
              </w:rPr>
            </w:pPr>
            <w:r>
              <w:rPr>
                <w:rFonts w:ascii="Arial" w:cs="Arial" w:eastAsia="Arial" w:hAnsi="Arial"/>
                <w:sz w:val="18"/>
                <w:szCs w:val="18"/>
                <w:color w:val="auto"/>
              </w:rPr>
              <w:t>Amendments in Writing; Amendments to Schedules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8.02.</w:t>
            </w:r>
          </w:p>
        </w:tc>
        <w:tc>
          <w:tcPr>
            <w:tcW w:w="6960" w:type="dxa"/>
            <w:vAlign w:val="bottom"/>
          </w:tcPr>
          <w:p>
            <w:pPr>
              <w:ind w:left="260"/>
              <w:spacing w:after="0"/>
              <w:rPr>
                <w:sz w:val="20"/>
                <w:szCs w:val="20"/>
                <w:color w:val="auto"/>
              </w:rPr>
            </w:pPr>
            <w:r>
              <w:rPr>
                <w:rFonts w:ascii="Arial" w:cs="Arial" w:eastAsia="Arial" w:hAnsi="Arial"/>
                <w:sz w:val="18"/>
                <w:szCs w:val="18"/>
                <w:color w:val="auto"/>
              </w:rPr>
              <w:t>Notices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8.03.</w:t>
            </w:r>
          </w:p>
        </w:tc>
        <w:tc>
          <w:tcPr>
            <w:tcW w:w="6960" w:type="dxa"/>
            <w:vAlign w:val="bottom"/>
          </w:tcPr>
          <w:p>
            <w:pPr>
              <w:ind w:left="260"/>
              <w:spacing w:after="0"/>
              <w:rPr>
                <w:sz w:val="20"/>
                <w:szCs w:val="20"/>
                <w:color w:val="auto"/>
              </w:rPr>
            </w:pPr>
            <w:r>
              <w:rPr>
                <w:rFonts w:ascii="Arial" w:cs="Arial" w:eastAsia="Arial" w:hAnsi="Arial"/>
                <w:sz w:val="18"/>
                <w:szCs w:val="18"/>
                <w:color w:val="auto"/>
              </w:rPr>
              <w:t>No Waiver by Course of Conduct; Cumulative Remedies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8.04.</w:t>
            </w:r>
          </w:p>
        </w:tc>
        <w:tc>
          <w:tcPr>
            <w:tcW w:w="6960" w:type="dxa"/>
            <w:vAlign w:val="bottom"/>
          </w:tcPr>
          <w:p>
            <w:pPr>
              <w:ind w:left="260"/>
              <w:spacing w:after="0"/>
              <w:rPr>
                <w:sz w:val="20"/>
                <w:szCs w:val="20"/>
                <w:color w:val="auto"/>
              </w:rPr>
            </w:pPr>
            <w:r>
              <w:rPr>
                <w:rFonts w:ascii="Arial" w:cs="Arial" w:eastAsia="Arial" w:hAnsi="Arial"/>
                <w:sz w:val="18"/>
                <w:szCs w:val="18"/>
                <w:color w:val="auto"/>
              </w:rPr>
              <w:t>Enforcement Expenses; Indemnification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8.05.</w:t>
            </w:r>
          </w:p>
        </w:tc>
        <w:tc>
          <w:tcPr>
            <w:tcW w:w="6960" w:type="dxa"/>
            <w:vAlign w:val="bottom"/>
          </w:tcPr>
          <w:p>
            <w:pPr>
              <w:ind w:left="260"/>
              <w:spacing w:after="0"/>
              <w:rPr>
                <w:sz w:val="20"/>
                <w:szCs w:val="20"/>
                <w:color w:val="auto"/>
              </w:rPr>
            </w:pPr>
            <w:r>
              <w:rPr>
                <w:rFonts w:ascii="Arial" w:cs="Arial" w:eastAsia="Arial" w:hAnsi="Arial"/>
                <w:sz w:val="18"/>
                <w:szCs w:val="18"/>
                <w:color w:val="auto"/>
              </w:rPr>
              <w:t>Successors and Assigns</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8.06.</w:t>
            </w:r>
          </w:p>
        </w:tc>
        <w:tc>
          <w:tcPr>
            <w:tcW w:w="6960" w:type="dxa"/>
            <w:vAlign w:val="bottom"/>
          </w:tcPr>
          <w:p>
            <w:pPr>
              <w:ind w:left="260"/>
              <w:spacing w:after="0"/>
              <w:rPr>
                <w:sz w:val="20"/>
                <w:szCs w:val="20"/>
                <w:color w:val="auto"/>
              </w:rPr>
            </w:pPr>
            <w:r>
              <w:rPr>
                <w:rFonts w:ascii="Arial" w:cs="Arial" w:eastAsia="Arial" w:hAnsi="Arial"/>
                <w:sz w:val="18"/>
                <w:szCs w:val="18"/>
                <w:color w:val="auto"/>
              </w:rPr>
              <w:t>Set-Off</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8.07.</w:t>
            </w:r>
          </w:p>
        </w:tc>
        <w:tc>
          <w:tcPr>
            <w:tcW w:w="696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8.08.</w:t>
            </w:r>
          </w:p>
        </w:tc>
        <w:tc>
          <w:tcPr>
            <w:tcW w:w="696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8.09.</w:t>
            </w:r>
          </w:p>
        </w:tc>
        <w:tc>
          <w:tcPr>
            <w:tcW w:w="6960" w:type="dxa"/>
            <w:vAlign w:val="bottom"/>
          </w:tcPr>
          <w:p>
            <w:pPr>
              <w:ind w:left="260"/>
              <w:spacing w:after="0"/>
              <w:rPr>
                <w:sz w:val="20"/>
                <w:szCs w:val="20"/>
                <w:color w:val="auto"/>
              </w:rPr>
            </w:pPr>
            <w:r>
              <w:rPr>
                <w:rFonts w:ascii="Arial" w:cs="Arial" w:eastAsia="Arial" w:hAnsi="Arial"/>
                <w:sz w:val="18"/>
                <w:szCs w:val="18"/>
                <w:color w:val="auto"/>
              </w:rPr>
              <w:t>Section Headings</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8.10.</w:t>
            </w:r>
          </w:p>
        </w:tc>
        <w:tc>
          <w:tcPr>
            <w:tcW w:w="6960" w:type="dxa"/>
            <w:vAlign w:val="bottom"/>
          </w:tcPr>
          <w:p>
            <w:pPr>
              <w:ind w:left="260"/>
              <w:spacing w:after="0"/>
              <w:rPr>
                <w:sz w:val="20"/>
                <w:szCs w:val="20"/>
                <w:color w:val="auto"/>
              </w:rPr>
            </w:pPr>
            <w:r>
              <w:rPr>
                <w:rFonts w:ascii="Arial" w:cs="Arial" w:eastAsia="Arial" w:hAnsi="Arial"/>
                <w:sz w:val="18"/>
                <w:szCs w:val="18"/>
                <w:color w:val="auto"/>
              </w:rPr>
              <w:t>Integration/Conflict</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8.11.</w:t>
            </w:r>
          </w:p>
        </w:tc>
        <w:tc>
          <w:tcPr>
            <w:tcW w:w="696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8.12.</w:t>
            </w:r>
          </w:p>
        </w:tc>
        <w:tc>
          <w:tcPr>
            <w:tcW w:w="6960" w:type="dxa"/>
            <w:vAlign w:val="bottom"/>
          </w:tcPr>
          <w:p>
            <w:pPr>
              <w:ind w:left="260"/>
              <w:spacing w:after="0"/>
              <w:rPr>
                <w:sz w:val="20"/>
                <w:szCs w:val="20"/>
                <w:color w:val="auto"/>
              </w:rPr>
            </w:pPr>
            <w:r>
              <w:rPr>
                <w:rFonts w:ascii="Arial" w:cs="Arial" w:eastAsia="Arial" w:hAnsi="Arial"/>
                <w:sz w:val="18"/>
                <w:szCs w:val="18"/>
                <w:color w:val="auto"/>
              </w:rPr>
              <w:t>Submission to Jurisdiction; Waivers</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8.13.</w:t>
            </w:r>
          </w:p>
        </w:tc>
        <w:tc>
          <w:tcPr>
            <w:tcW w:w="6960" w:type="dxa"/>
            <w:vAlign w:val="bottom"/>
          </w:tcPr>
          <w:p>
            <w:pPr>
              <w:ind w:left="260"/>
              <w:spacing w:after="0"/>
              <w:rPr>
                <w:sz w:val="20"/>
                <w:szCs w:val="20"/>
                <w:color w:val="auto"/>
              </w:rPr>
            </w:pPr>
            <w:r>
              <w:rPr>
                <w:rFonts w:ascii="Arial" w:cs="Arial" w:eastAsia="Arial" w:hAnsi="Arial"/>
                <w:sz w:val="18"/>
                <w:szCs w:val="18"/>
                <w:color w:val="auto"/>
              </w:rPr>
              <w:t>Acknowledgments</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8.14.</w:t>
            </w:r>
          </w:p>
        </w:tc>
        <w:tc>
          <w:tcPr>
            <w:tcW w:w="6960" w:type="dxa"/>
            <w:vAlign w:val="bottom"/>
          </w:tcPr>
          <w:p>
            <w:pPr>
              <w:ind w:left="260"/>
              <w:spacing w:after="0"/>
              <w:rPr>
                <w:sz w:val="20"/>
                <w:szCs w:val="20"/>
                <w:color w:val="auto"/>
              </w:rPr>
            </w:pPr>
            <w:r>
              <w:rPr>
                <w:rFonts w:ascii="Arial" w:cs="Arial" w:eastAsia="Arial" w:hAnsi="Arial"/>
                <w:sz w:val="18"/>
                <w:szCs w:val="18"/>
                <w:color w:val="auto"/>
              </w:rPr>
              <w:t>Additional Grantors</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8.15.</w:t>
            </w:r>
          </w:p>
        </w:tc>
        <w:tc>
          <w:tcPr>
            <w:tcW w:w="6960" w:type="dxa"/>
            <w:vAlign w:val="bottom"/>
          </w:tcPr>
          <w:p>
            <w:pPr>
              <w:ind w:left="260"/>
              <w:spacing w:after="0"/>
              <w:rPr>
                <w:sz w:val="20"/>
                <w:szCs w:val="20"/>
                <w:color w:val="auto"/>
              </w:rPr>
            </w:pPr>
            <w:r>
              <w:rPr>
                <w:rFonts w:ascii="Arial" w:cs="Arial" w:eastAsia="Arial" w:hAnsi="Arial"/>
                <w:sz w:val="18"/>
                <w:szCs w:val="18"/>
                <w:color w:val="auto"/>
              </w:rPr>
              <w:t>Releases; Debt Assumption</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8.16.</w:t>
            </w:r>
          </w:p>
        </w:tc>
        <w:tc>
          <w:tcPr>
            <w:tcW w:w="6960" w:type="dxa"/>
            <w:vAlign w:val="bottom"/>
          </w:tcPr>
          <w:p>
            <w:pPr>
              <w:ind w:left="260"/>
              <w:spacing w:after="0"/>
              <w:rPr>
                <w:sz w:val="20"/>
                <w:szCs w:val="20"/>
                <w:color w:val="auto"/>
              </w:rPr>
            </w:pPr>
            <w:r>
              <w:rPr>
                <w:rFonts w:ascii="Arial" w:cs="Arial" w:eastAsia="Arial" w:hAnsi="Arial"/>
                <w:sz w:val="18"/>
                <w:szCs w:val="18"/>
                <w:b w:val="1"/>
                <w:bCs w:val="1"/>
                <w:color w:val="auto"/>
              </w:rPr>
              <w:t>WAIVER OF JURY TRIAL</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Section 8.17.</w:t>
            </w:r>
          </w:p>
        </w:tc>
        <w:tc>
          <w:tcPr>
            <w:tcW w:w="696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135" w:lineRule="exact"/>
        <w:rPr>
          <w:sz w:val="20"/>
          <w:szCs w:val="20"/>
          <w:color w:val="auto"/>
        </w:rPr>
      </w:pPr>
    </w:p>
    <w:p>
      <w:pPr>
        <w:ind w:left="440" w:hanging="436"/>
        <w:spacing w:after="0"/>
        <w:tabs>
          <w:tab w:leader="none" w:pos="4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Notice Addresses of Guarantors</w:t>
      </w:r>
    </w:p>
    <w:p>
      <w:pPr>
        <w:spacing w:after="0" w:line="131" w:lineRule="exact"/>
        <w:rPr>
          <w:sz w:val="20"/>
          <w:szCs w:val="20"/>
          <w:color w:val="auto"/>
        </w:rPr>
      </w:pPr>
    </w:p>
    <w:p>
      <w:pPr>
        <w:ind w:left="440" w:right="200" w:hanging="436"/>
        <w:spacing w:after="0" w:line="277" w:lineRule="auto"/>
        <w:tabs>
          <w:tab w:leader="none" w:pos="4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Description of Pledged Investment Property [within 10 Business Days (or such later date as the Administrative Agent may agree to in its sole discretion) following Closing Date]</w:t>
      </w:r>
    </w:p>
    <w:p>
      <w:pPr>
        <w:spacing w:after="0" w:line="76" w:lineRule="exact"/>
        <w:rPr>
          <w:sz w:val="20"/>
          <w:szCs w:val="20"/>
          <w:color w:val="auto"/>
        </w:rPr>
      </w:pPr>
    </w:p>
    <w:p>
      <w:pPr>
        <w:ind w:left="440" w:right="340" w:hanging="436"/>
        <w:spacing w:after="0" w:line="277" w:lineRule="auto"/>
        <w:tabs>
          <w:tab w:leader="none" w:pos="4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Exact Legal Name, Location of Jurisdiction of Organization and Chief Executive Office [within 10 Business Days (or such later date as the Administrative Agent may agree to in its sole discretion) following Closing Date]</w:t>
      </w:r>
    </w:p>
    <w:p>
      <w:pPr>
        <w:spacing w:after="0" w:line="76" w:lineRule="exact"/>
        <w:rPr>
          <w:sz w:val="20"/>
          <w:szCs w:val="20"/>
          <w:color w:val="auto"/>
        </w:rPr>
      </w:pPr>
    </w:p>
    <w:p>
      <w:pPr>
        <w:ind w:left="440" w:hanging="436"/>
        <w:spacing w:after="0"/>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31" w:lineRule="exact"/>
        <w:rPr>
          <w:sz w:val="20"/>
          <w:szCs w:val="20"/>
          <w:color w:val="auto"/>
        </w:rPr>
      </w:pPr>
    </w:p>
    <w:p>
      <w:pPr>
        <w:ind w:left="440" w:right="80" w:hanging="436"/>
        <w:spacing w:after="0" w:line="277" w:lineRule="auto"/>
        <w:tabs>
          <w:tab w:leader="none" w:pos="4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Copyrights, Patents, Trademarks and Other Intellectual Property [within 10 Business Days (or such later date as the Administrative Agent may agree to in its sole discretion) following Closing Date]</w:t>
      </w:r>
    </w:p>
    <w:p>
      <w:pPr>
        <w:spacing w:after="0" w:line="76" w:lineRule="exact"/>
        <w:rPr>
          <w:sz w:val="20"/>
          <w:szCs w:val="20"/>
          <w:color w:val="auto"/>
        </w:rPr>
      </w:pPr>
    </w:p>
    <w:p>
      <w:pPr>
        <w:ind w:left="440" w:hanging="436"/>
        <w:spacing w:after="0" w:line="277" w:lineRule="auto"/>
        <w:tabs>
          <w:tab w:leader="none" w:pos="4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Commercial Tort Claims [within 10 Business Days (or such later date as the Administrative Agent may agree to in its sole discretion) following Closing Date]</w:t>
      </w:r>
    </w:p>
    <w:p>
      <w:pPr>
        <w:spacing w:after="0" w:line="76" w:lineRule="exact"/>
        <w:rPr>
          <w:sz w:val="20"/>
          <w:szCs w:val="20"/>
          <w:color w:val="auto"/>
        </w:rPr>
      </w:pPr>
    </w:p>
    <w:p>
      <w:pPr>
        <w:ind w:left="440" w:right="160" w:hanging="436"/>
        <w:spacing w:after="0" w:line="277" w:lineRule="auto"/>
        <w:tabs>
          <w:tab w:leader="none" w:pos="4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Letter of Credit Rights [within 10 Business Days (or such later date as the Administrative Agent may agree to in its sole discretion) following Closing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440" w:hanging="436"/>
        <w:spacing w:after="0"/>
        <w:tabs>
          <w:tab w:leader="none" w:pos="4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Form of Acknowledgement and Consent</w:t>
      </w:r>
    </w:p>
    <w:p>
      <w:pPr>
        <w:spacing w:after="0" w:line="200" w:lineRule="exact"/>
        <w:rPr>
          <w:sz w:val="20"/>
          <w:szCs w:val="20"/>
          <w:color w:val="auto"/>
        </w:rPr>
      </w:pPr>
    </w:p>
    <w:p>
      <w:pPr>
        <w:spacing w:after="0" w:line="241" w:lineRule="exact"/>
        <w:rPr>
          <w:sz w:val="20"/>
          <w:szCs w:val="20"/>
          <w:color w:val="auto"/>
        </w:rPr>
      </w:pPr>
    </w:p>
    <w:p>
      <w:pPr>
        <w:ind w:left="440" w:hanging="436"/>
        <w:spacing w:after="0"/>
        <w:tabs>
          <w:tab w:leader="none" w:pos="4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Form of Uncertificated Security Control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w:t>
      </w:r>
    </w:p>
    <w:p>
      <w:pPr>
        <w:spacing w:after="0" w:line="135" w:lineRule="exact"/>
        <w:rPr>
          <w:sz w:val="20"/>
          <w:szCs w:val="20"/>
          <w:color w:val="auto"/>
        </w:rPr>
      </w:pPr>
    </w:p>
    <w:p>
      <w:pPr>
        <w:ind w:left="440" w:hanging="436"/>
        <w:spacing w:after="0"/>
        <w:tabs>
          <w:tab w:leader="none" w:pos="4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Assumption Agreement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00"/>
          </w:cols>
          <w:pgMar w:left="440" w:top="270" w:right="659" w:bottom="1440" w:gutter="0" w:footer="0" w:header="0"/>
        </w:sectPr>
      </w:pPr>
    </w:p>
    <w:bookmarkStart w:id="477" w:name="page478"/>
    <w:bookmarkEnd w:id="4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AND COLLATERAL AGREEMENT</w:t>
      </w:r>
    </w:p>
    <w:p>
      <w:pPr>
        <w:spacing w:after="0" w:line="229"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GUARANTEE AND COLLATERAL AGREEMENT, dated as of October 11, 2019, among each of the signatories hereto (together with any other entity that may become a party hereto as provided herein, the “</w:t>
      </w:r>
      <w:r>
        <w:rPr>
          <w:rFonts w:ascii="Arial" w:cs="Arial" w:eastAsia="Arial" w:hAnsi="Arial"/>
          <w:sz w:val="16"/>
          <w:szCs w:val="16"/>
          <w:u w:val="single" w:color="auto"/>
          <w:color w:val="auto"/>
        </w:rPr>
        <w:t>Grantors</w:t>
      </w:r>
      <w:r>
        <w:rPr>
          <w:rFonts w:ascii="Arial" w:cs="Arial" w:eastAsia="Arial" w:hAnsi="Arial"/>
          <w:sz w:val="16"/>
          <w:szCs w:val="16"/>
          <w:color w:val="auto"/>
        </w:rPr>
        <w:t>”), and MORGAN STANLEY SENIOR FUNDING, INC., as administrative agent (in such capacity and together with its successors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(i)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parties to the Bridge Facility Agreement, dated as of October 11, 2019 (as amended, restated supplemented, replaced, or otherwise modified from time to time, the “</w:t>
      </w:r>
      <w:r>
        <w:rPr>
          <w:rFonts w:ascii="Arial" w:cs="Arial" w:eastAsia="Arial" w:hAnsi="Arial"/>
          <w:sz w:val="16"/>
          <w:szCs w:val="16"/>
          <w:u w:val="single" w:color="auto"/>
          <w:color w:val="auto"/>
        </w:rPr>
        <w:t>Bridge Facility Agreement</w:t>
      </w:r>
      <w:r>
        <w:rPr>
          <w:rFonts w:ascii="Arial" w:cs="Arial" w:eastAsia="Arial" w:hAnsi="Arial"/>
          <w:sz w:val="16"/>
          <w:szCs w:val="16"/>
          <w:color w:val="auto"/>
        </w:rPr>
        <w:t>”), among POST HOLDINGS, INC., a Missouri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and the Administrative Agent, and (ii) the other Secured Parties (as hereinafter defined).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 I T N E S E T H</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Administrative Agent, the Lenders and the Borrower have entered into the Bridge Facility Agreement;</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WHEREAS, pursuant to the Bridge Facility Agreement, the Lenders have severally agreed to make an extension of credit to the Borrower upon the terms and subject to the conditions set forth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Borrower is a member of an affiliated group of companies that includes each other Grantor;</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WHEREAS, the proceeds of the extension of credit under the Bridge Facility Agreement will be used for repayment of Indebtedness (which may include the Loans) of the Company and payment of fees, costs, and expenses relating thereto, and pending the application of such proceeds in accordance with the foregoing, such proceeds may be temporarily invested in any manner not prohibited by the Bridge Facility Agreement;</w:t>
      </w:r>
    </w:p>
    <w:p>
      <w:pPr>
        <w:spacing w:after="0" w:line="14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WHEREAS, the Borrower and the other Grantors are engaged in related businesses, and each Grantor will derive substantial direct and indirect benefit from the making of the extensions of credit under the Bridge Facility Agreement; and</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the Borrower under the Bridge Facility Agreement thereafter that the Grantors shall have executed and delivered this Agreement to the Administrative Agent for the benefit of the Secured Parties.</w:t>
      </w:r>
    </w:p>
    <w:p>
      <w:pPr>
        <w:spacing w:after="0" w:line="181"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Bridge Facility Agreement, to induce the other Secured Parties to enter into certain hedging and cash management agreements with the Grantors, and to induce the Lenders to make their respective extensions of credit to the Borrower thereunder, each Grantor hereby agrees with the Administrative Agent, for the benefit of the Secured Parties, as follows:</w:t>
      </w:r>
    </w:p>
    <w:p>
      <w:pPr>
        <w:sectPr>
          <w:pgSz w:w="11900" w:h="16838" w:orient="portrait"/>
          <w:cols w:equalWidth="0" w:num="1">
            <w:col w:w="11000"/>
          </w:cols>
          <w:pgMar w:left="440" w:top="269" w:right="45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r>
        <w:rPr>
          <w:rFonts w:ascii="Arial" w:cs="Arial" w:eastAsia="Arial" w:hAnsi="Arial"/>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i w:val="1"/>
          <w:iCs w:val="1"/>
          <w:color w:val="auto"/>
        </w:rPr>
        <w:t>Definitions.</w:t>
      </w:r>
    </w:p>
    <w:p>
      <w:pPr>
        <w:spacing w:after="0" w:line="121" w:lineRule="exact"/>
        <w:rPr>
          <w:sz w:val="20"/>
          <w:szCs w:val="20"/>
          <w:color w:val="auto"/>
        </w:rPr>
      </w:pPr>
    </w:p>
    <w:p>
      <w:pPr>
        <w:ind w:firstLine="444"/>
        <w:spacing w:after="0" w:line="273" w:lineRule="auto"/>
        <w:tabs>
          <w:tab w:leader="none" w:pos="685" w:val="left"/>
        </w:tabs>
        <w:numPr>
          <w:ilvl w:val="0"/>
          <w:numId w:val="447"/>
        </w:numPr>
        <w:rPr>
          <w:rFonts w:ascii="Arial" w:cs="Arial" w:eastAsia="Arial" w:hAnsi="Arial"/>
          <w:sz w:val="17"/>
          <w:szCs w:val="17"/>
          <w:color w:val="auto"/>
        </w:rPr>
      </w:pPr>
      <w:r>
        <w:rPr>
          <w:rFonts w:ascii="Arial" w:cs="Arial" w:eastAsia="Arial" w:hAnsi="Arial"/>
          <w:sz w:val="17"/>
          <w:szCs w:val="17"/>
          <w:color w:val="auto"/>
        </w:rPr>
        <w:t>Unless otherwise defined herein, terms defined in the Bridge Facility Agreement and used herein shall have the meanings given to them in the Bridge Facility Agreement, and the following terms which are defined in the Uniform Commercial Code as in effect in the State of New York are used herein as so defined: Accounts, Account Debtor, Authenticate, Certificated Security, Chattel Paper, Commodity Account, Commodity Contract, Commodity Intermediary, Documents, Electronic Chattel Paper, Entitlement Order, Equipment, Farm Products, Financial Asset, Fixtures, Goods, Instruments, Inventory, Letter of Credit Rights, Money, Payment Intangibles, Securities Account, Securities Intermediary, Security, Security Entitlement, Supporting Obligations, Tangible Chattel Paper and Uncertificated Security.</w:t>
      </w:r>
    </w:p>
    <w:p>
      <w:pPr>
        <w:spacing w:after="0" w:line="70" w:lineRule="exact"/>
        <w:rPr>
          <w:rFonts w:ascii="Arial" w:cs="Arial" w:eastAsia="Arial" w:hAnsi="Arial"/>
          <w:sz w:val="17"/>
          <w:szCs w:val="17"/>
          <w:color w:val="auto"/>
        </w:rPr>
      </w:pPr>
    </w:p>
    <w:p>
      <w:pPr>
        <w:ind w:left="700" w:hanging="256"/>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Guarantee and Collateral Agreement, as the same may be amended, restated, supplemented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Claims Act</w:t>
      </w:r>
      <w:r>
        <w:rPr>
          <w:rFonts w:ascii="Arial" w:cs="Arial" w:eastAsia="Arial" w:hAnsi="Arial"/>
          <w:sz w:val="18"/>
          <w:szCs w:val="18"/>
          <w:color w:val="auto"/>
        </w:rPr>
        <w:t>” shall mean the Assignment of Claims Act of 1940.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Brands</w:t>
      </w:r>
      <w:r>
        <w:rPr>
          <w:rFonts w:ascii="Arial" w:cs="Arial" w:eastAsia="Arial" w:hAnsi="Arial"/>
          <w:sz w:val="18"/>
          <w:szCs w:val="18"/>
          <w:color w:val="auto"/>
        </w:rPr>
        <w:t>” shall mean BellRing Brands, LLC, a Delaware limited liability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mean (i) prior to the Debt Assumption, the Company, and (ii) as of and after the Debt Assumption, BellRing Brands.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 Deposit Accounts</w:t>
      </w:r>
      <w:r>
        <w:rPr>
          <w:rFonts w:ascii="Arial" w:cs="Arial" w:eastAsia="Arial" w:hAnsi="Arial"/>
          <w:sz w:val="18"/>
          <w:szCs w:val="18"/>
          <w:color w:val="auto"/>
        </w:rPr>
        <w:t xml:space="preserve">” shall mean any Deposit Account pledged to secure obligations in respect of ordinary course cash management arrangements and commodity Swap Contracts to the extent permitted under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of the Bridge Facility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have the meaning set forth in Article 3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shall mean any collateral account established by the Administrative Agent as provided in Sections 6.01 or 6.04.</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shall mean the Commodity Exchange Act (7 U.S.C. § 1 et seq.), as amended from time to time, and any successor statute.</w:t>
      </w:r>
    </w:p>
    <w:p>
      <w:pPr>
        <w:spacing w:after="0" w:line="170" w:lineRule="exact"/>
        <w:rPr>
          <w:sz w:val="20"/>
          <w:szCs w:val="20"/>
          <w:color w:val="auto"/>
        </w:rPr>
      </w:pPr>
    </w:p>
    <w:p>
      <w:pPr>
        <w:ind w:right="4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Licenses</w:t>
      </w:r>
      <w:r>
        <w:rPr>
          <w:rFonts w:ascii="Arial" w:cs="Arial" w:eastAsia="Arial" w:hAnsi="Arial"/>
          <w:sz w:val="17"/>
          <w:szCs w:val="17"/>
          <w:color w:val="auto"/>
        </w:rPr>
        <w:t>” shall mean any written agreement naming any Grantor as licensor or licensee, granting any right under any Copyright, including, without limitation, the grant of rights to manufacture, distribute, exploit and sell materials derived from any Copyright.</w:t>
      </w:r>
    </w:p>
    <w:p>
      <w:pPr>
        <w:spacing w:after="0" w:line="14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xml:space="preserve">” shall mean (but excluding in all cases software licensed to a Grantor) (i) all domestic and foreign copyrights, whether or not the underlying works of authorship have been published, including but not limited to copyrights in software and databases, all Mask Works (as defined in 17 U.S.C. 901 of the U.S. Copyright Act) and all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w:t>
      </w:r>
      <w:r>
        <w:rPr>
          <w:rFonts w:ascii="Arial" w:cs="Arial" w:eastAsia="Arial" w:hAnsi="Arial"/>
          <w:sz w:val="17"/>
          <w:szCs w:val="17"/>
          <w:u w:val="single" w:color="auto"/>
          <w:color w:val="auto"/>
        </w:rPr>
        <w:t>Schedule 5</w:t>
      </w:r>
      <w:r>
        <w:rPr>
          <w:rFonts w:ascii="Arial" w:cs="Arial" w:eastAsia="Arial" w:hAnsi="Arial"/>
          <w:sz w:val="17"/>
          <w:szCs w:val="17"/>
          <w:color w:val="auto"/>
        </w:rPr>
        <w:t>, (ii) the rights to print, publish and distribute any of the foregoing, (iii) the right to sue or otherwise recover for any and all past, present and future infringements and other violations thereof, (iv) all income, royalties, damages and other payments now and hereafter due and/or payable with respect thereto (including, without limitation, payments under all Copyright Licenses entered into in connection therewith, payments arising out of any other sale, lease, license or other disposition thereof and damages and payments for past, present or future infringements and other violations thereof), and (v) all other rights of any kind whatsoever accruing thereunder or pertaining thereto.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69" w:right="439" w:bottom="1440" w:gutter="0" w:footer="0" w:header="0"/>
        </w:sectPr>
      </w:pPr>
    </w:p>
    <w:bookmarkStart w:id="479" w:name="page480"/>
    <w:bookmarkEnd w:id="479"/>
    <w:p>
      <w:pPr>
        <w:ind w:right="2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Deposit Account</w:t>
      </w:r>
      <w:r>
        <w:rPr>
          <w:rFonts w:ascii="Arial" w:cs="Arial" w:eastAsia="Arial" w:hAnsi="Arial"/>
          <w:sz w:val="18"/>
          <w:szCs w:val="18"/>
          <w:color w:val="auto"/>
        </w:rPr>
        <w:t>” shall mean (i) all “deposit accounts” as defined in Article 9 of the UCC, (ii) all other accounts maintained with any financial institution (other than Securities Accounts or Commodity Accounts) and (iii) together, in each case, with all funds held therein and all certificates or instruments representing any of the foregoing.</w:t>
      </w:r>
    </w:p>
    <w:p>
      <w:pPr>
        <w:spacing w:after="0" w:line="181" w:lineRule="exact"/>
        <w:rPr>
          <w:sz w:val="20"/>
          <w:szCs w:val="20"/>
          <w:color w:val="auto"/>
        </w:rPr>
      </w:pPr>
    </w:p>
    <w:p>
      <w:pPr>
        <w:ind w:right="2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the Obligations</w:t>
      </w:r>
      <w:r>
        <w:rPr>
          <w:rFonts w:ascii="Arial" w:cs="Arial" w:eastAsia="Arial" w:hAnsi="Arial"/>
          <w:sz w:val="18"/>
          <w:szCs w:val="18"/>
          <w:color w:val="auto"/>
        </w:rPr>
        <w:t>” shall mean and shall have occurred when all Obligations shall have been paid in full in cash in immediately available funds and all other obligations under the Loan Documents shall have been performed (other than (a) those expressly stated to survive termination, (b) contingent obligations as to which no claim has been asserted, and (c) obligations and liabilities under Secured Cash Management Agreements and Secured Hedge Agreements, if any, as to which arrangements satisfactory to the applicable Qualified Counterparties shall have been made).</w:t>
      </w:r>
    </w:p>
    <w:p>
      <w:pPr>
        <w:spacing w:after="0" w:line="188" w:lineRule="exact"/>
        <w:rPr>
          <w:sz w:val="20"/>
          <w:szCs w:val="20"/>
          <w:color w:val="auto"/>
        </w:rPr>
      </w:pPr>
    </w:p>
    <w:p>
      <w:pPr>
        <w:jc w:val="both"/>
        <w:ind w:right="22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shall mean the sale, transfer, license, lease or other disposition (including any sale and leaseback transaction) of any property by any Person, including (x) any sale, assignment, transfer or other disposal, with or without recourse, of any notes or accounts receivable or any rights and claims associated therewith and (y) any issuance of Equity Interests by any Restricted Subsidiary of such Person. For the avoidance of doubt, any issuance of Equity Interests by the Borrower shall not be a Disposition.</w:t>
      </w:r>
    </w:p>
    <w:p>
      <w:pPr>
        <w:spacing w:after="0" w:line="17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shall mean (i) Excluded Deposit Accounts, (ii) Cash Collateral Deposit Accounts, (iii) any assets of any Unrestricted Subsidiary, (iv) any Equity Interests (A) in any Immaterial Subsidiary, (B) in any Unrestricted Subsidiary, (C) which are not Pledged Equity Interests, and (D) in any other immaterial non-wholly owned entity (“immaterial non-wholly owned entity” being defined as any such entity with respect to which the Grantors have made Investments in or to an amount less than or equal to $5,000,000 in the aggregate at any time and $10,000,000 in the aggregate for all such entities) to the extent a pledge of such Equity Interests would not be permitted by the terms of such entity’s organizational or joint venture documentation (and the consent of the members, managers or equityholders, as applicable, has not been obtained), (v) property owned by any Grantor that is subject to a purchase money Lien or a Capital Lease permitted under the Bridge Facility Agreement if the agreement pursuant to which such Lien is granted (or the document providing for such Capital Lease) prohibits or requires the consent of any Person other than the Grantors which has not been obtained as a condition to the creation of any other Lien on such property, (vi) any permit, lease, license, contract or agreement to which any Grantor is a party, and any of its rights or interest thereunder, if and to the extent that a security interest is prohibited by or in violation of (a) any law, rule or regulation applicable to such Grantor or (b) a term, provision or condition of any such lease, license, contract or agreement (unless such law, rule, regulation,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Collateral shall include (and such security interest shall attach) immediately at such time as the contractual or legal prohibition shall no longer be applicable and to the extent severable, and shall attach immediately to any portion of such lease, license, contract or agreement not subject to the prohibitions specified in (a) or (b)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exclusions referred to in clauses (v) and (vi) of this definition shall not include any Proceeds of any such permit, lease, license, contract or agreement, (vii)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to the extent, if any, that, and solely during the period, if any, in which, the grant of a security interest therein would impair the validity or enforceability of any registration that issues from such intent-to-use application under applicable federal Law, (viii) all motor vehicles and (ix) all aircraft.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80" w:name="page481"/>
    <w:bookmarkEnd w:id="480"/>
    <w:p>
      <w:pPr>
        <w:ind w:right="160"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Excluded Deposit Account</w:t>
      </w:r>
      <w:r>
        <w:rPr>
          <w:rFonts w:ascii="Arial" w:cs="Arial" w:eastAsia="Arial" w:hAnsi="Arial"/>
          <w:sz w:val="16"/>
          <w:szCs w:val="16"/>
          <w:color w:val="auto"/>
        </w:rPr>
        <w:t>” shall mean, with respect to each Grantor, each (i) payroll account of such Grantor so long as the funds on deposit therein at any time do not exceed the then aggregate accrued payroll obligations of such Grantor, (ii) deposit account maintained in connection with an employee benefit plan provided to such Grantor’s employees to the extent the funds on deposit therein are held for the benefit of such Grantor’s employees and are not the assets of such Grantor, (iii) tax withholding or fiduciary account not otherwise described in this definition, (iv) offshore investment account, (v) overnight investment account, (vi) account of any Grantor holding funds in escrow with respect to any proposed, pending or consummated acquisition permitted under the Bridge Facility Agreement or any account of any Grantor holding funds for the benefit of any insurance carrier of any Grantor, (vii) account of target companies which are acquired pursuant to an acquisition permitted under the Bridge Facility Agreement,</w:t>
      </w:r>
    </w:p>
    <w:p>
      <w:pPr>
        <w:spacing w:after="0" w:line="3" w:lineRule="exact"/>
        <w:rPr>
          <w:sz w:val="20"/>
          <w:szCs w:val="20"/>
          <w:color w:val="auto"/>
        </w:rPr>
      </w:pPr>
    </w:p>
    <w:p>
      <w:pPr>
        <w:ind w:left="400" w:hanging="396"/>
        <w:spacing w:after="0"/>
        <w:tabs>
          <w:tab w:leader="none" w:pos="40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account for which Grantor is required to give “control” (within the meaning of the applicable Uniform Commercial Code), including without</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limitation, executing and delivering and causing the relevant depositary bank or securities intermediary to execute and deliver a Control Agreement, and</w:t>
      </w:r>
    </w:p>
    <w:p>
      <w:pPr>
        <w:spacing w:after="0" w:line="32" w:lineRule="exact"/>
        <w:rPr>
          <w:rFonts w:ascii="Arial" w:cs="Arial" w:eastAsia="Arial" w:hAnsi="Arial"/>
          <w:sz w:val="17"/>
          <w:szCs w:val="17"/>
          <w:color w:val="auto"/>
        </w:rPr>
      </w:pPr>
    </w:p>
    <w:p>
      <w:pPr>
        <w:ind w:right="100" w:firstLine="4"/>
        <w:spacing w:after="0" w:line="261" w:lineRule="auto"/>
        <w:tabs>
          <w:tab w:leader="none" w:pos="30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petty cash account of such Grantor,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petty cash accounts of the Grantors shall cease to constitute Excluded Deposit Accounts if the aggregate funds on deposit in all petty cash accounts of the Grantors taken together exceed $2,500,000 at any one time.</w:t>
      </w:r>
    </w:p>
    <w:p>
      <w:pPr>
        <w:spacing w:after="0" w:line="184"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shall mean any entity that is treated as a disregarded or pass-through entity for U.S. federal income tax purposes and owns (directly or indirectly) no material assets other than Equity Interests of one or more CFCs.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mean all “general intangibles” as such term is defined in Section 9-102(a)(42) of the Uniform Commercial Code in effect in the State of New York on the date hereof and, in any event, including, without limitation, with respect to any Grantor, all rights of such Grantor to receive any tax refunds, all Swap Contracts and all contracts, agreements, instruments and indentures and all licenses, permits, concessions, franchises and Authorizations issued by Governmental Authorities in any form, and portions thereof, to which such Grantor is a party or under which such Grantor has any right, title or interest or to which such Grantor or any property of such Grantor is subject, as the same may from time to time be amended, supplemented, replaced or otherwise modified, including, without limitation, (i) all rights of such Grantor to receive moneys due and to become due to it thereunder or in connection therewith, (ii) all rights of such Grantor to receive proceeds of any insurance, indemnity, warranty or guaranty with respect thereto, (iii) all rights of such Grantor to damages arising thereunder, and (iv) all rights of such Grantor to terminate and to perform, compel performance and to exercise all remedies thereunder.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81" w:name="page482"/>
    <w:bookmarkEnd w:id="481"/>
    <w:p>
      <w:pPr>
        <w:ind w:right="12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Guarantors</w:t>
      </w:r>
      <w:r>
        <w:rPr>
          <w:rFonts w:ascii="Arial" w:cs="Arial" w:eastAsia="Arial" w:hAnsi="Arial"/>
          <w:sz w:val="17"/>
          <w:szCs w:val="17"/>
          <w:color w:val="auto"/>
        </w:rPr>
        <w:t>” shall mean the collective reference to each Grantor (excluding, for the avoidance of doubt, at all times, BellRing Brands, Inc., a Delaware corporation). For the avoidance of doubt, after the Debt Assumption, any Foreign Subsidiary or FSHCO shall be a Guarantor under this Guarantee and Collateral Agreement unless making any such Foreign Subsidiary or FSHCO a Guarantor will, in the good faith judgment of the Borrower, result in an adverse tax consequence to the Borrower or its Subsidiaries, as reasonably determined by the Borrower in consultation with the Administrative Agent, as a result of Section 956 of the Code and the Treasury Regulations promulgated thereunder; provided, however, that no Foreign Subsidiary in existence on the Closing Date shall be a Guarantor.</w:t>
      </w:r>
    </w:p>
    <w:p>
      <w:pPr>
        <w:spacing w:after="0" w:line="178"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the Trademark Licenses, the Trade Secrets and the Trade Secret Licenses, and all rights to sue at law or in equity for any infringement, misappropriation, dilution or other violation or impairment thereof, including the right to receive all proceeds and damages therefrom.</w:t>
      </w:r>
    </w:p>
    <w:p>
      <w:pPr>
        <w:spacing w:after="0" w:line="15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w:t>
      </w:r>
      <w:r>
        <w:rPr>
          <w:rFonts w:ascii="Arial" w:cs="Arial" w:eastAsia="Arial" w:hAnsi="Arial"/>
          <w:sz w:val="18"/>
          <w:szCs w:val="18"/>
          <w:color w:val="auto"/>
        </w:rPr>
        <w:t>” shall mean all insurance policies covering any or all of the Collateral (regardless of whether the Administrative Agent is the additional insured or loss payee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Note</w:t>
      </w:r>
      <w:r>
        <w:rPr>
          <w:rFonts w:ascii="Arial" w:cs="Arial" w:eastAsia="Arial" w:hAnsi="Arial"/>
          <w:sz w:val="17"/>
          <w:szCs w:val="17"/>
          <w:color w:val="auto"/>
        </w:rPr>
        <w:t>” shall mean any promissory note evidencing loans made by any Grantor to the Borrower or any of its Subsidiaries.</w:t>
      </w:r>
    </w:p>
    <w:p>
      <w:pPr>
        <w:spacing w:after="0" w:line="23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Property</w:t>
      </w:r>
      <w:r>
        <w:rPr>
          <w:rFonts w:ascii="Arial" w:cs="Arial" w:eastAsia="Arial" w:hAnsi="Arial"/>
          <w:sz w:val="17"/>
          <w:szCs w:val="17"/>
          <w:color w:val="auto"/>
        </w:rPr>
        <w:t>” shall mean the collective reference to (i) all “investment property” as such term is defined in Section 9-102(a)(49) of the Uniform Commercial Code in effect in the State of New York including, without limitation, all Certificated Securities and Uncertificated Securities, all Security Entitlements, all Securities Accounts, all Commodity Contracts and all Commodity Accounts (other than any Equity Interest excluded from the definition of “</w:t>
      </w:r>
      <w:r>
        <w:rPr>
          <w:rFonts w:ascii="Arial" w:cs="Arial" w:eastAsia="Arial" w:hAnsi="Arial"/>
          <w:sz w:val="17"/>
          <w:szCs w:val="17"/>
          <w:u w:val="single" w:color="auto"/>
          <w:color w:val="auto"/>
        </w:rPr>
        <w:t>Pledged Equity Interests</w:t>
      </w:r>
      <w:r>
        <w:rPr>
          <w:rFonts w:ascii="Arial" w:cs="Arial" w:eastAsia="Arial" w:hAnsi="Arial"/>
          <w:sz w:val="17"/>
          <w:szCs w:val="17"/>
          <w:color w:val="auto"/>
        </w:rPr>
        <w:t>”), (ii) security entitlements, in the case of any United States Treasury book-entry securities, as defined in 31 C.F.R. section 357.2, or, in the case of any United States federal agency book-entry securities, as defined in the corresponding United States federal regulations governing such book-entry securities, and (iii) whether or not constituting “investment property” as so defined, all Pledged Notes, all Pledged Equity Interests, all Pledged Security Entitlements and all Pledged Commodity Contracts.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shall mean the collective reference to each issuer of a Pledged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shall mean the Uniform Commercial Code as from time to time in effect in the State of New York.</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shall mean all Obligations (as defined in the Bridge Facility Agreement) including, without limitation, those arising under Article 2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Obligations shall not include any Excluded Swap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shall have the meaning set forth in Section 2.08.</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shall mean all agreements, whether written or oral, providing for the grant by or to any Grantor of any right to manufacture, use or sell any invention covered in whole or in part by a Patent.</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shall mean (but excluding in all cases software licensed to a Grantor) (i) all domestic and foreign patents, patent applications and patentable inventions, including, without limitation, each issued patent and patent application identified in </w:t>
      </w:r>
      <w:r>
        <w:rPr>
          <w:rFonts w:ascii="Arial" w:cs="Arial" w:eastAsia="Arial" w:hAnsi="Arial"/>
          <w:sz w:val="18"/>
          <w:szCs w:val="18"/>
          <w:u w:val="single" w:color="auto"/>
          <w:color w:val="auto"/>
        </w:rPr>
        <w:t>Schedule 5</w:t>
      </w:r>
      <w:r>
        <w:rPr>
          <w:rFonts w:ascii="Arial" w:cs="Arial" w:eastAsia="Arial" w:hAnsi="Arial"/>
          <w:sz w:val="18"/>
          <w:szCs w:val="18"/>
          <w:color w:val="auto"/>
        </w:rPr>
        <w:t>, all certificates of invention or similar property rights, (ii) all inventions and improvements described and claimed therein, (iii) the right to sue or otherwise recover for any and all past, present and future infringements and other violations thereof, (iv) all income,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82" w:name="page483"/>
    <w:bookmarkEnd w:id="48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royalties, damages and other payments now and hereafter due and/or payable with respect thereto (including, without limitation, payments under all Patent Licenses entered into in connection therewith, payments arising out of any other sale, lease, license or other disposition thereof and damages and payments for past, present or future infringement and other violation thereof), (v) all reissues, divisions, continuations, continuations-in-part, substitutes, renewals, reexaminations and extensions thereof, all improvements thereon and (vi) all other rights of any kind whatsoever accruing thereunder or pertaining thereto.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Perishable Agricultural Commodities Act</w:t>
      </w:r>
      <w:r>
        <w:rPr>
          <w:rFonts w:ascii="Arial" w:cs="Arial" w:eastAsia="Arial" w:hAnsi="Arial"/>
          <w:sz w:val="18"/>
          <w:szCs w:val="18"/>
          <w:color w:val="auto"/>
        </w:rPr>
        <w:t>” shall mean the Perishable Agricultural Commodities Act of 1930.</w:t>
      </w:r>
    </w:p>
    <w:p>
      <w:pPr>
        <w:spacing w:after="0" w:line="225"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Exceptions</w:t>
      </w:r>
      <w:r>
        <w:rPr>
          <w:rFonts w:ascii="Arial" w:cs="Arial" w:eastAsia="Arial" w:hAnsi="Arial"/>
          <w:sz w:val="18"/>
          <w:szCs w:val="18"/>
          <w:color w:val="auto"/>
        </w:rPr>
        <w:t>” shall mean the following exceptions to the obligations or representations of any Grantor: (i) no Grantor shall be required to take actions to perfect the security interest of the Administrative Agent (x) on any property that is covered by a certificate of title statute of any jurisdiction under the law of which the indication of a security interest on such certificate is required as a condition of perfection thereof or (y) if recordation of a security interest with the Federal Aviation Administration or the International Registry of Mobile Assets is required as a condition of perfection thereof; (ii) no Grantor shall be required to take actions to perfect the security interest of the Administrative Agent on any Excluded Assets; and (iii) no Grantor shall be required to take actions to perfect the security interests of the Administrative Agent with respect to any Collateral for which security interests are perfected by a method other than the filing of a financing statement unless this Agreement expressly requires such Grantor to take such perfection action.</w:t>
      </w:r>
    </w:p>
    <w:p>
      <w:pPr>
        <w:spacing w:after="0" w:line="192"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Alternative Equity Interests</w:t>
      </w:r>
      <w:r>
        <w:rPr>
          <w:rFonts w:ascii="Arial" w:cs="Arial" w:eastAsia="Arial" w:hAnsi="Arial"/>
          <w:sz w:val="18"/>
          <w:szCs w:val="18"/>
          <w:color w:val="auto"/>
        </w:rPr>
        <w:t xml:space="preserve">” shall mean all interests of any Grantor in participation or other interests in any equity or profits of any business entity and the certificates, if any, representing such interests and all dividends, distributions, cash, warrants, rights, options, instruments, securities and other property or proceeds from time to time received, receivable or otherwise distributed in respect of or in exchange for any or all of such interests and any other warrant, right or option to acquire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Pledged Alternative Equity Interests shall not include any Pledged Stock, Pledged Partnership Interests, Pledged LLC Interests and Pledged Trust Interests, and shall not include any of the foregoing to the extent it comprises Excluded Assets.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Commodity Contracts</w:t>
      </w:r>
      <w:r>
        <w:rPr>
          <w:rFonts w:ascii="Arial" w:cs="Arial" w:eastAsia="Arial" w:hAnsi="Arial"/>
          <w:sz w:val="18"/>
          <w:szCs w:val="18"/>
          <w:color w:val="auto"/>
        </w:rPr>
        <w:t>” shall mean all commodity contracts to which any Grantor is party from time to time.</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 Securities</w:t>
      </w:r>
      <w:r>
        <w:rPr>
          <w:rFonts w:ascii="Arial" w:cs="Arial" w:eastAsia="Arial" w:hAnsi="Arial"/>
          <w:sz w:val="18"/>
          <w:szCs w:val="18"/>
          <w:color w:val="auto"/>
        </w:rPr>
        <w:t xml:space="preserve">” shall mean all debt securities now owned or hereafter acquired by any Grantor, including, without limitation, the debt securities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(as such schedule may be amended from time to time concurrently with the delivery by the Borrower of the items required by </w:t>
      </w:r>
      <w:r>
        <w:rPr>
          <w:rFonts w:ascii="Arial" w:cs="Arial" w:eastAsia="Arial" w:hAnsi="Arial"/>
          <w:sz w:val="18"/>
          <w:szCs w:val="18"/>
          <w:u w:val="single" w:color="auto"/>
          <w:color w:val="auto"/>
        </w:rPr>
        <w:t>Sections 6.01(a) and 6.01(b)</w:t>
      </w:r>
      <w:r>
        <w:rPr>
          <w:rFonts w:ascii="Arial" w:cs="Arial" w:eastAsia="Arial" w:hAnsi="Arial"/>
          <w:sz w:val="18"/>
          <w:szCs w:val="18"/>
          <w:color w:val="auto"/>
        </w:rPr>
        <w:t xml:space="preserve"> of the Bridge Facility Agreement, as applicable), together with any other certificates, options, rights or security entitlements of any nature whatsoever in respect of the debt securities of any Person that may be issued or granted to, or held by, any Grantor while this Agreement is in effect.</w:t>
      </w:r>
    </w:p>
    <w:p>
      <w:pPr>
        <w:spacing w:after="0" w:line="188"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Equity Interests</w:t>
      </w:r>
      <w:r>
        <w:rPr>
          <w:rFonts w:ascii="Arial" w:cs="Arial" w:eastAsia="Arial" w:hAnsi="Arial"/>
          <w:sz w:val="17"/>
          <w:szCs w:val="17"/>
          <w:color w:val="auto"/>
        </w:rPr>
        <w:t xml:space="preserve">” shall mean all Pledged Stock, Pledged LLC Interests, Pledged Partnership Interests, Pledged Trust Interests and Pledged Alternative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“Pledged Equity Interests” include (x) more than 65% of the total outstanding voting Equity Interests of any Foreign Subsidiary, or (y) more than 65% of the total outstanding interests of any FSHCO;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interests referred to in clauses (x) and (y), in each case, shall only be excluded from “Pledged Equity Interests” if (1) the Issuer of such interests is a Foreign Subsidiary or a FSHCO in existence on the Closing Date or (2) the pledge of such interests would, in the good faith judgment of the Borrower, result in an adverse tax consequence to the Borrower or its Subsidiaries, as reasonably determined by the Borrower in consultation with the Administrative Agent, as a result of Section 956 of the Code and the Treasury Regulations promulgated thereunder.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483" w:name="page484"/>
    <w:bookmarkEnd w:id="483"/>
    <w:p>
      <w:pPr>
        <w:ind w:right="80" w:firstLine="44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Pledged LLC Interests</w:t>
      </w:r>
      <w:r>
        <w:rPr>
          <w:rFonts w:ascii="Arial" w:cs="Arial" w:eastAsia="Arial" w:hAnsi="Arial"/>
          <w:sz w:val="18"/>
          <w:szCs w:val="18"/>
          <w:color w:val="auto"/>
        </w:rPr>
        <w:t xml:space="preserve">” shall mean all interests of any Grantor now owned or hereafter acquired in any limited liability company including, without limitation, all limited liability company interests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under the heading “Pledged LLC Interests” (as such schedule may be amended from time to time concurrently with the delivery by the Borrower of the items required by </w:t>
      </w:r>
      <w:r>
        <w:rPr>
          <w:rFonts w:ascii="Arial" w:cs="Arial" w:eastAsia="Arial" w:hAnsi="Arial"/>
          <w:sz w:val="18"/>
          <w:szCs w:val="18"/>
          <w:u w:val="single" w:color="auto"/>
          <w:color w:val="auto"/>
        </w:rPr>
        <w:t>Sections 6.01(a) and 6.01(b)</w:t>
      </w:r>
      <w:r>
        <w:rPr>
          <w:rFonts w:ascii="Arial" w:cs="Arial" w:eastAsia="Arial" w:hAnsi="Arial"/>
          <w:sz w:val="18"/>
          <w:szCs w:val="18"/>
          <w:color w:val="auto"/>
        </w:rPr>
        <w:t xml:space="preserve"> of the Bridge Facility Agreement, as applicable) and the certificates, if any, representing such limited liability company interests and any interest of such Grantor on the books and records of such limited liability company and all dividends, distributions, cash, warrants, rights, options, instruments, securities and other property or proceeds from time to time received, receivable or otherwise distributed in respect of or in exchange for any or all of such limited liability company interests and any other warrant, right or option to acquire any of the foregoing, and excluding any of the foregoing to the extent it comprises Excluded Assets.</w:t>
      </w:r>
    </w:p>
    <w:p>
      <w:pPr>
        <w:spacing w:after="0" w:line="192"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Notes</w:t>
      </w:r>
      <w:r>
        <w:rPr>
          <w:rFonts w:ascii="Arial" w:cs="Arial" w:eastAsia="Arial" w:hAnsi="Arial"/>
          <w:sz w:val="17"/>
          <w:szCs w:val="17"/>
          <w:color w:val="auto"/>
        </w:rPr>
        <w:t xml:space="preserve">” shall mean all promissory notes now owned or hereafter acquired by any Grantor including, without limitation, those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(as such schedule may be amended from time to time concurrently with the delivery by the Borrower of the items required by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 and 6.01(b)</w:t>
      </w:r>
      <w:r>
        <w:rPr>
          <w:rFonts w:ascii="Arial" w:cs="Arial" w:eastAsia="Arial" w:hAnsi="Arial"/>
          <w:sz w:val="17"/>
          <w:szCs w:val="17"/>
          <w:color w:val="auto"/>
        </w:rPr>
        <w:t xml:space="preserve"> of the Bridge Facility Agreement, as applicable), and all Intercompany Notes at any time issued to any Grantor.</w:t>
      </w:r>
    </w:p>
    <w:p>
      <w:pPr>
        <w:spacing w:after="0" w:line="166"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Partnership Interests</w:t>
      </w:r>
      <w:r>
        <w:rPr>
          <w:rFonts w:ascii="Arial" w:cs="Arial" w:eastAsia="Arial" w:hAnsi="Arial"/>
          <w:sz w:val="18"/>
          <w:szCs w:val="18"/>
          <w:color w:val="auto"/>
        </w:rPr>
        <w:t xml:space="preserve">” shall mean all interests of any Grantor now owned or hereafter acquired in any general partnership, limited partnership, limited liability partnership or other partnership including, without limitation, all partnership interests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under the heading “Pledged Partnership Interests” (as such schedule may be amended from time to time concurrently with the delivery by the Borrower of the items required by </w:t>
      </w:r>
      <w:r>
        <w:rPr>
          <w:rFonts w:ascii="Arial" w:cs="Arial" w:eastAsia="Arial" w:hAnsi="Arial"/>
          <w:sz w:val="18"/>
          <w:szCs w:val="18"/>
          <w:u w:val="single" w:color="auto"/>
          <w:color w:val="auto"/>
        </w:rPr>
        <w:t>Section 6.01(a) and 6.01(b)</w:t>
      </w:r>
      <w:r>
        <w:rPr>
          <w:rFonts w:ascii="Arial" w:cs="Arial" w:eastAsia="Arial" w:hAnsi="Arial"/>
          <w:sz w:val="18"/>
          <w:szCs w:val="18"/>
          <w:color w:val="auto"/>
        </w:rPr>
        <w:t xml:space="preserve"> of the Bridge Facility Agreement, as applicable) and the certificates, if any, representing such partnership interests and any interest of such Grantor on the books and records of such partnership and all dividends, distributions, cash, warrants, rights, options, instruments, securities and other property or proceeds from time to time received, receivable or otherwise distributed in respect of or in exchange for any or all of such partnership interests and any other warrant, right or option to acquire any of the foregoing, excluding any of the foregoing to the extent it comprises Excluded Assets.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Securities</w:t>
      </w:r>
      <w:r>
        <w:rPr>
          <w:rFonts w:ascii="Arial" w:cs="Arial" w:eastAsia="Arial" w:hAnsi="Arial"/>
          <w:sz w:val="16"/>
          <w:szCs w:val="16"/>
          <w:color w:val="auto"/>
        </w:rPr>
        <w:t>” shall mean the collective reference to the Pledged Debt Securities, the Pledged Notes and the Pledged Equity Interests.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Security Entitlements</w:t>
      </w:r>
      <w:r>
        <w:rPr>
          <w:rFonts w:ascii="Arial" w:cs="Arial" w:eastAsia="Arial" w:hAnsi="Arial"/>
          <w:sz w:val="18"/>
          <w:szCs w:val="18"/>
          <w:color w:val="auto"/>
        </w:rPr>
        <w:t>” shall mean all security entitlements of any Grantor.</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Stock</w:t>
      </w:r>
      <w:r>
        <w:rPr>
          <w:rFonts w:ascii="Arial" w:cs="Arial" w:eastAsia="Arial" w:hAnsi="Arial"/>
          <w:sz w:val="17"/>
          <w:szCs w:val="17"/>
          <w:color w:val="auto"/>
        </w:rPr>
        <w:t xml:space="preserve">” shall mean all shares of capital stock now owned or hereafter acquired by such Grantor, including, without limitation, all shares of capital stock described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hereto under the heading “Pledged Stock” (as such schedule may be amended from time to time concurrently with the delivery by the Borrower of the items required by </w:t>
      </w:r>
      <w:r>
        <w:rPr>
          <w:rFonts w:ascii="Arial" w:cs="Arial" w:eastAsia="Arial" w:hAnsi="Arial"/>
          <w:sz w:val="17"/>
          <w:szCs w:val="17"/>
          <w:u w:val="single" w:color="auto"/>
          <w:color w:val="auto"/>
        </w:rPr>
        <w:t>Sections 6.01(a) and 6.01(b)</w:t>
      </w:r>
      <w:r>
        <w:rPr>
          <w:rFonts w:ascii="Arial" w:cs="Arial" w:eastAsia="Arial" w:hAnsi="Arial"/>
          <w:sz w:val="17"/>
          <w:szCs w:val="17"/>
          <w:color w:val="auto"/>
        </w:rPr>
        <w:t xml:space="preserve"> of the Bridge Facility Agreement, as applicable), and the certificates, if any, representing such shares and any interest of such Grantor in the entries on the books of the issuer of such shares and all dividends, distributions, cash, warrants, rights, options, instruments, securities and other property or proceeds from time to time received, receivable or otherwise distributed in respect of or in exchange for any or all of such shares and any other warrant, right or option to acquire any of the foregoing, excluding any of the foregoing to the extent it comprises Excluded Assets.</w:t>
      </w:r>
    </w:p>
    <w:p>
      <w:pPr>
        <w:spacing w:after="0" w:line="17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Trust Interests</w:t>
      </w:r>
      <w:r>
        <w:rPr>
          <w:rFonts w:ascii="Arial" w:cs="Arial" w:eastAsia="Arial" w:hAnsi="Arial"/>
          <w:sz w:val="18"/>
          <w:szCs w:val="18"/>
          <w:color w:val="auto"/>
        </w:rPr>
        <w:t xml:space="preserve">” shall mean all interests of any Grantor now owned or hereafter acquired in a Delaware business trust or other trust including, without limitation, all trust interests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under the heading “Pledged Trust Interests” (as such schedule may be amended from time to time concurrently with the delivery by the Borrower of the items required by </w:t>
      </w:r>
      <w:r>
        <w:rPr>
          <w:rFonts w:ascii="Arial" w:cs="Arial" w:eastAsia="Arial" w:hAnsi="Arial"/>
          <w:sz w:val="18"/>
          <w:szCs w:val="18"/>
          <w:u w:val="single" w:color="auto"/>
          <w:color w:val="auto"/>
        </w:rPr>
        <w:t>Sections 6.01(a) and 6.01(b)</w:t>
      </w:r>
      <w:r>
        <w:rPr>
          <w:rFonts w:ascii="Arial" w:cs="Arial" w:eastAsia="Arial" w:hAnsi="Arial"/>
          <w:sz w:val="18"/>
          <w:szCs w:val="18"/>
          <w:color w:val="auto"/>
        </w:rPr>
        <w:t xml:space="preserve"> of the Bridge Facility Agreement, as applicable) and the certificates, if any, representing such trust interests and any interest of such Grantor on the books and records of such trust or on the books and records of 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484" w:name="page485"/>
    <w:bookmarkEnd w:id="484"/>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trust interests and any other warrant, right or option to acquire any of the foregoing, excluding any of the foregoing to the extent it comprises Excluded Assets.</w:t>
      </w:r>
    </w:p>
    <w:p>
      <w:pPr>
        <w:spacing w:after="0" w:line="14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shall mean all “proceeds” as such term is defined in Section 9-102(a)(64) of the Uniform Commercial Code in effect in the State of New York on the date hereof and, in any event, shall include, without limitation, all dividends or other income from the Pledged Securities, collections thereon or distributions or payments with respect thereto.</w:t>
      </w:r>
    </w:p>
    <w:p>
      <w:pPr>
        <w:spacing w:after="0" w:line="181"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Counterparty</w:t>
      </w:r>
      <w:r>
        <w:rPr>
          <w:rFonts w:ascii="Arial" w:cs="Arial" w:eastAsia="Arial" w:hAnsi="Arial"/>
          <w:sz w:val="18"/>
          <w:szCs w:val="18"/>
          <w:color w:val="auto"/>
        </w:rPr>
        <w:t>” shall mean each Person who is a counterparty to a Secured Cash Management Agreement or a Secured Hedge Agreement.</w:t>
      </w:r>
    </w:p>
    <w:p>
      <w:pPr>
        <w:spacing w:after="0" w:line="170" w:lineRule="exact"/>
        <w:rPr>
          <w:sz w:val="20"/>
          <w:szCs w:val="20"/>
          <w:color w:val="auto"/>
        </w:rPr>
      </w:pPr>
    </w:p>
    <w:p>
      <w:pPr>
        <w:ind w:right="3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shall mean,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8"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w:t>
      </w:r>
      <w:r>
        <w:rPr>
          <w:rFonts w:ascii="Arial" w:cs="Arial" w:eastAsia="Arial" w:hAnsi="Arial"/>
          <w:sz w:val="16"/>
          <w:szCs w:val="16"/>
          <w:color w:val="auto"/>
        </w:rPr>
        <w:t>” shall mean all Accounts and any other right to payment for goods or other property sold, leased, licensed or otherwise disposed of or for services rendered, whether or not such right is evidenced by an Instrument or Chattel Paper or classified as a Payment Intangible and whether or not it has been earned by performance. References herein to Receivables shall include any Supporting Obligation or collateral securing such Receivable.</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shall mean collectively, (i) at any time, the Administrative Agent, the Lenders, and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of the Bridge Facility Agreement and (ii) as of and after the Debt Assumption, with respect to any Secured Cash Management Agreement, the Cash Management Banks, and with respect to any Secured Hedge Agreement, the Hedge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Hedge Bank or Cash Management Bank shall have any rights in connection with the management or release of any Collateral or the obligations of any Guarantor under this Agreement. For avoidance of doubt, prior to the Debt Assumption, the Secured Parties will not have the benefit of any security interest or Liens in the Collateral.</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shall mean any agreement, whether written or oral, providing for the grant by or to any Grantor of any right to use any Trademark.</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 License</w:t>
      </w:r>
      <w:r>
        <w:rPr>
          <w:rFonts w:ascii="Arial" w:cs="Arial" w:eastAsia="Arial" w:hAnsi="Arial"/>
          <w:sz w:val="18"/>
          <w:szCs w:val="18"/>
          <w:color w:val="auto"/>
        </w:rPr>
        <w:t>” shall mean any agreement, whether written or oral, providing for the grant by or to any Grantor of any right to use any Trade Secret.</w:t>
      </w:r>
    </w:p>
    <w:p>
      <w:pPr>
        <w:spacing w:after="0" w:line="170"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Secrets</w:t>
      </w:r>
      <w:r>
        <w:rPr>
          <w:rFonts w:ascii="Arial" w:cs="Arial" w:eastAsia="Arial" w:hAnsi="Arial"/>
          <w:sz w:val="17"/>
          <w:szCs w:val="17"/>
          <w:color w:val="auto"/>
        </w:rPr>
        <w:t>” shall mean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(ii) the right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85" w:name="page486"/>
    <w:bookmarkEnd w:id="485"/>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sue or otherwise recover for any and all past, present and future misappropriations or other violations thereof, (iii) all income, royalties, damages and other payments now and hereafter due and/or payable with respect thereto (including, without limitation, payments arising out of the sale, lease, license, assignment or other disposition thereof, and damages and payments for past, present or future misappropriations and other violations thereof), and (iv) all other rights of any kind whatsoever of any Grantor accruing thereunder or pertaining thereto.</w:t>
      </w:r>
    </w:p>
    <w:p>
      <w:pPr>
        <w:spacing w:after="0" w:line="17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xml:space="preserve">” shall mean (i) all domestic and foreign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renewals thereof, including, without limitation, each registration and application identified in </w:t>
      </w:r>
      <w:r>
        <w:rPr>
          <w:rFonts w:ascii="Arial" w:cs="Arial" w:eastAsia="Arial" w:hAnsi="Arial"/>
          <w:sz w:val="17"/>
          <w:szCs w:val="17"/>
          <w:u w:val="single" w:color="auto"/>
          <w:color w:val="auto"/>
        </w:rPr>
        <w:t>Schedule 5</w:t>
      </w:r>
      <w:r>
        <w:rPr>
          <w:rFonts w:ascii="Arial" w:cs="Arial" w:eastAsia="Arial" w:hAnsi="Arial"/>
          <w:sz w:val="17"/>
          <w:szCs w:val="17"/>
          <w:color w:val="auto"/>
        </w:rPr>
        <w:t>, (ii) the right to sue or otherwise recover for any and all past, present and future infringements, dilutions and other violations thereof, (iii) all income, royalties, damages and other payments now and hereafter due and/or payable with respect thereto (including, without limitation, payments under all Trademark Licenses entered into in connection therewith, payments arising out of any other sale, lease, license or other disposition thereof and damages and payments for past, present or future infringements, dilutions and other violations thereof), and (iv) all other rights of any kind whatsoever accruing thereunder or pertaining thereto, together in each case with the goodwill of the business connected with the use of, and symbolized by, each of the above.</w:t>
      </w:r>
    </w:p>
    <w:p>
      <w:pPr>
        <w:spacing w:after="0" w:line="182"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Vehicles</w:t>
      </w:r>
      <w:r>
        <w:rPr>
          <w:rFonts w:ascii="Arial" w:cs="Arial" w:eastAsia="Arial" w:hAnsi="Arial"/>
          <w:sz w:val="18"/>
          <w:szCs w:val="18"/>
          <w:color w:val="auto"/>
        </w:rPr>
        <w:t>” shall mean all cars, trucks, trailers, construction and earth moving equipment and other Equipment of any nature covered by a certificate of title law of any jurisdiction and all tires and other appurtenances to any of the foregoing.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i w:val="1"/>
          <w:iCs w:val="1"/>
          <w:color w:val="auto"/>
        </w:rPr>
        <w:t>Other Definitional Provisions.</w:t>
      </w:r>
    </w:p>
    <w:p>
      <w:pPr>
        <w:spacing w:after="0" w:line="121" w:lineRule="exact"/>
        <w:rPr>
          <w:sz w:val="20"/>
          <w:szCs w:val="20"/>
          <w:color w:val="auto"/>
        </w:rPr>
      </w:pPr>
    </w:p>
    <w:p>
      <w:pPr>
        <w:ind w:left="680" w:hanging="236"/>
        <w:spacing w:after="0"/>
        <w:tabs>
          <w:tab w:leader="none" w:pos="6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words “hereof”, “herein”, “hereto” and “hereunder” and words of similar import when used in this Agreement shall refer to this</w:t>
      </w:r>
    </w:p>
    <w:p>
      <w:pPr>
        <w:spacing w:after="0" w:line="23" w:lineRule="exact"/>
        <w:rPr>
          <w:rFonts w:ascii="Arial" w:cs="Arial" w:eastAsia="Arial" w:hAnsi="Arial"/>
          <w:sz w:val="18"/>
          <w:szCs w:val="18"/>
          <w:color w:val="auto"/>
        </w:rPr>
      </w:pPr>
    </w:p>
    <w:p>
      <w:pPr>
        <w:ind w:right="100"/>
        <w:spacing w:after="0" w:line="261" w:lineRule="auto"/>
        <w:rPr>
          <w:rFonts w:ascii="Arial" w:cs="Arial" w:eastAsia="Arial" w:hAnsi="Arial"/>
          <w:sz w:val="18"/>
          <w:szCs w:val="18"/>
          <w:color w:val="auto"/>
        </w:rPr>
      </w:pPr>
      <w:r>
        <w:rPr>
          <w:rFonts w:ascii="Arial" w:cs="Arial" w:eastAsia="Arial" w:hAnsi="Arial"/>
          <w:sz w:val="18"/>
          <w:szCs w:val="18"/>
          <w:color w:val="auto"/>
        </w:rPr>
        <w:t>Agreement as a whole and not to any particular provision of this Agreement, and Article, Section and Schedule references are to this Agreement unless otherwise specified.</w:t>
      </w:r>
    </w:p>
    <w:p>
      <w:pPr>
        <w:spacing w:after="0" w:line="75" w:lineRule="exact"/>
        <w:rPr>
          <w:rFonts w:ascii="Arial" w:cs="Arial" w:eastAsia="Arial" w:hAnsi="Arial"/>
          <w:sz w:val="18"/>
          <w:szCs w:val="18"/>
          <w:color w:val="auto"/>
        </w:rPr>
      </w:pPr>
    </w:p>
    <w:p>
      <w:pPr>
        <w:ind w:left="700" w:hanging="256"/>
        <w:spacing w:after="0"/>
        <w:tabs>
          <w:tab w:leader="none" w:pos="7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rFonts w:ascii="Arial" w:cs="Arial" w:eastAsia="Arial" w:hAnsi="Arial"/>
          <w:sz w:val="18"/>
          <w:szCs w:val="18"/>
          <w:color w:val="auto"/>
        </w:rPr>
      </w:pPr>
    </w:p>
    <w:p>
      <w:pPr>
        <w:ind w:right="40" w:firstLine="444"/>
        <w:spacing w:after="0" w:line="277" w:lineRule="auto"/>
        <w:tabs>
          <w:tab w:leader="none" w:pos="68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166"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i w:val="1"/>
          <w:iCs w:val="1"/>
          <w:color w:val="auto"/>
        </w:rPr>
        <w:t>Schedules</w:t>
      </w:r>
      <w:r>
        <w:rPr>
          <w:rFonts w:ascii="Arial" w:cs="Arial" w:eastAsia="Arial" w:hAnsi="Arial"/>
          <w:sz w:val="18"/>
          <w:szCs w:val="18"/>
          <w:color w:val="auto"/>
        </w:rPr>
        <w:t>. Representations, warranties and covenants that reference Schedules 2, 3, 4, 5 and 6 shall not be deemed to be made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complied with, as applicable, until such Schedules are required to be delivered hereunder.</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i w:val="1"/>
          <w:iCs w:val="1"/>
          <w:color w:val="auto"/>
        </w:rPr>
        <w:t>Guarantee</w:t>
      </w:r>
      <w:r>
        <w:rPr>
          <w:rFonts w:ascii="Arial" w:cs="Arial" w:eastAsia="Arial" w:hAnsi="Arial"/>
          <w:sz w:val="18"/>
          <w:szCs w:val="18"/>
          <w:color w:val="auto"/>
        </w:rPr>
        <w:t>.</w:t>
      </w:r>
    </w:p>
    <w:p>
      <w:pPr>
        <w:spacing w:after="0" w:line="121" w:lineRule="exact"/>
        <w:rPr>
          <w:sz w:val="20"/>
          <w:szCs w:val="20"/>
          <w:color w:val="auto"/>
        </w:rPr>
      </w:pPr>
    </w:p>
    <w:p>
      <w:pPr>
        <w:ind w:right="160" w:firstLine="444"/>
        <w:spacing w:after="0" w:line="312" w:lineRule="auto"/>
        <w:tabs>
          <w:tab w:leader="none" w:pos="68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Each of the Guarantors hereby, jointly and severally, unconditionally and irrevocably, guarantees to the Administrative Agent, for the benefit of the Secured Parties and their respective successors, indorsees, transferees and assigns, the prompt and complete payment and performance by each other Guarantor, including the Borrower, when due (whether at the stated maturity, by acceleration or otherwise) of the Obligations.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86" w:name="page487"/>
    <w:bookmarkEnd w:id="486"/>
    <w:p>
      <w:pPr>
        <w:ind w:firstLine="444"/>
        <w:spacing w:after="0" w:line="267" w:lineRule="auto"/>
        <w:tabs>
          <w:tab w:leader="none" w:pos="696" w:val="left"/>
        </w:tabs>
        <w:numPr>
          <w:ilvl w:val="0"/>
          <w:numId w:val="4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Guarantor shall be liable under its guarantee set forth in Section 2.01(a), without any limitation as to amount, for all present and future Obligations, including specifically all future increases in the outstanding amount of the Obligations, whether or not any such increase is contemplated or provided for by the Loan Documents, the Secured Cash Management Agreements or the Secured Hedge Agreement on the date hereof. Notwithstanding any other provision hereof, the right of recovery against each Guarantor under Article 2 hereof shall not exceed $1.00 less than the lowest amount which would render such Guarantor’s obligations under Article 2 hereof void or voidable under applicable law, including, without limitation, fraudulent conveyance law. To effectuate the foregoing intention, the Administrative Agent and the Guarantors hereby irrevocably agree that the Obligations of each Guarantor under the guarantee set forth in Article 2 hereof at any time shall be limited to the maximum amount as will result in the Obligations of such Guarantor under the guarantee set forth in Article 2 hereof not constituting a fraudulent transfer or conveyance after giving full effect to the liability under the guarantee set forth in Article 2 hereof and its related contribution rights but before taking into account any liabilities under any other guarantee by such Guarantor. To the extent that any Guarantor shall be required hereunder to pay any portion of any guaranteed obligation exceeding the greater of (a) the amount of the value actually received by such Guarantor and its Subsidiaries from the Loans and such other obligations and (b) the amount such Guarantor would otherwise have paid if such Guarantor had paid the aggregate amount of the guaranteed obligations (excluding the amount thereof repaid by the Borrower) in the same proportion as such Guarantor’s net worth on the date enforcement is sought hereunder bears to the aggregate net worth of all the Guarantors on such date, then such Guarantor shall be reimbursed by such other Guarantors for the amount of such excess, pro rata, based on the respective net worth of such other Guarantors on such date. For purposes of determining the net worth of any Guarantor in connection with the foregoing, all guarantees of such Guarantor other than the guarantee under Article 2 hereof will be deemed to be enforceable and payable after the guaranty under Article 2 hereof. To the fullest extent permitted by applicable Law, this Section 2.02(b) shall be for the benefit solely of creditors and representatives of creditors of each Guarantor and not for the benefit of such Guarantor or the holders of any Equity Interest in such Guarantor.</w:t>
      </w:r>
    </w:p>
    <w:p>
      <w:pPr>
        <w:spacing w:after="0" w:line="81" w:lineRule="exact"/>
        <w:rPr>
          <w:rFonts w:ascii="Arial" w:cs="Arial" w:eastAsia="Arial" w:hAnsi="Arial"/>
          <w:sz w:val="17"/>
          <w:szCs w:val="17"/>
          <w:color w:val="auto"/>
        </w:rPr>
      </w:pPr>
    </w:p>
    <w:p>
      <w:pPr>
        <w:jc w:val="both"/>
        <w:ind w:right="60" w:firstLine="444"/>
        <w:spacing w:after="0" w:line="264" w:lineRule="auto"/>
        <w:tabs>
          <w:tab w:leader="none" w:pos="68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Guarantor agrees that Obligations may at any time and from time to time be incurred or permitted in an amount exceeding the maximum liability of such Guarantor under Section 2.01(b) without impairing the guarantee contained in this Article 2 or affecting the rights and remedies of any Secured Party hereunder.</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guarantee contained in this Article 2 shall remain in full force and effect until the Discharge of the Obligations.</w:t>
      </w:r>
    </w:p>
    <w:p>
      <w:pPr>
        <w:spacing w:after="0" w:line="117" w:lineRule="exact"/>
        <w:rPr>
          <w:rFonts w:ascii="Arial" w:cs="Arial" w:eastAsia="Arial" w:hAnsi="Arial"/>
          <w:sz w:val="18"/>
          <w:szCs w:val="18"/>
          <w:color w:val="auto"/>
        </w:rPr>
      </w:pPr>
    </w:p>
    <w:p>
      <w:pPr>
        <w:ind w:right="40" w:firstLine="444"/>
        <w:spacing w:after="0" w:line="276" w:lineRule="auto"/>
        <w:tabs>
          <w:tab w:leader="none" w:pos="685" w:val="left"/>
        </w:tabs>
        <w:numPr>
          <w:ilvl w:val="0"/>
          <w:numId w:val="451"/>
        </w:numPr>
        <w:rPr>
          <w:rFonts w:ascii="Arial" w:cs="Arial" w:eastAsia="Arial" w:hAnsi="Arial"/>
          <w:sz w:val="17"/>
          <w:szCs w:val="17"/>
          <w:color w:val="auto"/>
        </w:rPr>
      </w:pPr>
      <w:r>
        <w:rPr>
          <w:rFonts w:ascii="Arial" w:cs="Arial" w:eastAsia="Arial" w:hAnsi="Arial"/>
          <w:sz w:val="17"/>
          <w:szCs w:val="17"/>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remain liable for the Obligations up to the maximum liability of such Guarantor hereunder until the Discharge of the Obligations.</w:t>
      </w:r>
    </w:p>
    <w:p>
      <w:pPr>
        <w:spacing w:after="0" w:line="169"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i w:val="1"/>
          <w:iCs w:val="1"/>
          <w:color w:val="auto"/>
        </w:rPr>
        <w:t>Rights of Reimbursement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Contribution and Subrogation</w:t>
      </w:r>
      <w:r>
        <w:rPr>
          <w:rFonts w:ascii="Arial" w:cs="Arial" w:eastAsia="Arial" w:hAnsi="Arial"/>
          <w:sz w:val="18"/>
          <w:szCs w:val="18"/>
          <w:color w:val="auto"/>
        </w:rPr>
        <w:t>. In case any payment is made on account of the Obligations by any Grantor</w:t>
      </w:r>
      <w:r>
        <w:rPr>
          <w:rFonts w:ascii="Arial" w:cs="Arial" w:eastAsia="Arial" w:hAnsi="Arial"/>
          <w:sz w:val="18"/>
          <w:szCs w:val="18"/>
          <w:b w:val="1"/>
          <w:bCs w:val="1"/>
          <w:color w:val="auto"/>
        </w:rPr>
        <w:t xml:space="preserve"> </w:t>
      </w:r>
      <w:r>
        <w:rPr>
          <w:rFonts w:ascii="Arial" w:cs="Arial" w:eastAsia="Arial" w:hAnsi="Arial"/>
          <w:sz w:val="18"/>
          <w:szCs w:val="18"/>
          <w:color w:val="auto"/>
        </w:rPr>
        <w:t>or is received or collected on account of the Obligations from any Grantor or its property:</w:t>
      </w:r>
    </w:p>
    <w:p>
      <w:pPr>
        <w:spacing w:after="0" w:line="58" w:lineRule="exact"/>
        <w:rPr>
          <w:sz w:val="20"/>
          <w:szCs w:val="20"/>
          <w:color w:val="auto"/>
        </w:rPr>
      </w:pPr>
    </w:p>
    <w:p>
      <w:pPr>
        <w:jc w:val="both"/>
        <w:ind w:right="220" w:firstLine="444"/>
        <w:spacing w:after="0" w:line="257" w:lineRule="auto"/>
        <w:tabs>
          <w:tab w:leader="none" w:pos="68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If such payment is made by the Borrower or from its property, then, if and to the extent such payment is made on account of Obligations arising from or relating to a Loan made to the Borrower or, from and after the Debt Assumption, any Secured Hedge Agreement or Secured Cash Management Agreement entered into by the Borrower, the Borrower shall not be entitled (A) to demand or enforce reimbursement or contribution in respect of such payment from any other Grantor or (B) to be subrogated to any claim, interest, right or remedy of any Secured Party against any other Person, including any other Grantor or its property.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87" w:name="page488"/>
    <w:bookmarkEnd w:id="487"/>
    <w:p>
      <w:pPr>
        <w:ind w:left="-40" w:right="140" w:firstLine="444"/>
        <w:spacing w:after="0" w:line="291" w:lineRule="auto"/>
        <w:tabs>
          <w:tab w:leader="none" w:pos="656" w:val="left"/>
        </w:tabs>
        <w:numPr>
          <w:ilvl w:val="0"/>
          <w:numId w:val="4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payment is made by a Guarantor or from its property in respect of Obligations of the Borrower or another Guarantor, such Guarantor shall be entitled, subject to and upon (but not before) Discharge of the Obligations, (A) to demand and enforce reimbursement for the full amount of such payment from the Borrower or such other Guarantor, as applicable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based on the relative value of their assets and any other equitable considerations deemed appropriate by the court.</w:t>
      </w:r>
    </w:p>
    <w:p>
      <w:pPr>
        <w:spacing w:after="0" w:line="59" w:lineRule="exact"/>
        <w:rPr>
          <w:rFonts w:ascii="Arial" w:cs="Arial" w:eastAsia="Arial" w:hAnsi="Arial"/>
          <w:sz w:val="16"/>
          <w:szCs w:val="16"/>
          <w:color w:val="auto"/>
        </w:rPr>
      </w:pPr>
    </w:p>
    <w:p>
      <w:pPr>
        <w:ind w:left="-40" w:firstLine="444"/>
        <w:spacing w:after="0" w:line="287" w:lineRule="auto"/>
        <w:tabs>
          <w:tab w:leader="none" w:pos="64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From and after the Debt Assumption, if and whenever any right of reimbursement or contribution becomes enforceable by any Grantor against any other Grantor under Sections 2.02(a) and 2.02(b), such Grantor shall be entitled, subject to and upon (but not before) Discharge of the Obligations, to be subrogated (equally and ratably with all other Grantors entitled to reimbursement or contribution from any other Grantor as set forth in this Section 2.02) to any security interest that may then be held by the Administrative Agent upon any Collateral granted to it in this Agreement. Such right of subrogation shall be enforceable solely after Discharge of the Obligations and solely against the Grantors, and not against the Secured Parties, and neither the Administrative Agent nor any other Secured Party shall have any duty whatsoever to warrant, ensure or protect any such right of subrogation or to obtain, perfect, maintain, hold, enforce or retain any Collateral for any purpose related to any such right of subrogation. If subrogation is demanded by any Grantor, then, after Discharge of the Obligations, the Administrative Agent shall deliver to the Grantors making such demand, or to a representative of such Grantors or of the Grantors generally, an instrument reasonably satisfactory to the Administrative Agent transferring, on a quitclaim basis without any recourse, representation, warranty or obligation whatsoever, whatever security interest the Administrative Agent then may hold in whatever Collateral may then exist that was not previously released or disposed of by the Administrative Agent.</w:t>
      </w:r>
    </w:p>
    <w:p>
      <w:pPr>
        <w:spacing w:after="0" w:line="64" w:lineRule="exact"/>
        <w:rPr>
          <w:rFonts w:ascii="Arial" w:cs="Arial" w:eastAsia="Arial" w:hAnsi="Arial"/>
          <w:sz w:val="16"/>
          <w:szCs w:val="16"/>
          <w:color w:val="auto"/>
        </w:rPr>
      </w:pPr>
    </w:p>
    <w:p>
      <w:pPr>
        <w:ind w:left="-40" w:right="200" w:firstLine="444"/>
        <w:spacing w:after="0" w:line="289" w:lineRule="auto"/>
        <w:tabs>
          <w:tab w:leader="none" w:pos="656"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All rights and claims arising under this Section 2.02 or based upon or relating to any other right of reimbursement, indemnification, contribution or subrogation that may at any time arise or exist in favor of any Grantor as to any payment on account of the Obligations made by it or received or collected from its property shall be fully subordinated in all respects prior to the Discharge of the Obligations. Until Discharge of the Obligations, no Grantor shall demand or receive any collateral security, payment or distribution whatsoever (whether in cash, property or securities or otherwise) on account of any such right or claim. If any such payment or distribution is made or becomes available to any Grantor in any bankruptcy case or receivership, insolvency or liquidation proceeding, such payment or distribution shall be delivered by the person making such payment or distribution directly to the Administrative Agent, for application to the payment of the Obligations. If any such payment or distribution is received by any Grantor, it shall be held by such Grantor in trust, as trustee of an express trust for the benefit of the Secured Parties, and shall forthwith be transferred and delivered by such Grantor to the Administrative Agent, in the exact form received and, if necessary, duly endorsed.</w:t>
      </w:r>
    </w:p>
    <w:p>
      <w:pPr>
        <w:spacing w:after="0" w:line="58" w:lineRule="exact"/>
        <w:rPr>
          <w:rFonts w:ascii="Arial" w:cs="Arial" w:eastAsia="Arial" w:hAnsi="Arial"/>
          <w:sz w:val="16"/>
          <w:szCs w:val="16"/>
          <w:color w:val="auto"/>
        </w:rPr>
      </w:pPr>
    </w:p>
    <w:p>
      <w:pPr>
        <w:ind w:left="-40" w:right="200" w:firstLine="444"/>
        <w:spacing w:after="0" w:line="264" w:lineRule="auto"/>
        <w:tabs>
          <w:tab w:leader="none" w:pos="64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obligations of the Grantors under the Loan Documents, including their liability for the Obligations and the enforceability of the security interests granted thereby, are not contingent upon the validity, legality, enforceability, collectability or sufficiency of any right of reimbursement, contribution or subrogation arising under this Section 2.02. The invalidity, insufficiency, unenforceability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80" w:top="273" w:right="459" w:bottom="1440" w:gutter="0" w:footer="0" w:header="0"/>
        </w:sectPr>
      </w:pPr>
    </w:p>
    <w:bookmarkStart w:id="488" w:name="page489"/>
    <w:bookmarkEnd w:id="488"/>
    <w:p>
      <w:pPr>
        <w:jc w:val="both"/>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39" w:lineRule="exact"/>
        <w:rPr>
          <w:sz w:val="20"/>
          <w:szCs w:val="20"/>
          <w:color w:val="auto"/>
        </w:rPr>
      </w:pPr>
    </w:p>
    <w:p>
      <w:pPr>
        <w:ind w:right="300" w:firstLine="444"/>
        <w:spacing w:after="0" w:line="259" w:lineRule="auto"/>
        <w:tabs>
          <w:tab w:leader="none" w:pos="66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Each Grantor reserves any and all other rights of reimbursement, contribution or subrogation at any time available to it as against any other Grantor, but (i) the exercise and enforcement of such rights shall be subject to the foregoing provisions of this Section 2.02 and (ii) neither the Administrative Agent nor any other Secured Party shall ever have any duty or liability whatsoever in respect of any such right, except as provided in Section 2.02(c).</w:t>
      </w:r>
    </w:p>
    <w:p>
      <w:pPr>
        <w:spacing w:after="0" w:line="18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b w:val="1"/>
          <w:bCs w:val="1"/>
          <w:color w:val="auto"/>
        </w:rPr>
        <w:t xml:space="preserve">Section 2.03. </w:t>
      </w:r>
      <w:r>
        <w:rPr>
          <w:rFonts w:ascii="Arial" w:cs="Arial" w:eastAsia="Arial" w:hAnsi="Arial"/>
          <w:sz w:val="17"/>
          <w:szCs w:val="17"/>
          <w:i w:val="1"/>
          <w:iCs w:val="1"/>
          <w:color w:val="auto"/>
        </w:rPr>
        <w:t>Amendments, etc. with respect to the Obligations</w:t>
      </w:r>
      <w:r>
        <w:rPr>
          <w:rFonts w:ascii="Arial" w:cs="Arial" w:eastAsia="Arial" w:hAnsi="Arial"/>
          <w:sz w:val="17"/>
          <w:szCs w:val="17"/>
          <w:color w:val="auto"/>
        </w:rPr>
        <w:t>. Each Guarantor shall remain obligated hereunder notwithstanding that,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any reservation of rights against any Guarantor and without notice to or further assent by any Guarantor, any demand for payment of any of the Obligations made by any Secured Party may be rescinded by such Secured Party and any of the Obligations continued, and the Obligations, or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any Secured Party, and the Bridge Facility Agreement and the other Loan Documents and any other documents executed and delivered in connection therewith or with any of the other Obligations may be amended, modified, supplemented or terminated, in whole or in part, as the Administrative Agent (or the Required Lenders under the Bridge Facility Agreement or all Lenders, as the case may be or, in the case of Secured Hedge Agreements or Secured Cash Management Agreements, the counterparties thereto) may deem advisable from time to time, and any collateral security, guarantee or right of offset at any time held by any Secured Party for the payment of the Obligations may be sold, exchanged, waived, surrendered or released. No Secured Party shall have any obligation to protect, secure, perfect or insure any Lien at any time held by it as security for the Obligations or for the guarantee contained in this Article 2 or any property subject thereto.</w:t>
      </w:r>
    </w:p>
    <w:p>
      <w:pPr>
        <w:spacing w:after="0" w:line="18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b w:val="1"/>
          <w:bCs w:val="1"/>
          <w:color w:val="auto"/>
        </w:rPr>
        <w:t xml:space="preserve">Section 2.04. </w:t>
      </w:r>
      <w:r>
        <w:rPr>
          <w:rFonts w:ascii="Arial" w:cs="Arial" w:eastAsia="Arial" w:hAnsi="Arial"/>
          <w:sz w:val="16"/>
          <w:szCs w:val="16"/>
          <w:i w:val="1"/>
          <w:iCs w:val="1"/>
          <w:color w:val="auto"/>
        </w:rPr>
        <w:t>Guarantee Absolute and Unconditional</w:t>
      </w:r>
      <w:r>
        <w:rPr>
          <w:rFonts w:ascii="Arial" w:cs="Arial" w:eastAsia="Arial" w:hAnsi="Arial"/>
          <w:sz w:val="16"/>
          <w:szCs w:val="16"/>
          <w:color w:val="auto"/>
        </w:rPr>
        <w:t>. Each Guarantor waives any and all notice of the creation, renewal, extension or accrual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Obligations and notice of or proof of reliance by any Secured Party upon the guarantee contained in this Article 2 or acceptance of the guarantee contained in this Article 2; the Obligations, and any of them, shall conclusively be deemed to have been created, contracted or incurred, or renewed, extended, amended or waived, in reliance upon the guarantee contained in this Article 2; and all dealings between the Borrower and any of the other Guarantors, on the one hand, and the Secured Parties, on the other hand, likewise shall be conclusively presumed to have been had or consummated in reliance upon the guarantee contained in this Article 2. Each Guarantor waives diligence, presentment, protest, demand for payment and notice of default or nonpayment to or upon the Borrower or any of the other Guarantors with respect to the Obligations. Each Guarantor understands and agrees that the guarantee contained in this Article 2 shall be construed as a continuing, absolute and unconditional guarantee of payment and performance without regard to (a) the validity or enforceability of the Bridge Facility Agreement or any other Loan Document or any Secured Hedge Agreement or Secured Cash Management Agreement, any of the Obligations or any other collateral security therefor or guarantee or right of offset with respect thereto at any time or from time to time held by any Secured Party, (b) any defense, set-off or counterclaim (other than a defense of payment or performance hereunder) which may at any time be available to or be asserted by the Borrower or any other Person against any Secured Party, or (c) any other circumstance whatsoever (with or without notice to or knowledge of the Borrower or such other Guarantor) which constitutes, or might be construed to constitute, an equitable or legal discharge of the Borrower or any other Grantor for the Obligations, or of such other Guarantor under the guarantee contained in this Article 2, in bankruptcy or in any other instance other than Discharge of the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89" w:name="page490"/>
    <w:bookmarkEnd w:id="48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guarantee for the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 Without limiting the generality of the foregoing or any other provision hereof, each Guarantor hereby expressly waives any and all benefits which might otherwise be available to such Guarantor under California Civil Code Sections 2809, 2810, 2819, 2939, 2845, 2848, 2849, 2850, 2855, 2899 and 3433.</w:t>
      </w:r>
    </w:p>
    <w:p>
      <w:pPr>
        <w:spacing w:after="0" w:line="165"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i w:val="1"/>
          <w:iCs w:val="1"/>
          <w:color w:val="auto"/>
        </w:rPr>
        <w:t>Reinstatement</w:t>
      </w:r>
      <w:r>
        <w:rPr>
          <w:rFonts w:ascii="Arial" w:cs="Arial" w:eastAsia="Arial" w:hAnsi="Arial"/>
          <w:sz w:val="18"/>
          <w:szCs w:val="18"/>
          <w:color w:val="auto"/>
        </w:rPr>
        <w:t>. The guarantee contained in this Article 2 shall continue to be effective, or be reinstated, as the case may be, if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payment, or any part thereof, of any of the Obligations is rescinded or must otherwise be restored or returned by any Secured Party upon the insolvency, bankruptcy, dissolution, liquidation or reorganization of the Borrower or any other Guarantor, or upon or as a result of the appointment of a receiver, intervenor or conservator of, or trustee or similar officer for, the Borrower or any other Guarantor or any substantial part of its property, or otherwise, all as though such payments had not been made.</w:t>
      </w:r>
    </w:p>
    <w:p>
      <w:pPr>
        <w:spacing w:after="0" w:line="184" w:lineRule="exact"/>
        <w:rPr>
          <w:sz w:val="20"/>
          <w:szCs w:val="20"/>
          <w:color w:val="auto"/>
        </w:rPr>
      </w:pPr>
    </w:p>
    <w:p>
      <w:pPr>
        <w:ind w:right="200" w:firstLine="441"/>
        <w:spacing w:after="0" w:line="347" w:lineRule="auto"/>
        <w:rPr>
          <w:sz w:val="20"/>
          <w:szCs w:val="20"/>
          <w:color w:val="auto"/>
        </w:rPr>
      </w:pPr>
      <w:r>
        <w:rPr>
          <w:rFonts w:ascii="Arial" w:cs="Arial" w:eastAsia="Arial" w:hAnsi="Arial"/>
          <w:sz w:val="16"/>
          <w:szCs w:val="16"/>
          <w:b w:val="1"/>
          <w:bCs w:val="1"/>
          <w:color w:val="auto"/>
        </w:rPr>
        <w:t xml:space="preserve">Section 2.06. </w:t>
      </w:r>
      <w:r>
        <w:rPr>
          <w:rFonts w:ascii="Arial" w:cs="Arial" w:eastAsia="Arial" w:hAnsi="Arial"/>
          <w:sz w:val="16"/>
          <w:szCs w:val="16"/>
          <w:i w:val="1"/>
          <w:iCs w:val="1"/>
          <w:color w:val="auto"/>
        </w:rPr>
        <w:t>Payments</w:t>
      </w:r>
      <w:r>
        <w:rPr>
          <w:rFonts w:ascii="Arial" w:cs="Arial" w:eastAsia="Arial" w:hAnsi="Arial"/>
          <w:sz w:val="16"/>
          <w:szCs w:val="16"/>
          <w:color w:val="auto"/>
        </w:rPr>
        <w:t>. Each Guarantor hereby guarantees that payments hereunder will be paid to the Administrative Agent without set-off or</w:t>
      </w:r>
      <w:r>
        <w:rPr>
          <w:rFonts w:ascii="Arial" w:cs="Arial" w:eastAsia="Arial" w:hAnsi="Arial"/>
          <w:sz w:val="16"/>
          <w:szCs w:val="16"/>
          <w:b w:val="1"/>
          <w:bCs w:val="1"/>
          <w:color w:val="auto"/>
        </w:rPr>
        <w:t xml:space="preserve"> </w:t>
      </w:r>
      <w:r>
        <w:rPr>
          <w:rFonts w:ascii="Arial" w:cs="Arial" w:eastAsia="Arial" w:hAnsi="Arial"/>
          <w:sz w:val="16"/>
          <w:szCs w:val="16"/>
          <w:color w:val="auto"/>
        </w:rPr>
        <w:t>counterclaim in Dollars in immediately available funds at the Administrative Agent’s Office as specified in the Bridge Facility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i w:val="1"/>
          <w:iCs w:val="1"/>
          <w:color w:val="auto"/>
        </w:rPr>
        <w:t>Bankruptcy, Etc</w:t>
      </w:r>
      <w:r>
        <w:rPr>
          <w:rFonts w:ascii="Arial" w:cs="Arial" w:eastAsia="Arial" w:hAnsi="Arial"/>
          <w:sz w:val="18"/>
          <w:szCs w:val="18"/>
          <w:color w:val="auto"/>
        </w:rPr>
        <w:t>.</w:t>
      </w:r>
    </w:p>
    <w:p>
      <w:pPr>
        <w:spacing w:after="0" w:line="121" w:lineRule="exact"/>
        <w:rPr>
          <w:sz w:val="20"/>
          <w:szCs w:val="20"/>
          <w:color w:val="auto"/>
        </w:rPr>
      </w:pPr>
    </w:p>
    <w:p>
      <w:pPr>
        <w:ind w:right="60" w:firstLine="444"/>
        <w:spacing w:after="0" w:line="255" w:lineRule="auto"/>
        <w:tabs>
          <w:tab w:leader="none" w:pos="68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Until Discharge of the Obligations, no Guarantor shall, without the prior written consent of the Administrative Agent, commence or join with any other person in commencing any bankruptcy, reorganization or insolvency case or proceeding of or against the Borrower or any other Guarantor. The obligations of the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the Borrower or any Guarantor may have by reason of the order, decree or decision of any court or administrative body resulting from any such proceeding.</w:t>
      </w:r>
    </w:p>
    <w:p>
      <w:pPr>
        <w:spacing w:after="0" w:line="85" w:lineRule="exact"/>
        <w:rPr>
          <w:rFonts w:ascii="Arial" w:cs="Arial" w:eastAsia="Arial" w:hAnsi="Arial"/>
          <w:sz w:val="18"/>
          <w:szCs w:val="18"/>
          <w:color w:val="auto"/>
        </w:rPr>
      </w:pPr>
    </w:p>
    <w:p>
      <w:pPr>
        <w:ind w:right="60" w:firstLine="444"/>
        <w:spacing w:after="0" w:line="271" w:lineRule="auto"/>
        <w:tabs>
          <w:tab w:leader="none" w:pos="69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Each Guarantor acknowledges and agrees that any interest on any portion of the Obligations which accrues after the commencement of any case or proceeding referred to in clause (a) above (or, if interest on any portion of the Obligations ceases to accrue by operation of law by reason of the commencement of such case or proceeding, such interest as would have accrued on such portion of the Obligations if such case or proceeding had not been commenced) shall be included in the Obligations guaranteed hereby because it is the intention of the Guarantors and Secured Parties that the Obligations which are guaranteed by the Guarantors pursuant hereto should be determined without regard to any rule of law or order which may relieve any Borrower or any other Guarantor of any portion of such Obligations. The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490" w:name="page491"/>
    <w:bookmarkEnd w:id="490"/>
    <w:p>
      <w:pPr>
        <w:ind w:firstLine="44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2.08. </w:t>
      </w:r>
      <w:r>
        <w:rPr>
          <w:rFonts w:ascii="Arial" w:cs="Arial" w:eastAsia="Arial" w:hAnsi="Arial"/>
          <w:sz w:val="17"/>
          <w:szCs w:val="17"/>
          <w:i w:val="1"/>
          <w:iCs w:val="1"/>
          <w:color w:val="auto"/>
        </w:rPr>
        <w:t>Subordination of Other Obligations</w:t>
      </w:r>
      <w:r>
        <w:rPr>
          <w:rFonts w:ascii="Arial" w:cs="Arial" w:eastAsia="Arial" w:hAnsi="Arial"/>
          <w:sz w:val="17"/>
          <w:szCs w:val="17"/>
          <w:color w:val="auto"/>
        </w:rPr>
        <w:t>. Any Indebtedness of the Borrower or any other Guarantor now or hereafter held by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(the “</w:t>
      </w:r>
      <w:r>
        <w:rPr>
          <w:rFonts w:ascii="Arial" w:cs="Arial" w:eastAsia="Arial" w:hAnsi="Arial"/>
          <w:sz w:val="17"/>
          <w:szCs w:val="17"/>
          <w:u w:val="single" w:color="auto"/>
          <w:color w:val="auto"/>
        </w:rPr>
        <w:t>Obligee Guarantor</w:t>
      </w:r>
      <w:r>
        <w:rPr>
          <w:rFonts w:ascii="Arial" w:cs="Arial" w:eastAsia="Arial" w:hAnsi="Arial"/>
          <w:sz w:val="17"/>
          <w:szCs w:val="17"/>
          <w:color w:val="auto"/>
        </w:rPr>
        <w:t>”) whether as original creditor, assignee, or by way of subrogation, restitution or otherwise, is hereby subordinated in right of payment to the guaranteed Obligations, and any such Indebtedness collected or received by the Obligee Guarantor upon the occurrence and during the continuance of an Event of Default shall be held in trust for the Administrative Agent on behalf of the Secured Parties and shall forthwith be paid over to the Administrative Agent for the benefit of the Secured Parties to be credited and applied against the Obligations but without affecting, impairing or limiting in any manner the liability of the Obligee Guarantor under any other provision hereof.</w:t>
      </w:r>
    </w:p>
    <w:p>
      <w:pPr>
        <w:spacing w:after="0" w:line="174"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b w:val="1"/>
          <w:bCs w:val="1"/>
          <w:color w:val="auto"/>
        </w:rPr>
        <w:t xml:space="preserve">Section 2.09. </w:t>
      </w:r>
      <w:r>
        <w:rPr>
          <w:rFonts w:ascii="Arial" w:cs="Arial" w:eastAsia="Arial" w:hAnsi="Arial"/>
          <w:sz w:val="16"/>
          <w:szCs w:val="16"/>
          <w:i w:val="1"/>
          <w:iCs w:val="1"/>
          <w:color w:val="auto"/>
        </w:rPr>
        <w:t>Keepwell</w:t>
      </w:r>
      <w:r>
        <w:rPr>
          <w:rFonts w:ascii="Arial" w:cs="Arial" w:eastAsia="Arial" w:hAnsi="Arial"/>
          <w:sz w:val="16"/>
          <w:szCs w:val="16"/>
          <w:color w:val="auto"/>
        </w:rPr>
        <w:t>. Each Qualified ECP Guarantor hereby jointly and severally absolutely, unconditionally and irrevocably undertakes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such funds or other support as may be needed from time to time by each other Grantor to honor all of its obligations under this Guaranty in respect of Swap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Qualified ECP Guarantor shall only be liable under this Section 2.09 for the maximum amount of such liability that can be hereby incurred without rendering its obligations under this Section 2.09, or otherwise under this Guaranty, as it relates to such Grantor, voidable under applicable law relating to fraudulent conveyance or fraudulent transfer, and not for any greater amount). The obligations of each Qualified ECP Guarantor under this Section shall remain in full force and effect until Discharge of the Obligations. Each Qualified ECP Guarantor intends that this Section 2.09 constitute, and this Section 2.09 shall be deemed to constitute, a “keepwell, support, or other agreement” for the benefit of each other Grantor for all purposes of Section 1a(18)(A)(v)(II) of the Commodity Exchange Act.</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GRANT OF SECURITY INTEREST;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CONTINUING LIABILITY UNDER COLLATERAL</w:t>
      </w:r>
      <w:r>
        <w:rPr>
          <w:rFonts w:ascii="Arial" w:cs="Arial" w:eastAsia="Arial" w:hAnsi="Arial"/>
          <w:sz w:val="18"/>
          <w:szCs w:val="18"/>
          <w:color w:val="auto"/>
        </w:rPr>
        <w:t>.</w:t>
      </w:r>
    </w:p>
    <w:p>
      <w:pPr>
        <w:spacing w:after="0" w:line="207" w:lineRule="exact"/>
        <w:rPr>
          <w:sz w:val="20"/>
          <w:szCs w:val="20"/>
          <w:color w:val="auto"/>
        </w:rPr>
      </w:pPr>
    </w:p>
    <w:p>
      <w:pPr>
        <w:ind w:right="220" w:firstLine="441"/>
        <w:spacing w:after="0" w:line="314"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color w:val="auto"/>
        </w:rPr>
        <w:t>Notwithstanding anything herein to the contrary, the provisions of this Article 3 (including, without limitation, the grant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interests and Liens provided for herein), will be effective only upon the occurrence of the Debt Assumption (if any), it being understood that prior to the Debt Assumption, the Loans and the Guarantees thereof will be unsecured senior obligations of the applicable Grantor.</w:t>
      </w:r>
    </w:p>
    <w:p>
      <w:pPr>
        <w:spacing w:after="0" w:line="142"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color w:val="auto"/>
        </w:rPr>
        <w:t>Effective as of the Debt Assumption (if any), each Grantor as of the Debt Assumption (after giving effect to the Debt 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Section 8.15(d)), hereby grants to the Administrative Agent, for the benefit of the Secured Parties, a security interest in, all of the personal property of such Grantor, including, without limitation, the following property, in each case, wherever located and now owned or at any time hereafter acquired by such Grantor or in which such Grantor now has or at any time in the future may acquire any right, title or interest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such Grantor’s Obligations:</w:t>
      </w:r>
    </w:p>
    <w:p>
      <w:pPr>
        <w:spacing w:after="0" w:line="84" w:lineRule="exact"/>
        <w:rPr>
          <w:sz w:val="20"/>
          <w:szCs w:val="20"/>
          <w:color w:val="auto"/>
        </w:rPr>
      </w:pPr>
    </w:p>
    <w:p>
      <w:pPr>
        <w:ind w:left="680" w:hanging="236"/>
        <w:spacing w:after="0"/>
        <w:tabs>
          <w:tab w:leader="none" w:pos="6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all Contracts;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69" w:right="499" w:bottom="1440" w:gutter="0" w:footer="0" w:header="0"/>
        </w:sectPr>
      </w:pPr>
    </w:p>
    <w:bookmarkStart w:id="491" w:name="page492"/>
    <w:bookmarkEnd w:id="491"/>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General Intangibles;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Insurance;</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Letter of Credit Rights;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Money;</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Vehicles;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Goods not otherwise described above;</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Collateral Account;</w:t>
      </w:r>
    </w:p>
    <w:p>
      <w:pPr>
        <w:spacing w:after="0" w:line="117" w:lineRule="exact"/>
        <w:rPr>
          <w:rFonts w:ascii="Arial" w:cs="Arial" w:eastAsia="Arial" w:hAnsi="Arial"/>
          <w:sz w:val="18"/>
          <w:szCs w:val="18"/>
          <w:color w:val="auto"/>
        </w:rPr>
      </w:pPr>
    </w:p>
    <w:p>
      <w:pPr>
        <w:ind w:right="120" w:firstLine="444"/>
        <w:spacing w:after="0" w:line="312" w:lineRule="auto"/>
        <w:tabs>
          <w:tab w:leader="none" w:pos="66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Collateral or are otherwise necessary or helpful in the collection thereof or realization thereupon;</w:t>
      </w:r>
    </w:p>
    <w:p>
      <w:pPr>
        <w:spacing w:after="0" w:line="38" w:lineRule="exact"/>
        <w:rPr>
          <w:rFonts w:ascii="Arial" w:cs="Arial" w:eastAsia="Arial" w:hAnsi="Arial"/>
          <w:sz w:val="16"/>
          <w:szCs w:val="16"/>
          <w:color w:val="auto"/>
        </w:rPr>
      </w:pPr>
    </w:p>
    <w:p>
      <w:pPr>
        <w:ind w:left="680" w:hanging="236"/>
        <w:spacing w:after="0"/>
        <w:tabs>
          <w:tab w:leader="none" w:pos="6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commercial tort claims now or hereinafter described on </w:t>
      </w:r>
      <w:r>
        <w:rPr>
          <w:rFonts w:ascii="Arial" w:cs="Arial" w:eastAsia="Arial" w:hAnsi="Arial"/>
          <w:sz w:val="18"/>
          <w:szCs w:val="18"/>
          <w:u w:val="single" w:color="auto"/>
          <w:color w:val="auto"/>
        </w:rPr>
        <w:t>Schedule 6</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firstLine="444"/>
        <w:spacing w:after="0" w:line="342" w:lineRule="auto"/>
        <w:tabs>
          <w:tab w:leader="none" w:pos="656"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to the extent not otherwise included, all other property of the Grantor and all Proceeds and products accessions, rents and profits of any and all of the foregoing and all collateral security, Supporting Obligations and guarantees given by any Person with respect to any of the foregoing;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Agreement, the term “Collateral” shall not include the Excluded Assets.</w:t>
      </w:r>
    </w:p>
    <w:p>
      <w:pPr>
        <w:spacing w:after="0" w:line="22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b w:val="1"/>
          <w:bCs w:val="1"/>
          <w:color w:val="auto"/>
        </w:rPr>
        <w:t xml:space="preserve">Section 3.03. </w:t>
      </w:r>
      <w:r>
        <w:rPr>
          <w:rFonts w:ascii="Arial" w:cs="Arial" w:eastAsia="Arial" w:hAnsi="Arial"/>
          <w:sz w:val="16"/>
          <w:szCs w:val="16"/>
          <w:color w:val="auto"/>
        </w:rPr>
        <w:t>Notwithstanding anything herein to the contrary, (i) each Grantor shall remain liable for all obligations under the Collateral and</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contained herein is intended or shall be a delegation of duties to the Administrative Agent or any Secured Party, (ii) each Grantor shall remain liable under each of the agreements included in the Collateral, including, without limitation, any Receivables, any agreements relating to Pledged Partnership Interests or Pledged LLC Interests, to perform all of the obligations undertaken by it thereunder all in accordance with and pursuant to the terms and provisions thereof and neither the Administrative Agent nor any Secured Party shall have any obligation or liability under any of such agreements by reason of or arising out of this Agreement or any other document related thereto nor shall the Administrative Agent nor any Secured Party have any obligation to make any inquiry as to the nature or sufficiency of any payment received by it or have any obligation to take any action to collect or enforce any rights under any agreement included in the Collateral, including, without limitation, any agreements relating to any Receivables, Pledged Partnership Interests or Pledged LLC Interests and (iii) the exercise by the Administrative Agent of any of its rights hereunder shall not release any Grantor from any of its duties or obligations under the contracts and agreements included in the Collateral.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492" w:name="page493"/>
    <w:bookmarkEnd w:id="4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1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To induce the Administrative Agent and the Lenders to enter into the Bridge Facility Agreement and to induce the Lenders to make their respective extensions of credit to the Borrower thereunder, (i) each Grantor hereby represents and warrants to the Secured Parties as of the Closing Date the representation and warranty set forth in Section 4.01 and (ii) BellRing Brands and the Post-Assumption Guarantors hereby represent and warrant to the Secured Parties, as of the Debt Assumption Date (after giving effect to the Debt Assumption) or on the later date specified in any such representation or warranty, as applicable, each of the representations and warranties set forth in this Article 4 (except, for avoidance of doubt, in each case to the extent that such representations and warranties specifically refer to an earlier date, in which case they shall be true and correct as of such earlier date). Notwithstanding anything herein to the contrary, no schedules to this Agreement (other than Schedule 1, which is required to be provided on the Closing Date) are required to be provided as part of this Agreement until the date that is ten Business Days (or such later date as the Administrative Agent may agree to in its sole discretion) following the Debt Assumption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Loans have been repaid in full prior to such date then no schedules shall be required to be delivered.</w:t>
      </w:r>
    </w:p>
    <w:p>
      <w:pPr>
        <w:spacing w:after="0" w:line="174"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b w:val="1"/>
          <w:bCs w:val="1"/>
          <w:color w:val="auto"/>
        </w:rPr>
        <w:t xml:space="preserve">Section 4.01. </w:t>
      </w:r>
      <w:r>
        <w:rPr>
          <w:rFonts w:ascii="Arial" w:cs="Arial" w:eastAsia="Arial" w:hAnsi="Arial"/>
          <w:sz w:val="17"/>
          <w:szCs w:val="17"/>
          <w:i w:val="1"/>
          <w:iCs w:val="1"/>
          <w:color w:val="auto"/>
        </w:rPr>
        <w:t>Representations in Bridge Facility Agreement</w:t>
      </w:r>
      <w:r>
        <w:rPr>
          <w:rFonts w:ascii="Arial" w:cs="Arial" w:eastAsia="Arial" w:hAnsi="Arial"/>
          <w:sz w:val="17"/>
          <w:szCs w:val="17"/>
          <w:color w:val="auto"/>
        </w:rPr>
        <w:t>. The representations and warranties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 of the Bridge Facility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as they relate to such Grantor or to the Loan Documents to which such Grantor is a party, each of which is hereby incorporated herein by reference, are true and correct, in all material respects, except for representations and warranties (i) expressly stated to relate to a specific earlier date, in which case such representations and warranties shall be true and correct in all material respects as of such earlier date, and (ii) that are qualified as to “materiality”, “Material Adverse Effect” or similar language, in which case such representations and warranties shall be true and correct (after giving effect to any qualification therein) in all respects and the Secured Parties shall be entitled to rely on each of them as if they were fully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reference in each such representation and warranty to the Borrower’s knowledge shall, for the purposes of this Section 4.0l, be deemed to be a reference to such Grantor’s knowledge.</w:t>
      </w:r>
    </w:p>
    <w:p>
      <w:pPr>
        <w:spacing w:after="0" w:line="172" w:lineRule="exact"/>
        <w:rPr>
          <w:sz w:val="20"/>
          <w:szCs w:val="20"/>
          <w:color w:val="auto"/>
        </w:rPr>
      </w:pPr>
    </w:p>
    <w:p>
      <w:pPr>
        <w:ind w:right="120" w:firstLine="441"/>
        <w:spacing w:after="0" w:line="298" w:lineRule="auto"/>
        <w:rPr>
          <w:sz w:val="20"/>
          <w:szCs w:val="20"/>
          <w:color w:val="auto"/>
        </w:rPr>
      </w:pPr>
      <w:r>
        <w:rPr>
          <w:rFonts w:ascii="Arial" w:cs="Arial" w:eastAsia="Arial" w:hAnsi="Arial"/>
          <w:sz w:val="16"/>
          <w:szCs w:val="16"/>
          <w:b w:val="1"/>
          <w:bCs w:val="1"/>
          <w:color w:val="auto"/>
        </w:rPr>
        <w:t xml:space="preserve">Section 4.02. </w:t>
      </w:r>
      <w:r>
        <w:rPr>
          <w:rFonts w:ascii="Arial" w:cs="Arial" w:eastAsia="Arial" w:hAnsi="Arial"/>
          <w:sz w:val="16"/>
          <w:szCs w:val="16"/>
          <w:i w:val="1"/>
          <w:iCs w:val="1"/>
          <w:color w:val="auto"/>
        </w:rPr>
        <w:t>Title; No Other Liens.</w:t>
      </w:r>
      <w:r>
        <w:rPr>
          <w:rFonts w:ascii="Arial" w:cs="Arial" w:eastAsia="Arial" w:hAnsi="Arial"/>
          <w:sz w:val="16"/>
          <w:szCs w:val="16"/>
          <w:b w:val="1"/>
          <w:bCs w:val="1"/>
          <w:color w:val="auto"/>
        </w:rPr>
        <w:t xml:space="preserve"> </w:t>
      </w:r>
      <w:r>
        <w:rPr>
          <w:rFonts w:ascii="Arial" w:cs="Arial" w:eastAsia="Arial" w:hAnsi="Arial"/>
          <w:sz w:val="16"/>
          <w:szCs w:val="16"/>
          <w:color w:val="auto"/>
        </w:rPr>
        <w:t>Such Grantor owns each item of the Collateral free and clear of any and all Liens or claims,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Liens arising as a result of such Grantor becoming bound (as a result of merger or otherwise) as Grantor under a security agreement entered into by another Person, except for Permitted Liens. Except with respect to Permitted Liens, no financing statement, mortgage or other public notice with respect to all or any part of the Collateral is on file or of record in any public office, except such as have been filed in favor of the Administrative Agent, for the benefit of the Secured Parties, pursuant to this Agreement or as are permitted by the Bridge Facility Agreement.</w:t>
      </w:r>
    </w:p>
    <w:p>
      <w:pPr>
        <w:spacing w:after="0" w:line="154"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i w:val="1"/>
          <w:iCs w:val="1"/>
          <w:color w:val="auto"/>
        </w:rPr>
        <w:t>Perfected First Priority Liens</w:t>
      </w:r>
      <w:r>
        <w:rPr>
          <w:rFonts w:ascii="Arial" w:cs="Arial" w:eastAsia="Arial" w:hAnsi="Arial"/>
          <w:sz w:val="18"/>
          <w:szCs w:val="18"/>
          <w:color w:val="auto"/>
        </w:rPr>
        <w:t>. Other than with respect to the Permitted Exceptions, the security interests granted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(i) upon completion of the UCC filings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the other actions required by </w:t>
      </w:r>
      <w:r>
        <w:rPr>
          <w:rFonts w:ascii="Arial" w:cs="Arial" w:eastAsia="Arial" w:hAnsi="Arial"/>
          <w:sz w:val="18"/>
          <w:szCs w:val="18"/>
          <w:u w:val="single" w:color="auto"/>
          <w:color w:val="auto"/>
        </w:rPr>
        <w:t>Section 6.18</w:t>
      </w:r>
      <w:r>
        <w:rPr>
          <w:rFonts w:ascii="Arial" w:cs="Arial" w:eastAsia="Arial" w:hAnsi="Arial"/>
          <w:sz w:val="18"/>
          <w:szCs w:val="18"/>
          <w:color w:val="auto"/>
        </w:rPr>
        <w:t xml:space="preserve"> of the Bridge Facility Agreement and payment of all filing fees, will constitute valid fully perfected security interests in all of the Collateral in favor of the Administrative Agent, for the benefit of the Secured Parties, as collateral security for such Grantor’s Obligations, enforceable in accordance with the terms hereof and (ii) are prior to all other Liens on the Collateral except for Permitted Liens.</w:t>
      </w:r>
    </w:p>
    <w:p>
      <w:pPr>
        <w:spacing w:after="0" w:line="184" w:lineRule="exact"/>
        <w:rPr>
          <w:sz w:val="20"/>
          <w:szCs w:val="20"/>
          <w:color w:val="auto"/>
        </w:rPr>
      </w:pPr>
    </w:p>
    <w:p>
      <w:pPr>
        <w:jc w:val="both"/>
        <w:ind w:right="140" w:firstLine="441"/>
        <w:spacing w:after="0" w:line="261" w:lineRule="auto"/>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i w:val="1"/>
          <w:iCs w:val="1"/>
          <w:color w:val="auto"/>
        </w:rPr>
        <w:t>Name; Jurisdiction of Organization, etc</w:t>
      </w:r>
      <w:r>
        <w:rPr>
          <w:rFonts w:ascii="Arial" w:cs="Arial" w:eastAsia="Arial" w:hAnsi="Arial"/>
          <w:sz w:val="18"/>
          <w:szCs w:val="18"/>
          <w:color w:val="auto"/>
        </w:rPr>
        <w:t>. As of the Debt Assumption (if any), such Grantor’s exact legal name (as indicated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public record of such Grantor’s jurisdiction of formation or organization), jurisdiction of organization, organizational identification number, if any, and the location of such Grantor’s chief executive office are specified on </w:t>
      </w:r>
      <w:r>
        <w:rPr>
          <w:rFonts w:ascii="Arial" w:cs="Arial" w:eastAsia="Arial" w:hAnsi="Arial"/>
          <w:sz w:val="18"/>
          <w:szCs w:val="18"/>
          <w:u w:val="single" w:color="auto"/>
          <w:color w:val="auto"/>
        </w:rPr>
        <w:t>Schedule 3</w:t>
      </w:r>
      <w:r>
        <w:rPr>
          <w:rFonts w:ascii="Arial" w:cs="Arial" w:eastAsia="Arial" w:hAnsi="Arial"/>
          <w:sz w:val="18"/>
          <w:szCs w:val="18"/>
          <w:color w:val="auto"/>
        </w:rPr>
        <w:t>. As of the Debt Assumption (if any), each Grantor is organized solely under the law of the jurisdiction so specified and has not filed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493" w:name="page494"/>
    <w:bookmarkEnd w:id="49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certificates of domestication, transfer or continuance in any other jurisdiction. Except as otherwise indicated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as of the Debt Assumption (if any), the jurisdiction of each such Grantor’s organization of formation is required to maintain a public record showing the Grantor to have been organized or formed. Except as specified on </w:t>
      </w:r>
      <w:r>
        <w:rPr>
          <w:rFonts w:ascii="Arial" w:cs="Arial" w:eastAsia="Arial" w:hAnsi="Arial"/>
          <w:sz w:val="17"/>
          <w:szCs w:val="17"/>
          <w:u w:val="single" w:color="auto"/>
          <w:color w:val="auto"/>
        </w:rPr>
        <w:t>Schedule 3</w:t>
      </w:r>
      <w:r>
        <w:rPr>
          <w:rFonts w:ascii="Arial" w:cs="Arial" w:eastAsia="Arial" w:hAnsi="Arial"/>
          <w:sz w:val="17"/>
          <w:szCs w:val="17"/>
          <w:color w:val="auto"/>
        </w:rPr>
        <w:t>, as of the Debt Assumption (if any), it has not changed its name, jurisdiction of organization, chief executive office or its corporate structure in any way (e.g. by merger, consolidation, change in corporate form or otherwise) within the past five years and has not within the last five years become bound (whether as a result of merger or otherwise) as Grantor under a security agreement entered into by another Person, which has not heretofore been terminated.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i w:val="1"/>
          <w:iCs w:val="1"/>
          <w:color w:val="auto"/>
        </w:rPr>
        <w:t>Inventory and Equipment.</w:t>
      </w:r>
    </w:p>
    <w:p>
      <w:pPr>
        <w:spacing w:after="0" w:line="121" w:lineRule="exact"/>
        <w:rPr>
          <w:sz w:val="20"/>
          <w:szCs w:val="20"/>
          <w:color w:val="auto"/>
        </w:rPr>
      </w:pPr>
    </w:p>
    <w:p>
      <w:pPr>
        <w:ind w:right="280" w:firstLine="444"/>
        <w:spacing w:after="0" w:line="308" w:lineRule="auto"/>
        <w:tabs>
          <w:tab w:leader="none" w:pos="685"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As of the Debt Assumption (if any), the Inventory and the Equipment (other than Inventory or Equipment in transit) with an aggregate fair market value in excess of $5,000,000 are kept at the locations listed on </w:t>
      </w:r>
      <w:r>
        <w:rPr>
          <w:rFonts w:ascii="Arial" w:cs="Arial" w:eastAsia="Arial" w:hAnsi="Arial"/>
          <w:sz w:val="17"/>
          <w:szCs w:val="17"/>
          <w:u w:val="single" w:color="auto"/>
          <w:color w:val="auto"/>
        </w:rPr>
        <w:t>Schedules 5.08(c) or 5.08(d)(i) in the Bridge Facility Agreement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320" w:firstLine="444"/>
        <w:spacing w:after="0" w:line="342" w:lineRule="auto"/>
        <w:tabs>
          <w:tab w:leader="none" w:pos="69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Any Inventory now or hereafter produced by any Grantor included in the Collateral has been and will be produced in compliance with the requirements of the Fair Labor Standards Act, as amended, other than up to $1,000,000 of Inventory in existence at any time in the aggregate.</w:t>
      </w:r>
    </w:p>
    <w:p>
      <w:pPr>
        <w:spacing w:after="0" w:line="15" w:lineRule="exact"/>
        <w:rPr>
          <w:rFonts w:ascii="Arial" w:cs="Arial" w:eastAsia="Arial" w:hAnsi="Arial"/>
          <w:sz w:val="16"/>
          <w:szCs w:val="16"/>
          <w:color w:val="auto"/>
        </w:rPr>
      </w:pPr>
    </w:p>
    <w:p>
      <w:pPr>
        <w:ind w:right="400" w:firstLine="444"/>
        <w:spacing w:after="0" w:line="264" w:lineRule="auto"/>
        <w:tabs>
          <w:tab w:leader="none" w:pos="68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5.08(d)(i) in the Bridge Facility Agreement</w:t>
      </w:r>
      <w:r>
        <w:rPr>
          <w:rFonts w:ascii="Arial" w:cs="Arial" w:eastAsia="Arial" w:hAnsi="Arial"/>
          <w:sz w:val="18"/>
          <w:szCs w:val="18"/>
          <w:color w:val="auto"/>
        </w:rPr>
        <w:t>, as of the Debt Assumption (if any), none of the Inventory or Equipment with an aggregate fair market value in excess of $5,000,000 is in the possession of an issuer of a negotiable document (as defined in Section 7-104 of the UCC) therefor or is otherwise in the possession of any bailee or warehouseman.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i w:val="1"/>
          <w:iCs w:val="1"/>
          <w:color w:val="auto"/>
        </w:rPr>
        <w:t>Intentionally Omitted. Intentionally omitted.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i w:val="1"/>
          <w:iCs w:val="1"/>
          <w:color w:val="auto"/>
        </w:rPr>
        <w:t>Investment Property.</w:t>
      </w:r>
    </w:p>
    <w:p>
      <w:pPr>
        <w:spacing w:after="0" w:line="121" w:lineRule="exact"/>
        <w:rPr>
          <w:sz w:val="20"/>
          <w:szCs w:val="20"/>
          <w:color w:val="auto"/>
        </w:rPr>
      </w:pPr>
    </w:p>
    <w:p>
      <w:pPr>
        <w:ind w:firstLine="444"/>
        <w:spacing w:after="0" w:line="285" w:lineRule="auto"/>
        <w:tabs>
          <w:tab w:leader="none" w:pos="685" w:val="left"/>
        </w:tabs>
        <w:numPr>
          <w:ilvl w:val="0"/>
          <w:numId w:val="459"/>
        </w:numPr>
        <w:rPr>
          <w:rFonts w:ascii="Arial" w:cs="Arial" w:eastAsia="Arial" w:hAnsi="Arial"/>
          <w:sz w:val="16"/>
          <w:szCs w:val="16"/>
          <w:color w:val="auto"/>
        </w:rPr>
      </w:pP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(as such schedule may be amended from time to time concurrently with the delivery by the Borrower of the items required by </w:t>
      </w:r>
      <w:r>
        <w:rPr>
          <w:rFonts w:ascii="Arial" w:cs="Arial" w:eastAsia="Arial" w:hAnsi="Arial"/>
          <w:sz w:val="16"/>
          <w:szCs w:val="16"/>
          <w:u w:val="single" w:color="auto"/>
          <w:color w:val="auto"/>
        </w:rPr>
        <w:t>Sections 6.01(a) and 6.01(b) of the Bridge Facility Agreement</w:t>
      </w:r>
      <w:r>
        <w:rPr>
          <w:rFonts w:ascii="Arial" w:cs="Arial" w:eastAsia="Arial" w:hAnsi="Arial"/>
          <w:sz w:val="16"/>
          <w:szCs w:val="16"/>
          <w:color w:val="auto"/>
        </w:rPr>
        <w:t xml:space="preserve">, as applicable) sets forth under the headings “Pledged Stock”, “Pledged LLC Interests,” “Pledged Partnership Interests” and “Pledged Trust Interests,” respectively, all of the Pledged Stock, Pledged LLC Interests, Pledged Partnership Interests and Pledged Trust Interests owned by any Grantor and such Pledged Equity Interests constitute the percentage of issued and outstanding shares of stock, percentage of membership interests, percentage of partnership interests or percentage of beneficial interest of the respective issuers thereof indicated on such Schedule.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(as such schedule may be amended from time to time concurrently with the delivery by the Borrower of the items required by </w:t>
      </w:r>
      <w:r>
        <w:rPr>
          <w:rFonts w:ascii="Arial" w:cs="Arial" w:eastAsia="Arial" w:hAnsi="Arial"/>
          <w:sz w:val="16"/>
          <w:szCs w:val="16"/>
          <w:u w:val="single" w:color="auto"/>
          <w:color w:val="auto"/>
        </w:rPr>
        <w:t>Sections 6.01(a) and 6.01(b) of the Bridge Facility Agreement</w:t>
      </w:r>
      <w:r>
        <w:rPr>
          <w:rFonts w:ascii="Arial" w:cs="Arial" w:eastAsia="Arial" w:hAnsi="Arial"/>
          <w:sz w:val="16"/>
          <w:szCs w:val="16"/>
          <w:color w:val="auto"/>
        </w:rPr>
        <w:t>, as applicable) sets forth under the heading “Pledged Debt Securities” or “Pledged Notes” all of the Pledged Debt Securities and Pledged Notes owned by any Grantor with a face value, in each case, in excess of $5,000,000, and all of such Pledged Debt Securities and Pledged Notes have been, to Grantor’s knowledge (although no knowledge qualifier shall be applicable to any Pledged Debt Securities and Pledged Notes issued by a Grantor or any Subsidiary thereof) duly authorized, authenticated or issued, and delivered and are the legal, valid and binding obligation of the issuers thereof enforceable in accordance with their terms and is not in default and constitute all of the issued and outstanding inter-company indebtedness evidenced by an instrument or certificated security of the respective issuers thereof owing to such Grantor. Each Grantor is the sole entitlement holder or customer of each “Securities Accounts,” “Commodities Accounts,” and “Deposit Accounts” owned by it, and such Grantor has not consented to, and has no knowledge of, any Person (other than the Administrative Agent pursuant hereto) having “control” (within the meanings of Sections 8-106, 9-106 and 9-104 of the UCC) over, or any other interest in, any such Securities Account, Commodity Account or Deposit Account (other than a Cash Collateral Deposit Account) or any securities, commodities or other property credited thereto, except Permitted Liens and except to the extent constituting Excluded Assets;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494" w:name="page495"/>
    <w:bookmarkEnd w:id="494"/>
    <w:p>
      <w:pPr>
        <w:ind w:left="-4" w:right="160" w:firstLine="444"/>
        <w:spacing w:after="0" w:line="264" w:lineRule="auto"/>
        <w:tabs>
          <w:tab w:leader="none" w:pos="692" w:val="left"/>
        </w:tabs>
        <w:numPr>
          <w:ilvl w:val="0"/>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of Pledged Equity Interests pledged by such Grantor hereunder constitute all of the issued and outstanding shares of all classes of the Equity Interests of each Issuer owned by such Grantor other than any Equity Interest specifically excluded from the definition of “Pledged Equity Interests.”</w:t>
      </w:r>
    </w:p>
    <w:p>
      <w:pPr>
        <w:spacing w:after="0" w:line="73" w:lineRule="exact"/>
        <w:rPr>
          <w:rFonts w:ascii="Arial" w:cs="Arial" w:eastAsia="Arial" w:hAnsi="Arial"/>
          <w:sz w:val="18"/>
          <w:szCs w:val="18"/>
          <w:color w:val="auto"/>
        </w:rPr>
      </w:pPr>
    </w:p>
    <w:p>
      <w:pPr>
        <w:ind w:left="676" w:hanging="236"/>
        <w:spacing w:after="0"/>
        <w:tabs>
          <w:tab w:leader="none" w:pos="67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All the shares of the Pledged Equity Interests have been duly and validly issued and, if applicable, are fully paid and nonassessable.</w:t>
      </w:r>
    </w:p>
    <w:p>
      <w:pPr>
        <w:spacing w:after="0" w:line="128" w:lineRule="exact"/>
        <w:rPr>
          <w:rFonts w:ascii="Arial" w:cs="Arial" w:eastAsia="Arial" w:hAnsi="Arial"/>
          <w:sz w:val="17"/>
          <w:szCs w:val="17"/>
          <w:color w:val="auto"/>
        </w:rPr>
      </w:pPr>
    </w:p>
    <w:p>
      <w:pPr>
        <w:ind w:left="-4" w:right="40" w:firstLine="444"/>
        <w:spacing w:after="0" w:line="264" w:lineRule="auto"/>
        <w:tabs>
          <w:tab w:leader="none" w:pos="69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As of the Debt Assumption (if any), the terms of the membership agreement or partnership agreement that governs any uncertificated Pledged LLC Interests or Pledged Partnership Interests, respectively, do not provide certificates for such interests and do not provide that such interests are securities governed by the Uniform Commercial Code of any jurisdiction.</w:t>
      </w:r>
    </w:p>
    <w:p>
      <w:pPr>
        <w:spacing w:after="0" w:line="73" w:lineRule="exact"/>
        <w:rPr>
          <w:rFonts w:ascii="Arial" w:cs="Arial" w:eastAsia="Arial" w:hAnsi="Arial"/>
          <w:sz w:val="18"/>
          <w:szCs w:val="18"/>
          <w:color w:val="auto"/>
        </w:rPr>
      </w:pPr>
    </w:p>
    <w:p>
      <w:pPr>
        <w:ind w:left="-4" w:right="180" w:firstLine="444"/>
        <w:spacing w:after="0" w:line="277" w:lineRule="auto"/>
        <w:tabs>
          <w:tab w:leader="none" w:pos="68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terms of any certificated Pledged LLC Interests and Pledged Partnership Interests expressly provide that they are securities governed by Article 8 of the Uniform Commercial Code in effect from time to time in the state of the Issuer’s organization.</w:t>
      </w:r>
    </w:p>
    <w:p>
      <w:pPr>
        <w:spacing w:after="0" w:line="62" w:lineRule="exact"/>
        <w:rPr>
          <w:rFonts w:ascii="Arial" w:cs="Arial" w:eastAsia="Arial" w:hAnsi="Arial"/>
          <w:sz w:val="18"/>
          <w:szCs w:val="18"/>
          <w:color w:val="auto"/>
        </w:rPr>
      </w:pPr>
    </w:p>
    <w:p>
      <w:pPr>
        <w:ind w:left="-4" w:right="80" w:firstLine="444"/>
        <w:spacing w:after="0" w:line="259" w:lineRule="auto"/>
        <w:tabs>
          <w:tab w:leader="none" w:pos="66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Such Grantor is the record and beneficial owner of, and has good and marketable title to, the Investment Property and Deposit Accounts pledged by it hereunder, free of any and all Liens or options in favor of, or claims of, any other Person, except Permitted Liens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78" w:lineRule="exact"/>
        <w:rPr>
          <w:rFonts w:ascii="Arial" w:cs="Arial" w:eastAsia="Arial" w:hAnsi="Arial"/>
          <w:sz w:val="18"/>
          <w:szCs w:val="18"/>
          <w:color w:val="auto"/>
        </w:rPr>
      </w:pPr>
    </w:p>
    <w:p>
      <w:pPr>
        <w:ind w:left="-4" w:right="120" w:firstLine="444"/>
        <w:spacing w:after="0" w:line="259" w:lineRule="auto"/>
        <w:tabs>
          <w:tab w:leader="none" w:pos="69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Within ten Business Days (or such later date as the Administrative Agent may agree to in its sole discretion) after the Debt Assumption Date, unless Discharge of the Obligations has occurred on or prior to the expiration of such period, each Issuer that is not a Grantor hereunder has executed and delivered to the Administrative Agent an Acknowledgment and Agreement,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to the pledge of the Pledged Securities pursuant to this Agreement,.</w:t>
      </w:r>
    </w:p>
    <w:p>
      <w:pPr>
        <w:spacing w:after="0" w:line="183"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i w:val="1"/>
          <w:iCs w:val="1"/>
          <w:color w:val="auto"/>
        </w:rPr>
        <w:t>Receivables.</w:t>
      </w:r>
    </w:p>
    <w:p>
      <w:pPr>
        <w:spacing w:after="0" w:line="121" w:lineRule="exact"/>
        <w:rPr>
          <w:sz w:val="20"/>
          <w:szCs w:val="20"/>
          <w:color w:val="auto"/>
        </w:rPr>
      </w:pPr>
    </w:p>
    <w:p>
      <w:pPr>
        <w:ind w:left="-4" w:firstLine="444"/>
        <w:spacing w:after="0" w:line="257" w:lineRule="auto"/>
        <w:tabs>
          <w:tab w:leader="none" w:pos="68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Within ten Business Days (or such later date as the Administrative Agent may agree to in its sole discretion) after the Debt Assumption Date, unless Discharge of the Obligations has occurred on or prior to the expiration of such period, no amount in excess of $2,500,000 individually or $5,000,000 in the aggregate payable to such Grantor under or in connection with any Receivable is evidenced by any Instrument or Tangible Chattel Paper which has not been delivered to the Administrative Agent or constitutes Electronic Chattel Paper that has not been subjected to the control (within the meaning of Section 9-105 of the UCC) of the Administrative Agent.</w:t>
      </w:r>
    </w:p>
    <w:p>
      <w:pPr>
        <w:spacing w:after="0" w:line="80" w:lineRule="exact"/>
        <w:rPr>
          <w:rFonts w:ascii="Arial" w:cs="Arial" w:eastAsia="Arial" w:hAnsi="Arial"/>
          <w:sz w:val="18"/>
          <w:szCs w:val="18"/>
          <w:color w:val="auto"/>
        </w:rPr>
      </w:pPr>
    </w:p>
    <w:p>
      <w:pPr>
        <w:jc w:val="both"/>
        <w:ind w:left="-4" w:right="180" w:firstLine="444"/>
        <w:spacing w:after="0" w:line="291" w:lineRule="auto"/>
        <w:tabs>
          <w:tab w:leader="none" w:pos="69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To the knowledge of each Grantor, each Receivable of such Grantor at the time of its creation (i) is the legal, valid and binding obligation of the Account Debtor in respect thereof, representing an unsatisfied obligation of such Account Debtor, (ii) is enforceable in accordance with its terms,</w:t>
      </w:r>
    </w:p>
    <w:p>
      <w:pPr>
        <w:ind w:left="-4" w:right="20" w:firstLine="4"/>
        <w:spacing w:after="0" w:line="255" w:lineRule="auto"/>
        <w:tabs>
          <w:tab w:leader="none" w:pos="311"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is not subject to any setoffs, defenses, taxes, counterclaims (except with respect to rebates, refunds, returns and allowances in the ordinary course of business with respect to damaged merchandise and disputes arising in the ordinary course of business) and (iv) is in compliance in all material respects with all applicable Laws.</w:t>
      </w:r>
    </w:p>
    <w:p>
      <w:pPr>
        <w:spacing w:after="0" w:line="186"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Section 4.09. </w:t>
      </w:r>
      <w:r>
        <w:rPr>
          <w:rFonts w:ascii="Arial" w:cs="Arial" w:eastAsia="Arial" w:hAnsi="Arial"/>
          <w:sz w:val="18"/>
          <w:szCs w:val="18"/>
          <w:i w:val="1"/>
          <w:iCs w:val="1"/>
          <w:color w:val="auto"/>
        </w:rPr>
        <w:t>Intellectual Property.</w:t>
      </w:r>
    </w:p>
    <w:p>
      <w:pPr>
        <w:spacing w:after="0" w:line="121" w:lineRule="exact"/>
        <w:rPr>
          <w:sz w:val="20"/>
          <w:szCs w:val="20"/>
          <w:color w:val="auto"/>
        </w:rPr>
      </w:pPr>
    </w:p>
    <w:p>
      <w:pPr>
        <w:ind w:left="-4" w:right="700" w:firstLine="444"/>
        <w:spacing w:after="0" w:line="264" w:lineRule="auto"/>
        <w:tabs>
          <w:tab w:leader="none" w:pos="68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As of the Debt Assumption (if any),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lists all issued Patents and Patent applications, registered Trademarks and Trademark applications, and registered Copyrights and Copyright applications owned by such Grantor (such Intellectual Property, together with all other Intellectual Property</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76"/>
          </w:cols>
          <w:pgMar w:left="444" w:top="274" w:right="479" w:bottom="1440" w:gutter="0" w:footer="0" w:header="0"/>
        </w:sectPr>
      </w:pPr>
    </w:p>
    <w:bookmarkStart w:id="495" w:name="page496"/>
    <w:bookmarkEnd w:id="495"/>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Grantor, in each case which is material to the business of the Borrower and its Subsidiaries taken as a whole and owned by a given Grantor, such Grantor’s “</w:t>
      </w:r>
      <w:r>
        <w:rPr>
          <w:rFonts w:ascii="Arial" w:cs="Arial" w:eastAsia="Arial" w:hAnsi="Arial"/>
          <w:sz w:val="16"/>
          <w:szCs w:val="16"/>
          <w:u w:val="single" w:color="auto"/>
          <w:color w:val="auto"/>
        </w:rPr>
        <w:t>Material Grantor Intellectual Property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5</w:t>
      </w:r>
      <w:r>
        <w:rPr>
          <w:rFonts w:ascii="Arial" w:cs="Arial" w:eastAsia="Arial" w:hAnsi="Arial"/>
          <w:sz w:val="16"/>
          <w:szCs w:val="16"/>
          <w:color w:val="auto"/>
        </w:rPr>
        <w:t>, as of the Debt Assumption (if any), such Grantor is the exclusive owner of the entire and unencumbered right, title and interest in and to the Material Grantor Intellectual Property and is otherwise entitled to use all such Material Grantor Intellectual Property, subject only to the license terms of the licensing or franchise agreements referred to in paragraph (c) below.</w:t>
      </w:r>
    </w:p>
    <w:p>
      <w:pPr>
        <w:spacing w:after="0" w:line="46" w:lineRule="exact"/>
        <w:rPr>
          <w:sz w:val="20"/>
          <w:szCs w:val="20"/>
          <w:color w:val="auto"/>
        </w:rPr>
      </w:pPr>
    </w:p>
    <w:p>
      <w:pPr>
        <w:ind w:right="40" w:firstLine="444"/>
        <w:spacing w:after="0" w:line="259" w:lineRule="auto"/>
        <w:tabs>
          <w:tab w:leader="none" w:pos="696"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All Material Grantor Intellectual Property is valid, subsisting, unexpired and enforceable, has not been abandoned and to the knowledge of such Grantor, neither the operation of such Grantor’s business as currently conducted nor the use of the Material Grantor Intellectual Property in connection therewith infringe, misappropriate, dilute or otherwise violate the intellectual property rights of any other Person, except in such cases where it could not reasonably be expected to have a Material Adverse Effect.</w:t>
      </w:r>
    </w:p>
    <w:p>
      <w:pPr>
        <w:spacing w:after="0" w:line="78" w:lineRule="exact"/>
        <w:rPr>
          <w:rFonts w:ascii="Arial" w:cs="Arial" w:eastAsia="Arial" w:hAnsi="Arial"/>
          <w:sz w:val="18"/>
          <w:szCs w:val="18"/>
          <w:color w:val="auto"/>
        </w:rPr>
      </w:pPr>
    </w:p>
    <w:p>
      <w:pPr>
        <w:ind w:right="320" w:firstLine="444"/>
        <w:spacing w:after="0" w:line="277" w:lineRule="auto"/>
        <w:tabs>
          <w:tab w:leader="none" w:pos="676" w:val="left"/>
        </w:tabs>
        <w:numPr>
          <w:ilvl w:val="1"/>
          <w:numId w:val="464"/>
        </w:numPr>
        <w:rPr>
          <w:rFonts w:ascii="Arial" w:cs="Arial" w:eastAsia="Arial" w:hAnsi="Arial"/>
          <w:sz w:val="18"/>
          <w:szCs w:val="18"/>
          <w:color w:val="auto"/>
        </w:rPr>
      </w:pPr>
      <w:r>
        <w:rPr>
          <w:rFonts w:ascii="Arial" w:cs="Arial" w:eastAsia="Arial" w:hAnsi="Arial"/>
          <w:sz w:val="18"/>
          <w:szCs w:val="18"/>
          <w:color w:val="auto"/>
        </w:rPr>
        <w:t xml:space="preserve">As of the Debt Assumption (if any), except as set forth in </w:t>
      </w:r>
      <w:r>
        <w:rPr>
          <w:rFonts w:ascii="Arial" w:cs="Arial" w:eastAsia="Arial" w:hAnsi="Arial"/>
          <w:sz w:val="18"/>
          <w:szCs w:val="18"/>
          <w:u w:val="single" w:color="auto"/>
          <w:color w:val="auto"/>
        </w:rPr>
        <w:t>Schedule 5</w:t>
      </w:r>
      <w:r>
        <w:rPr>
          <w:rFonts w:ascii="Arial" w:cs="Arial" w:eastAsia="Arial" w:hAnsi="Arial"/>
          <w:sz w:val="18"/>
          <w:szCs w:val="18"/>
          <w:color w:val="auto"/>
        </w:rPr>
        <w:t>, there are no other agreements, orders, or judgments which materially impair the use of any Material Grantor Intellectual Property.</w:t>
      </w:r>
    </w:p>
    <w:p>
      <w:pPr>
        <w:spacing w:after="0" w:line="62" w:lineRule="exact"/>
        <w:rPr>
          <w:rFonts w:ascii="Arial" w:cs="Arial" w:eastAsia="Arial" w:hAnsi="Arial"/>
          <w:sz w:val="18"/>
          <w:szCs w:val="18"/>
          <w:color w:val="auto"/>
        </w:rPr>
      </w:pPr>
    </w:p>
    <w:p>
      <w:pPr>
        <w:ind w:right="40" w:firstLine="444"/>
        <w:spacing w:after="0" w:line="297" w:lineRule="auto"/>
        <w:tabs>
          <w:tab w:leader="none" w:pos="696" w:val="left"/>
        </w:tabs>
        <w:numPr>
          <w:ilvl w:val="1"/>
          <w:numId w:val="464"/>
        </w:numPr>
        <w:rPr>
          <w:rFonts w:ascii="Arial" w:cs="Arial" w:eastAsia="Arial" w:hAnsi="Arial"/>
          <w:sz w:val="16"/>
          <w:szCs w:val="16"/>
          <w:color w:val="auto"/>
        </w:rPr>
      </w:pPr>
      <w:r>
        <w:rPr>
          <w:rFonts w:ascii="Arial" w:cs="Arial" w:eastAsia="Arial" w:hAnsi="Arial"/>
          <w:sz w:val="16"/>
          <w:szCs w:val="16"/>
          <w:color w:val="auto"/>
        </w:rPr>
        <w:t>The rights of such Grantor in or to the Material Grantor Intellectual Property do not infringe, misappropriate, dilute or otherwise violate the rights of any third party, and no claim has been asserted that the use of any Material Grantor Intellectual Property does or may infringe, misappropriate, dilute or otherwise violate the rights of any third party, in either case, which infringement, misappropriation, dilution or other violation could reasonably be expected to have a Material Adverse Effect. To the knowledge of such Grantor, there is currently no infringement, misappropriation, dilution or unauthorized use of any item of Material Grantor Intellectual Property that could reasonably be expected to have a Material Adverse Effect.</w:t>
      </w:r>
    </w:p>
    <w:p>
      <w:pPr>
        <w:spacing w:after="0" w:line="50" w:lineRule="exact"/>
        <w:rPr>
          <w:rFonts w:ascii="Arial" w:cs="Arial" w:eastAsia="Arial" w:hAnsi="Arial"/>
          <w:sz w:val="16"/>
          <w:szCs w:val="16"/>
          <w:color w:val="auto"/>
        </w:rPr>
      </w:pPr>
    </w:p>
    <w:p>
      <w:pPr>
        <w:ind w:right="40" w:firstLine="444"/>
        <w:spacing w:after="0" w:line="297" w:lineRule="auto"/>
        <w:tabs>
          <w:tab w:leader="none" w:pos="685" w:val="left"/>
        </w:tabs>
        <w:numPr>
          <w:ilvl w:val="1"/>
          <w:numId w:val="464"/>
        </w:numPr>
        <w:rPr>
          <w:rFonts w:ascii="Arial" w:cs="Arial" w:eastAsia="Arial" w:hAnsi="Arial"/>
          <w:sz w:val="16"/>
          <w:szCs w:val="16"/>
          <w:color w:val="auto"/>
        </w:rPr>
      </w:pPr>
      <w:r>
        <w:rPr>
          <w:rFonts w:ascii="Arial" w:cs="Arial" w:eastAsia="Arial" w:hAnsi="Arial"/>
          <w:sz w:val="16"/>
          <w:szCs w:val="16"/>
          <w:color w:val="auto"/>
        </w:rPr>
        <w:t>No holding, decision or judgment has been rendered by any Governmental Authority which would limit or cancel the validity or enforceability of, or such Grantor’s rights in, any Material Grantor Intellectual Property in any respect that could reasonably be expected to have a Material Adverse Effect. Such Grantor is not aware of any uses of any item of Material Grantor Intellectual Property that could reasonably be expected to lead to such item becoming invalid or unenforceable including, without limitation, unauthorized uses by third parties and uses which were not supported by the goodwill of the business connected with Trademarks and Trademark Licenses that could reasonably be expected to have a Material Adverse Effect.</w:t>
      </w:r>
    </w:p>
    <w:p>
      <w:pPr>
        <w:spacing w:after="0" w:line="50" w:lineRule="exact"/>
        <w:rPr>
          <w:rFonts w:ascii="Arial" w:cs="Arial" w:eastAsia="Arial" w:hAnsi="Arial"/>
          <w:sz w:val="16"/>
          <w:szCs w:val="16"/>
          <w:color w:val="auto"/>
        </w:rPr>
      </w:pPr>
    </w:p>
    <w:p>
      <w:pPr>
        <w:ind w:firstLine="444"/>
        <w:spacing w:after="0" w:line="291" w:lineRule="auto"/>
        <w:tabs>
          <w:tab w:leader="none" w:pos="665" w:val="left"/>
        </w:tabs>
        <w:numPr>
          <w:ilvl w:val="1"/>
          <w:numId w:val="464"/>
        </w:numPr>
        <w:rPr>
          <w:rFonts w:ascii="Arial" w:cs="Arial" w:eastAsia="Arial" w:hAnsi="Arial"/>
          <w:sz w:val="16"/>
          <w:szCs w:val="16"/>
          <w:color w:val="auto"/>
        </w:rPr>
      </w:pPr>
      <w:r>
        <w:rPr>
          <w:rFonts w:ascii="Arial" w:cs="Arial" w:eastAsia="Arial" w:hAnsi="Arial"/>
          <w:sz w:val="16"/>
          <w:szCs w:val="16"/>
          <w:color w:val="auto"/>
        </w:rPr>
        <w:t>No action or proceeding is pending, or, to the knowledge of such Grantor, threatened (i) seeking to limit or question the validity of any Material Grantor Intellectual Property or such Grantor’s ownership interest therein that could reasonably be expected to have a Material Adverse Effect,</w:t>
      </w:r>
    </w:p>
    <w:p>
      <w:pPr>
        <w:ind w:right="40" w:firstLine="4"/>
        <w:spacing w:after="0" w:line="269" w:lineRule="auto"/>
        <w:tabs>
          <w:tab w:leader="none" w:pos="265"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alleging that any services provided by, processes used by, or products manufactured or sold by such Grantor infringe any patent, trademark, copyright, or any other right of any third party that could reasonably be expected to have a Material Adverse Effect, or (iii) alleging that any such Material Grantor Intellectual Property is being licensed, sublicensed or used in violation of any patent, trademark, copyright or any other right of any third party, that could reasonably be expected to have a Material Adverse Effect. To the knowledge of such Grantor, no Person is engaging in any activity that infringes, misappropriates, dilutes or otherwise violates the Material Grantor Intellectual Property or upon the rights of such Grantor therein and that could reasonably be expected to have a Material Adverse Effect. The consummation of the transactions contemplated by this Agreement will not result in the termination or material impairment of any of the Material Grantor Intellectual Property.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496" w:name="page497"/>
    <w:bookmarkEnd w:id="496"/>
    <w:p>
      <w:pPr>
        <w:ind w:left="-40" w:right="80" w:firstLine="444"/>
        <w:spacing w:after="0" w:line="289" w:lineRule="auto"/>
        <w:tabs>
          <w:tab w:leader="none" w:pos="656" w:val="left"/>
        </w:tabs>
        <w:numPr>
          <w:ilvl w:val="0"/>
          <w:numId w:val="4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each Copyright License, Trademark License and Patent License material to the business of the Borrower and its Subsidiaries taken as a whole to which such Grantor is a party: (i) such license is valid and binding and in full force and effect and represents the entire agreement between the respective licensor and licensee with respect to the subject matter of such license, (ii) to the extent any such Copyright License, Trademark License or Patent License is not Excluded Assets such license will not cease to be valid and binding and in full force and effect on terms identical to those currently in effect as a result of the rights and interests granted herein, nor will the grant of such rights and interests constitute a breach or default under such license or otherwise give the licensor or licensee a right to terminate such license, (iii) such Grantor has not received any notice of a breach or default under such license that could reasonably be expected to have a Material Adverse Effect, and (iv) such Grantor is not in breach or default in any material respect, and no event has occurred that, with notice and/or lapse of time, would constitute such a material breach or default or permit termination, modification or acceleration under such license that could reasonably be expected to have a Material Adverse Effect.</w:t>
      </w:r>
    </w:p>
    <w:p>
      <w:pPr>
        <w:spacing w:after="0" w:line="58" w:lineRule="exact"/>
        <w:rPr>
          <w:rFonts w:ascii="Arial" w:cs="Arial" w:eastAsia="Arial" w:hAnsi="Arial"/>
          <w:sz w:val="16"/>
          <w:szCs w:val="16"/>
          <w:color w:val="auto"/>
        </w:rPr>
      </w:pPr>
    </w:p>
    <w:p>
      <w:pPr>
        <w:ind w:left="-40" w:right="20" w:firstLine="444"/>
        <w:spacing w:after="0" w:line="255" w:lineRule="auto"/>
        <w:tabs>
          <w:tab w:leader="none" w:pos="65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As of the Debt Assumption (if any), except as set forth in </w:t>
      </w:r>
      <w:r>
        <w:rPr>
          <w:rFonts w:ascii="Arial" w:cs="Arial" w:eastAsia="Arial" w:hAnsi="Arial"/>
          <w:sz w:val="18"/>
          <w:szCs w:val="18"/>
          <w:u w:val="single" w:color="auto"/>
          <w:color w:val="auto"/>
        </w:rPr>
        <w:t>Schedule 5</w:t>
      </w:r>
      <w:r>
        <w:rPr>
          <w:rFonts w:ascii="Arial" w:cs="Arial" w:eastAsia="Arial" w:hAnsi="Arial"/>
          <w:sz w:val="18"/>
          <w:szCs w:val="18"/>
          <w:color w:val="auto"/>
        </w:rPr>
        <w:t>, such Grantor has performed all acts and has paid all required fees and taxes to maintain each and every item of Material Grantor Intellectual Property in full force and effect and has made commercially reasonable efforts to protect and maintain its interest therein except in such cases where such Grantor has determined in its reasonable business judgment to no longer maintain any such item of Material Grantor Intellectual Property. Such Grantor has, where practical, used statutory notice in marking in connection with its use of each Patent, Trademark and Copyright included in the Material Grantor Intellectual Property except where the failure to do so could not reasonably be expected to have a Material Adverse Effect.</w:t>
      </w:r>
    </w:p>
    <w:p>
      <w:pPr>
        <w:spacing w:after="0" w:line="85" w:lineRule="exact"/>
        <w:rPr>
          <w:rFonts w:ascii="Arial" w:cs="Arial" w:eastAsia="Arial" w:hAnsi="Arial"/>
          <w:sz w:val="18"/>
          <w:szCs w:val="18"/>
          <w:color w:val="auto"/>
        </w:rPr>
      </w:pPr>
    </w:p>
    <w:p>
      <w:pPr>
        <w:ind w:left="-40" w:firstLine="444"/>
        <w:spacing w:after="0" w:line="255" w:lineRule="auto"/>
        <w:tabs>
          <w:tab w:leader="none" w:pos="61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the knowledge of such Grantor, except where it could not reasonably be expected to have a Material Adverse Effect, (i) none of the Trade Secrets included in the Grantor Intellectual Property of such Grantor has been used, divulged, disclosed or 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Intellectual Property.</w:t>
      </w:r>
    </w:p>
    <w:p>
      <w:pPr>
        <w:spacing w:after="0" w:line="81" w:lineRule="exact"/>
        <w:rPr>
          <w:rFonts w:ascii="Arial" w:cs="Arial" w:eastAsia="Arial" w:hAnsi="Arial"/>
          <w:sz w:val="18"/>
          <w:szCs w:val="18"/>
          <w:color w:val="auto"/>
        </w:rPr>
      </w:pPr>
    </w:p>
    <w:p>
      <w:pPr>
        <w:ind w:left="-40" w:firstLine="444"/>
        <w:spacing w:after="0" w:line="257" w:lineRule="auto"/>
        <w:tabs>
          <w:tab w:leader="none" w:pos="61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Such Grantor has made all filings and recordations necessary, in its reasonable business judgment, to adequately protect its interest in its Material Grantor Intellectual Property including, without limitation, recordation of its interests in the Patents and Trademarks with the United States Patent and Trademark Office and in corresponding national and international patent offices, and recordation of any of its interests in the Copyrights with the United States Copyright Office and in corresponding national and international copyright offices except where the failure to do so could not reasonably be expected to have a Material Adverse Effect.</w:t>
      </w:r>
    </w:p>
    <w:p>
      <w:pPr>
        <w:spacing w:after="0" w:line="80" w:lineRule="exact"/>
        <w:rPr>
          <w:rFonts w:ascii="Arial" w:cs="Arial" w:eastAsia="Arial" w:hAnsi="Arial"/>
          <w:sz w:val="18"/>
          <w:szCs w:val="18"/>
          <w:color w:val="auto"/>
        </w:rPr>
      </w:pPr>
    </w:p>
    <w:p>
      <w:pPr>
        <w:ind w:left="-40" w:right="60" w:firstLine="444"/>
        <w:spacing w:after="0" w:line="302" w:lineRule="auto"/>
        <w:tabs>
          <w:tab w:leader="none" w:pos="656" w:val="left"/>
        </w:tabs>
        <w:numPr>
          <w:ilvl w:val="0"/>
          <w:numId w:val="466"/>
        </w:numPr>
        <w:rPr>
          <w:rFonts w:ascii="Arial" w:cs="Arial" w:eastAsia="Arial" w:hAnsi="Arial"/>
          <w:sz w:val="16"/>
          <w:szCs w:val="16"/>
          <w:color w:val="auto"/>
        </w:rPr>
      </w:pPr>
      <w:r>
        <w:rPr>
          <w:rFonts w:ascii="Arial" w:cs="Arial" w:eastAsia="Arial" w:hAnsi="Arial"/>
          <w:sz w:val="16"/>
          <w:szCs w:val="16"/>
          <w:color w:val="auto"/>
        </w:rPr>
        <w:t>Such Grantor has taken all commercially reasonable steps to use consistent standards of quality in the manufacture, distribution and sale of all products sold and provision of all services provided under or in connection with any item of Material Grantor Intellectual Property and has taken all commercially reasonable steps to ensure that all licensed users of any kind of Material Grantor Intellectual Property use such consistent standards of quality except, in each case, where the failure to do so could not reasonably be expected to have a Material Adverse Effect.</w:t>
      </w:r>
    </w:p>
    <w:p>
      <w:pPr>
        <w:spacing w:after="0" w:line="46" w:lineRule="exact"/>
        <w:rPr>
          <w:rFonts w:ascii="Arial" w:cs="Arial" w:eastAsia="Arial" w:hAnsi="Arial"/>
          <w:sz w:val="16"/>
          <w:szCs w:val="16"/>
          <w:color w:val="auto"/>
        </w:rPr>
      </w:pPr>
    </w:p>
    <w:p>
      <w:pPr>
        <w:ind w:left="-40" w:right="120" w:firstLine="444"/>
        <w:spacing w:after="0" w:line="286" w:lineRule="auto"/>
        <w:tabs>
          <w:tab w:leader="none" w:pos="61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No Grantor is subject to any settlement or consents, judgment, injunction, order, decree, covenants not to sue, non-assertion assurances or releases that would impair the validity or enforceability of, or such Grantor’s rights in, any Grantor Intellectual Property material to the business of the Borrower and its Restricted Subsidiaries and that could reasonably be expected to have a Material Adverse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3" w:right="479" w:bottom="1440" w:gutter="0" w:footer="0" w:header="0"/>
        </w:sectPr>
      </w:pPr>
    </w:p>
    <w:bookmarkStart w:id="497" w:name="page498"/>
    <w:bookmarkEnd w:id="497"/>
    <w:p>
      <w:pPr>
        <w:ind w:right="180" w:firstLine="44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4.10. </w:t>
      </w:r>
      <w:r>
        <w:rPr>
          <w:rFonts w:ascii="Arial" w:cs="Arial" w:eastAsia="Arial" w:hAnsi="Arial"/>
          <w:sz w:val="18"/>
          <w:szCs w:val="18"/>
          <w:i w:val="1"/>
          <w:iCs w:val="1"/>
          <w:color w:val="auto"/>
        </w:rPr>
        <w:t>Letter of Credit Rights</w:t>
      </w:r>
      <w:r>
        <w:rPr>
          <w:rFonts w:ascii="Arial" w:cs="Arial" w:eastAsia="Arial" w:hAnsi="Arial"/>
          <w:sz w:val="18"/>
          <w:szCs w:val="18"/>
          <w:color w:val="auto"/>
        </w:rPr>
        <w:t>. No Grantor is a beneficiary or assignee under any letter of credit in excess of $15,000,000 other than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which shall be amended by the Borrower from time to time concurrently with the delivery by the Borrower of the items required by </w:t>
      </w:r>
      <w:r>
        <w:rPr>
          <w:rFonts w:ascii="Arial" w:cs="Arial" w:eastAsia="Arial" w:hAnsi="Arial"/>
          <w:sz w:val="18"/>
          <w:szCs w:val="18"/>
          <w:u w:val="single" w:color="auto"/>
          <w:color w:val="auto"/>
        </w:rPr>
        <w:t>Sections 6.01(a) and 6.01(b) of the Bridge Facility Agreement</w:t>
      </w:r>
      <w:r>
        <w:rPr>
          <w:rFonts w:ascii="Arial" w:cs="Arial" w:eastAsia="Arial" w:hAnsi="Arial"/>
          <w:sz w:val="18"/>
          <w:szCs w:val="18"/>
          <w:color w:val="auto"/>
        </w:rPr>
        <w:t>, as applicable, to reflect any additional letter of credit rights obtained since such schedule was last delivered.</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i w:val="1"/>
          <w:iCs w:val="1"/>
          <w:color w:val="auto"/>
        </w:rPr>
        <w:t>Commercial Tort Claims</w:t>
      </w:r>
      <w:r>
        <w:rPr>
          <w:rFonts w:ascii="Arial" w:cs="Arial" w:eastAsia="Arial" w:hAnsi="Arial"/>
          <w:sz w:val="18"/>
          <w:szCs w:val="18"/>
          <w:color w:val="auto"/>
        </w:rPr>
        <w:t>. No Grantor has any commercial tort claims in excess of $15,000,000 other than those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which shall be amended by the Borrower from time to time concurrently with the delivery by the Borrower of the items required by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 and 6.01(b) of the Bridge Facility Agreement</w:t>
      </w:r>
      <w:r>
        <w:rPr>
          <w:rFonts w:ascii="Arial" w:cs="Arial" w:eastAsia="Arial" w:hAnsi="Arial"/>
          <w:sz w:val="18"/>
          <w:szCs w:val="18"/>
          <w:color w:val="auto"/>
        </w:rPr>
        <w:t>, as applicable, to reflect any additional commercial tort claims arising since such schedule was last delivered.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r>
        <w:rPr>
          <w:rFonts w:ascii="Arial" w:cs="Arial" w:eastAsia="Arial" w:hAnsi="Arial"/>
          <w:sz w:val="18"/>
          <w:szCs w:val="18"/>
          <w:color w:val="auto"/>
        </w:rPr>
        <w:t>.</w:t>
      </w:r>
    </w:p>
    <w:p>
      <w:pPr>
        <w:spacing w:after="0" w:line="211"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Each Grantor covenants to and agrees with the Secured Parties that, from and after (i) the Debt Assumption, with respect to each Section of this Article 5 other than Section 5.1, or (ii) the Closing Date, only with respect to Section 5.1, in each case until the Discharge of the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covenants and agreements in this Article 5 are in each case subject to Section 6.18 of the Bridge Facility Agreement, and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action would be required by this Article 5 to be taken or completed prior to the applicable deadline specified in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of the Bridge Facility Agreement, the applicable deadline specified in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of the Bridge Facility Agreement shall control):</w:t>
      </w:r>
    </w:p>
    <w:p>
      <w:pPr>
        <w:spacing w:after="0" w:line="154"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i w:val="1"/>
          <w:iCs w:val="1"/>
          <w:color w:val="auto"/>
        </w:rPr>
        <w:t>Covenants in Bridge Facility Agreement</w:t>
      </w:r>
      <w:r>
        <w:rPr>
          <w:rFonts w:ascii="Arial" w:cs="Arial" w:eastAsia="Arial" w:hAnsi="Arial"/>
          <w:sz w:val="18"/>
          <w:szCs w:val="18"/>
          <w:color w:val="auto"/>
        </w:rPr>
        <w:t>. Each Grantor shall take, or shall refrain from taking, as the case may be, each action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be taken or not taken by such Grantor, as the case may be, so that no Event of Default is caused by the failure of such Grantor to take such action or to refrain from taking such action.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5.02. </w:t>
      </w:r>
      <w:r>
        <w:rPr>
          <w:rFonts w:ascii="Arial" w:cs="Arial" w:eastAsia="Arial" w:hAnsi="Arial"/>
          <w:sz w:val="17"/>
          <w:szCs w:val="17"/>
          <w:i w:val="1"/>
          <w:iCs w:val="1"/>
          <w:color w:val="auto"/>
        </w:rPr>
        <w:t>Delivery and Control of Instruments, Chattel Paper, Negotiable Documents, Investment Property and Deposit Accounts.</w:t>
      </w:r>
    </w:p>
    <w:p>
      <w:pPr>
        <w:spacing w:after="0" w:line="133" w:lineRule="exact"/>
        <w:rPr>
          <w:sz w:val="20"/>
          <w:szCs w:val="20"/>
          <w:color w:val="auto"/>
        </w:rPr>
      </w:pPr>
    </w:p>
    <w:p>
      <w:pPr>
        <w:ind w:right="60" w:firstLine="444"/>
        <w:spacing w:after="0" w:line="297" w:lineRule="auto"/>
        <w:tabs>
          <w:tab w:leader="none" w:pos="68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If any of the Collateral having a fair market value or in a principal amount in excess of $2,500,000 individually or $5,000,000 in the aggregate is or shall become evidenced or represented by any Instrument, Certificated Security, Negotiable Document or Tangible Chattel Paper, such Instrument (other than checks received in the ordinary course of business), Certificated Security, Negotiable Document or Tangible Chattel Paper shall be delivered to the Administrative Agent, duly endorsed in a manner satisfactory to the Administrative Agent, to be held as Collateral pursuant to this Agreement concurrently with the delivery by the Borrower of the items required by </w:t>
      </w:r>
      <w:r>
        <w:rPr>
          <w:rFonts w:ascii="Arial" w:cs="Arial" w:eastAsia="Arial" w:hAnsi="Arial"/>
          <w:sz w:val="16"/>
          <w:szCs w:val="16"/>
          <w:u w:val="single" w:color="auto"/>
          <w:color w:val="auto"/>
        </w:rPr>
        <w:t>Sections 6.01(a) and 6.01(b)</w:t>
      </w:r>
      <w:r>
        <w:rPr>
          <w:rFonts w:ascii="Arial" w:cs="Arial" w:eastAsia="Arial" w:hAnsi="Arial"/>
          <w:sz w:val="16"/>
          <w:szCs w:val="16"/>
          <w:color w:val="auto"/>
        </w:rPr>
        <w:t xml:space="preserve"> of the Bridge Facility Agreement, as applicable.</w:t>
      </w:r>
    </w:p>
    <w:p>
      <w:pPr>
        <w:spacing w:after="0" w:line="50" w:lineRule="exact"/>
        <w:rPr>
          <w:rFonts w:ascii="Arial" w:cs="Arial" w:eastAsia="Arial" w:hAnsi="Arial"/>
          <w:sz w:val="16"/>
          <w:szCs w:val="16"/>
          <w:color w:val="auto"/>
        </w:rPr>
      </w:pPr>
    </w:p>
    <w:p>
      <w:pPr>
        <w:ind w:right="60" w:firstLine="444"/>
        <w:spacing w:after="0" w:line="255" w:lineRule="auto"/>
        <w:tabs>
          <w:tab w:leader="none" w:pos="69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any of the Collateral having a fair market value or in a principal amount in excess of $2,500,000 individually or $5,000,000 in the aggregate is or shall become “Electronic Chattel Paper” such Grantor shall ensure that (i) a single authoritative copy exists which is unique, identifiable, unalterable (except as provided in clauses (iii), (iv) and (v) of this paragraph), (ii) that such authoritative copy identifies the Administrative Agent as the assignee and is communicated to and maintained by the Administrative Agent or its designee, (iii) that copies or revisions that add or change the assignee of the authoritative copy can only be made with the participation of the Administrative Agent, (iv) that each copy of the authoritative copy and any copy of a copy is readily identifiable as a copy and not the authoritative copy and (v) any revision of the authoritative copy is readily identifiable as an authorized or unauthorized revision.</w:t>
      </w:r>
    </w:p>
    <w:p>
      <w:pPr>
        <w:spacing w:after="0" w:line="81" w:lineRule="exact"/>
        <w:rPr>
          <w:rFonts w:ascii="Arial" w:cs="Arial" w:eastAsia="Arial" w:hAnsi="Arial"/>
          <w:sz w:val="18"/>
          <w:szCs w:val="18"/>
          <w:color w:val="auto"/>
        </w:rPr>
      </w:pPr>
    </w:p>
    <w:p>
      <w:pPr>
        <w:ind w:right="20" w:firstLine="444"/>
        <w:spacing w:after="0" w:line="286" w:lineRule="auto"/>
        <w:tabs>
          <w:tab w:leader="none" w:pos="685"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If any of the Pledged Equity Interests is or shall become evidenced or represented by an Uncertificated Security, such Grantor shall cause the Issuer thereof either (i) to register the Administrative Agent as the registered owner of such Uncertificated Security, upon original issue or registration of transfer or (ii) to agree in writing with such Grantor and the Administrative Agent that such Issuer will comply with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69" w:right="439" w:bottom="1440" w:gutter="0" w:footer="0" w:header="0"/>
        </w:sectPr>
      </w:pPr>
    </w:p>
    <w:bookmarkStart w:id="498" w:name="page499"/>
    <w:bookmarkEnd w:id="498"/>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instructions with respect to such Uncertificated Security originated by the Administrative Agent without further consent of such Grantor, such agreement to be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such other form as may be provided by such Issuer reasonably satisfactory to the Administrative Agent.</w:t>
      </w:r>
    </w:p>
    <w:p>
      <w:pPr>
        <w:spacing w:after="0" w:line="16" w:lineRule="exact"/>
        <w:rPr>
          <w:sz w:val="20"/>
          <w:szCs w:val="20"/>
          <w:color w:val="auto"/>
        </w:rPr>
      </w:pPr>
    </w:p>
    <w:p>
      <w:pPr>
        <w:ind w:left="700" w:hanging="256"/>
        <w:spacing w:after="0"/>
        <w:tabs>
          <w:tab w:leader="none" w:pos="7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00" w:firstLine="444"/>
        <w:spacing w:after="0" w:line="302" w:lineRule="auto"/>
        <w:tabs>
          <w:tab w:leader="none" w:pos="66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In addition to and not in lieu of the foregoing, if any Issuer of any Investment Related Property is organized under the law of, or has its chief executive office in, a jurisdiction outside of the United States, each Grantor shall take such additional actions, including, without limitation, causing the issuer to register the pledge on its books and records, as may be necessary or advisable or as may be reasonably requested by the Administrative Agent, under the laws of such jurisdiction to insure the validity, perfection and priority of the security interest of the Administrative Agent.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5.04. </w:t>
      </w:r>
      <w:r>
        <w:rPr>
          <w:rFonts w:ascii="Arial" w:cs="Arial" w:eastAsia="Arial" w:hAnsi="Arial"/>
          <w:sz w:val="18"/>
          <w:szCs w:val="18"/>
          <w:i w:val="1"/>
          <w:iCs w:val="1"/>
          <w:color w:val="auto"/>
        </w:rPr>
        <w:t>Maintenance of Perfected Security Interest; Further Documentation.</w:t>
      </w:r>
    </w:p>
    <w:p>
      <w:pPr>
        <w:spacing w:after="0" w:line="121" w:lineRule="exact"/>
        <w:rPr>
          <w:sz w:val="20"/>
          <w:szCs w:val="20"/>
          <w:color w:val="auto"/>
        </w:rPr>
      </w:pPr>
    </w:p>
    <w:p>
      <w:pPr>
        <w:jc w:val="both"/>
        <w:ind w:right="40" w:firstLine="444"/>
        <w:spacing w:after="0" w:line="264" w:lineRule="auto"/>
        <w:tabs>
          <w:tab w:leader="none" w:pos="68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Other than with respect to the Permitted Exceptions, such Grantor shall maintain the security interest created by this Agreement as a perfected security interest having at least the priority described in Section 4.03 hereof and shall defend such security interest against the claims and demands of all Persons whomsoever other than the holders of Permitted Liens.</w:t>
      </w:r>
    </w:p>
    <w:p>
      <w:pPr>
        <w:spacing w:after="0" w:line="73"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Such Grantor will furnish to the Secured Parties from time to time statements and schedules further identifying and describing the Collateral and such other reports in connection with the assets and property of such Grantor as the Administrative Agent may reasonably request, all in reasonable detail.</w:t>
      </w:r>
    </w:p>
    <w:p>
      <w:pPr>
        <w:spacing w:after="0" w:line="177" w:lineRule="exact"/>
        <w:rPr>
          <w:sz w:val="20"/>
          <w:szCs w:val="20"/>
          <w:color w:val="auto"/>
        </w:rPr>
      </w:pPr>
    </w:p>
    <w:p>
      <w:pPr>
        <w:ind w:right="240" w:firstLine="441"/>
        <w:spacing w:after="0" w:line="274" w:lineRule="auto"/>
        <w:rPr>
          <w:sz w:val="20"/>
          <w:szCs w:val="20"/>
          <w:color w:val="auto"/>
        </w:rPr>
      </w:pPr>
      <w:r>
        <w:rPr>
          <w:rFonts w:ascii="Arial" w:cs="Arial" w:eastAsia="Arial" w:hAnsi="Arial"/>
          <w:sz w:val="17"/>
          <w:szCs w:val="17"/>
          <w:b w:val="1"/>
          <w:bCs w:val="1"/>
          <w:color w:val="auto"/>
        </w:rPr>
        <w:t xml:space="preserve">Section 5.05. </w:t>
      </w:r>
      <w:r>
        <w:rPr>
          <w:rFonts w:ascii="Arial" w:cs="Arial" w:eastAsia="Arial" w:hAnsi="Arial"/>
          <w:sz w:val="17"/>
          <w:szCs w:val="17"/>
          <w:i w:val="1"/>
          <w:iCs w:val="1"/>
          <w:color w:val="auto"/>
        </w:rPr>
        <w:t>Changes in Locations, etc.</w:t>
      </w:r>
      <w:r>
        <w:rPr>
          <w:rFonts w:ascii="Arial" w:cs="Arial" w:eastAsia="Arial" w:hAnsi="Arial"/>
          <w:sz w:val="17"/>
          <w:szCs w:val="17"/>
          <w:b w:val="1"/>
          <w:bCs w:val="1"/>
          <w:color w:val="auto"/>
        </w:rPr>
        <w:t xml:space="preserve"> </w:t>
      </w:r>
      <w:r>
        <w:rPr>
          <w:rFonts w:ascii="Arial" w:cs="Arial" w:eastAsia="Arial" w:hAnsi="Arial"/>
          <w:sz w:val="17"/>
          <w:szCs w:val="17"/>
          <w:color w:val="auto"/>
        </w:rPr>
        <w:t>Such Grantor will not, except as disclosed concurrently with the delivery by the Borrower of the items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by </w:t>
      </w:r>
      <w:r>
        <w:rPr>
          <w:rFonts w:ascii="Arial" w:cs="Arial" w:eastAsia="Arial" w:hAnsi="Arial"/>
          <w:sz w:val="17"/>
          <w:szCs w:val="17"/>
          <w:u w:val="single" w:color="auto"/>
          <w:color w:val="auto"/>
        </w:rPr>
        <w:t>Section 6.01(a) and 6.01(b)</w:t>
      </w:r>
      <w:r>
        <w:rPr>
          <w:rFonts w:ascii="Arial" w:cs="Arial" w:eastAsia="Arial" w:hAnsi="Arial"/>
          <w:sz w:val="17"/>
          <w:szCs w:val="17"/>
          <w:color w:val="auto"/>
        </w:rPr>
        <w:t xml:space="preserve"> of the Bridge Facility Agreement, as applicable, and delivery to the Administrative Agent of duly authorized and, where required, executed copies of all additional financing statements and other documents reasonably requested by the Administrative Agent to maintain the validity, perfection and priority of the security interests provided for herein (other than with respect to Permitted Exceptions), permit Inventory or Equipment with an aggregate value in excess of $20,000,000 (other than Inventory or Equipment in transit) to be kept at a location other than those listed on </w:t>
      </w:r>
      <w:r>
        <w:rPr>
          <w:rFonts w:ascii="Arial" w:cs="Arial" w:eastAsia="Arial" w:hAnsi="Arial"/>
          <w:sz w:val="17"/>
          <w:szCs w:val="17"/>
          <w:u w:val="single" w:color="auto"/>
          <w:color w:val="auto"/>
        </w:rPr>
        <w:t>Schedules 5.08(c) or 5.08(d)(i)</w:t>
      </w:r>
      <w:r>
        <w:rPr>
          <w:rFonts w:ascii="Arial" w:cs="Arial" w:eastAsia="Arial" w:hAnsi="Arial"/>
          <w:sz w:val="17"/>
          <w:szCs w:val="17"/>
          <w:color w:val="auto"/>
        </w:rPr>
        <w:t xml:space="preserve"> of the Bridge Facility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5.06. </w:t>
      </w:r>
      <w:r>
        <w:rPr>
          <w:rFonts w:ascii="Arial" w:cs="Arial" w:eastAsia="Arial" w:hAnsi="Arial"/>
          <w:sz w:val="18"/>
          <w:szCs w:val="18"/>
          <w:i w:val="1"/>
          <w:iCs w:val="1"/>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Such Grantor will advise the Administrative Agent promptly, in reasonable detail, of:</w:t>
      </w:r>
    </w:p>
    <w:p>
      <w:pPr>
        <w:spacing w:after="0" w:line="121" w:lineRule="exact"/>
        <w:rPr>
          <w:sz w:val="20"/>
          <w:szCs w:val="20"/>
          <w:color w:val="auto"/>
        </w:rPr>
      </w:pPr>
    </w:p>
    <w:p>
      <w:pPr>
        <w:ind w:right="560" w:firstLine="444"/>
        <w:spacing w:after="0" w:line="277" w:lineRule="auto"/>
        <w:tabs>
          <w:tab w:leader="none" w:pos="68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Lien (other than any Permitted Lien) on any of the Collateral which would adversely affect in any material respect the ability of the Administrative Agent to exercise any of its remedies hereunder; and</w:t>
      </w:r>
    </w:p>
    <w:p>
      <w:pPr>
        <w:spacing w:after="0" w:line="62" w:lineRule="exact"/>
        <w:rPr>
          <w:rFonts w:ascii="Arial" w:cs="Arial" w:eastAsia="Arial" w:hAnsi="Arial"/>
          <w:sz w:val="18"/>
          <w:szCs w:val="18"/>
          <w:color w:val="auto"/>
        </w:rPr>
      </w:pPr>
    </w:p>
    <w:p>
      <w:pPr>
        <w:ind w:firstLine="444"/>
        <w:spacing w:after="0" w:line="277" w:lineRule="auto"/>
        <w:tabs>
          <w:tab w:leader="none" w:pos="69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occurrence of any other event which could reasonably be expected to have a material adverse effect on the aggregate value of the Collateral or on the security interests created 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99" w:name="page500"/>
    <w:bookmarkEnd w:id="4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5.07. </w:t>
      </w:r>
      <w:r>
        <w:rPr>
          <w:rFonts w:ascii="Arial" w:cs="Arial" w:eastAsia="Arial" w:hAnsi="Arial"/>
          <w:sz w:val="18"/>
          <w:szCs w:val="18"/>
          <w:i w:val="1"/>
          <w:iCs w:val="1"/>
          <w:color w:val="auto"/>
        </w:rPr>
        <w:t>Investment Property.</w:t>
      </w:r>
    </w:p>
    <w:p>
      <w:pPr>
        <w:spacing w:after="0" w:line="121" w:lineRule="exact"/>
        <w:rPr>
          <w:sz w:val="20"/>
          <w:szCs w:val="20"/>
          <w:color w:val="auto"/>
        </w:rPr>
      </w:pPr>
    </w:p>
    <w:p>
      <w:pPr>
        <w:ind w:firstLine="444"/>
        <w:spacing w:after="0" w:line="267" w:lineRule="auto"/>
        <w:tabs>
          <w:tab w:leader="none" w:pos="685" w:val="left"/>
        </w:tabs>
        <w:numPr>
          <w:ilvl w:val="0"/>
          <w:numId w:val="471"/>
        </w:numPr>
        <w:rPr>
          <w:rFonts w:ascii="Arial" w:cs="Arial" w:eastAsia="Arial" w:hAnsi="Arial"/>
          <w:sz w:val="17"/>
          <w:szCs w:val="17"/>
          <w:color w:val="auto"/>
        </w:rPr>
      </w:pPr>
      <w:r>
        <w:rPr>
          <w:rFonts w:ascii="Arial" w:cs="Arial" w:eastAsia="Arial" w:hAnsi="Arial"/>
          <w:sz w:val="17"/>
          <w:szCs w:val="17"/>
          <w:color w:val="auto"/>
        </w:rPr>
        <w:t>If such Grantor shall become entitled to receive or shall receive any stock or other ownership certificate (including, without limitation, any certificate representing a stock dividend or a distribution in connection with any reclassification, increase or reduction of capital or any certificate issued in connection with any reorganization), option or rights in respect of the Pledged Equity Interest of any Issuer, whether in addition to, in substitution of, as a conversion of, or in exchange for, any shares of or other ownership interests in the Pledged Securities, or otherwise in respect thereof, such Grantor shall accept the same as the agent of the Secured Parties, hold the same in trust for the Secured Parties and deliver the same forthwith to the Administrative Agent in the exact form received, duly endorsed by such Grantor to the Administrative Agent, if required, together with an undated stock power covering such certificate duly executed in blank by such Grantor, to be held by the Administrative Agent, subject to the terms hereof, as additional collateral security for the Obligations. Any sums paid upon or in respect of the Pledged Securities upon the liquidation or dissolution of any Issuer (unless (x) such liquidation or dissolution was not prohibited by the Bridge Facility Agreement, and (y) no Event of Default shall have occurred and be continuing) shall be paid over to the Administrative Agent to be held by it hereunder as additional collateral security for the Obligations, and in case any distribution of capital shall be made on or in respect of the Pledged Securities or any property shall be distributed upon or with respect to the Pledged Securities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the Obligations. If any sums of money or property so paid or distributed in respect of the Pledged Securities shall be received by such Grantor, such Grantor shall, until such money or property is paid or delivered to the Administrative Agent, hold such money or property in trust for the Secured Parties, segregated from other funds of such Grantor, as additional collateral security for the Obligations.</w:t>
      </w:r>
    </w:p>
    <w:p>
      <w:pPr>
        <w:spacing w:after="0" w:line="84" w:lineRule="exact"/>
        <w:rPr>
          <w:rFonts w:ascii="Arial" w:cs="Arial" w:eastAsia="Arial" w:hAnsi="Arial"/>
          <w:sz w:val="17"/>
          <w:szCs w:val="17"/>
          <w:color w:val="auto"/>
        </w:rPr>
      </w:pPr>
    </w:p>
    <w:p>
      <w:pPr>
        <w:ind w:right="20" w:firstLine="444"/>
        <w:spacing w:after="0" w:line="286" w:lineRule="auto"/>
        <w:tabs>
          <w:tab w:leader="none" w:pos="696" w:val="left"/>
        </w:tabs>
        <w:numPr>
          <w:ilvl w:val="0"/>
          <w:numId w:val="471"/>
        </w:numPr>
        <w:rPr>
          <w:rFonts w:ascii="Arial" w:cs="Arial" w:eastAsia="Arial" w:hAnsi="Arial"/>
          <w:sz w:val="16"/>
          <w:szCs w:val="16"/>
          <w:color w:val="auto"/>
        </w:rPr>
      </w:pPr>
      <w:r>
        <w:rPr>
          <w:rFonts w:ascii="Arial" w:cs="Arial" w:eastAsia="Arial" w:hAnsi="Arial"/>
          <w:sz w:val="16"/>
          <w:szCs w:val="16"/>
          <w:color w:val="auto"/>
        </w:rPr>
        <w:t>Without the prior written consent of the Administrative Agent, such Grantor will not (i) vote to enable, or take any other action to permit, any Issuer to issue any stock, partnership interests, limited liability company interests or other equity securities of any nature or to issue any other securities convertible into or granting the right to purchase or exchange for any stock, partnership interests, limited liability company interests or other equity securities of any nature of any Issuer (except, in each case, pursuant to a transaction which is not prohibited by the Bridge Facility Agreement), (ii) sell, assign, transfer, exchange, or otherwise dispose of, or grant any option with respect to, any of the Investment Property or Proceeds thereof or any interest therein (except, in each case, pursuant to a transaction not prohibited by the Bridge Facility Agreement), (iii) create, incur or permit to exist any Lien or option in favor of, or any claim of any Person with respect to, any of the Investment Property or Proceeds thereof, or any interest therein, except for the security interests created by this Agreement and other Permitted Liens that are not consensual Liens, (iv) enter into any agreement or undertaking restricting the right or ability of such Grantor or the Administrative Agent to sell, assign or transfer any of the Investment Property or Proceeds thereof or any interest therein (unless expressly permitted pursuant to the Bridge Facility Agreement) or (v) without the prior written consent of the Administrative Agent, cause any Issuer of any Pledged Partnership Interests or Pledged LLC Interests which are not securities (for purposes of the UCC) as of the Debt Assumption (if any) to elect or otherwise take any action to cause such Pledged Partnership Interests or Pledged LLC Interests to be treated as securities for purposes of the UCC, unless such Grantor shall promptly notify the Administrative Agent in writing of any such election or action and, in such event, shall take all steps necessary or advisable to establish the Administrative Agent’s “control” thereof.</w:t>
      </w:r>
    </w:p>
    <w:p>
      <w:pPr>
        <w:spacing w:after="0" w:line="63" w:lineRule="exact"/>
        <w:rPr>
          <w:rFonts w:ascii="Arial" w:cs="Arial" w:eastAsia="Arial" w:hAnsi="Arial"/>
          <w:sz w:val="16"/>
          <w:szCs w:val="16"/>
          <w:color w:val="auto"/>
        </w:rPr>
      </w:pPr>
    </w:p>
    <w:p>
      <w:pPr>
        <w:ind w:firstLine="444"/>
        <w:spacing w:after="0" w:line="290" w:lineRule="auto"/>
        <w:tabs>
          <w:tab w:leader="none" w:pos="685" w:val="left"/>
        </w:tabs>
        <w:numPr>
          <w:ilvl w:val="0"/>
          <w:numId w:val="471"/>
        </w:numPr>
        <w:rPr>
          <w:rFonts w:ascii="Arial" w:cs="Arial" w:eastAsia="Arial" w:hAnsi="Arial"/>
          <w:sz w:val="16"/>
          <w:szCs w:val="16"/>
          <w:color w:val="auto"/>
        </w:rPr>
      </w:pPr>
      <w:r>
        <w:rPr>
          <w:rFonts w:ascii="Arial" w:cs="Arial" w:eastAsia="Arial" w:hAnsi="Arial"/>
          <w:sz w:val="16"/>
          <w:szCs w:val="16"/>
          <w:color w:val="auto"/>
        </w:rPr>
        <w:t xml:space="preserve">In the case of each Grantor which is an Issuer, such Issuer agrees that (i) it will be bound by the terms of this Agreement relating to the Pledged Securities issued by it and will comply with such terms insofar as such terms are applicable to it, (ii) it will notify the Administrative Agent promptly in writing of the occurrence of any of the events described in Section 5.07(a) hereof with respect to the Pledged Securities issued by it and (iii) the terms of Sections 6.03(c) and 6.07 hereof shall apply to it, </w:t>
      </w:r>
      <w:r>
        <w:rPr>
          <w:rFonts w:ascii="Arial" w:cs="Arial" w:eastAsia="Arial" w:hAnsi="Arial"/>
          <w:sz w:val="16"/>
          <w:szCs w:val="16"/>
          <w:u w:val="single" w:color="auto"/>
          <w:color w:val="auto"/>
        </w:rPr>
        <w:t>mutatis mutandis</w:t>
      </w:r>
      <w:r>
        <w:rPr>
          <w:rFonts w:ascii="Arial" w:cs="Arial" w:eastAsia="Arial" w:hAnsi="Arial"/>
          <w:sz w:val="16"/>
          <w:szCs w:val="16"/>
          <w:color w:val="auto"/>
        </w:rPr>
        <w:t>, with respect to all actions that may be required of it pursuant to Sections 6.03(c) or 6.07 hereof with respect to the Pledged Securities issued by it. In addition, each Grantor which is either an Issuer or an owner of any Pledged Security hereby consents to the grant by each other Grantor of the security interest hereunder in favor of the Administrative Agent for the benefit of the Secured Parties and to the transfer of any Pledged Security to the Administrative Agent or its nominee following an Event of Default and to the substitution of the Administrative Agent or its nominee as a partner, member or shareholder of the Issuer of the related Pledged Security.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500" w:name="page501"/>
    <w:bookmarkEnd w:id="500"/>
    <w:p>
      <w:pPr>
        <w:ind w:right="20" w:firstLine="44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5.08. </w:t>
      </w:r>
      <w:r>
        <w:rPr>
          <w:rFonts w:ascii="Arial" w:cs="Arial" w:eastAsia="Arial" w:hAnsi="Arial"/>
          <w:sz w:val="18"/>
          <w:szCs w:val="18"/>
          <w:i w:val="1"/>
          <w:iCs w:val="1"/>
          <w:color w:val="auto"/>
        </w:rPr>
        <w:t>Receivables</w:t>
      </w:r>
      <w:r>
        <w:rPr>
          <w:rFonts w:ascii="Arial" w:cs="Arial" w:eastAsia="Arial" w:hAnsi="Arial"/>
          <w:sz w:val="18"/>
          <w:szCs w:val="18"/>
          <w:color w:val="auto"/>
        </w:rPr>
        <w:t>. Other than in the ordinary course of business or as expressly permitted pursuant to the Bridge Facility Agreement,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any manner that could reasonably be likely to materially and adversely affect the value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5.09. </w:t>
      </w:r>
      <w:r>
        <w:rPr>
          <w:rFonts w:ascii="Arial" w:cs="Arial" w:eastAsia="Arial" w:hAnsi="Arial"/>
          <w:sz w:val="18"/>
          <w:szCs w:val="18"/>
          <w:i w:val="1"/>
          <w:iCs w:val="1"/>
          <w:color w:val="auto"/>
        </w:rPr>
        <w:t>Intellectual Property.</w:t>
      </w:r>
    </w:p>
    <w:p>
      <w:pPr>
        <w:spacing w:after="0" w:line="121" w:lineRule="exact"/>
        <w:rPr>
          <w:sz w:val="20"/>
          <w:szCs w:val="20"/>
          <w:color w:val="auto"/>
        </w:rPr>
      </w:pPr>
    </w:p>
    <w:p>
      <w:pPr>
        <w:ind w:right="80" w:firstLine="444"/>
        <w:spacing w:after="0" w:line="253" w:lineRule="auto"/>
        <w:tabs>
          <w:tab w:leader="none" w:pos="685" w:val="left"/>
        </w:tabs>
        <w:numPr>
          <w:ilvl w:val="1"/>
          <w:numId w:val="472"/>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(i) in its reasonable business judgment, continue to use each Trademark included in the Grantor Intellectual Property (“</w:t>
      </w:r>
      <w:r>
        <w:rPr>
          <w:rFonts w:ascii="Arial" w:cs="Arial" w:eastAsia="Arial" w:hAnsi="Arial"/>
          <w:sz w:val="18"/>
          <w:szCs w:val="18"/>
          <w:u w:val="single" w:color="auto"/>
          <w:color w:val="auto"/>
        </w:rPr>
        <w:t>Grantor Trademarks</w:t>
      </w:r>
      <w:r>
        <w:rPr>
          <w:rFonts w:ascii="Arial" w:cs="Arial" w:eastAsia="Arial" w:hAnsi="Arial"/>
          <w:sz w:val="18"/>
          <w:szCs w:val="18"/>
          <w:color w:val="auto"/>
        </w:rPr>
        <w:t>”) on each and every trademark class of goods applicable to its current line as reflected in its current catalogs, brochures and price lists in order to maintain such Grantor Trademarks in full force free from any claim of abandonment for non-use except where the failure to continue such use could not reasonably be expected to have a Material Adverse Effect, (ii) maintain as in the past the quality of products and services offered under such Grantor Trademarks and take all reasonably necessary steps to ensure that all licensed users of such Grantor Trademarks maintain as in the past such quality except, in each case, where the failure to do so could not reasonably be expected to have a Material Adverse Effect and (iii) not (and not permit any licensee or sublicensee thereof to) do any act or knowingly omit to do any act whereby such Grantor Trademark may become invalidated or materially impaired in any way except where such action could not reasonably be expected to have a Material Adverse Effect.</w:t>
      </w:r>
    </w:p>
    <w:p>
      <w:pPr>
        <w:spacing w:after="0" w:line="89" w:lineRule="exact"/>
        <w:rPr>
          <w:rFonts w:ascii="Arial" w:cs="Arial" w:eastAsia="Arial" w:hAnsi="Arial"/>
          <w:sz w:val="18"/>
          <w:szCs w:val="18"/>
          <w:color w:val="auto"/>
        </w:rPr>
      </w:pPr>
    </w:p>
    <w:p>
      <w:pPr>
        <w:ind w:right="600" w:firstLine="444"/>
        <w:spacing w:after="0" w:line="264" w:lineRule="auto"/>
        <w:tabs>
          <w:tab w:leader="none" w:pos="69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not do any act, or omit to do any act, whereby any Patent included in the Grantor Intellectual Property (“</w:t>
      </w:r>
      <w:r>
        <w:rPr>
          <w:rFonts w:ascii="Arial" w:cs="Arial" w:eastAsia="Arial" w:hAnsi="Arial"/>
          <w:sz w:val="18"/>
          <w:szCs w:val="18"/>
          <w:u w:val="single" w:color="auto"/>
          <w:color w:val="auto"/>
        </w:rPr>
        <w:t>Grantor Patents</w:t>
      </w:r>
      <w:r>
        <w:rPr>
          <w:rFonts w:ascii="Arial" w:cs="Arial" w:eastAsia="Arial" w:hAnsi="Arial"/>
          <w:sz w:val="18"/>
          <w:szCs w:val="18"/>
          <w:color w:val="auto"/>
        </w:rPr>
        <w:t>”) may become forfeited, abandoned or dedicated to the public except where the failure to do so could not reasonably be expected to have a Material Adverse Effect.</w:t>
      </w:r>
    </w:p>
    <w:p>
      <w:pPr>
        <w:spacing w:after="0" w:line="73" w:lineRule="exact"/>
        <w:rPr>
          <w:rFonts w:ascii="Arial" w:cs="Arial" w:eastAsia="Arial" w:hAnsi="Arial"/>
          <w:sz w:val="18"/>
          <w:szCs w:val="18"/>
          <w:color w:val="auto"/>
        </w:rPr>
      </w:pPr>
    </w:p>
    <w:p>
      <w:pPr>
        <w:ind w:right="200" w:firstLine="444"/>
        <w:spacing w:after="0" w:line="291" w:lineRule="auto"/>
        <w:tabs>
          <w:tab w:leader="none" w:pos="685" w:val="left"/>
        </w:tabs>
        <w:numPr>
          <w:ilvl w:val="1"/>
          <w:numId w:val="472"/>
        </w:numPr>
        <w:rPr>
          <w:rFonts w:ascii="Arial" w:cs="Arial" w:eastAsia="Arial" w:hAnsi="Arial"/>
          <w:sz w:val="16"/>
          <w:szCs w:val="16"/>
          <w:color w:val="auto"/>
        </w:rPr>
      </w:pPr>
      <w:r>
        <w:rPr>
          <w:rFonts w:ascii="Arial" w:cs="Arial" w:eastAsia="Arial" w:hAnsi="Arial"/>
          <w:sz w:val="16"/>
          <w:szCs w:val="16"/>
          <w:color w:val="auto"/>
        </w:rPr>
        <w:t>Such Grantor (either itself or through licensees) (i) will in its reasonable business judgment, employ each Copyright included in the Grantor Intellectual Property (“</w:t>
      </w:r>
      <w:r>
        <w:rPr>
          <w:rFonts w:ascii="Arial" w:cs="Arial" w:eastAsia="Arial" w:hAnsi="Arial"/>
          <w:sz w:val="16"/>
          <w:szCs w:val="16"/>
          <w:u w:val="single" w:color="auto"/>
          <w:color w:val="auto"/>
        </w:rPr>
        <w:t>Grantor Copyrights</w:t>
      </w:r>
      <w:r>
        <w:rPr>
          <w:rFonts w:ascii="Arial" w:cs="Arial" w:eastAsia="Arial" w:hAnsi="Arial"/>
          <w:sz w:val="16"/>
          <w:szCs w:val="16"/>
          <w:color w:val="auto"/>
        </w:rPr>
        <w:t>”) except where the failure to do so could not reasonably be expected to have a Material Adverse Effect and</w:t>
      </w:r>
    </w:p>
    <w:p>
      <w:pPr>
        <w:ind w:firstLine="4"/>
        <w:spacing w:after="0" w:line="254" w:lineRule="auto"/>
        <w:tabs>
          <w:tab w:leader="none" w:pos="26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will not (and will not permit any licensee or sublicensee thereof to) do any act or knowingly omit to do any act whereby any Grantor Copyrights may become invalidated or otherwise materially impaired except in such circumstances that could not reasonably be expected to have a Material Adverse Effect. Such Grantor will not (either itself or through licensees) do any act whereby any material portion of Grantor Copyrights may fall into the public domain except as could not reasonably be expected to have a Material Adverse Effect.</w:t>
      </w:r>
    </w:p>
    <w:p>
      <w:pPr>
        <w:spacing w:after="0" w:line="81" w:lineRule="exact"/>
        <w:rPr>
          <w:rFonts w:ascii="Arial" w:cs="Arial" w:eastAsia="Arial" w:hAnsi="Arial"/>
          <w:sz w:val="18"/>
          <w:szCs w:val="18"/>
          <w:color w:val="auto"/>
        </w:rPr>
      </w:pPr>
    </w:p>
    <w:p>
      <w:pPr>
        <w:ind w:firstLine="444"/>
        <w:spacing w:after="0" w:line="264" w:lineRule="auto"/>
        <w:tabs>
          <w:tab w:leader="none" w:pos="69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not do any act that knowingly uses any Grantor Intellectual Property to infringe, misappropriate, dilute or otherwise violate the intellectual property rights of any other Person except where such use could not reasonably be expected to have a Material Adverse Effect.</w:t>
      </w:r>
    </w:p>
    <w:p>
      <w:pPr>
        <w:spacing w:after="0" w:line="73" w:lineRule="exact"/>
        <w:rPr>
          <w:rFonts w:ascii="Arial" w:cs="Arial" w:eastAsia="Arial" w:hAnsi="Arial"/>
          <w:sz w:val="18"/>
          <w:szCs w:val="18"/>
          <w:color w:val="auto"/>
        </w:rPr>
      </w:pPr>
    </w:p>
    <w:p>
      <w:pPr>
        <w:ind w:right="120" w:firstLine="444"/>
        <w:spacing w:after="0" w:line="264" w:lineRule="auto"/>
        <w:tabs>
          <w:tab w:leader="none" w:pos="685"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where practical, use statutory notice marking in connection with the use of each Grantor Patent, Grantor Trademark and Grantor Copyright except where the failure to use such notices could not reasonably be expected to have a Material Adverse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69" w:right="439" w:bottom="1440" w:gutter="0" w:footer="0" w:header="0"/>
        </w:sectPr>
      </w:pPr>
    </w:p>
    <w:bookmarkStart w:id="501" w:name="page502"/>
    <w:bookmarkEnd w:id="501"/>
    <w:p>
      <w:pPr>
        <w:ind w:left="-20" w:right="40" w:firstLine="444"/>
        <w:spacing w:after="0" w:line="255" w:lineRule="auto"/>
        <w:tabs>
          <w:tab w:leader="none" w:pos="645" w:val="left"/>
        </w:tabs>
        <w:numPr>
          <w:ilvl w:val="0"/>
          <w:numId w:val="4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where it could not reasonably be expected to have a Material Adverse Effect, such Grantor will notify the Secured Parties promptly if it knows that any application or registration relating to any Grantor Intellectual Property has become forfeited, abandoned or dedicated to the public,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Grantor Intellectual Property or such Grantor’s right to register the same or to own and maintain the same.</w:t>
      </w:r>
    </w:p>
    <w:p>
      <w:pPr>
        <w:spacing w:after="0" w:line="85" w:lineRule="exact"/>
        <w:rPr>
          <w:rFonts w:ascii="Arial" w:cs="Arial" w:eastAsia="Arial" w:hAnsi="Arial"/>
          <w:sz w:val="18"/>
          <w:szCs w:val="18"/>
          <w:color w:val="auto"/>
        </w:rPr>
      </w:pPr>
    </w:p>
    <w:p>
      <w:pPr>
        <w:ind w:left="-20" w:firstLine="444"/>
        <w:spacing w:after="0" w:line="253" w:lineRule="auto"/>
        <w:tabs>
          <w:tab w:leader="none" w:pos="67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Following such Grantor’s acquisition or creation of any copyrightable work, invention, trademark or other similar property that is material to the business of Grantor, such Grantor will, if consistent with its reasonable business judgment, apply for registration thereof with the United States Copyright Office, the United States Patent and Trademark Office or other appropriate office. Whenever such Grantor, either by itself or through any agent, employee, licensee or designee, shall file an application for the registration of any Material Grantor Intellectual Property with the United States Patent and Trademark Office, the United States Copyright Office or any similar office or agency of the United States of America or Canada, the Borrower or such Grantor shall report such filing to the Administrative Agent at the time of and concurrent with the delivery by the Borrower of the items required by </w:t>
      </w:r>
      <w:r>
        <w:rPr>
          <w:rFonts w:ascii="Arial" w:cs="Arial" w:eastAsia="Arial" w:hAnsi="Arial"/>
          <w:sz w:val="18"/>
          <w:szCs w:val="18"/>
          <w:u w:val="single" w:color="auto"/>
          <w:color w:val="auto"/>
        </w:rPr>
        <w:t>Sections 6.01(a) and 6.01(b)</w:t>
      </w:r>
      <w:r>
        <w:rPr>
          <w:rFonts w:ascii="Arial" w:cs="Arial" w:eastAsia="Arial" w:hAnsi="Arial"/>
          <w:sz w:val="18"/>
          <w:szCs w:val="18"/>
          <w:color w:val="auto"/>
        </w:rPr>
        <w:t xml:space="preserve"> of the Bridge Facility Agreement, as applicable, for the period in which such filing occurs (or such longer period of time as may be agreed to by the Administrative Agent in its sole discretion). For the avoidance of doubt, no Grantor shall be obligated to provide notice to Administrative Agent of, or otherwise include on a schedule, any Copyright License, Trademark License, Patent License or Trade Secret License.</w:t>
      </w:r>
    </w:p>
    <w:p>
      <w:pPr>
        <w:spacing w:after="0" w:line="86" w:lineRule="exact"/>
        <w:rPr>
          <w:rFonts w:ascii="Arial" w:cs="Arial" w:eastAsia="Arial" w:hAnsi="Arial"/>
          <w:sz w:val="18"/>
          <w:szCs w:val="18"/>
          <w:color w:val="auto"/>
        </w:rPr>
      </w:pPr>
    </w:p>
    <w:p>
      <w:pPr>
        <w:ind w:left="-20" w:right="20" w:firstLine="444"/>
        <w:spacing w:after="0" w:line="253" w:lineRule="auto"/>
        <w:tabs>
          <w:tab w:leader="none" w:pos="67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Such Grantor will take steps, in its reasonable business judgment and except where the failure to take any action described in this subsection could not reasonably be expected to have a Material Adverse Effect, including, without limitation, in any proceeding before the United States Patent and Trademark Office, the United States Copyright Office or any similar office or agency in any other country or any political subdivision thereof, to maintain and pursue each application in respect of (and to obtain the relevant registration in respect of) and to maintain each registration in respect of, Material Grantor Intellectual Property, including, without limitation, the payment of required fees and taxes, the filing of responses to office actions issued by the United States Patent and Trademark Office and the United States Copyright Office, the filing of applications for renewal or extension, the filing of affidavits of use and affidavits of incontestability, the filing of divisional, continuation, continuation-in-part, reissue, and renewal applications or extensions, the payment of maintenance fees, and the participation in interference, reexamination, opposition, cancellation, infringement and misappropriation proceedings.</w:t>
      </w:r>
    </w:p>
    <w:p>
      <w:pPr>
        <w:spacing w:after="0" w:line="89" w:lineRule="exact"/>
        <w:rPr>
          <w:rFonts w:ascii="Arial" w:cs="Arial" w:eastAsia="Arial" w:hAnsi="Arial"/>
          <w:sz w:val="18"/>
          <w:szCs w:val="18"/>
          <w:color w:val="auto"/>
        </w:rPr>
      </w:pPr>
    </w:p>
    <w:p>
      <w:pPr>
        <w:ind w:left="-20" w:right="200" w:firstLine="444"/>
        <w:spacing w:after="0" w:line="264" w:lineRule="auto"/>
        <w:tabs>
          <w:tab w:leader="none" w:pos="63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not, without the prior written consent of the Administrative Agent, discontinue use of or otherwise abandon any Grantor Intellectual Property except in such circumstances that could not reasonably be expected to have a Material Adverse Effect.</w:t>
      </w:r>
    </w:p>
    <w:p>
      <w:pPr>
        <w:spacing w:after="0" w:line="73" w:lineRule="exact"/>
        <w:rPr>
          <w:rFonts w:ascii="Arial" w:cs="Arial" w:eastAsia="Arial" w:hAnsi="Arial"/>
          <w:sz w:val="18"/>
          <w:szCs w:val="18"/>
          <w:color w:val="auto"/>
        </w:rPr>
      </w:pPr>
    </w:p>
    <w:p>
      <w:pPr>
        <w:ind w:left="-20" w:right="60" w:firstLine="444"/>
        <w:spacing w:after="0" w:line="264" w:lineRule="auto"/>
        <w:tabs>
          <w:tab w:leader="none" w:pos="63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In the event that any Material Grantor Intellectual Property is known by any such Grantor to be infringed, misappropriated or diluted by a third party, such Grantor shall take such actions as such Grantor shall reasonably deem appropriate under the circumstances to protect such Material Grantor Intellectual Property.</w:t>
      </w:r>
    </w:p>
    <w:p>
      <w:pPr>
        <w:spacing w:after="0" w:line="73" w:lineRule="exact"/>
        <w:rPr>
          <w:rFonts w:ascii="Arial" w:cs="Arial" w:eastAsia="Arial" w:hAnsi="Arial"/>
          <w:sz w:val="18"/>
          <w:szCs w:val="18"/>
          <w:color w:val="auto"/>
        </w:rPr>
      </w:pPr>
    </w:p>
    <w:p>
      <w:pPr>
        <w:ind w:left="-20" w:firstLine="444"/>
        <w:spacing w:after="0" w:line="257" w:lineRule="auto"/>
        <w:tabs>
          <w:tab w:leader="none" w:pos="67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Such Grantor agrees that, should it obtain an ownership interest in any item of Intellectual Property (excluding any Copyright License, Trademark License, Patent License or Trade Secret License) which is not part of the Collateral as of the Debt Assumption Date (the “</w:t>
      </w:r>
      <w:r>
        <w:rPr>
          <w:rFonts w:ascii="Arial" w:cs="Arial" w:eastAsia="Arial" w:hAnsi="Arial"/>
          <w:sz w:val="18"/>
          <w:szCs w:val="18"/>
          <w:u w:val="single" w:color="auto"/>
          <w:color w:val="auto"/>
        </w:rPr>
        <w:t>After-Acquired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(i) the provisions of Article 3 shall automatically apply thereto, (ii) any such After-Acquired Intellectual Property, and in the case of Trademarks, the goodwill of the business connected therewith or symbolized thereby, shall automatically become part of the Collateral, (iii) it or the Borrower shall, at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60" w:top="273" w:right="439" w:bottom="1440" w:gutter="0" w:footer="0" w:header="0"/>
        </w:sectPr>
      </w:pPr>
    </w:p>
    <w:bookmarkStart w:id="502" w:name="page503"/>
    <w:bookmarkEnd w:id="502"/>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of and concurrent with the delivery by the Borrower of the items required by </w:t>
      </w:r>
      <w:r>
        <w:rPr>
          <w:rFonts w:ascii="Arial" w:cs="Arial" w:eastAsia="Arial" w:hAnsi="Arial"/>
          <w:sz w:val="16"/>
          <w:szCs w:val="16"/>
          <w:u w:val="single" w:color="auto"/>
          <w:color w:val="auto"/>
        </w:rPr>
        <w:t>Sections 6.01(a) and 6.01(b)</w:t>
      </w:r>
      <w:r>
        <w:rPr>
          <w:rFonts w:ascii="Arial" w:cs="Arial" w:eastAsia="Arial" w:hAnsi="Arial"/>
          <w:sz w:val="16"/>
          <w:szCs w:val="16"/>
          <w:color w:val="auto"/>
        </w:rPr>
        <w:t xml:space="preserve"> of the Bridge Facility Agreement, as applicable, for the period in which such Grantor acquires such ownership interest (or such longer period of time as may be agreed to by the Administrative Agent in its sole discretion), give written notice thereof to the Administrative Agent in accordance herewith, and (iv) it or the Borrower shall provide the Administrative Agent, at the time of and concurrent with the delivery by the Borrower of the items required by </w:t>
      </w:r>
      <w:r>
        <w:rPr>
          <w:rFonts w:ascii="Arial" w:cs="Arial" w:eastAsia="Arial" w:hAnsi="Arial"/>
          <w:sz w:val="16"/>
          <w:szCs w:val="16"/>
          <w:u w:val="single" w:color="auto"/>
          <w:color w:val="auto"/>
        </w:rPr>
        <w:t>Sections 6.01(a) and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6.01(b)</w:t>
      </w:r>
      <w:r>
        <w:rPr>
          <w:rFonts w:ascii="Arial" w:cs="Arial" w:eastAsia="Arial" w:hAnsi="Arial"/>
          <w:sz w:val="18"/>
          <w:szCs w:val="18"/>
          <w:color w:val="auto"/>
        </w:rPr>
        <w:t xml:space="preserve"> of the Bridge Facility Agreement, as applicable, for the period in which such Grantor acquires such ownership interest (or such longer period of time as may be agreed to by the Administrative Agent in its sole discretion), with an amended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hereto and take the actions specified in Section 5.09(m) hereof with respect to such Intellectual Property in the United States or Canada.</w:t>
      </w:r>
    </w:p>
    <w:p>
      <w:pPr>
        <w:spacing w:after="0" w:line="82" w:lineRule="exact"/>
        <w:rPr>
          <w:sz w:val="20"/>
          <w:szCs w:val="20"/>
          <w:color w:val="auto"/>
        </w:rPr>
      </w:pPr>
    </w:p>
    <w:p>
      <w:pPr>
        <w:ind w:firstLine="444"/>
        <w:spacing w:after="0" w:line="272" w:lineRule="auto"/>
        <w:tabs>
          <w:tab w:leader="none" w:pos="656" w:val="left"/>
        </w:tabs>
        <w:numPr>
          <w:ilvl w:val="0"/>
          <w:numId w:val="475"/>
        </w:numPr>
        <w:rPr>
          <w:rFonts w:ascii="Arial" w:cs="Arial" w:eastAsia="Arial" w:hAnsi="Arial"/>
          <w:sz w:val="17"/>
          <w:szCs w:val="17"/>
          <w:color w:val="auto"/>
        </w:rPr>
      </w:pPr>
      <w:r>
        <w:rPr>
          <w:rFonts w:ascii="Arial" w:cs="Arial" w:eastAsia="Arial" w:hAnsi="Arial"/>
          <w:sz w:val="17"/>
          <w:szCs w:val="17"/>
          <w:color w:val="auto"/>
        </w:rPr>
        <w:t xml:space="preserve">Within five Business Days (or such later date as the Administrative Agent may agree to in its sole discretion) after the Debt Assumption Date, unless Discharge of the Obligations has occurred on or prior to the expiration of such period, such Grantor agrees to execute an Intellectual Property Security Agreement with respect to its Copyrights, Trademarks, and Patents, in substantially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in order to record the security interest granted herein to the Administrative Agent for the benefit of the Secured Parties with the United States Patent and Trademark Office, the United States Copyright Office, the Canadian Intellectual Property Office, and any other applicable Governmental Authority or any political subdivision of the United States or Canada. For the avoidance of doubt, no Grantor shall be obligated to execute an Intellectual Property Security Agreement with respect to its Copyright Licenses, Trademark Licenses, Patent Licenses or Trade Secret Licenses.</w:t>
      </w:r>
    </w:p>
    <w:p>
      <w:pPr>
        <w:spacing w:after="0" w:line="69" w:lineRule="exact"/>
        <w:rPr>
          <w:rFonts w:ascii="Arial" w:cs="Arial" w:eastAsia="Arial" w:hAnsi="Arial"/>
          <w:sz w:val="17"/>
          <w:szCs w:val="17"/>
          <w:color w:val="auto"/>
        </w:rPr>
      </w:pPr>
    </w:p>
    <w:p>
      <w:pPr>
        <w:ind w:right="40" w:firstLine="444"/>
        <w:spacing w:after="0" w:line="293" w:lineRule="auto"/>
        <w:tabs>
          <w:tab w:leader="none" w:pos="74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xml:space="preserve">Commencing on the date five Business Days (or such later date as the Administrative Agent may agree to in its sole discretion) after the Debt Assumption Date, unless Discharge of the Obligations has occurred on or prior to such date, such Grantor agrees to execute an After-Acquired Intellectual Property Security Agreement with respect to its After-Acquired Intellectual Property with respect to such Intellectual Property in the United States and Canada in substantially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in order to record the security interest granted herein to the Administrative Agent for the benefit of the Secured Parties with the United States Patent and Trademark Office, the United States Copyright Office, the Canadian Intellectual Property Office, and any other applicable Governmental Authority or any political subdivision of the United States or Canada.</w:t>
      </w:r>
    </w:p>
    <w:p>
      <w:pPr>
        <w:spacing w:after="0" w:line="56" w:lineRule="exact"/>
        <w:rPr>
          <w:rFonts w:ascii="Arial" w:cs="Arial" w:eastAsia="Arial" w:hAnsi="Arial"/>
          <w:sz w:val="16"/>
          <w:szCs w:val="16"/>
          <w:color w:val="auto"/>
        </w:rPr>
      </w:pPr>
    </w:p>
    <w:p>
      <w:pPr>
        <w:ind w:right="100" w:firstLine="444"/>
        <w:spacing w:after="0" w:line="277" w:lineRule="auto"/>
        <w:tabs>
          <w:tab w:leader="none" w:pos="69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Such Grantor shall take commercially reasonable steps as it determines in its reasonable business judgment to protect the secrecy of all Trade Secrets included in the Material Grantor Intellectual Property.</w:t>
      </w:r>
    </w:p>
    <w:p>
      <w:pPr>
        <w:spacing w:after="0" w:line="166"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i w:val="1"/>
          <w:iCs w:val="1"/>
          <w:color w:val="auto"/>
        </w:rPr>
        <w:t>Commercial Tort Claims</w:t>
      </w:r>
      <w:r>
        <w:rPr>
          <w:rFonts w:ascii="Arial" w:cs="Arial" w:eastAsia="Arial" w:hAnsi="Arial"/>
          <w:sz w:val="18"/>
          <w:szCs w:val="18"/>
          <w:color w:val="auto"/>
        </w:rPr>
        <w:t>. If any Grantor shall at any time after the Debt Assumption acquire or become the beneficiary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tort claim in excess of $15,000,000, such Grantor shall promptly provide the Administrative Agent with an amended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describing the details thereof concurrently with the delivery by the Borrower of the items required by </w:t>
      </w:r>
      <w:r>
        <w:rPr>
          <w:rFonts w:ascii="Arial" w:cs="Arial" w:eastAsia="Arial" w:hAnsi="Arial"/>
          <w:sz w:val="18"/>
          <w:szCs w:val="18"/>
          <w:u w:val="single" w:color="auto"/>
          <w:color w:val="auto"/>
        </w:rPr>
        <w:t>Sections 6.01(a) and 6.01(b)</w:t>
      </w:r>
      <w:r>
        <w:rPr>
          <w:rFonts w:ascii="Arial" w:cs="Arial" w:eastAsia="Arial" w:hAnsi="Arial"/>
          <w:sz w:val="18"/>
          <w:szCs w:val="18"/>
          <w:color w:val="auto"/>
        </w:rPr>
        <w:t xml:space="preserve"> of the Bridge Facility Agreement, as applicable.</w:t>
      </w:r>
    </w:p>
    <w:p>
      <w:pPr>
        <w:spacing w:after="0" w:line="180"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i w:val="1"/>
          <w:iCs w:val="1"/>
          <w:color w:val="auto"/>
        </w:rPr>
        <w:t>Changes in Locations, Name, Jurisdiction of Incorporation, etc.</w:t>
      </w:r>
      <w:r>
        <w:rPr>
          <w:rFonts w:ascii="Arial" w:cs="Arial" w:eastAsia="Arial" w:hAnsi="Arial"/>
          <w:sz w:val="18"/>
          <w:szCs w:val="18"/>
          <w:b w:val="1"/>
          <w:bCs w:val="1"/>
          <w:color w:val="auto"/>
        </w:rPr>
        <w:t xml:space="preserve"> </w:t>
      </w:r>
      <w:r>
        <w:rPr>
          <w:rFonts w:ascii="Arial" w:cs="Arial" w:eastAsia="Arial" w:hAnsi="Arial"/>
          <w:sz w:val="18"/>
          <w:szCs w:val="18"/>
          <w:color w:val="auto"/>
        </w:rPr>
        <w:t>Such Grantor will not, except upon 15 days’ prior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(or such shorter period as may be agreed to by the Administrative Agent in its sole discretion) and delivery to the Administrative Agent of duly authorized and, where required, executed copies of all additional financing statements and other documents reasonably requested by the Administrative Agent to maintain the validity, perfection and priority of the security interests provided for herein (other than with respect to Permitted Exceptions):</w:t>
      </w:r>
    </w:p>
    <w:p>
      <w:pPr>
        <w:spacing w:after="0" w:line="80" w:lineRule="exact"/>
        <w:rPr>
          <w:sz w:val="20"/>
          <w:szCs w:val="20"/>
          <w:color w:val="auto"/>
        </w:rPr>
      </w:pPr>
    </w:p>
    <w:p>
      <w:pPr>
        <w:ind w:firstLine="444"/>
        <w:spacing w:after="0" w:line="308" w:lineRule="auto"/>
        <w:tabs>
          <w:tab w:leader="none" w:pos="685"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except in connection with the merger of a Grantor into another Grantor, change its legal name, jurisdiction of organization or the location of its chief executive office from that referred to in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(as supplemented from time to time by an Assumption Agreement);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503" w:name="page504"/>
    <w:bookmarkEnd w:id="503"/>
    <w:p>
      <w:pPr>
        <w:ind w:right="100" w:firstLine="444"/>
        <w:spacing w:after="0" w:line="277" w:lineRule="auto"/>
        <w:tabs>
          <w:tab w:leader="none" w:pos="696" w:val="left"/>
        </w:tabs>
        <w:numPr>
          <w:ilvl w:val="0"/>
          <w:numId w:val="4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connection with the merger of a Grantor into another Grantor, change its legal name or structure to such an extent that any financing statement filed by the Administrative Agent in connection with this Agreement would become misleading.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REMEDIAL PROVISIONS</w:t>
      </w:r>
      <w:r>
        <w:rPr>
          <w:rFonts w:ascii="Arial" w:cs="Arial" w:eastAsia="Arial" w:hAnsi="Arial"/>
          <w:sz w:val="18"/>
          <w:szCs w:val="18"/>
          <w:color w:val="auto"/>
        </w:rPr>
        <w:t>.</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Notwithstanding anything herein to the contrary, the provisions of this Article 6 will be effective only upon the occurrence of the Debt Assumption (if any), it being understood that prior to the Debt Assumption, the Loans and the Guarantees thereof will be unsecured senior obligations of the applicable Grantor.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i w:val="1"/>
          <w:iCs w:val="1"/>
          <w:color w:val="auto"/>
        </w:rPr>
        <w:t>Certain Matters Relating to Receivables.</w:t>
      </w:r>
    </w:p>
    <w:p>
      <w:pPr>
        <w:spacing w:after="0" w:line="121" w:lineRule="exact"/>
        <w:rPr>
          <w:sz w:val="20"/>
          <w:szCs w:val="20"/>
          <w:color w:val="auto"/>
        </w:rPr>
      </w:pPr>
    </w:p>
    <w:p>
      <w:pPr>
        <w:ind w:right="160" w:firstLine="444"/>
        <w:spacing w:after="0" w:line="255" w:lineRule="auto"/>
        <w:tabs>
          <w:tab w:leader="none" w:pos="68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(1) the Administrative Agent shall have the right to make test verifications of the Receivables in any manner and through any medium that it reasonably considers advisable, and each Grantor shall furnish all such assistance and information as the Administrative Agent may require in connection with such test verifications and (2) upon the Administrative Agent’s request and at the expense of the relevant Grantor, such Grantor shall cause independent public accountants or others reasonably satisfactory to the Administrative Agent to furnish to the Administrative Agent reports showing reconciliations, aging and test verifications of, and trial balances for, the Receivables.</w:t>
      </w:r>
    </w:p>
    <w:p>
      <w:pPr>
        <w:spacing w:after="0" w:line="85" w:lineRule="exact"/>
        <w:rPr>
          <w:rFonts w:ascii="Arial" w:cs="Arial" w:eastAsia="Arial" w:hAnsi="Arial"/>
          <w:sz w:val="18"/>
          <w:szCs w:val="18"/>
          <w:color w:val="auto"/>
        </w:rPr>
      </w:pPr>
    </w:p>
    <w:p>
      <w:pPr>
        <w:ind w:firstLine="444"/>
        <w:spacing w:after="0" w:line="288" w:lineRule="auto"/>
        <w:tabs>
          <w:tab w:leader="none" w:pos="69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The Administrative Agent hereby authorizes each Grantor to collect such Grantor’s Receivables, and each Grantor hereby agrees to continue to collect all amounts due or to become due to such Grantor under the Receivables and any Supporting Obligation and diligently exercise each material right it may have under any Receivable and any Supporting Obligation, in each case, at its own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endorsed by such Grantor to the Administrative Agent if required, in a Collateral Account maintained under the sole dominion and control of the Administrative Agent, subject to withdrawal by the Administrative Agent for the account of the Secured Parties only as provided in Section 6.05 hereof, and (ii) until so turned over, shall be held by such Grantor in trust for the Secured Parties, segregated from other funds of such Grantor. Each such deposit of Proceeds of Receivables shall be accompanied by a report identifying in reasonable detail the nature and source of the payments included in the deposit.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i w:val="1"/>
          <w:iCs w:val="1"/>
          <w:color w:val="auto"/>
        </w:rPr>
        <w:t>Communications with Obligors; Grantors Remain Liable.</w:t>
      </w:r>
    </w:p>
    <w:p>
      <w:pPr>
        <w:spacing w:after="0" w:line="121" w:lineRule="exact"/>
        <w:rPr>
          <w:sz w:val="20"/>
          <w:szCs w:val="20"/>
          <w:color w:val="auto"/>
        </w:rPr>
      </w:pPr>
    </w:p>
    <w:p>
      <w:pPr>
        <w:ind w:right="400" w:firstLine="444"/>
        <w:spacing w:after="0" w:line="264" w:lineRule="auto"/>
        <w:tabs>
          <w:tab w:leader="none" w:pos="68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Administrative Agent in its own name or in the name of others may at any time after the occurrence and during the continuance of an Event of Default communicate with obligors under the Receivables to verify with them to the Administrative Agent’s reasonable satisfaction the existence, amount and terms of any Receivables.</w:t>
      </w:r>
    </w:p>
    <w:p>
      <w:pPr>
        <w:spacing w:after="0" w:line="73" w:lineRule="exact"/>
        <w:rPr>
          <w:rFonts w:ascii="Arial" w:cs="Arial" w:eastAsia="Arial" w:hAnsi="Arial"/>
          <w:sz w:val="18"/>
          <w:szCs w:val="18"/>
          <w:color w:val="auto"/>
        </w:rPr>
      </w:pPr>
    </w:p>
    <w:p>
      <w:pPr>
        <w:ind w:right="140" w:firstLine="444"/>
        <w:spacing w:after="0" w:line="259" w:lineRule="auto"/>
        <w:tabs>
          <w:tab w:leader="none" w:pos="696"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After the occurrence and during the continuance of an Event of Default, (i) the Administrative Agent may notify, or require any Grantor to so notify, the Account Debtor or counterparty on any Receivable of the security interest of the Administrative Agent therein, and (ii) the Administrative Agent may upon written notice to the applicable Grantor, notify, or require any Grantor to notify, the Account Debtor or counterparty to make all payments under the Receivables directly to the Administrative Agent.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504" w:name="page505"/>
    <w:bookmarkEnd w:id="504"/>
    <w:p>
      <w:pPr>
        <w:ind w:left="-20" w:right="40" w:firstLine="444"/>
        <w:spacing w:after="0" w:line="271" w:lineRule="auto"/>
        <w:tabs>
          <w:tab w:leader="none" w:pos="665" w:val="left"/>
        </w:tabs>
        <w:numPr>
          <w:ilvl w:val="0"/>
          <w:numId w:val="4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herein to the contrary notwithstanding, each Grantor shall remain liable under each of the Receivables to observe and perform all the conditions and obligations to be observed and performed by it thereunder, all in accordance with the terms of any agreement giving rise thereto. No Secured Party shall have any obligation or liability under any Receivable (or any agreement giving rise thereto) by reason of or arising out of this Agreement or the receipt by any Secured Party of any payment relating thereto, nor shall any Secured Party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6.03. Pledged Securities</w:t>
      </w:r>
      <w:r>
        <w:rPr>
          <w:rFonts w:ascii="Arial" w:cs="Arial" w:eastAsia="Arial" w:hAnsi="Arial"/>
          <w:sz w:val="18"/>
          <w:szCs w:val="18"/>
          <w:color w:val="auto"/>
        </w:rPr>
        <w:t>.</w:t>
      </w:r>
    </w:p>
    <w:p>
      <w:pPr>
        <w:spacing w:after="0" w:line="121" w:lineRule="exact"/>
        <w:rPr>
          <w:sz w:val="20"/>
          <w:szCs w:val="20"/>
          <w:color w:val="auto"/>
        </w:rPr>
      </w:pPr>
    </w:p>
    <w:p>
      <w:pPr>
        <w:ind w:left="-20" w:firstLine="444"/>
        <w:spacing w:after="0" w:line="255" w:lineRule="auto"/>
        <w:tabs>
          <w:tab w:leader="none" w:pos="66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Unless an Event of Default shall have occurred and be continuing and the Administrative Agent shall have given notice to the relevant Grantor of the Administrative Agent’s intent to exercise its corresponding rights pursuant to Section 6.03(b) hereof, each Grantor shall be permitted to receive all cash dividends paid in respect of the Pledged Equity Interests and all payments made in respect of the Pledged Notes, unless prohibited by the Bridge Facility Agreement, and to exercise all voting and corporate rights with respect to the Pledged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corporate or other ownership right exercised or other action taken which would impair in any material respect the Collateral taken as a whole or which would result in an Event of Default.</w:t>
      </w:r>
    </w:p>
    <w:p>
      <w:pPr>
        <w:spacing w:after="0" w:line="85" w:lineRule="exact"/>
        <w:rPr>
          <w:rFonts w:ascii="Arial" w:cs="Arial" w:eastAsia="Arial" w:hAnsi="Arial"/>
          <w:sz w:val="18"/>
          <w:szCs w:val="18"/>
          <w:color w:val="auto"/>
        </w:rPr>
      </w:pPr>
    </w:p>
    <w:p>
      <w:pPr>
        <w:ind w:left="-20" w:right="20" w:firstLine="444"/>
        <w:spacing w:after="0" w:line="287" w:lineRule="auto"/>
        <w:tabs>
          <w:tab w:leader="none" w:pos="67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and the Administrative Agent shall have given notice to the relevant Grantor of its intent to exercise its rights under this Section 6.03(b): (i) all rights of each Grantor to exercise or refrain from exercising the voting and other consensual rights which it would otherwise be entitled to exercise pursuant hereto shall cease and all such rights shall thereupon become vested in the Administrative Agent who shall thereupon have the sole right, but shall be under no obligation, to exercise or refrain from exercising such voting and other consensual rights and (ii) the Administrative Agent shall have the right, without notice to any Grantor, to transfer all or any portion of the Investment Property to its name or the name of its nominee or agent. In addition, upon the occurrence and during the continuance of an Event of Default, the Administrative Agent shall have the right at any time, without notice to any Grantor, to exchange any certificates or instruments representing any Investment Property for certificates or instruments of smaller or larger denominations. In order to permit the Administrative Agent to exercise the voting and other consensual rights which it may be entitled to exercise pursuant hereto and to receive all dividends and other distributions which it may be entitled to receive hereunder each Grantor shall promptly execute and deliver (or cause to be executed and delivered) to the Administrative Agent all proxies, dividend payment orders and other instruments as the Administrative Agent may from time to time reasonably request and each Grantor acknowledges that the Administrative Agent may utilize the power of attorney set forth herein.</w:t>
      </w:r>
    </w:p>
    <w:p>
      <w:pPr>
        <w:spacing w:after="0" w:line="60" w:lineRule="exact"/>
        <w:rPr>
          <w:rFonts w:ascii="Arial" w:cs="Arial" w:eastAsia="Arial" w:hAnsi="Arial"/>
          <w:sz w:val="16"/>
          <w:szCs w:val="16"/>
          <w:color w:val="auto"/>
        </w:rPr>
      </w:pPr>
    </w:p>
    <w:p>
      <w:pPr>
        <w:ind w:left="-20" w:right="120" w:firstLine="444"/>
        <w:spacing w:after="0" w:line="257" w:lineRule="auto"/>
        <w:tabs>
          <w:tab w:leader="none" w:pos="66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Pledged Securities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Securities directly to the Administrative Agent.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60" w:top="274" w:right="439" w:bottom="1440" w:gutter="0" w:footer="0" w:header="0"/>
        </w:sectPr>
      </w:pPr>
    </w:p>
    <w:bookmarkStart w:id="505" w:name="page506"/>
    <w:bookmarkEnd w:id="505"/>
    <w:p>
      <w:pPr>
        <w:ind w:right="20" w:firstLine="441"/>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6.04. </w:t>
      </w:r>
      <w:r>
        <w:rPr>
          <w:rFonts w:ascii="Arial" w:cs="Arial" w:eastAsia="Arial" w:hAnsi="Arial"/>
          <w:sz w:val="17"/>
          <w:szCs w:val="17"/>
          <w:i w:val="1"/>
          <w:iCs w:val="1"/>
          <w:color w:val="auto"/>
        </w:rPr>
        <w:t>Proceeds to be Turned Over To 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the rights of the Secured Parties specified in Section 6.01 hereof</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payments of Receivables, if an Event of Default shall occur and be continuing and the Administrative Agent shall have given notice to the relevant Grantor of the Administrative Agent’s intent to exercise its rights pursuant to this Section 6.04, all Proceeds received by any Grantor consisting of cash, Cash Equivalents, checks and other near-cash items shall be held by such Grantor in trust for the Secured Parties, segregated from other funds of such Grantor, and shall, forthwith upon receipt by such Grantor, be turned over to the Administrative Agent in the exact form received by such Grantor (duly endorsed by such Grantor to the Administrative Agent, if required). All Proceeds received by the Administrative Agent hereunder shall be held by the Administrative Agent in a Collateral Account maintained under its sole dominion and control. All Proceeds while held by the Administrative Agent in a Collateral Account (or by such Grantor in trust for the Secured Parties) shall continue to be held as collateral security for all the Obligations and shall not constitute payment thereof until applied as provided in Section 6.05 hereof.</w:t>
      </w:r>
    </w:p>
    <w:p>
      <w:pPr>
        <w:spacing w:after="0" w:line="174" w:lineRule="exact"/>
        <w:rPr>
          <w:sz w:val="20"/>
          <w:szCs w:val="20"/>
          <w:color w:val="auto"/>
        </w:rPr>
      </w:pPr>
    </w:p>
    <w:p>
      <w:pPr>
        <w:ind w:right="120" w:firstLine="441"/>
        <w:spacing w:after="0" w:line="298" w:lineRule="auto"/>
        <w:rPr>
          <w:sz w:val="20"/>
          <w:szCs w:val="20"/>
          <w:color w:val="auto"/>
        </w:rPr>
      </w:pPr>
      <w:r>
        <w:rPr>
          <w:rFonts w:ascii="Arial" w:cs="Arial" w:eastAsia="Arial" w:hAnsi="Arial"/>
          <w:sz w:val="16"/>
          <w:szCs w:val="16"/>
          <w:b w:val="1"/>
          <w:bCs w:val="1"/>
          <w:color w:val="auto"/>
        </w:rPr>
        <w:t xml:space="preserve">Section 6.05.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At such intervals as may be agreed upon by the Borrower and the Administrative Agent, or, if an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shall have occurred and be continuing, at any time at the Administrative Agent’s election, the Administrative Agent may, notwithstanding the provisions of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of the Bridge Facility Agreement, apply all or any part of the net Proceeds (after deducting fees and expenses as provided in Section 6.06 hereof) constituting Collateral realized through the exercise by the Administrative Agent of its remedies hereunder, whether or not held in any Collateral Account, and any proceeds of the guarantee set forth in Article 2, in payment of the Obligations in the following order:</w:t>
      </w:r>
    </w:p>
    <w:p>
      <w:pPr>
        <w:spacing w:after="0" w:line="50" w:lineRule="exact"/>
        <w:rPr>
          <w:sz w:val="20"/>
          <w:szCs w:val="20"/>
          <w:color w:val="auto"/>
        </w:rPr>
      </w:pPr>
    </w:p>
    <w:p>
      <w:pPr>
        <w:ind w:right="580" w:firstLine="444"/>
        <w:spacing w:after="0" w:line="277" w:lineRule="auto"/>
        <w:tabs>
          <w:tab w:leader="none" w:pos="685"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Administrative Agent, to pay incurred and unpaid fees and expenses of the Secured Parties under the Loan Documents, any Secured Hedge Agreements, and any Cash Management Agreements;</w:t>
      </w:r>
    </w:p>
    <w:p>
      <w:pPr>
        <w:spacing w:after="0" w:line="62" w:lineRule="exact"/>
        <w:rPr>
          <w:rFonts w:ascii="Arial" w:cs="Arial" w:eastAsia="Arial" w:hAnsi="Arial"/>
          <w:sz w:val="18"/>
          <w:szCs w:val="18"/>
          <w:color w:val="auto"/>
        </w:rPr>
      </w:pPr>
    </w:p>
    <w:p>
      <w:pPr>
        <w:jc w:val="both"/>
        <w:ind w:right="100" w:firstLine="444"/>
        <w:spacing w:after="0" w:line="264" w:lineRule="auto"/>
        <w:tabs>
          <w:tab w:leader="none" w:pos="695"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Administrative Agent, for application by it towards payment of all other amounts then due and owing and remaining unpaid in respect of the Obligations,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Secured Parties according to the amounts of the Obligations then due and owing and remaining unpaid to the Secured Parties;</w:t>
      </w:r>
    </w:p>
    <w:p>
      <w:pPr>
        <w:spacing w:after="0" w:line="73" w:lineRule="exact"/>
        <w:rPr>
          <w:rFonts w:ascii="Arial" w:cs="Arial" w:eastAsia="Arial" w:hAnsi="Arial"/>
          <w:sz w:val="18"/>
          <w:szCs w:val="18"/>
          <w:color w:val="auto"/>
        </w:rPr>
      </w:pPr>
    </w:p>
    <w:p>
      <w:pPr>
        <w:ind w:right="100" w:firstLine="444"/>
        <w:spacing w:after="0" w:line="277" w:lineRule="auto"/>
        <w:tabs>
          <w:tab w:leader="none" w:pos="685"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Administrative Agent, for application by it towards prepayment of the Obligations,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Secured Parties according to the amounts of the Obligations then held by the Secured Parties; and</w:t>
      </w:r>
    </w:p>
    <w:p>
      <w:pPr>
        <w:spacing w:after="0" w:line="62" w:lineRule="exact"/>
        <w:rPr>
          <w:rFonts w:ascii="Arial" w:cs="Arial" w:eastAsia="Arial" w:hAnsi="Arial"/>
          <w:sz w:val="18"/>
          <w:szCs w:val="18"/>
          <w:color w:val="auto"/>
        </w:rPr>
      </w:pPr>
    </w:p>
    <w:p>
      <w:pPr>
        <w:ind w:right="160" w:firstLine="444"/>
        <w:spacing w:after="0" w:line="277" w:lineRule="auto"/>
        <w:tabs>
          <w:tab w:leader="none" w:pos="695"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any balance of such Proceeds remaining after Discharge of the Obligations shall be paid over to the Borrower or to whomsoever may be lawfully entitled to receive the same.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6.06. </w:t>
      </w:r>
      <w:r>
        <w:rPr>
          <w:rFonts w:ascii="Arial" w:cs="Arial" w:eastAsia="Arial" w:hAnsi="Arial"/>
          <w:sz w:val="18"/>
          <w:szCs w:val="18"/>
          <w:i w:val="1"/>
          <w:iCs w:val="1"/>
          <w:color w:val="auto"/>
        </w:rPr>
        <w:t>Code and Other Remedies.</w:t>
      </w:r>
    </w:p>
    <w:p>
      <w:pPr>
        <w:spacing w:after="0" w:line="121" w:lineRule="exact"/>
        <w:rPr>
          <w:sz w:val="20"/>
          <w:szCs w:val="20"/>
          <w:color w:val="auto"/>
        </w:rPr>
      </w:pPr>
    </w:p>
    <w:p>
      <w:pPr>
        <w:ind w:firstLine="444"/>
        <w:spacing w:after="0" w:line="288" w:lineRule="auto"/>
        <w:tabs>
          <w:tab w:leader="none" w:pos="68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the Administrative Agent, on behalf of the Secured Parties, may exercise, in addition to all other rights and remedies granted to them in this Agreement and in any other instrument or agreement securing, evidencing or relating to the Obligations, all rights and remedies of a secured party under the New York UCC (whether or not the New York UCC applies to the affected Collateral) or its rights under any other applicable Law or in equity. If an Event of Default shall occur and be continuing,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license, assign, give option or options to purchase, or otherwise dispose of and deliver the Collateral or any part thereof (or contract to do any of the foregoing), in one or more parcels at public or private sale or sales, at any exchange, broker’s board or office of any Secured Party or elsewhere upon such terms and conditions as it may deem advisable and at such prices as it may deem best, for cash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69" w:right="439" w:bottom="1440" w:gutter="0" w:footer="0" w:header="0"/>
        </w:sectPr>
      </w:pPr>
    </w:p>
    <w:bookmarkStart w:id="506" w:name="page507"/>
    <w:bookmarkEnd w:id="50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on credit or for future delivery without assumption of any credit risk. If an Event of Default shall occur and be continuing, each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For purposes of bidding and making settlement or payment of the purchase price for all or a portion of the Collateral sold at any such sale made in accordance with the UCC or other applicable laws, including, without limitation, the Bankruptcy Code, the Administrative Agent, as agent for and representative of the Secured Parties (but not any Secured Party or Secured Parties in its or their respective individual capacities unless the Required Lenders shall otherwise agree in writing), shall be entitled to credit bid and use and apply the Obligations (or any portion thereof) as a credit on account of the purchase price for any Collateral payable by the Administrative Agent at such sale, such amount to be apportioned ratably to the Obligations of the Secured Parties in accordance with their pro rata share of such Obligations.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 The Administrative Agent may sell the Collateral without giving any warranties as to the Collateral. The Administrative Agent may specifically disclaim or modify any warranties of title or the like. This procedure will not be considered to adversely affect the commercial reasonableness of any sale of the Collateral. Each Grantor agrees that it would not be commercially unreasonable for the Administrative Agent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the Administrative Agent arising by reason of the fact that the price at which any Collateral may have been sold at such a private sale was less than the price which might have been obtained at a public sale, even if the Administrative Agent accepts the first offer received and does not offer such Collateral to more than one offeree.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have the right to enter onto the property where any Collateral is located and take possession thereof with or without judicial process.</w:t>
      </w:r>
    </w:p>
    <w:p>
      <w:pPr>
        <w:spacing w:after="0" w:line="67" w:lineRule="exact"/>
        <w:rPr>
          <w:sz w:val="20"/>
          <w:szCs w:val="20"/>
          <w:color w:val="auto"/>
        </w:rPr>
      </w:pPr>
    </w:p>
    <w:p>
      <w:pPr>
        <w:ind w:right="60" w:firstLine="444"/>
        <w:spacing w:after="0" w:line="270" w:lineRule="auto"/>
        <w:tabs>
          <w:tab w:leader="none" w:pos="696" w:val="left"/>
        </w:tabs>
        <w:numPr>
          <w:ilvl w:val="0"/>
          <w:numId w:val="484"/>
        </w:numPr>
        <w:rPr>
          <w:rFonts w:ascii="Arial" w:cs="Arial" w:eastAsia="Arial" w:hAnsi="Arial"/>
          <w:sz w:val="17"/>
          <w:szCs w:val="17"/>
          <w:color w:val="auto"/>
        </w:rPr>
      </w:pPr>
      <w:r>
        <w:rPr>
          <w:rFonts w:ascii="Arial" w:cs="Arial" w:eastAsia="Arial" w:hAnsi="Arial"/>
          <w:sz w:val="17"/>
          <w:szCs w:val="17"/>
          <w:color w:val="auto"/>
        </w:rPr>
        <w:t>The Administrative Agent shall apply the net proceeds of any action taken by it pursuant to this Section 6.06 hereof, after deducting all reasonable costs and expenses of every kind incurred in connection therewith or incidental to the care or safekeeping of any of the Collateral or in any way relating to the Collateral or the rights of the Secured Parties hereunder, including, without limitation, reasonable attorneys’ fees and disbursements, to the payment in whole or in part of the Obligations and only after such application and after the payment by the Administrative Agent of any other amount required by any provision of law, including, without limitation, Section 9-615(a) of the New York UCC, need the Administrative Agent account for the surplus, if any, to any Grantor. If the Administrative Agent sells any of the Collateral upon credit, the Grantor will be credited only with payments actually made by the purchaser and received by the Administrative Agent and applied to indebtedness of the purchaser. In the event the purchaser fails to pay for the Collateral, the Administrative Agent may resell the Collateral and the Grantor shall be credited with proceeds of the sale. To the extent permitted by applicable Law, each Grantor waives all claims, damages and demands it may acquire against any Secured Party arising out of the exercise by it of any rights hereunder.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507" w:name="page508"/>
    <w:bookmarkEnd w:id="507"/>
    <w:p>
      <w:pPr>
        <w:ind w:left="-20" w:right="80" w:firstLine="444"/>
        <w:spacing w:after="0" w:line="297" w:lineRule="auto"/>
        <w:tabs>
          <w:tab w:leader="none" w:pos="665" w:val="left"/>
        </w:tabs>
        <w:numPr>
          <w:ilvl w:val="0"/>
          <w:numId w:val="4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Disposition of any of the Grantor Intellectual Property, the goodwill of the business connected with and symbolized by any Trademarks subject to such Disposition shall be included, and the applicable Grantor shall supply the Administrative Agent or its designee with any documents and things embodying Grantor’s know-how and expertise relating to the manufacture, distribution, advertising and sale of products or the provision of services relating to any Grantor Intellectual Property subject to such Disposition, and such Grantor’s customer lists and other records and documents relating to such Grantor Intellectual Property and to the manufacture, distribution, advertising and sale of such products and services.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6.07. </w:t>
      </w:r>
      <w:r>
        <w:rPr>
          <w:rFonts w:ascii="Arial" w:cs="Arial" w:eastAsia="Arial" w:hAnsi="Arial"/>
          <w:sz w:val="18"/>
          <w:szCs w:val="18"/>
          <w:i w:val="1"/>
          <w:iCs w:val="1"/>
          <w:color w:val="auto"/>
        </w:rPr>
        <w:t>Registration Rights.</w:t>
      </w:r>
    </w:p>
    <w:p>
      <w:pPr>
        <w:spacing w:after="0" w:line="121" w:lineRule="exact"/>
        <w:rPr>
          <w:sz w:val="20"/>
          <w:szCs w:val="20"/>
          <w:color w:val="auto"/>
        </w:rPr>
      </w:pPr>
    </w:p>
    <w:p>
      <w:pPr>
        <w:ind w:left="-20" w:firstLine="444"/>
        <w:spacing w:after="0" w:line="287" w:lineRule="auto"/>
        <w:tabs>
          <w:tab w:leader="none" w:pos="66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the Administrative Agent shall determine to exercise its right to sell any or all of the Pledged Equity Interests or the Pledged Debt Securities pursuant to Section 6.06 hereof, and if in the opinion of the Administrative Agent it is necessary or advisable to have the Pledged Equity Interests or the Pledged Debt Securities,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Equity Interests or the Pledged Debt Securities,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Equity Interests or the Pledged Debt Securities,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60" w:lineRule="exact"/>
        <w:rPr>
          <w:rFonts w:ascii="Arial" w:cs="Arial" w:eastAsia="Arial" w:hAnsi="Arial"/>
          <w:sz w:val="16"/>
          <w:szCs w:val="16"/>
          <w:color w:val="auto"/>
        </w:rPr>
      </w:pPr>
    </w:p>
    <w:p>
      <w:pPr>
        <w:ind w:left="-20" w:right="20" w:firstLine="444"/>
        <w:spacing w:after="0" w:line="253" w:lineRule="auto"/>
        <w:tabs>
          <w:tab w:leader="none" w:pos="67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Each Grantor recognizes that the Administrative Agent may be unable to effect a public sale of any or all the Pledged Equity Interests or the Pledged Debt Securities,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Equity Interests or the Pledged Debt Securities for the period of time necessary to permit the Issuer thereof to register such securities for public sale under the Securities Act, or under applicable state securities laws, even if such Issuer would agree to do so.</w:t>
      </w:r>
    </w:p>
    <w:p>
      <w:pPr>
        <w:spacing w:after="0" w:line="89" w:lineRule="exact"/>
        <w:rPr>
          <w:rFonts w:ascii="Arial" w:cs="Arial" w:eastAsia="Arial" w:hAnsi="Arial"/>
          <w:sz w:val="18"/>
          <w:szCs w:val="18"/>
          <w:color w:val="auto"/>
        </w:rPr>
      </w:pPr>
    </w:p>
    <w:p>
      <w:pPr>
        <w:ind w:left="-20" w:right="20" w:firstLine="444"/>
        <w:spacing w:after="0" w:line="272" w:lineRule="auto"/>
        <w:tabs>
          <w:tab w:leader="none" w:pos="665" w:val="left"/>
        </w:tabs>
        <w:numPr>
          <w:ilvl w:val="0"/>
          <w:numId w:val="486"/>
        </w:numPr>
        <w:rPr>
          <w:rFonts w:ascii="Arial" w:cs="Arial" w:eastAsia="Arial" w:hAnsi="Arial"/>
          <w:sz w:val="17"/>
          <w:szCs w:val="17"/>
          <w:color w:val="auto"/>
        </w:rPr>
      </w:pPr>
      <w:r>
        <w:rPr>
          <w:rFonts w:ascii="Arial" w:cs="Arial" w:eastAsia="Arial" w:hAnsi="Arial"/>
          <w:sz w:val="17"/>
          <w:szCs w:val="17"/>
          <w:color w:val="auto"/>
        </w:rPr>
        <w:t>Each Grantor agrees to use its best efforts to do or cause to be done all such other reasonable acts as are necessary to make such sale or sales of all or any portion of the Pledged Equity Interests or the Pledged Debt Securities pursuant to this Section 6.07 valid and binding and in compliance with any and all other applicable requirements of Law. Each Grantor further agrees that a breach of any of the covenants contained in this Section 6.07 will cause irreparable injury to the Secured Parties, that the Secured Parties have no adequate remedy at law in respect of such breach and, as a consequence, that each and every covenant contained in this Section 6.07 shall be specifically enforceable against such Grantor, and such Grantor hereby waives and agrees not to assert any defenses against an action for specific performance of such covenants except for a defense that no Event of Default has occurred and is continuing under the Bridge Facility Agreement or a defense of payment.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60" w:top="273" w:right="439" w:bottom="1440" w:gutter="0" w:footer="0" w:header="0"/>
        </w:sectPr>
      </w:pPr>
    </w:p>
    <w:bookmarkStart w:id="508" w:name="page509"/>
    <w:bookmarkEnd w:id="508"/>
    <w:p>
      <w:pPr>
        <w:ind w:right="560" w:firstLine="44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6.08. </w:t>
      </w:r>
      <w:r>
        <w:rPr>
          <w:rFonts w:ascii="Arial" w:cs="Arial" w:eastAsia="Arial" w:hAnsi="Arial"/>
          <w:sz w:val="18"/>
          <w:szCs w:val="18"/>
          <w:i w:val="1"/>
          <w:iCs w:val="1"/>
          <w:color w:val="auto"/>
        </w:rPr>
        <w:t>Waiver; Deficiency</w:t>
      </w:r>
      <w:r>
        <w:rPr>
          <w:rFonts w:ascii="Arial" w:cs="Arial" w:eastAsia="Arial" w:hAnsi="Arial"/>
          <w:sz w:val="18"/>
          <w:szCs w:val="18"/>
          <w:color w:val="auto"/>
        </w:rPr>
        <w:t>. Each Grantor shall remain liable for any deficiency if the proceeds of any sale or other disposition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are insufficient to pay its Obligations and the fees and disbursements of any attorneys employed by any Secured Party to collect such deficiency.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6.09.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b w:val="1"/>
          <w:bCs w:val="1"/>
          <w:color w:val="auto"/>
        </w:rPr>
        <w:t xml:space="preserve">Section 6.10. </w:t>
      </w:r>
      <w:r>
        <w:rPr>
          <w:rFonts w:ascii="Arial" w:cs="Arial" w:eastAsia="Arial" w:hAnsi="Arial"/>
          <w:sz w:val="17"/>
          <w:szCs w:val="17"/>
          <w:i w:val="1"/>
          <w:iCs w:val="1"/>
          <w:color w:val="auto"/>
        </w:rPr>
        <w:t>IP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If an Event of Default shall occur and be continuing, for the purpose of enabling the Administrative Agent to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remedies under this Article 6 (including in order to take possession of, collect, receive, assemble, process, appropriate, remove, realize upon, sell, assign, license out, convey, transfer or grant options to purchase any Collateral), each Grantor hereby grants to the Administrative Agent, for the benefit of the Secured Parties an irrevocable, nonexclusive, and assignable license (exercisable without payment of royalty or other compensation to such Grantor), subject, in the case of Trademarks, to sufficient rights to quality control and inspection in favor of such Grantor to avoid the risk of invalidation of such Trademarks, to use, practice, sublicense, and otherwise exploit any and all Intellectual Property now owned or held or hereafter acquired or held by such Grantor (which license shall include access to all media in which any of the licensed items may be recorded or stored and to all software and programs used for the compilation or printout thereof).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i w:val="1"/>
          <w:iCs w:val="1"/>
          <w:color w:val="auto"/>
        </w:rPr>
        <w:t>Administrative Agent’s Appointment as Attorney-in-Fact, etc.</w:t>
      </w:r>
    </w:p>
    <w:p>
      <w:pPr>
        <w:spacing w:after="0" w:line="121" w:lineRule="exact"/>
        <w:rPr>
          <w:sz w:val="20"/>
          <w:szCs w:val="20"/>
          <w:color w:val="auto"/>
        </w:rPr>
      </w:pPr>
    </w:p>
    <w:p>
      <w:pPr>
        <w:ind w:firstLine="444"/>
        <w:spacing w:after="0" w:line="254" w:lineRule="auto"/>
        <w:tabs>
          <w:tab w:leader="none" w:pos="68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 if an Event of Default shall occur and be continuing (</w:t>
      </w:r>
      <w:r>
        <w:rPr>
          <w:rFonts w:ascii="Arial" w:cs="Arial" w:eastAsia="Arial" w:hAnsi="Arial"/>
          <w:sz w:val="18"/>
          <w:szCs w:val="18"/>
          <w:i w:val="1"/>
          <w:iCs w:val="1"/>
          <w:color w:val="auto"/>
        </w:rPr>
        <w:t>provided</w:t>
      </w:r>
      <w:r>
        <w:rPr>
          <w:rFonts w:ascii="Arial" w:cs="Arial" w:eastAsia="Arial" w:hAnsi="Arial"/>
          <w:sz w:val="18"/>
          <w:szCs w:val="18"/>
          <w:color w:val="auto"/>
        </w:rPr>
        <w:t>, that any of the following provisions that relate solely to the Collateral or are only applicable after the Loans are secured will be effective only upon the consummation of the Debt Assumption (if any)):</w:t>
      </w:r>
    </w:p>
    <w:p>
      <w:pPr>
        <w:spacing w:after="0" w:line="84" w:lineRule="exact"/>
        <w:rPr>
          <w:rFonts w:ascii="Arial" w:cs="Arial" w:eastAsia="Arial" w:hAnsi="Arial"/>
          <w:sz w:val="18"/>
          <w:szCs w:val="18"/>
          <w:color w:val="auto"/>
        </w:rPr>
      </w:pPr>
    </w:p>
    <w:p>
      <w:pPr>
        <w:ind w:left="440" w:firstLine="428"/>
        <w:spacing w:after="0" w:line="302" w:lineRule="auto"/>
        <w:tabs>
          <w:tab w:leader="none" w:pos="1078" w:val="left"/>
        </w:tabs>
        <w:numPr>
          <w:ilvl w:val="1"/>
          <w:numId w:val="487"/>
        </w:numPr>
        <w:rPr>
          <w:rFonts w:ascii="Arial" w:cs="Arial" w:eastAsia="Arial" w:hAnsi="Arial"/>
          <w:sz w:val="16"/>
          <w:szCs w:val="16"/>
          <w:color w:val="auto"/>
        </w:rPr>
      </w:pPr>
      <w:r>
        <w:rPr>
          <w:rFonts w:ascii="Arial" w:cs="Arial" w:eastAsia="Arial" w:hAnsi="Arial"/>
          <w:sz w:val="16"/>
          <w:szCs w:val="16"/>
          <w:color w:val="auto"/>
        </w:rPr>
        <w:t>in the name of such Grantor or its own name, or otherwise, take possession of and endorse and collect any checks, drafts, notes, acceptances or other instruments for the payment of moneys due under any Receivable or with respect to any other Collateral and file any claim or take any other action or proceeding in any court of law or equity or otherwise reasonably deemed appropriate by the Administrative Agent for the purpose of collecting any and all such moneys due under any Receivable or with respect to any other Collateral whenever payable;</w:t>
      </w:r>
    </w:p>
    <w:p>
      <w:pPr>
        <w:spacing w:after="0" w:line="46" w:lineRule="exact"/>
        <w:rPr>
          <w:rFonts w:ascii="Arial" w:cs="Arial" w:eastAsia="Arial" w:hAnsi="Arial"/>
          <w:sz w:val="16"/>
          <w:szCs w:val="16"/>
          <w:color w:val="auto"/>
        </w:rPr>
      </w:pPr>
    </w:p>
    <w:p>
      <w:pPr>
        <w:ind w:left="440" w:right="80" w:firstLine="428"/>
        <w:spacing w:after="0" w:line="264" w:lineRule="auto"/>
        <w:tabs>
          <w:tab w:leader="none" w:pos="1128"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in the case of any Intellectual Property, execute and deliver, and have recorded, any and all agreements, instruments, documents and papers as the Administrative Agent may reasonably request to evidence the Secured Parties’ security interest in such Intellectual Property and the goodwill and general intangibles of such Grantor relating thereto or represented thereby;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509" w:name="page510"/>
    <w:bookmarkEnd w:id="509"/>
    <w:p>
      <w:pPr>
        <w:ind w:left="440" w:right="160" w:firstLine="428"/>
        <w:spacing w:after="0" w:line="277" w:lineRule="auto"/>
        <w:tabs>
          <w:tab w:leader="none" w:pos="1178" w:val="left"/>
        </w:tabs>
        <w:numPr>
          <w:ilvl w:val="1"/>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62" w:lineRule="exact"/>
        <w:rPr>
          <w:rFonts w:ascii="Arial" w:cs="Arial" w:eastAsia="Arial" w:hAnsi="Arial"/>
          <w:sz w:val="18"/>
          <w:szCs w:val="18"/>
          <w:color w:val="auto"/>
        </w:rPr>
      </w:pPr>
    </w:p>
    <w:p>
      <w:pPr>
        <w:ind w:left="440" w:right="140" w:firstLine="428"/>
        <w:spacing w:after="0" w:line="277" w:lineRule="auto"/>
        <w:tabs>
          <w:tab w:leader="none" w:pos="1168" w:val="left"/>
        </w:tabs>
        <w:numPr>
          <w:ilvl w:val="1"/>
          <w:numId w:val="488"/>
        </w:numPr>
        <w:rPr>
          <w:rFonts w:ascii="Arial" w:cs="Arial" w:eastAsia="Arial" w:hAnsi="Arial"/>
          <w:sz w:val="18"/>
          <w:szCs w:val="18"/>
          <w:color w:val="auto"/>
        </w:rPr>
      </w:pPr>
      <w:r>
        <w:rPr>
          <w:rFonts w:ascii="Arial" w:cs="Arial" w:eastAsia="Arial" w:hAnsi="Arial"/>
          <w:sz w:val="18"/>
          <w:szCs w:val="18"/>
          <w:color w:val="auto"/>
        </w:rPr>
        <w:t>execute, in connection with any sale provided for in Sections 6.06 or 6.07 hereof, any endorsements, assignments or other instruments of conveyance or transfer with respect to the Collateral; and</w:t>
      </w:r>
    </w:p>
    <w:p>
      <w:pPr>
        <w:spacing w:after="0" w:line="62" w:lineRule="exact"/>
        <w:rPr>
          <w:rFonts w:ascii="Arial" w:cs="Arial" w:eastAsia="Arial" w:hAnsi="Arial"/>
          <w:sz w:val="18"/>
          <w:szCs w:val="18"/>
          <w:color w:val="auto"/>
        </w:rPr>
      </w:pPr>
    </w:p>
    <w:p>
      <w:pPr>
        <w:ind w:left="440" w:right="20" w:firstLine="428"/>
        <w:spacing w:after="0" w:line="288" w:lineRule="auto"/>
        <w:tabs>
          <w:tab w:leader="none" w:pos="1118" w:val="left"/>
        </w:tabs>
        <w:numPr>
          <w:ilvl w:val="1"/>
          <w:numId w:val="488"/>
        </w:numPr>
        <w:rPr>
          <w:rFonts w:ascii="Arial" w:cs="Arial" w:eastAsia="Arial" w:hAnsi="Arial"/>
          <w:sz w:val="16"/>
          <w:szCs w:val="16"/>
          <w:color w:val="auto"/>
        </w:rPr>
      </w:pPr>
      <w:r>
        <w:rPr>
          <w:rFonts w:ascii="Arial" w:cs="Arial" w:eastAsia="Arial" w:hAnsi="Arial"/>
          <w:sz w:val="16"/>
          <w:szCs w:val="16"/>
          <w:color w:val="auto"/>
        </w:rPr>
        <w:t>(1) direct any party liable for any payment under any of the Collateral to make payment of any and all moneys due or to become due thereunder directly to the Administrative Agent or as the Administrative Agent shall direct; (2) ask or demand for, collect, and receive payment of and receipt for, any and all moneys, claims and other amounts due or to become due at any time in respect of or arising out of any Collateral;</w:t>
      </w:r>
    </w:p>
    <w:p>
      <w:pPr>
        <w:ind w:left="440" w:firstLine="4"/>
        <w:spacing w:after="0" w:line="267" w:lineRule="auto"/>
        <w:tabs>
          <w:tab w:leader="none" w:pos="695" w:val="left"/>
        </w:tabs>
        <w:numPr>
          <w:ilvl w:val="0"/>
          <w:numId w:val="489"/>
        </w:numPr>
        <w:rPr>
          <w:rFonts w:ascii="Arial" w:cs="Arial" w:eastAsia="Arial" w:hAnsi="Arial"/>
          <w:sz w:val="17"/>
          <w:szCs w:val="17"/>
          <w:color w:val="auto"/>
        </w:rPr>
      </w:pPr>
      <w:r>
        <w:rPr>
          <w:rFonts w:ascii="Arial" w:cs="Arial" w:eastAsia="Arial" w:hAnsi="Arial"/>
          <w:sz w:val="17"/>
          <w:szCs w:val="17"/>
          <w:color w:val="auto"/>
        </w:rPr>
        <w:t>sign and endorse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Administrative Agent may deem appropriate; (7)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(8)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Secured Parties’ security interests therein and to effect the intent of this Agreement, all as fully and effectively as such Grantor might do.</w:t>
      </w:r>
    </w:p>
    <w:p>
      <w:pPr>
        <w:spacing w:after="0" w:line="18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Anything in this Section 7.01(a) to the contrary notwithstanding, the Administrative Agent agrees that, except as provided in Section 7.01(b) below, it will not exercise any rights under the power of attorney provided for in this Section 7.01(a) unless an Event of Default shall have occurred and be continuing.</w:t>
      </w:r>
    </w:p>
    <w:p>
      <w:pPr>
        <w:spacing w:after="0" w:line="73" w:lineRule="exact"/>
        <w:rPr>
          <w:sz w:val="20"/>
          <w:szCs w:val="20"/>
          <w:color w:val="auto"/>
        </w:rPr>
      </w:pPr>
    </w:p>
    <w:p>
      <w:pPr>
        <w:ind w:right="40" w:firstLine="444"/>
        <w:spacing w:after="0" w:line="259" w:lineRule="auto"/>
        <w:tabs>
          <w:tab w:leader="none" w:pos="69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Administrative Agent, at its option, but without any obligation so to do, may perform or comply, or otherwise cause performance or compliance, with such agreement; provided, however, that unless an Event of Default has occurred and is continuing or time is of the essence, the Administrative Agent shall not exercise this power without first making written demand on the Grantor and the Grantor failing to reasonably promptly comply therewith.</w:t>
      </w:r>
    </w:p>
    <w:p>
      <w:pPr>
        <w:spacing w:after="0" w:line="78" w:lineRule="exact"/>
        <w:rPr>
          <w:rFonts w:ascii="Arial" w:cs="Arial" w:eastAsia="Arial" w:hAnsi="Arial"/>
          <w:sz w:val="18"/>
          <w:szCs w:val="18"/>
          <w:color w:val="auto"/>
        </w:rPr>
      </w:pPr>
    </w:p>
    <w:p>
      <w:pPr>
        <w:ind w:right="40" w:firstLine="444"/>
        <w:spacing w:after="0" w:line="259" w:lineRule="auto"/>
        <w:tabs>
          <w:tab w:leader="none" w:pos="68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reasonable out-of-pocket expenses of the Administrative Agent incurred in connection with actions undertaken as provided in this Section 7.01, together with interest thereon at a rate per annum equal to the rate per annum at which interest would then be payable on past due Loans under the Bridge Facility Agreement, from the date of demand for payment by the Administrative Agent to the date reimbursed by the relevant Grantor, shall be payable by such Grantor to the Administrative Agent on demand.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510" w:name="page511"/>
    <w:bookmarkEnd w:id="510"/>
    <w:p>
      <w:pPr>
        <w:ind w:right="500" w:firstLine="444"/>
        <w:spacing w:after="0" w:line="308" w:lineRule="auto"/>
        <w:tabs>
          <w:tab w:leader="none" w:pos="696" w:val="left"/>
        </w:tabs>
        <w:numPr>
          <w:ilvl w:val="0"/>
          <w:numId w:val="4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Grantor hereby ratifies all that said attorneys shall lawfully do or cause to be done by virtue hereof. All powers, authorizations and agencies contained in this Agreement are coupled with an interest and are irrevocable until Discharge of the Obligations.</w:t>
      </w:r>
    </w:p>
    <w:p>
      <w:pPr>
        <w:spacing w:after="0" w:line="14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b w:val="1"/>
          <w:bCs w:val="1"/>
          <w:color w:val="auto"/>
        </w:rPr>
        <w:t xml:space="preserve">Section 7.02. </w:t>
      </w:r>
      <w:r>
        <w:rPr>
          <w:rFonts w:ascii="Arial" w:cs="Arial" w:eastAsia="Arial" w:hAnsi="Arial"/>
          <w:sz w:val="17"/>
          <w:szCs w:val="17"/>
          <w:i w:val="1"/>
          <w:iCs w:val="1"/>
          <w:color w:val="auto"/>
        </w:rPr>
        <w:t>Duty of Administrative Agent</w:t>
      </w:r>
      <w:r>
        <w:rPr>
          <w:rFonts w:ascii="Arial" w:cs="Arial" w:eastAsia="Arial" w:hAnsi="Arial"/>
          <w:sz w:val="17"/>
          <w:szCs w:val="17"/>
          <w:color w:val="auto"/>
        </w:rPr>
        <w:t>. The Administrative Agent’s sole duty with respect to the custody, safekeeping and physical</w:t>
      </w:r>
      <w:r>
        <w:rPr>
          <w:rFonts w:ascii="Arial" w:cs="Arial" w:eastAsia="Arial" w:hAnsi="Arial"/>
          <w:sz w:val="17"/>
          <w:szCs w:val="17"/>
          <w:b w:val="1"/>
          <w:bCs w:val="1"/>
          <w:color w:val="auto"/>
        </w:rPr>
        <w:t xml:space="preserve"> </w:t>
      </w:r>
      <w:r>
        <w:rPr>
          <w:rFonts w:ascii="Arial" w:cs="Arial" w:eastAsia="Arial" w:hAnsi="Arial"/>
          <w:sz w:val="17"/>
          <w:szCs w:val="17"/>
          <w:color w:val="auto"/>
        </w:rPr>
        <w:t>preservation of the Collateral in its possession, under Section 9-207 of the New York UCC or otherwise, shall be to deal with it in the same manner as the Administrative Agent deals with similar property for its own account. Neither the Administrative Agent, nor any other Secured Party nor any of their respective officers, directors, partners, employees, agents, attorneys and other advisors, attorneys-in-fact or affiliates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Secured Parties hereunder are solely to protect the Secured Parties’ interests in the Collateral and shall not impose any duty upon any Secured Party to exercise any such powers. The Secured Parties shall be accountable only for amounts that they actually receive as a result of the exercise of such powers, and neither they nor any of their officers, directors, partners, employees, agents, attorneys and other advisors, attorneys-in-fact or affiliates shall be responsible to any Grantor for any act or failure to act hereunder, except to the extent that any such act or failure to act is found by a final and nonappealable decision of a court of competent jurisdiction to have resulted solely and proximately from their own gross negligence or willful misconduct in breach of a duty owed to such Grantor.</w:t>
      </w:r>
    </w:p>
    <w:p>
      <w:pPr>
        <w:spacing w:after="0" w:line="18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Section 7.03. </w:t>
      </w:r>
      <w:r>
        <w:rPr>
          <w:rFonts w:ascii="Arial" w:cs="Arial" w:eastAsia="Arial" w:hAnsi="Arial"/>
          <w:sz w:val="17"/>
          <w:szCs w:val="17"/>
          <w:i w:val="1"/>
          <w:iCs w:val="1"/>
          <w:color w:val="auto"/>
        </w:rPr>
        <w:t>Execution of Financing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Grantor acknowledges that pursuant to Section 9-509(b) of the New York UCC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applicable Law, each Grantor authorizes the Administrative Agent to file or record financing or continuation statements, and amendments thereto, and other filing or recording documents or instruments with respect to the Collateral in such form and in such offices as the Administrative Agent reasonably determines appropriate to perfect or maintain the perfection of the security interests of the Administrative Agent on behalf of the Secured Parties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financing statement shall be filed or recorded prior to 5:00 p.m., New York City time, on the Debt Assumption Date, and then only if the Loans are outstanding at such time. Each Grantor agrees that such financing statements may describe the collateral in the same manner as described in the Security documents or as “all assets” or “all personal property” of the undersigned, whether now owned or hereafter existing or acquired by the undersigned or such other description as the Administrative Agent, in its sole judgment, determines is necessary or advisable. A photographic or other reproduction of this Agreement shall be sufficient as a financing statement or other filing or recording document or instrument for filing or recording in any jurisdiction.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i w:val="1"/>
          <w:iCs w:val="1"/>
          <w:color w:val="auto"/>
        </w:rPr>
        <w:t>Authority of Administrative Agent.</w:t>
      </w:r>
    </w:p>
    <w:p>
      <w:pPr>
        <w:spacing w:after="0" w:line="121" w:lineRule="exact"/>
        <w:rPr>
          <w:sz w:val="20"/>
          <w:szCs w:val="20"/>
          <w:color w:val="auto"/>
        </w:rPr>
      </w:pPr>
    </w:p>
    <w:p>
      <w:pPr>
        <w:ind w:right="180" w:firstLine="444"/>
        <w:spacing w:after="0" w:line="255" w:lineRule="auto"/>
        <w:tabs>
          <w:tab w:leader="none" w:pos="68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 Secured Parties, be governed by the Bridge Facility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3" w:right="459" w:bottom="1440" w:gutter="0" w:footer="0" w:header="0"/>
        </w:sectPr>
      </w:pPr>
    </w:p>
    <w:bookmarkStart w:id="511" w:name="page512"/>
    <w:bookmarkEnd w:id="511"/>
    <w:p>
      <w:pPr>
        <w:ind w:right="20" w:firstLine="444"/>
        <w:spacing w:after="0" w:line="254" w:lineRule="auto"/>
        <w:tabs>
          <w:tab w:leader="none" w:pos="696" w:val="left"/>
        </w:tabs>
        <w:numPr>
          <w:ilvl w:val="0"/>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has been appointed to act as Administrative Agent hereunder by the Lenders and, by their acceptance of the benefits hereof, the other Secured Parties. The Administrative Agent shall be obligated, and shall have the right hereunder, to make demands, to give notices, to exercise or refrain from exercising any rights, and to take or refrain from taking any action (including the release or substitution of Collateral), solely in accordance with this Agreement and the Bridge Facility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after Discharge of the Obligations has occurred, exercise, or refrain from exercising, any remedies provided for herein and otherwise act in accordance with the instructions of the holders of a majority of the sum of (x) the aggregate settlement amount (exclusive of expenses and similar payments but including any early termination payments then due) under all Secured Hedge Agreements and (y) all amounts payable under Secured Cash Management Agreements (exclusive of expenses and similar payments).</w:t>
      </w:r>
    </w:p>
    <w:p>
      <w:pPr>
        <w:spacing w:after="0" w:line="188"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b w:val="1"/>
          <w:bCs w:val="1"/>
          <w:color w:val="auto"/>
        </w:rPr>
        <w:t xml:space="preserve">Section 7.05. </w:t>
      </w:r>
      <w:r>
        <w:rPr>
          <w:rFonts w:ascii="Arial" w:cs="Arial" w:eastAsia="Arial" w:hAnsi="Arial"/>
          <w:sz w:val="18"/>
          <w:szCs w:val="18"/>
          <w:i w:val="1"/>
          <w:iCs w:val="1"/>
          <w:color w:val="auto"/>
        </w:rPr>
        <w:t>Appointment of Co-Administrative Agents</w:t>
      </w:r>
      <w:r>
        <w:rPr>
          <w:rFonts w:ascii="Arial" w:cs="Arial" w:eastAsia="Arial" w:hAnsi="Arial"/>
          <w:sz w:val="18"/>
          <w:szCs w:val="18"/>
          <w:color w:val="auto"/>
        </w:rPr>
        <w:t>. At any time or from time to time, in order to comply with any requirement of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may appoint another bank or trust company or one of more other persons, either to act as co-agent or agents on behalf of the Secured Parties with such power and authority as may be necessary for the effectual operation of the provisions hereof and which may be specified in the instrument of appointment (which may, in the discretion of the Administrative Agent, include provisions for indemnification and similar protections of such co-agent or separate agent).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07"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i w:val="1"/>
          <w:iCs w:val="1"/>
          <w:color w:val="auto"/>
        </w:rPr>
        <w:t>Amendments in Writing; Amendments to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terms or provisions of this Agreement may be waived,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supplemented or otherwise modified except in accordance with </w:t>
      </w:r>
      <w:r>
        <w:rPr>
          <w:rFonts w:ascii="Arial" w:cs="Arial" w:eastAsia="Arial" w:hAnsi="Arial"/>
          <w:sz w:val="17"/>
          <w:szCs w:val="17"/>
          <w:u w:val="single" w:color="auto"/>
          <w:color w:val="auto"/>
        </w:rPr>
        <w:t>Section 11.01 of the Bridge Facility Agreement</w:t>
      </w:r>
      <w:r>
        <w:rPr>
          <w:rFonts w:ascii="Arial" w:cs="Arial" w:eastAsia="Arial" w:hAnsi="Arial"/>
          <w:sz w:val="17"/>
          <w:szCs w:val="17"/>
          <w:color w:val="auto"/>
        </w:rPr>
        <w:t>. Each of the Schedules hereto may be amended or supplemented by any Grantor at any time by providing written notice of such amendment or supplement to the Administrative Agent, and in such case such schedule shall be deemed to be amended and supplemented as of the date of such written notice.</w:t>
      </w:r>
    </w:p>
    <w:p>
      <w:pPr>
        <w:spacing w:after="0" w:line="16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i w:val="1"/>
          <w:iCs w:val="1"/>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and demands to or upon the Administrative Agent or any Grantor hereunder shall be effected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manner provided for in </w:t>
      </w:r>
      <w:r>
        <w:rPr>
          <w:rFonts w:ascii="Arial" w:cs="Arial" w:eastAsia="Arial" w:hAnsi="Arial"/>
          <w:sz w:val="18"/>
          <w:szCs w:val="18"/>
          <w:u w:val="single" w:color="auto"/>
          <w:color w:val="auto"/>
        </w:rPr>
        <w:t>Section 11.02 of the Bridge Facility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Guarantor shall be addressed to such Guarantor at its notice address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updated from time to time by any Grantor by providing notice to Administrative Agent in accordance with </w:t>
      </w:r>
      <w:r>
        <w:rPr>
          <w:rFonts w:ascii="Arial" w:cs="Arial" w:eastAsia="Arial" w:hAnsi="Arial"/>
          <w:sz w:val="18"/>
          <w:szCs w:val="18"/>
          <w:u w:val="single" w:color="auto"/>
          <w:color w:val="auto"/>
        </w:rPr>
        <w:t>Section 11.02 of the Bridge Facility Agreement</w:t>
      </w:r>
      <w:r>
        <w:rPr>
          <w:rFonts w:ascii="Arial" w:cs="Arial" w:eastAsia="Arial" w:hAnsi="Arial"/>
          <w:sz w:val="18"/>
          <w:szCs w:val="18"/>
          <w:color w:val="auto"/>
        </w:rPr>
        <w:t>.</w:t>
      </w:r>
    </w:p>
    <w:p>
      <w:pPr>
        <w:spacing w:after="0" w:line="180"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b w:val="1"/>
          <w:bCs w:val="1"/>
          <w:color w:val="auto"/>
        </w:rPr>
        <w:t xml:space="preserve">Section 8.03. </w:t>
      </w:r>
      <w:r>
        <w:rPr>
          <w:rFonts w:ascii="Arial" w:cs="Arial" w:eastAsia="Arial" w:hAnsi="Arial"/>
          <w:sz w:val="16"/>
          <w:szCs w:val="16"/>
          <w:i w:val="1"/>
          <w:iCs w:val="1"/>
          <w:color w:val="auto"/>
        </w:rPr>
        <w:t>No Waiver by Course of Conduct; Cumulative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No Secured Party shall by any act (except by a written instrument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Section 8.01 hereof), delay, indulgence, omission or otherwise be deemed to have waived any right or remedy hereunder or to have acquiesced in any Default or Event of Default. No failure to exercise, nor any delay in exercising, on the part of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any Secured Party of any right or remedy hereunder on any one occasion shall not be construed as a bar to any right or remedy which such Secured Party would otherwise have on any future occasion. The rights and remedies herein provided are cumulative, may be exercised singly or concurrently and are not exclusive of any other rights or remedies provided by law.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8.04. </w:t>
      </w:r>
      <w:r>
        <w:rPr>
          <w:rFonts w:ascii="Arial" w:cs="Arial" w:eastAsia="Arial" w:hAnsi="Arial"/>
          <w:sz w:val="18"/>
          <w:szCs w:val="18"/>
          <w:i w:val="1"/>
          <w:iCs w:val="1"/>
          <w:color w:val="auto"/>
        </w:rPr>
        <w:t>Enforcement Expenses; Indemnification.</w:t>
      </w:r>
    </w:p>
    <w:p>
      <w:pPr>
        <w:spacing w:after="0" w:line="121" w:lineRule="exact"/>
        <w:rPr>
          <w:sz w:val="20"/>
          <w:szCs w:val="20"/>
          <w:color w:val="auto"/>
        </w:rPr>
      </w:pPr>
    </w:p>
    <w:p>
      <w:pPr>
        <w:ind w:right="20" w:firstLine="444"/>
        <w:spacing w:after="0" w:line="259" w:lineRule="auto"/>
        <w:tabs>
          <w:tab w:leader="none" w:pos="68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Grantor agrees to pay or reimburse each Secured Party for all its reasonable out-of-pocket costs and expenses incurred in collecting against such Grantor under the guarantee contained in Article 2 or otherwise enforcing or preserving any rights under this Agreement and the other Loan Documents to which such Grantor is a party, including, without limitation, the reasonable fees and disbursements of counsel to each Secured Party and of counsel to the Administrative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3" w:right="439" w:bottom="1440" w:gutter="0" w:footer="0" w:header="0"/>
        </w:sectPr>
      </w:pPr>
    </w:p>
    <w:bookmarkStart w:id="512" w:name="page513"/>
    <w:bookmarkEnd w:id="512"/>
    <w:p>
      <w:pPr>
        <w:ind w:right="40" w:firstLine="444"/>
        <w:spacing w:after="0" w:line="286" w:lineRule="auto"/>
        <w:tabs>
          <w:tab w:leader="none" w:pos="696" w:val="left"/>
        </w:tabs>
        <w:numPr>
          <w:ilvl w:val="0"/>
          <w:numId w:val="4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Grantor agrees to pay, and to save the Secured Parties harmless from, any and all liabilities with respect to, or resulting from any delay in paying, any and all stamp, excise, sales or other taxes (excluding any taxes based on income) which may be payable or determined to be payable with respect to any of the Collateral or in connection with any of the transactions contemplated by this Agreement.</w:t>
      </w:r>
    </w:p>
    <w:p>
      <w:pPr>
        <w:spacing w:after="0" w:line="57" w:lineRule="exact"/>
        <w:rPr>
          <w:rFonts w:ascii="Arial" w:cs="Arial" w:eastAsia="Arial" w:hAnsi="Arial"/>
          <w:sz w:val="17"/>
          <w:szCs w:val="17"/>
          <w:color w:val="auto"/>
        </w:rPr>
      </w:pPr>
    </w:p>
    <w:p>
      <w:pPr>
        <w:ind w:firstLine="444"/>
        <w:spacing w:after="0" w:line="259" w:lineRule="auto"/>
        <w:tabs>
          <w:tab w:leader="none" w:pos="68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Each Grantor agrees to pay, and to save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w:t>
      </w:r>
      <w:r>
        <w:rPr>
          <w:rFonts w:ascii="Arial" w:cs="Arial" w:eastAsia="Arial" w:hAnsi="Arial"/>
          <w:sz w:val="18"/>
          <w:szCs w:val="18"/>
          <w:u w:val="single" w:color="auto"/>
          <w:color w:val="auto"/>
        </w:rPr>
        <w:t>Section 11.04 of the Bridge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agreements in this Section shall survive repayment of the Obligations and all other amounts payable under the Bridge Facility Agreement and the other Loan Documents.</w:t>
      </w:r>
    </w:p>
    <w:p>
      <w:pPr>
        <w:spacing w:after="0" w:line="62" w:lineRule="exact"/>
        <w:rPr>
          <w:rFonts w:ascii="Arial" w:cs="Arial" w:eastAsia="Arial" w:hAnsi="Arial"/>
          <w:sz w:val="18"/>
          <w:szCs w:val="18"/>
          <w:color w:val="auto"/>
        </w:rPr>
      </w:pPr>
    </w:p>
    <w:p>
      <w:pPr>
        <w:ind w:right="120" w:firstLine="444"/>
        <w:spacing w:after="0" w:line="277" w:lineRule="auto"/>
        <w:tabs>
          <w:tab w:leader="none" w:pos="68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Each Grantor agrees that the provisions of </w:t>
      </w:r>
      <w:r>
        <w:rPr>
          <w:rFonts w:ascii="Arial" w:cs="Arial" w:eastAsia="Arial" w:hAnsi="Arial"/>
          <w:sz w:val="18"/>
          <w:szCs w:val="18"/>
          <w:u w:val="single" w:color="auto"/>
          <w:color w:val="auto"/>
        </w:rPr>
        <w:t>Section 3.01 of the Bridge Facility Agreement</w:t>
      </w:r>
      <w:r>
        <w:rPr>
          <w:rFonts w:ascii="Arial" w:cs="Arial" w:eastAsia="Arial" w:hAnsi="Arial"/>
          <w:sz w:val="18"/>
          <w:szCs w:val="18"/>
          <w:color w:val="auto"/>
        </w:rPr>
        <w:t xml:space="preserve"> are hereby incorporated herein by reference,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and each Secured Party shall be entitled to rely on each of them as if they were fully set forth herein.</w:t>
      </w:r>
    </w:p>
    <w:p>
      <w:pPr>
        <w:spacing w:after="0" w:line="166" w:lineRule="exact"/>
        <w:rPr>
          <w:sz w:val="20"/>
          <w:szCs w:val="20"/>
          <w:color w:val="auto"/>
        </w:rPr>
      </w:pPr>
    </w:p>
    <w:p>
      <w:pPr>
        <w:ind w:right="120" w:firstLine="441"/>
        <w:spacing w:after="0" w:line="277" w:lineRule="auto"/>
        <w:rPr>
          <w:sz w:val="20"/>
          <w:szCs w:val="20"/>
          <w:color w:val="auto"/>
        </w:rPr>
      </w:pPr>
      <w:r>
        <w:rPr>
          <w:rFonts w:ascii="Arial" w:cs="Arial" w:eastAsia="Arial" w:hAnsi="Arial"/>
          <w:sz w:val="17"/>
          <w:szCs w:val="17"/>
          <w:b w:val="1"/>
          <w:bCs w:val="1"/>
          <w:color w:val="auto"/>
        </w:rPr>
        <w:t xml:space="preserve">Section 8.05. </w:t>
      </w:r>
      <w:r>
        <w:rPr>
          <w:rFonts w:ascii="Arial" w:cs="Arial" w:eastAsia="Arial" w:hAnsi="Arial"/>
          <w:sz w:val="17"/>
          <w:szCs w:val="17"/>
          <w:i w:val="1"/>
          <w:iCs w:val="1"/>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the successors and assigns of each Grantor and shall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benefit of the Secured Parties and their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pursuant to the Debt Assumption (which, for the avoidance of doubt, is permitted subject to </w:t>
      </w:r>
      <w:r>
        <w:rPr>
          <w:rFonts w:ascii="Arial" w:cs="Arial" w:eastAsia="Arial" w:hAnsi="Arial"/>
          <w:sz w:val="17"/>
          <w:szCs w:val="17"/>
          <w:u w:val="single" w:color="auto"/>
          <w:color w:val="auto"/>
        </w:rPr>
        <w:t>Section 4.02 of the Bridge Facility Agreement</w:t>
      </w:r>
      <w:r>
        <w:rPr>
          <w:rFonts w:ascii="Arial" w:cs="Arial" w:eastAsia="Arial" w:hAnsi="Arial"/>
          <w:sz w:val="17"/>
          <w:szCs w:val="17"/>
          <w:color w:val="auto"/>
        </w:rPr>
        <w:t xml:space="preserve"> without the consent of the Administrative Agent), no Grantor may assign, transfer or delegate any of its rights or obligations under this Agreement without the prior written consent of the Administrative Agent and any such assignment, transfer or delegation without such consent shall be null and void.</w:t>
      </w:r>
    </w:p>
    <w:p>
      <w:pPr>
        <w:spacing w:after="0" w:line="16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b w:val="1"/>
          <w:bCs w:val="1"/>
          <w:color w:val="auto"/>
        </w:rPr>
        <w:t xml:space="preserve">Section 8.06. </w:t>
      </w:r>
      <w:r>
        <w:rPr>
          <w:rFonts w:ascii="Arial" w:cs="Arial" w:eastAsia="Arial" w:hAnsi="Arial"/>
          <w:sz w:val="16"/>
          <w:szCs w:val="16"/>
          <w:i w:val="1"/>
          <w:iCs w:val="1"/>
          <w:color w:val="auto"/>
        </w:rPr>
        <w:t>Set-Off</w:t>
      </w:r>
      <w:r>
        <w:rPr>
          <w:rFonts w:ascii="Arial" w:cs="Arial" w:eastAsia="Arial" w:hAnsi="Arial"/>
          <w:sz w:val="16"/>
          <w:szCs w:val="16"/>
          <w:color w:val="auto"/>
        </w:rPr>
        <w:t>. Each Grantor hereby irrevocably authorizes each Secured Party (other than any Hedge Bank or Cash Management Bank)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party to or for the credit or the account of such Grantor, or any part thereof in such amounts as such party may elect, against and on account of the obligations and liabilities of such Grantor to such party hereunder and claims of every nature and description of such party against such Grantor, in any currency, whether arising hereunder, under the Bridge Facility Agreement, any other Loan Document or otherwise, as such party may elect, whether or not any party has made any demand for payment and although such obligations, liabilities and claims may be contingent or unmatured. Each Secured Party (other than any Hedge Bank or Cash Management Bank) shall notify such Grantor promptly of any such set-off and the application made by such party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each Secured Party (other than any Hedge Bank or Cash Management Bank) under this Section are in addition to other rights and remedies (including, without limitation, other rights of set-off) which such party may have.</w:t>
      </w:r>
    </w:p>
    <w:p>
      <w:pPr>
        <w:spacing w:after="0" w:line="169" w:lineRule="exact"/>
        <w:rPr>
          <w:sz w:val="20"/>
          <w:szCs w:val="20"/>
          <w:color w:val="auto"/>
        </w:rPr>
      </w:pPr>
    </w:p>
    <w:p>
      <w:pPr>
        <w:ind w:right="300" w:firstLine="441"/>
        <w:spacing w:after="0" w:line="266" w:lineRule="auto"/>
        <w:rPr>
          <w:sz w:val="20"/>
          <w:szCs w:val="20"/>
          <w:color w:val="auto"/>
        </w:rPr>
      </w:pPr>
      <w:r>
        <w:rPr>
          <w:rFonts w:ascii="Arial" w:cs="Arial" w:eastAsia="Arial" w:hAnsi="Arial"/>
          <w:sz w:val="18"/>
          <w:szCs w:val="18"/>
          <w:b w:val="1"/>
          <w:bCs w:val="1"/>
          <w:color w:val="auto"/>
        </w:rPr>
        <w:t xml:space="preserve">Section 8.07. </w:t>
      </w:r>
      <w:r>
        <w:rPr>
          <w:rFonts w:ascii="Arial" w:cs="Arial" w:eastAsia="Arial" w:hAnsi="Arial"/>
          <w:sz w:val="18"/>
          <w:szCs w:val="18"/>
          <w:i w:val="1"/>
          <w:iCs w:val="1"/>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one or more of the parties to this Agreement on any number of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(including by facsimile or other electronic imaging means), and all of said counterparts taken together shall be deemed to constitute one and the same instrument.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3" w:right="439" w:bottom="1440" w:gutter="0" w:footer="0" w:header="0"/>
        </w:sectPr>
      </w:pPr>
    </w:p>
    <w:bookmarkStart w:id="513" w:name="page514"/>
    <w:bookmarkEnd w:id="513"/>
    <w:p>
      <w:pPr>
        <w:ind w:right="80" w:firstLine="441"/>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8.08. </w:t>
      </w:r>
      <w:r>
        <w:rPr>
          <w:rFonts w:ascii="Arial" w:cs="Arial" w:eastAsia="Arial" w:hAnsi="Arial"/>
          <w:sz w:val="17"/>
          <w:szCs w:val="17"/>
          <w:i w:val="1"/>
          <w:iCs w:val="1"/>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of this Agreement which is prohibited or unenforceable in any jurisdiction shall, as to such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 xml:space="preserve">Section 8.09. </w:t>
      </w:r>
      <w:r>
        <w:rPr>
          <w:rFonts w:ascii="Arial" w:cs="Arial" w:eastAsia="Arial" w:hAnsi="Arial"/>
          <w:sz w:val="18"/>
          <w:szCs w:val="18"/>
          <w:i w:val="1"/>
          <w:iCs w:val="1"/>
          <w:color w:val="auto"/>
        </w:rPr>
        <w:t>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headings used in this Agreement are for convenience of reference only and are not to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hereof or be taken into consideration in the interpretation hereof.</w:t>
      </w:r>
    </w:p>
    <w:p>
      <w:pPr>
        <w:spacing w:after="0" w:line="16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Section 8.10. </w:t>
      </w:r>
      <w:r>
        <w:rPr>
          <w:rFonts w:ascii="Arial" w:cs="Arial" w:eastAsia="Arial" w:hAnsi="Arial"/>
          <w:sz w:val="17"/>
          <w:szCs w:val="17"/>
          <w:i w:val="1"/>
          <w:iCs w:val="1"/>
          <w:color w:val="auto"/>
        </w:rPr>
        <w:t>Integration/Conflict.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other Loan Documents represent the agreement of the Grantors,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the other Secured Parties with respect to the subject matter hereof and thereof, and there are no promises, undertakings, representations or warranties by any Secured Party relative to subject matter hereof and thereof not expressly set forth or referred to herein or in the other Loan Documents. In the case of any Collateral “located” outside of the United States (including any Equity Interests of an Issuer organized under a jurisdiction other than the United States or any state or other locality thereof), in the event of any conflict or inconsistency between the provisions of this Agreement and the provisions of a Foreign Security Document which cannot be resolved by both provisions being complied with, the provisions contained in the Foreign Security Document shall govern to the extent of such conflict.</w:t>
      </w:r>
    </w:p>
    <w:p>
      <w:pPr>
        <w:spacing w:after="0" w:line="172" w:lineRule="exact"/>
        <w:rPr>
          <w:sz w:val="20"/>
          <w:szCs w:val="20"/>
          <w:color w:val="auto"/>
        </w:rPr>
      </w:pPr>
    </w:p>
    <w:p>
      <w:pPr>
        <w:ind w:right="240" w:firstLine="441"/>
        <w:spacing w:after="0" w:line="258"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i w:val="1"/>
          <w:iCs w:val="1"/>
          <w:color w:val="auto"/>
        </w:rPr>
        <w:t>GOVERNING LAW</w:t>
      </w:r>
      <w:r>
        <w:rPr>
          <w:rFonts w:ascii="Arial" w:cs="Arial" w:eastAsia="Arial" w:hAnsi="Arial"/>
          <w:sz w:val="18"/>
          <w:szCs w:val="18"/>
          <w:b w:val="1"/>
          <w:bCs w:val="1"/>
          <w:color w:val="auto"/>
        </w:rPr>
        <w:t>. THIS AGREEMENT AND ALL CLAIMS OR CAUSES OF ACTION (WHETHER IN CONTRACT, TORT OR OTHERWISE) THAT MAY BE BASED UPON, ARISE OUT OF OR RELATE IN ANY WAY HERETO OR THE NEGOTIATION, EXECUTION OR PERFORMANCE THEREOF OR THE TRANSACTIONS CONTEMPLATED HEREBY, UNLESS OTHERWISE EXPRESSLY SET FORTH THEREIN, SHALL BE GOVERNED BY, AND CONSTRUED IN ACCORDANCE WITH, THE LAW OF THE STATE OF NEW YORK.</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i w:val="1"/>
          <w:iCs w:val="1"/>
          <w:color w:val="auto"/>
        </w:rPr>
        <w:t>Submission to Jurisdiction;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Grantor hereby irrevocably and unconditionally:</w:t>
      </w:r>
    </w:p>
    <w:p>
      <w:pPr>
        <w:spacing w:after="0" w:line="121" w:lineRule="exact"/>
        <w:rPr>
          <w:sz w:val="20"/>
          <w:szCs w:val="20"/>
          <w:color w:val="auto"/>
        </w:rPr>
      </w:pPr>
    </w:p>
    <w:p>
      <w:pPr>
        <w:ind w:right="160" w:firstLine="444"/>
        <w:spacing w:after="0" w:line="312" w:lineRule="auto"/>
        <w:tabs>
          <w:tab w:leader="none" w:pos="685" w:val="left"/>
        </w:tabs>
        <w:numPr>
          <w:ilvl w:val="0"/>
          <w:numId w:val="496"/>
        </w:numPr>
        <w:rPr>
          <w:rFonts w:ascii="Arial" w:cs="Arial" w:eastAsia="Arial" w:hAnsi="Arial"/>
          <w:sz w:val="16"/>
          <w:szCs w:val="16"/>
          <w:color w:val="auto"/>
        </w:rPr>
      </w:pPr>
      <w:r>
        <w:rPr>
          <w:rFonts w:ascii="Arial" w:cs="Arial" w:eastAsia="Arial" w:hAnsi="Arial"/>
          <w:sz w:val="16"/>
          <w:szCs w:val="16"/>
          <w:color w:val="auto"/>
        </w:rPr>
        <w:t>submits for itself and its property in any action or proceeding arising out of or relating to this Agreement or any other Loan Document, or for recognition and enforcement of any judgment in respect thereof, to the exclusive jurisdiction of the Courts of the State of New York sitting in the borough of Manhattan, and of the United States District Court of the Southern District of New York, and any appellate court from any thereof;</w:t>
      </w:r>
    </w:p>
    <w:p>
      <w:pPr>
        <w:spacing w:after="0" w:line="38" w:lineRule="exact"/>
        <w:rPr>
          <w:rFonts w:ascii="Arial" w:cs="Arial" w:eastAsia="Arial" w:hAnsi="Arial"/>
          <w:sz w:val="16"/>
          <w:szCs w:val="16"/>
          <w:color w:val="auto"/>
        </w:rPr>
      </w:pPr>
    </w:p>
    <w:p>
      <w:pPr>
        <w:ind w:right="140" w:firstLine="444"/>
        <w:spacing w:after="0" w:line="277" w:lineRule="auto"/>
        <w:tabs>
          <w:tab w:leader="none" w:pos="69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agrees that all claims in respect of any such action or proceeding shall be heard and determined in such New York state court or, to the fullest extent permitted by applicable Law, in such federal court;</w:t>
      </w:r>
    </w:p>
    <w:p>
      <w:pPr>
        <w:spacing w:after="0" w:line="62" w:lineRule="exact"/>
        <w:rPr>
          <w:rFonts w:ascii="Arial" w:cs="Arial" w:eastAsia="Arial" w:hAnsi="Arial"/>
          <w:sz w:val="18"/>
          <w:szCs w:val="18"/>
          <w:color w:val="auto"/>
        </w:rPr>
      </w:pPr>
    </w:p>
    <w:p>
      <w:pPr>
        <w:jc w:val="both"/>
        <w:ind w:right="180" w:firstLine="444"/>
        <w:spacing w:after="0" w:line="259" w:lineRule="auto"/>
        <w:tabs>
          <w:tab w:leader="none" w:pos="68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agrees that a final judgment in any such action or proceeding shall be conclusive and may be enforced in other jurisdictions by suit on the judgment or in any other manner provided by Law and that nothing in this agreement or in any other Loan Document shall affect any right that any Secured Party may otherwise have to bring any action or proceeding relating to this Agreement or any other Loan Document against the Grantor or its Properties in the courts of any jurisdiction;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514" w:name="page515"/>
    <w:bookmarkEnd w:id="514"/>
    <w:p>
      <w:pPr>
        <w:ind w:right="140" w:firstLine="444"/>
        <w:spacing w:after="0" w:line="259" w:lineRule="auto"/>
        <w:tabs>
          <w:tab w:leader="none" w:pos="696"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waives, to the fullest extent permitted by applicable Law, any objection that it may now or hereafter have to the laying of venue of any action or proceeding arising out of or relating to this Agreement or any other Loan Document in any court referred to in paragraph (a) of this Section (and irrevocably waives to the fullest extent permitted by applicable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right="280" w:firstLine="444"/>
        <w:spacing w:after="0" w:line="308" w:lineRule="auto"/>
        <w:tabs>
          <w:tab w:leader="none" w:pos="685" w:val="left"/>
        </w:tabs>
        <w:numPr>
          <w:ilvl w:val="0"/>
          <w:numId w:val="497"/>
        </w:numPr>
        <w:rPr>
          <w:rFonts w:ascii="Arial" w:cs="Arial" w:eastAsia="Arial" w:hAnsi="Arial"/>
          <w:sz w:val="17"/>
          <w:szCs w:val="17"/>
          <w:color w:val="auto"/>
        </w:rPr>
      </w:pPr>
      <w:r>
        <w:rPr>
          <w:rFonts w:ascii="Arial" w:cs="Arial" w:eastAsia="Arial" w:hAnsi="Arial"/>
          <w:sz w:val="17"/>
          <w:szCs w:val="17"/>
          <w:color w:val="auto"/>
        </w:rPr>
        <w:t xml:space="preserve">consents to service of process in the manner provided for in </w:t>
      </w:r>
      <w:r>
        <w:rPr>
          <w:rFonts w:ascii="Arial" w:cs="Arial" w:eastAsia="Arial" w:hAnsi="Arial"/>
          <w:sz w:val="17"/>
          <w:szCs w:val="17"/>
          <w:u w:val="single" w:color="auto"/>
          <w:color w:val="auto"/>
        </w:rPr>
        <w:t>Section 11.02 of the Bridge Facility Agreement</w:t>
      </w:r>
      <w:r>
        <w:rPr>
          <w:rFonts w:ascii="Arial" w:cs="Arial" w:eastAsia="Arial" w:hAnsi="Arial"/>
          <w:sz w:val="17"/>
          <w:szCs w:val="17"/>
          <w:color w:val="auto"/>
        </w:rPr>
        <w:t xml:space="preserve"> (and agrees that nothing in this Agreement will affect the right of any party hereto to serve process in any other manner permitted by applicable Law); and</w:t>
      </w:r>
    </w:p>
    <w:p>
      <w:pPr>
        <w:spacing w:after="0" w:line="38" w:lineRule="exact"/>
        <w:rPr>
          <w:rFonts w:ascii="Arial" w:cs="Arial" w:eastAsia="Arial" w:hAnsi="Arial"/>
          <w:sz w:val="17"/>
          <w:szCs w:val="17"/>
          <w:color w:val="auto"/>
        </w:rPr>
      </w:pPr>
    </w:p>
    <w:p>
      <w:pPr>
        <w:ind w:right="20" w:firstLine="444"/>
        <w:spacing w:after="0" w:line="277" w:lineRule="auto"/>
        <w:tabs>
          <w:tab w:leader="none" w:pos="665"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8.13. </w:t>
      </w:r>
      <w:r>
        <w:rPr>
          <w:rFonts w:ascii="Arial" w:cs="Arial" w:eastAsia="Arial" w:hAnsi="Arial"/>
          <w:sz w:val="18"/>
          <w:szCs w:val="18"/>
          <w:i w:val="1"/>
          <w:iCs w:val="1"/>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Grantor hereby acknowledges that: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it has been advised by counsel in the negotiation, execution and delivery of this Agreement and the other Loan Documents to which it is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103" w:lineRule="exact"/>
        <w:rPr>
          <w:sz w:val="20"/>
          <w:szCs w:val="20"/>
          <w:color w:val="auto"/>
        </w:rPr>
      </w:pPr>
    </w:p>
    <w:p>
      <w:pPr>
        <w:jc w:val="both"/>
        <w:ind w:right="160" w:firstLine="444"/>
        <w:spacing w:after="0" w:line="264" w:lineRule="auto"/>
        <w:tabs>
          <w:tab w:leader="none" w:pos="69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 Secured Party has any fiduciary relationship with or duty to any Grantor arising out of or in connection with this Agreement or any of the other Loan Documents, and the relationship between the Grantors, on the one hand, and the Secured Parties, on the other hand, in connection herewith or therewith is solely that of debtor and creditor; and</w:t>
      </w:r>
    </w:p>
    <w:p>
      <w:pPr>
        <w:spacing w:after="0" w:line="73" w:lineRule="exact"/>
        <w:rPr>
          <w:rFonts w:ascii="Arial" w:cs="Arial" w:eastAsia="Arial" w:hAnsi="Arial"/>
          <w:sz w:val="18"/>
          <w:szCs w:val="18"/>
          <w:color w:val="auto"/>
        </w:rPr>
      </w:pPr>
    </w:p>
    <w:p>
      <w:pPr>
        <w:ind w:firstLine="444"/>
        <w:spacing w:after="0" w:line="277" w:lineRule="auto"/>
        <w:tabs>
          <w:tab w:leader="none" w:pos="68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Secured Parties or among the Grantors and the Secured Parties.</w:t>
      </w:r>
    </w:p>
    <w:p>
      <w:pPr>
        <w:spacing w:after="0" w:line="16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b w:val="1"/>
          <w:bCs w:val="1"/>
          <w:color w:val="auto"/>
        </w:rPr>
        <w:t xml:space="preserve">Section 8.14. </w:t>
      </w:r>
      <w:r>
        <w:rPr>
          <w:rFonts w:ascii="Arial" w:cs="Arial" w:eastAsia="Arial" w:hAnsi="Arial"/>
          <w:sz w:val="18"/>
          <w:szCs w:val="18"/>
          <w:i w:val="1"/>
          <w:iCs w:val="1"/>
          <w:color w:val="auto"/>
        </w:rPr>
        <w:t>Additional Grantors.</w:t>
      </w:r>
      <w:r>
        <w:rPr>
          <w:rFonts w:ascii="Arial" w:cs="Arial" w:eastAsia="Arial" w:hAnsi="Arial"/>
          <w:sz w:val="18"/>
          <w:szCs w:val="18"/>
          <w:b w:val="1"/>
          <w:bCs w:val="1"/>
          <w:color w:val="auto"/>
        </w:rPr>
        <w:t xml:space="preserve"> </w:t>
      </w:r>
      <w:r>
        <w:rPr>
          <w:rFonts w:ascii="Arial" w:cs="Arial" w:eastAsia="Arial" w:hAnsi="Arial"/>
          <w:sz w:val="18"/>
          <w:szCs w:val="18"/>
          <w:color w:val="auto"/>
        </w:rPr>
        <w:t>Each Subsidiary of the Borrower that is required to become a party to this Agreement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of the Bridge Facility Agreement</w:t>
      </w:r>
      <w:r>
        <w:rPr>
          <w:rFonts w:ascii="Arial" w:cs="Arial" w:eastAsia="Arial" w:hAnsi="Arial"/>
          <w:sz w:val="18"/>
          <w:szCs w:val="18"/>
          <w:color w:val="auto"/>
        </w:rPr>
        <w:t xml:space="preserve"> shall become a Grantor for all purposes of this Agreement upon execution and delivery by such Subsidiary of an Assumption Agreement in the form of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8.15. </w:t>
      </w:r>
      <w:r>
        <w:rPr>
          <w:rFonts w:ascii="Arial" w:cs="Arial" w:eastAsia="Arial" w:hAnsi="Arial"/>
          <w:sz w:val="18"/>
          <w:szCs w:val="18"/>
          <w:i w:val="1"/>
          <w:iCs w:val="1"/>
          <w:color w:val="auto"/>
        </w:rPr>
        <w:t>Releases; Debt Assumption.</w:t>
      </w:r>
    </w:p>
    <w:p>
      <w:pPr>
        <w:spacing w:after="0" w:line="121" w:lineRule="exact"/>
        <w:rPr>
          <w:sz w:val="20"/>
          <w:szCs w:val="20"/>
          <w:color w:val="auto"/>
        </w:rPr>
      </w:pPr>
    </w:p>
    <w:p>
      <w:pPr>
        <w:ind w:right="140" w:firstLine="444"/>
        <w:spacing w:after="0" w:line="293" w:lineRule="auto"/>
        <w:tabs>
          <w:tab w:leader="none" w:pos="685" w:val="left"/>
        </w:tabs>
        <w:numPr>
          <w:ilvl w:val="0"/>
          <w:numId w:val="499"/>
        </w:numPr>
        <w:rPr>
          <w:rFonts w:ascii="Arial" w:cs="Arial" w:eastAsia="Arial" w:hAnsi="Arial"/>
          <w:sz w:val="16"/>
          <w:szCs w:val="16"/>
          <w:color w:val="auto"/>
        </w:rPr>
      </w:pPr>
      <w:r>
        <w:rPr>
          <w:rFonts w:ascii="Arial" w:cs="Arial" w:eastAsia="Arial" w:hAnsi="Arial"/>
          <w:sz w:val="16"/>
          <w:szCs w:val="16"/>
          <w:color w:val="auto"/>
        </w:rPr>
        <w:t>At such time as there has been a Discharge of the Obligations, (i) if such Discharge of the Obligations occurs after the Debt Assumption, the Collateral shall be released from the Liens created hereby, and (ii) this Agreement and all obligations (other than those expressly stated to survive such termination) of the Administrative Agent and each Grantor hereunder shall terminate, all without delivery of any instrument or performance of any act by any party, and (if applicable) all rights to the Collateral shall revert to the Grantors. At the request and sole expense of any Grantor following any such termination, the Administrative Agent shall (x) if applicable, promptly deliver to such Grantor any Collateral held by the Administrative Agent hereunder, and (y) execute and deliver to such Grantor such documents as such Grantor shall reasonably request to evidence such termination.</w:t>
      </w:r>
    </w:p>
    <w:p>
      <w:pPr>
        <w:spacing w:after="0" w:line="56" w:lineRule="exact"/>
        <w:rPr>
          <w:rFonts w:ascii="Arial" w:cs="Arial" w:eastAsia="Arial" w:hAnsi="Arial"/>
          <w:sz w:val="16"/>
          <w:szCs w:val="16"/>
          <w:color w:val="auto"/>
        </w:rPr>
      </w:pPr>
    </w:p>
    <w:p>
      <w:pPr>
        <w:ind w:right="160" w:firstLine="444"/>
        <w:spacing w:after="0" w:line="286" w:lineRule="auto"/>
        <w:tabs>
          <w:tab w:leader="none" w:pos="696" w:val="left"/>
        </w:tabs>
        <w:numPr>
          <w:ilvl w:val="0"/>
          <w:numId w:val="499"/>
        </w:numPr>
        <w:rPr>
          <w:rFonts w:ascii="Arial" w:cs="Arial" w:eastAsia="Arial" w:hAnsi="Arial"/>
          <w:sz w:val="17"/>
          <w:szCs w:val="17"/>
          <w:color w:val="auto"/>
        </w:rPr>
      </w:pPr>
      <w:r>
        <w:rPr>
          <w:rFonts w:ascii="Arial" w:cs="Arial" w:eastAsia="Arial" w:hAnsi="Arial"/>
          <w:sz w:val="17"/>
          <w:szCs w:val="17"/>
          <w:color w:val="auto"/>
        </w:rPr>
        <w:t>After the Debt Assumption, if any of the Collateral shall be Disposed of by any Grantor in a transaction not prohibited by the Bridge Facility Agreement, then the Administrative Agent, at the request and sole expense of such Grantor, shall execute and deliver to such Grantor all releases or other documents reasonably necessary or desirable for the release of the Liens created hereby on such Collateral.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15" w:name="page516"/>
    <w:bookmarkEnd w:id="515"/>
    <w:p>
      <w:pPr>
        <w:ind w:firstLine="444"/>
        <w:spacing w:after="0" w:line="286" w:lineRule="auto"/>
        <w:tabs>
          <w:tab w:leader="none" w:pos="685" w:val="left"/>
        </w:tabs>
        <w:numPr>
          <w:ilvl w:val="0"/>
          <w:numId w:val="5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request and sole expense of the Borrower, a Grantor (other than the Borrower) shall be released from its obligations hereunder (and, after the Debt Assumption, all Equity Interests of such Grantor (other than the Borrower) pledged hereunder and all Liens granted on its assets in favor of the Administrative Agent shall be released) in the event that (i) all the Equity Interests of such Grantor (other than the Borrower) or (ii) all or substantially all of the assets of such Grantor (other than the Borrower) (including by way of merger or consolidation), shall be Disposed of, in each case in a transaction not prohibited by the Bridge Facility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Disposition (which excludes, for the avoidance of doubt, the designation of a Guarantor as an Unrestricted Subsidiary) the Borrower shall have delivered to the Administrative Agent, at least five (5) Business Days (or such shorter period as may be agreed to by the Administrative Agent in its sole discretion) prior to the date of the proposed release, a written request for release identifying the relevant Grantor (other than the Borrower) and the terms of the Disposition in reasonable detail, together with a certification by the Borrower stating that such transaction is in compliance with the Bridge Facility Agreement and the other Loan Documents and, if applicable, that the Proceeds of such Disposition will be applied in accordance therewith. If any Grantor is designated as an Unrestricted Subsidiary in accordance with the Bridge Facility Agreement, or otherwise ceases to be a Restricted Subsidiary (including by way of liquidation or dissolution) in a transaction permitted by the Bridge Facility Agreement, such Grantor and all Equity Interests in such Grantor pledged hereunder shall be automatically released and relieved of all of its obligations under this Agreement and all Liens granted by such Grantor on its assets in favor of the Administrative Agent shall be automatically released. Promptly following the request and at the sole expense of Borrower or any such Grantor, the Administrative Agent shall file all terminations and releases, if any, necessary to effectuate the releases described in the preceding sentence.</w:t>
      </w:r>
    </w:p>
    <w:p>
      <w:pPr>
        <w:spacing w:after="0" w:line="60" w:lineRule="exact"/>
        <w:rPr>
          <w:rFonts w:ascii="Arial" w:cs="Arial" w:eastAsia="Arial" w:hAnsi="Arial"/>
          <w:sz w:val="16"/>
          <w:szCs w:val="16"/>
          <w:color w:val="auto"/>
        </w:rPr>
      </w:pPr>
    </w:p>
    <w:p>
      <w:pPr>
        <w:ind w:firstLine="444"/>
        <w:spacing w:after="0" w:line="276" w:lineRule="auto"/>
        <w:tabs>
          <w:tab w:leader="none" w:pos="696" w:val="left"/>
        </w:tabs>
        <w:numPr>
          <w:ilvl w:val="0"/>
          <w:numId w:val="500"/>
        </w:numPr>
        <w:rPr>
          <w:rFonts w:ascii="Arial" w:cs="Arial" w:eastAsia="Arial" w:hAnsi="Arial"/>
          <w:sz w:val="17"/>
          <w:szCs w:val="17"/>
          <w:color w:val="auto"/>
        </w:rPr>
      </w:pPr>
      <w:r>
        <w:rPr>
          <w:rFonts w:ascii="Arial" w:cs="Arial" w:eastAsia="Arial" w:hAnsi="Arial"/>
          <w:sz w:val="17"/>
          <w:szCs w:val="17"/>
          <w:color w:val="auto"/>
        </w:rPr>
        <w:t>Upon consummation of the Debt Assumption, (i) (A) each Subsidiary Guarantor, other than the Post-Assumption Guarantors, shall be automatically released and relieved of all of its obligations under this Agreement, and (B) the Company shall be released and relieved of all of its obligations under this Agreement, in the case of this clause (B), as and to the extent provided in the Borrower Assignment and Assumption, (ii) BellRing Brands shall automatically become bound hereunder as Borrower and Grantor, without any further action taken or instrument executed by BellRing Brands, and (iii) Administrative Agent shall execute and deliver the Borrower Assignment and Assumption.</w:t>
      </w:r>
    </w:p>
    <w:p>
      <w:pPr>
        <w:spacing w:after="0" w:line="64" w:lineRule="exact"/>
        <w:rPr>
          <w:rFonts w:ascii="Arial" w:cs="Arial" w:eastAsia="Arial" w:hAnsi="Arial"/>
          <w:sz w:val="17"/>
          <w:szCs w:val="17"/>
          <w:color w:val="auto"/>
        </w:rPr>
      </w:pPr>
    </w:p>
    <w:p>
      <w:pPr>
        <w:jc w:val="both"/>
        <w:ind w:right="20" w:firstLine="444"/>
        <w:spacing w:after="0" w:line="264" w:lineRule="auto"/>
        <w:tabs>
          <w:tab w:leader="none" w:pos="68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Each Grantor acknowledges that it is not authorized to file any financing statement or amendment or termination statement with respect to any financing statement originally filed in connection herewith without the prior written consent of the Administrative Agent subject to such Grantor’s rights under Section 9-509(d)(2) of the New York UCC.</w:t>
      </w:r>
    </w:p>
    <w:p>
      <w:pPr>
        <w:spacing w:after="0" w:line="17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 EACH GRANTOR AND THE ADMINISTRATIVE AGENT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r>
        <w:rPr>
          <w:rFonts w:ascii="Arial" w:cs="Arial" w:eastAsia="Arial" w:hAnsi="Arial"/>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8.17.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intentionally blank; 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3" w:right="439" w:bottom="1440" w:gutter="0" w:footer="0" w:header="0"/>
        </w:sectPr>
      </w:pPr>
    </w:p>
    <w:bookmarkStart w:id="516" w:name="page517"/>
    <w:bookmarkEnd w:id="51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Guarantee and Collateral Agreement to be duly executed and delivered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POST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jc w:val="center"/>
        <w:ind w:left="6420"/>
        <w:spacing w:after="0"/>
        <w:tabs>
          <w:tab w:leader="none" w:pos="18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Chief Administrative Officer, Secretary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G</w:t>
      </w:r>
      <w:r>
        <w:rPr>
          <w:rFonts w:ascii="Arial" w:cs="Arial" w:eastAsia="Arial" w:hAnsi="Arial"/>
          <w:sz w:val="15"/>
          <w:szCs w:val="15"/>
          <w:color w:val="auto"/>
        </w:rPr>
        <w:t>UARANTEE AND</w:t>
      </w:r>
      <w:r>
        <w:rPr>
          <w:rFonts w:ascii="Arial" w:cs="Arial" w:eastAsia="Arial" w:hAnsi="Arial"/>
          <w:sz w:val="18"/>
          <w:szCs w:val="18"/>
          <w:color w:val="auto"/>
        </w:rPr>
        <w:t xml:space="preserve"> C</w:t>
      </w:r>
      <w:r>
        <w:rPr>
          <w:rFonts w:ascii="Arial" w:cs="Arial" w:eastAsia="Arial" w:hAnsi="Arial"/>
          <w:sz w:val="15"/>
          <w:szCs w:val="15"/>
          <w:color w:val="auto"/>
        </w:rPr>
        <w:t>OLLATERAL</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820"/>
          </w:cols>
          <w:pgMar w:left="440" w:top="274" w:right="63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b w:val="1"/>
          <w:bCs w:val="1"/>
          <w:color w:val="auto"/>
        </w:rPr>
        <w:t>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Real Properties,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 Canada Holding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TA/DEI-A Acquisition Corp.</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16725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Secretary of each above-listed entity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BellRing Brands, LLC</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168084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 Partner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-384810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 Restaurant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Evans Express,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Evans Farms,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Evans Farms,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Evans Holding,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 Evans Transportation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Casa Trucking,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Crystal Farms Dairy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Dymatize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Kettle Creations,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MCafe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 Waldbaum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MFI Holding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MFI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Foods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Foods of Delaware,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 Brands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 Brands Sales,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Pasteurized Eggs,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Pasteurized Eggs,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Star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Papetti’s Hygrade Egg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PCB Battle Creek,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Pineland Farms Potato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Consumer Brands,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Foods,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Premier Nutrition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Supreme Protein,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Weetabix Company, LLC</w:t>
      </w:r>
    </w:p>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21183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 of each above-listed entity</w:t>
      </w:r>
    </w:p>
    <w:p>
      <w:pPr>
        <w:spacing w:after="0" w:line="200" w:lineRule="exact"/>
        <w:rPr>
          <w:sz w:val="20"/>
          <w:szCs w:val="20"/>
          <w:color w:val="auto"/>
        </w:rPr>
      </w:pPr>
    </w:p>
    <w:p>
      <w:pPr>
        <w:sectPr>
          <w:pgSz w:w="11900" w:h="16838" w:orient="portrait"/>
          <w:cols w:equalWidth="0" w:num="2">
            <w:col w:w="4900" w:space="720"/>
            <w:col w:w="4399"/>
          </w:cols>
          <w:pgMar w:left="440" w:top="324" w:right="1440" w:bottom="1440" w:gutter="0" w:footer="0" w:header="0"/>
        </w:sectPr>
      </w:pPr>
    </w:p>
    <w:p>
      <w:pPr>
        <w:spacing w:after="0" w:line="213"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G</w:t>
      </w:r>
      <w:r>
        <w:rPr>
          <w:rFonts w:ascii="Arial" w:cs="Arial" w:eastAsia="Arial" w:hAnsi="Arial"/>
          <w:sz w:val="14"/>
          <w:szCs w:val="14"/>
          <w:color w:val="auto"/>
        </w:rPr>
        <w:t>UARANTEE AND</w:t>
      </w:r>
      <w:r>
        <w:rPr>
          <w:rFonts w:ascii="Arial" w:cs="Arial" w:eastAsia="Arial" w:hAnsi="Arial"/>
          <w:sz w:val="17"/>
          <w:szCs w:val="17"/>
          <w:color w:val="auto"/>
        </w:rPr>
        <w:t xml:space="preserve"> C</w:t>
      </w:r>
      <w:r>
        <w:rPr>
          <w:rFonts w:ascii="Arial" w:cs="Arial" w:eastAsia="Arial" w:hAnsi="Arial"/>
          <w:sz w:val="14"/>
          <w:szCs w:val="14"/>
          <w:color w:val="auto"/>
        </w:rPr>
        <w:t>OLLATERAL</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10019"/>
          </w:cols>
          <w:pgMar w:left="440" w:top="324" w:right="1440" w:bottom="1440" w:gutter="0" w:footer="0" w:header="0"/>
          <w:type w:val="continuous"/>
        </w:sectPr>
      </w:pPr>
    </w:p>
    <w:bookmarkStart w:id="518" w:name="page519"/>
    <w:bookmarkEnd w:id="518"/>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Ethan Plater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Ethan Plater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G</w:t>
      </w:r>
      <w:r>
        <w:rPr>
          <w:rFonts w:ascii="Arial" w:cs="Arial" w:eastAsia="Arial" w:hAnsi="Arial"/>
          <w:sz w:val="15"/>
          <w:szCs w:val="15"/>
          <w:color w:val="auto"/>
        </w:rPr>
        <w:t>UARANTEE AND</w:t>
      </w:r>
      <w:r>
        <w:rPr>
          <w:rFonts w:ascii="Arial" w:cs="Arial" w:eastAsia="Arial" w:hAnsi="Arial"/>
          <w:sz w:val="18"/>
          <w:szCs w:val="18"/>
          <w:color w:val="auto"/>
        </w:rPr>
        <w:t xml:space="preserve"> C</w:t>
      </w:r>
      <w:r>
        <w:rPr>
          <w:rFonts w:ascii="Arial" w:cs="Arial" w:eastAsia="Arial" w:hAnsi="Arial"/>
          <w:sz w:val="15"/>
          <w:szCs w:val="15"/>
          <w:color w:val="auto"/>
        </w:rPr>
        <w:t>OLLATERAL</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9660"/>
          </w:cols>
          <w:pgMar w:left="1440" w:top="270" w:right="79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ACKNOWLEDGMENT AND CONSENT</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undersigned hereby acknowledges receipt of a copy of the Guarantee and Collateral Agreement dated as of October 11, 2019 (as amended, restated, supplemented, replaced,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made by BellRing Brands, LLC (as successor Borrower to Post Holdings, Inc.) and the other Grantors parties thereto for the benefit of Morgan Stanley Senior Funding, Inc., as Administrative Agent; capitalized terms used but not defined herein have the meanings given such terms therein. The undersigned agrees for the benefit of the Administrative Agent and the Secured Parties as follows:</w:t>
      </w:r>
    </w:p>
    <w:p>
      <w:pPr>
        <w:spacing w:after="0" w:line="94" w:lineRule="exact"/>
        <w:rPr>
          <w:sz w:val="20"/>
          <w:szCs w:val="20"/>
          <w:color w:val="auto"/>
        </w:rPr>
      </w:pPr>
    </w:p>
    <w:p>
      <w:pPr>
        <w:ind w:left="980" w:right="100" w:hanging="544"/>
        <w:spacing w:after="0" w:line="277" w:lineRule="auto"/>
        <w:tabs>
          <w:tab w:leader="none" w:pos="9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undersigned will be bound by the terms of the Agreement and will comply with such terms insofar as such terms are applicable to the undersigned.</w:t>
      </w:r>
    </w:p>
    <w:p>
      <w:pPr>
        <w:spacing w:after="0" w:line="75" w:lineRule="exact"/>
        <w:rPr>
          <w:rFonts w:ascii="Arial" w:cs="Arial" w:eastAsia="Arial" w:hAnsi="Arial"/>
          <w:sz w:val="18"/>
          <w:szCs w:val="18"/>
          <w:color w:val="auto"/>
        </w:rPr>
      </w:pPr>
    </w:p>
    <w:p>
      <w:pPr>
        <w:ind w:left="980" w:right="720" w:hanging="544"/>
        <w:spacing w:after="0" w:line="277" w:lineRule="auto"/>
        <w:tabs>
          <w:tab w:leader="none" w:pos="9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undersigned confirms the statements made in the Agreement with respect to the undersigned including, without limitation, in Section 4.07 of the Agreement and Schedule 2 thereof.</w:t>
      </w:r>
    </w:p>
    <w:p>
      <w:pPr>
        <w:spacing w:after="0" w:line="75" w:lineRule="exact"/>
        <w:rPr>
          <w:rFonts w:ascii="Arial" w:cs="Arial" w:eastAsia="Arial" w:hAnsi="Arial"/>
          <w:sz w:val="18"/>
          <w:szCs w:val="18"/>
          <w:color w:val="auto"/>
        </w:rPr>
      </w:pPr>
    </w:p>
    <w:p>
      <w:pPr>
        <w:ind w:left="980" w:right="1040" w:hanging="544"/>
        <w:spacing w:after="0" w:line="277" w:lineRule="auto"/>
        <w:tabs>
          <w:tab w:leader="none" w:pos="9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undersigned will notify the Administrative Agent promptly in writing of the occurrence of any of the events described in Section 5.07(a) of the Agreement.</w:t>
      </w:r>
    </w:p>
    <w:p>
      <w:pPr>
        <w:spacing w:after="0" w:line="75" w:lineRule="exact"/>
        <w:rPr>
          <w:rFonts w:ascii="Arial" w:cs="Arial" w:eastAsia="Arial" w:hAnsi="Arial"/>
          <w:sz w:val="18"/>
          <w:szCs w:val="18"/>
          <w:color w:val="auto"/>
        </w:rPr>
      </w:pPr>
    </w:p>
    <w:p>
      <w:pPr>
        <w:ind w:left="980" w:hanging="544"/>
        <w:spacing w:after="0" w:line="277" w:lineRule="auto"/>
        <w:tabs>
          <w:tab w:leader="none" w:pos="9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The terms of Sections 6.03(c) and 6.07 of the Agreement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pursuant to Sections 6.03(c) or 6.07 of the Agreement.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306705</wp:posOffset>
            </wp:positionV>
            <wp:extent cx="24523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24523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461010</wp:posOffset>
            </wp:positionV>
            <wp:extent cx="245237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-10160</wp:posOffset>
            </wp:positionV>
            <wp:extent cx="1028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126365</wp:posOffset>
            </wp:positionV>
            <wp:extent cx="12858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020"/>
          </w:cols>
          <w:pgMar w:left="440" w:top="274" w:right="439" w:bottom="1440" w:gutter="0" w:footer="0" w:header="0"/>
        </w:sectPr>
      </w:pPr>
    </w:p>
    <w:bookmarkStart w:id="520" w:name="page521"/>
    <w:bookmarkEnd w:id="520"/>
    <w:tbl>
      <w:tblPr>
        <w:tblLayout w:type="fixed"/>
        <w:tblInd w:w="44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Exhibit B-1 to</w:t>
            </w:r>
          </w:p>
        </w:tc>
      </w:tr>
      <w:tr>
        <w:trPr>
          <w:trHeight w:val="230"/>
        </w:trPr>
        <w:tc>
          <w:tcPr>
            <w:tcW w:w="2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w w:val="92"/>
              </w:rPr>
              <w:t>Guarantee and Collateral Agreement</w:t>
            </w:r>
          </w:p>
        </w:tc>
      </w:tr>
      <w:tr>
        <w:trPr>
          <w:trHeight w:val="392"/>
        </w:trPr>
        <w:tc>
          <w:tcPr>
            <w:tcW w:w="2300" w:type="dxa"/>
            <w:vAlign w:val="bottom"/>
          </w:tcPr>
          <w:p>
            <w:pPr>
              <w:spacing w:after="0"/>
              <w:rPr>
                <w:sz w:val="24"/>
                <w:szCs w:val="24"/>
                <w:color w:val="auto"/>
              </w:rPr>
            </w:pPr>
          </w:p>
        </w:tc>
        <w:tc>
          <w:tcPr>
            <w:tcW w:w="8280" w:type="dxa"/>
            <w:vAlign w:val="bottom"/>
            <w:gridSpan w:val="8"/>
          </w:tcPr>
          <w:p>
            <w:pPr>
              <w:jc w:val="right"/>
              <w:ind w:right="2650"/>
              <w:spacing w:after="0"/>
              <w:rPr>
                <w:sz w:val="20"/>
                <w:szCs w:val="20"/>
                <w:color w:val="auto"/>
              </w:rPr>
            </w:pPr>
            <w:r>
              <w:rPr>
                <w:rFonts w:ascii="Arial" w:cs="Arial" w:eastAsia="Arial" w:hAnsi="Arial"/>
                <w:sz w:val="18"/>
                <w:szCs w:val="18"/>
                <w:b w:val="1"/>
                <w:bCs w:val="1"/>
                <w:color w:val="auto"/>
              </w:rPr>
              <w:t>FORM OF INTELLECTUAL PROPERTY SECURITY AGREEMENT</w:t>
            </w:r>
          </w:p>
        </w:tc>
      </w:tr>
      <w:tr>
        <w:trPr>
          <w:trHeight w:val="20"/>
        </w:trPr>
        <w:tc>
          <w:tcPr>
            <w:tcW w:w="23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12"/>
        </w:trPr>
        <w:tc>
          <w:tcPr>
            <w:tcW w:w="5640" w:type="dxa"/>
            <w:vAlign w:val="bottom"/>
            <w:gridSpan w:val="2"/>
          </w:tcPr>
          <w:p>
            <w:pPr>
              <w:spacing w:after="0"/>
              <w:rPr>
                <w:sz w:val="20"/>
                <w:szCs w:val="20"/>
                <w:color w:val="auto"/>
              </w:rPr>
            </w:pPr>
            <w:r>
              <w:rPr>
                <w:rFonts w:ascii="Arial" w:cs="Arial" w:eastAsia="Arial" w:hAnsi="Arial"/>
                <w:sz w:val="18"/>
                <w:szCs w:val="18"/>
                <w:color w:val="auto"/>
                <w:w w:val="95"/>
              </w:rPr>
              <w:t>This INTELLECTUAL PROPERTY SECURITY AGREEMENT, dated as of</w:t>
            </w: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Borders>
              <w:bottom w:val="single" w:sz="8" w:color="auto"/>
            </w:tcBorders>
          </w:tcPr>
          <w:p>
            <w:pPr>
              <w:spacing w:after="0"/>
              <w:rPr>
                <w:sz w:val="24"/>
                <w:szCs w:val="24"/>
                <w:color w:val="auto"/>
              </w:rPr>
            </w:pPr>
          </w:p>
        </w:tc>
        <w:tc>
          <w:tcPr>
            <w:tcW w:w="3360" w:type="dxa"/>
            <w:vAlign w:val="bottom"/>
            <w:gridSpan w:val="2"/>
          </w:tcPr>
          <w:p>
            <w:pPr>
              <w:jc w:val="right"/>
              <w:ind w:right="390"/>
              <w:spacing w:after="0"/>
              <w:rPr>
                <w:sz w:val="20"/>
                <w:szCs w:val="20"/>
                <w:color w:val="auto"/>
              </w:rPr>
            </w:pPr>
            <w:r>
              <w:rPr>
                <w:rFonts w:ascii="Arial" w:cs="Arial" w:eastAsia="Arial" w:hAnsi="Arial"/>
                <w:sz w:val="18"/>
                <w:szCs w:val="18"/>
                <w:color w:val="auto"/>
                <w:w w:val="88"/>
              </w:rPr>
              <w:t>(as amended, restated, supplemented or</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otherwise modified from time to time, this “</w:t>
      </w:r>
      <w:r>
        <w:rPr>
          <w:rFonts w:ascii="Arial" w:cs="Arial" w:eastAsia="Arial" w:hAnsi="Arial"/>
          <w:sz w:val="17"/>
          <w:szCs w:val="17"/>
          <w:u w:val="single" w:color="auto"/>
          <w:color w:val="auto"/>
        </w:rPr>
        <w:t>Intellectual Property Security Agreement</w:t>
      </w:r>
      <w:r>
        <w:rPr>
          <w:rFonts w:ascii="Arial" w:cs="Arial" w:eastAsia="Arial" w:hAnsi="Arial"/>
          <w:sz w:val="17"/>
          <w:szCs w:val="17"/>
          <w:color w:val="auto"/>
        </w:rPr>
        <w:t>”), is made by each of the signatories hereto (collectively, the</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and Morgan Stanley Senior Funding, Inc., as Administrative Agent (in such capacity and together with its successors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(as defined in the Bridge Facility Agreement referred to below).</w:t>
      </w:r>
    </w:p>
    <w:p>
      <w:pPr>
        <w:spacing w:after="0" w:line="184"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WHEREAS, BellRing Brands, LLC, a Delaware limited liability company (as successor borrower to Post Holdings, Inc.) (the “</w:t>
      </w:r>
      <w:r>
        <w:rPr>
          <w:rFonts w:ascii="Arial" w:cs="Arial" w:eastAsia="Arial" w:hAnsi="Arial"/>
          <w:sz w:val="18"/>
          <w:szCs w:val="18"/>
          <w:u w:val="single" w:color="auto"/>
          <w:color w:val="auto"/>
        </w:rPr>
        <w:t>Borrower</w:t>
      </w:r>
      <w:r>
        <w:rPr>
          <w:rFonts w:ascii="Arial" w:cs="Arial" w:eastAsia="Arial" w:hAnsi="Arial"/>
          <w:sz w:val="18"/>
          <w:szCs w:val="18"/>
          <w:color w:val="auto"/>
        </w:rPr>
        <w:t>”), is the borrower under that certain Bridge Facility Agreement, dated as of October 11, 2019 (as amended, restated, supplemented, replaced or otherwise modified from time to time, the “</w:t>
      </w:r>
      <w:r>
        <w:rPr>
          <w:rFonts w:ascii="Arial" w:cs="Arial" w:eastAsia="Arial" w:hAnsi="Arial"/>
          <w:sz w:val="18"/>
          <w:szCs w:val="18"/>
          <w:u w:val="single" w:color="auto"/>
          <w:color w:val="auto"/>
        </w:rPr>
        <w:t>Bridge Facility Agreement</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WHEREAS, under the terms of that certain Guarantee and Collateral Agreement, dated as of October 11, 2019, entered into in connection with the Bridge Facility Agreement, the Grantors have granted a security interest in certain property, including, without limitation, the Intellectual Property Collateral (as defined below), to the Administrative Agent for the benefit of the Secured Parties, and have agreed as a condition thereof to execute this Intellectual Property Security Agreement for recording with the United States Patent and Trademark Office, the United States Copyright Office, the Canadian Intellectual Property Office, and any other applicable Governmental Authority or any political subdivision of the United States or Canada, as applicable. Capitalized terms used and not defined herein have the meanings given to such terms in the Guarantee and Collateral Agreement.</w:t>
      </w:r>
    </w:p>
    <w:p>
      <w:pPr>
        <w:spacing w:after="0" w:line="16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each Grantor agrees as follows:</w:t>
      </w:r>
    </w:p>
    <w:p>
      <w:pPr>
        <w:spacing w:after="0" w:line="62" w:lineRule="exact"/>
        <w:rPr>
          <w:sz w:val="20"/>
          <w:szCs w:val="20"/>
          <w:color w:val="auto"/>
        </w:rPr>
      </w:pPr>
    </w:p>
    <w:p>
      <w:pPr>
        <w:ind w:right="120" w:firstLine="444"/>
        <w:spacing w:after="0" w:line="286" w:lineRule="auto"/>
        <w:tabs>
          <w:tab w:leader="none" w:pos="621"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Each Grantor hereby grants to the Administrative Agent for the benefit of the Secured Parties a security interest in and to all of such Grantor’s right, title and interest in and to the following (the “</w:t>
      </w:r>
      <w:r>
        <w:rPr>
          <w:rFonts w:ascii="Arial" w:cs="Arial" w:eastAsia="Arial" w:hAnsi="Arial"/>
          <w:sz w:val="17"/>
          <w:szCs w:val="17"/>
          <w:u w:val="single" w:color="auto"/>
          <w:color w:val="auto"/>
        </w:rPr>
        <w:t>Intellectual Property Collateral</w:t>
      </w:r>
      <w:r>
        <w:rPr>
          <w:rFonts w:ascii="Arial" w:cs="Arial" w:eastAsia="Arial" w:hAnsi="Arial"/>
          <w:sz w:val="17"/>
          <w:szCs w:val="17"/>
          <w:color w:val="auto"/>
        </w:rPr>
        <w:t>”), as collateral security for the prompt and complete payment and performance when due (whether at the stated maturity, by acceleration or otherwise) of such Grantor’s Obligations:</w:t>
      </w:r>
    </w:p>
    <w:p>
      <w:pPr>
        <w:spacing w:after="0" w:line="57" w:lineRule="exact"/>
        <w:rPr>
          <w:rFonts w:ascii="Arial" w:cs="Arial" w:eastAsia="Arial" w:hAnsi="Arial"/>
          <w:sz w:val="17"/>
          <w:szCs w:val="17"/>
          <w:color w:val="auto"/>
        </w:rPr>
      </w:pPr>
    </w:p>
    <w:p>
      <w:pPr>
        <w:ind w:left="440" w:right="20" w:firstLine="428"/>
        <w:spacing w:after="0" w:line="270" w:lineRule="auto"/>
        <w:tabs>
          <w:tab w:leader="none" w:pos="1083" w:val="left"/>
        </w:tabs>
        <w:numPr>
          <w:ilvl w:val="1"/>
          <w:numId w:val="502"/>
        </w:numPr>
        <w:rPr>
          <w:rFonts w:ascii="Arial" w:cs="Arial" w:eastAsia="Arial" w:hAnsi="Arial"/>
          <w:sz w:val="17"/>
          <w:szCs w:val="17"/>
          <w:color w:val="auto"/>
        </w:rPr>
      </w:pPr>
      <w:r>
        <w:rPr>
          <w:rFonts w:ascii="Arial" w:cs="Arial" w:eastAsia="Arial" w:hAnsi="Arial"/>
          <w:sz w:val="17"/>
          <w:szCs w:val="17"/>
          <w:color w:val="auto"/>
        </w:rPr>
        <w:t>(i) all trademarks, service marks, trade names, corporate names, company names, business names, trade dress, trade styles, logos, or other indicia of origin or source identification, trademark and service mark registrations, and applications for trademark or service mark registrations and any new renewals thereof, including, without limitation, each registration and application identified in Schedule 1 attached hereto, however, not including any pending “intent-to-use” application for registration of a trademark or service mark filed pursuant to Section 1(b) of the Lanham Act, 15 U.S.C. § 1051, prior to the filing of a “Statement of Use” pursuant to Section 1(d) of the Lanham Act or an “Amendment to Allege Use” pursuant to Section 1(c) of the Lanham Act with respect thereto, to the extent, if any, that, and solely during the period, if any, in which, the grant of a security interest therein would impair the validity or enforceability of any registration that issues from such intent-to-use application under applicable federal Law, (ii) the right to sue or otherwise recover for any and all past, present and future infringements, dilutions and other violations thereof, (iii) all income, royalties, damages and other payments now and hereafter due and/or payable with respect thereto (including, without limitation, payments under all licenses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B-1 - 1</w:t>
      </w:r>
    </w:p>
    <w:p>
      <w:pPr>
        <w:sectPr>
          <w:pgSz w:w="11900" w:h="16838" w:orient="portrait"/>
          <w:cols w:equalWidth="0" w:num="1">
            <w:col w:w="11020"/>
          </w:cols>
          <w:pgMar w:left="440" w:top="273" w:right="439" w:bottom="1440" w:gutter="0" w:footer="0" w:header="0"/>
        </w:sectPr>
      </w:pPr>
    </w:p>
    <w:bookmarkStart w:id="521" w:name="page522"/>
    <w:bookmarkEnd w:id="521"/>
    <w:p>
      <w:pPr>
        <w:ind w:left="4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entered into in connection therewith, payments arising out of any other sale, lease, license or other disposition thereof and damages and payments for past, present or future infringements, dilutions and other violations thereof), and (iv) all other rights of any kind whatsoever of such Grantor accruing thereunder or pertaining thereto, together in each case with the goodwill of the business connected with the use of, and symbolized by, each of the above;</w:t>
      </w:r>
    </w:p>
    <w:p>
      <w:pPr>
        <w:spacing w:after="0" w:line="79" w:lineRule="exact"/>
        <w:rPr>
          <w:sz w:val="20"/>
          <w:szCs w:val="20"/>
          <w:color w:val="auto"/>
        </w:rPr>
      </w:pPr>
    </w:p>
    <w:p>
      <w:pPr>
        <w:ind w:left="420" w:right="120" w:firstLine="423"/>
        <w:spacing w:after="0" w:line="254" w:lineRule="auto"/>
        <w:rPr>
          <w:sz w:val="20"/>
          <w:szCs w:val="20"/>
          <w:color w:val="auto"/>
        </w:rPr>
      </w:pPr>
      <w:r>
        <w:rPr>
          <w:rFonts w:ascii="Arial" w:cs="Arial" w:eastAsia="Arial" w:hAnsi="Arial"/>
          <w:sz w:val="18"/>
          <w:szCs w:val="18"/>
          <w:color w:val="auto"/>
        </w:rPr>
        <w:t>B. (i) all patents, patent applications and patentable inventions, including, without limitation, each issued patent and patent application identified in Schedule 1 attached hereto, (ii) all inventions and improvements described and claimed therein, (iii) the right to sue or otherwise recover for any and all past, present and future infringements and other violations thereof, (iv) all income, royalties, damages and other payments now and hereafter due and/or payable with respect thereto (including, without limitation, payments under all licenses entered into in connection therewith, payments arising out of any other sale, lease, license or other disposition thereof and damages and payments for past, present or future infringements and other violations thereof), (v) all reissues, divisions, continuations, continuations-in-part, substitutes, renewals, reexaminations and extensions thereof, all improvements thereon, and (vi) all other rights of any kind whatsoever of such Grantor accruing thereunder or pertaining thereto;</w:t>
      </w:r>
    </w:p>
    <w:p>
      <w:pPr>
        <w:spacing w:after="0" w:line="84" w:lineRule="exact"/>
        <w:rPr>
          <w:sz w:val="20"/>
          <w:szCs w:val="20"/>
          <w:color w:val="auto"/>
        </w:rPr>
      </w:pPr>
    </w:p>
    <w:p>
      <w:pPr>
        <w:ind w:left="420" w:firstLine="423"/>
        <w:spacing w:after="0" w:line="253" w:lineRule="auto"/>
        <w:rPr>
          <w:sz w:val="20"/>
          <w:szCs w:val="20"/>
          <w:color w:val="auto"/>
        </w:rPr>
      </w:pPr>
      <w:r>
        <w:rPr>
          <w:rFonts w:ascii="Arial" w:cs="Arial" w:eastAsia="Arial" w:hAnsi="Arial"/>
          <w:sz w:val="18"/>
          <w:szCs w:val="18"/>
          <w:color w:val="auto"/>
        </w:rPr>
        <w:t>C. (i) all copyrights, whether or not the underlying works of authorship have been published, and all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 attached hereto, (ii) the rights to print, publish and distribute any of the foregoing, (iii) the right to sue or otherwise recover for any and all past, present and future infringements and other violations thereof, (iv) all income, royalties, damages and other payments now and hereafter due and/or payable with respect thereto (including, without limitation, payments under all licenses entered into in connection therewith, payments arising out of any other sale, lease, license or other disposition thereof and damages and payments for past, present or future infringements and other violations thereof), and (v) all other rights of any kind whatsoever of such Grantor accruing thereunder or pertaining thereto; and</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 any and all proceeds of the foregoing.</w:t>
      </w:r>
    </w:p>
    <w:p>
      <w:pPr>
        <w:spacing w:after="0" w:line="117" w:lineRule="exact"/>
        <w:rPr>
          <w:sz w:val="20"/>
          <w:szCs w:val="20"/>
          <w:color w:val="auto"/>
        </w:rPr>
      </w:pPr>
    </w:p>
    <w:p>
      <w:pPr>
        <w:ind w:left="-20" w:right="580" w:firstLine="444"/>
        <w:spacing w:after="0" w:line="342" w:lineRule="auto"/>
        <w:tabs>
          <w:tab w:leader="none" w:pos="601" w:val="left"/>
        </w:tabs>
        <w:numPr>
          <w:ilvl w:val="0"/>
          <w:numId w:val="503"/>
        </w:numPr>
        <w:rPr>
          <w:rFonts w:ascii="Arial" w:cs="Arial" w:eastAsia="Arial" w:hAnsi="Arial"/>
          <w:sz w:val="16"/>
          <w:szCs w:val="16"/>
          <w:color w:val="auto"/>
        </w:rPr>
      </w:pPr>
      <w:r>
        <w:rPr>
          <w:rFonts w:ascii="Arial" w:cs="Arial" w:eastAsia="Arial" w:hAnsi="Arial"/>
          <w:sz w:val="16"/>
          <w:szCs w:val="16"/>
          <w:u w:val="single" w:color="auto"/>
          <w:color w:val="auto"/>
        </w:rPr>
        <w:t>Recordation</w:t>
      </w:r>
      <w:r>
        <w:rPr>
          <w:rFonts w:ascii="Arial" w:cs="Arial" w:eastAsia="Arial" w:hAnsi="Arial"/>
          <w:sz w:val="16"/>
          <w:szCs w:val="16"/>
          <w:color w:val="auto"/>
        </w:rPr>
        <w:t>. Each Grantor authorizes and requests that the Register of Copyrights, the Commissioner for Patents, the Commissioner for Trademarks and any other applicable government officer, as applicable, record this Intellectual Property Security Agreement.</w:t>
      </w:r>
    </w:p>
    <w:p>
      <w:pPr>
        <w:spacing w:after="0" w:line="15" w:lineRule="exact"/>
        <w:rPr>
          <w:rFonts w:ascii="Arial" w:cs="Arial" w:eastAsia="Arial" w:hAnsi="Arial"/>
          <w:sz w:val="16"/>
          <w:szCs w:val="16"/>
          <w:color w:val="auto"/>
        </w:rPr>
      </w:pPr>
    </w:p>
    <w:p>
      <w:pPr>
        <w:ind w:left="-20" w:right="280" w:firstLine="444"/>
        <w:spacing w:after="0" w:line="264" w:lineRule="auto"/>
        <w:tabs>
          <w:tab w:leader="none" w:pos="601"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Intellectual Property Security Agreement may be executed in any number of counterparts (including by facsimile or other electronic imaging means), each of which when so executed shall be deemed to be an original and all of which taken together shall constitute one and the same agreement.</w:t>
      </w:r>
    </w:p>
    <w:p>
      <w:pPr>
        <w:spacing w:after="0" w:line="73" w:lineRule="exact"/>
        <w:rPr>
          <w:rFonts w:ascii="Arial" w:cs="Arial" w:eastAsia="Arial" w:hAnsi="Arial"/>
          <w:sz w:val="18"/>
          <w:szCs w:val="18"/>
          <w:color w:val="auto"/>
        </w:rPr>
      </w:pPr>
    </w:p>
    <w:p>
      <w:pPr>
        <w:ind w:left="-20" w:firstLine="444"/>
        <w:spacing w:after="0" w:line="312" w:lineRule="auto"/>
        <w:tabs>
          <w:tab w:leader="none" w:pos="601" w:val="left"/>
        </w:tabs>
        <w:numPr>
          <w:ilvl w:val="0"/>
          <w:numId w:val="50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Intellectual Property Security Agreement and all claims or causes of action (whether in contract, tort or otherwise) that may be based upon, arise out of or relate in any way hereto or the negotiation, execution or performance thereof or the transactions contemplated hereby, unless otherwise expressly set forth therein, shall be governed by, and construed in accordance with, the law of the state of New York.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B-1 - 2</w:t>
      </w:r>
    </w:p>
    <w:p>
      <w:pPr>
        <w:sectPr>
          <w:pgSz w:w="11900" w:h="16838" w:orient="portrait"/>
          <w:cols w:equalWidth="0" w:num="1">
            <w:col w:w="11000"/>
          </w:cols>
          <w:pgMar w:left="460" w:top="274" w:right="439" w:bottom="1440" w:gutter="0" w:footer="0" w:header="0"/>
        </w:sectPr>
      </w:pPr>
    </w:p>
    <w:bookmarkStart w:id="522" w:name="page523"/>
    <w:bookmarkEnd w:id="522"/>
    <w:p>
      <w:pPr>
        <w:ind w:left="-40" w:firstLine="444"/>
        <w:spacing w:after="0" w:line="255" w:lineRule="auto"/>
        <w:tabs>
          <w:tab w:leader="none" w:pos="581"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 Provision</w:t>
      </w:r>
      <w:r>
        <w:rPr>
          <w:rFonts w:ascii="Arial" w:cs="Arial" w:eastAsia="Arial" w:hAnsi="Arial"/>
          <w:sz w:val="18"/>
          <w:szCs w:val="18"/>
          <w:color w:val="auto"/>
        </w:rPr>
        <w:t>. This Intellectual Property Security Agreement has been entered into in conjunction with the provisions of the Guarantee and Collateral Agreement and the Bridge Facility Agreement. The rights and remedies of each party hereto with respect to the security interest granted herein are without prejudice to and are in addition to those set forth in the Guarantee and Collateral Agreement and the Bridge Facility Agreement, all terms and provisions of which are incorporated herein by reference. In the event that any provisions of this Intellectual Property Security Agreement are in conflict with the Guarantee and Collateral Agreement or the Bridge Facility Agreement, the provisions of the Guarantee and Collateral Agreement or the Bridge Facility Agreement shall govern.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B-1 - 3</w:t>
      </w:r>
    </w:p>
    <w:p>
      <w:pPr>
        <w:sectPr>
          <w:pgSz w:w="11900" w:h="16838" w:orient="portrait"/>
          <w:cols w:equalWidth="0" w:num="1">
            <w:col w:w="10960"/>
          </w:cols>
          <w:pgMar w:left="480" w:top="273" w:right="459" w:bottom="1440" w:gutter="0" w:footer="0" w:header="0"/>
        </w:sectPr>
      </w:pPr>
    </w:p>
    <w:bookmarkStart w:id="523" w:name="page524"/>
    <w:bookmarkEnd w:id="52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Intellectual Property Security Agreement to be duly executed and delivered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GRANTOR]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B-1 - 1</w:t>
      </w:r>
    </w:p>
    <w:p>
      <w:pPr>
        <w:sectPr>
          <w:pgSz w:w="11900" w:h="16838" w:orient="portrait"/>
          <w:cols w:equalWidth="0" w:num="1">
            <w:col w:w="10960"/>
          </w:cols>
          <w:pgMar w:left="440" w:top="273" w:right="499" w:bottom="1440" w:gutter="0" w:footer="0" w:header="0"/>
        </w:sectPr>
      </w:pPr>
    </w:p>
    <w:bookmarkStart w:id="524" w:name="page525"/>
    <w:bookmarkEnd w:id="52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COPYRIGHTS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PATENTS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TRADEMARKS</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B-1 - 2</w:t>
      </w:r>
    </w:p>
    <w:p>
      <w:pPr>
        <w:sectPr>
          <w:pgSz w:w="11900" w:h="16838" w:orient="portrait"/>
          <w:cols w:equalWidth="0" w:num="1">
            <w:col w:w="10020"/>
          </w:cols>
          <w:pgMar w:left="1440" w:top="274" w:right="439" w:bottom="1440" w:gutter="0" w:footer="0" w:header="0"/>
        </w:sectPr>
      </w:pPr>
    </w:p>
    <w:bookmarkStart w:id="525" w:name="page526"/>
    <w:bookmarkEnd w:id="5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AFTER-ACQUIRED INTELLECTUAL PROPERTY SECURITY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NUMBERED SUPPLEMENT] SUPPLEMENTAL FILING)</w:t>
      </w:r>
    </w:p>
    <w:p>
      <w:pPr>
        <w:spacing w:after="0" w:line="211" w:lineRule="exact"/>
        <w:rPr>
          <w:sz w:val="20"/>
          <w:szCs w:val="20"/>
          <w:color w:val="auto"/>
        </w:rPr>
      </w:pPr>
    </w:p>
    <w:p>
      <w:pPr>
        <w:ind w:right="580" w:firstLine="441"/>
        <w:spacing w:after="0" w:line="291" w:lineRule="auto"/>
        <w:rPr>
          <w:sz w:val="20"/>
          <w:szCs w:val="20"/>
          <w:color w:val="auto"/>
        </w:rPr>
      </w:pPr>
      <w:r>
        <w:rPr>
          <w:rFonts w:ascii="Arial" w:cs="Arial" w:eastAsia="Arial" w:hAnsi="Arial"/>
          <w:sz w:val="16"/>
          <w:szCs w:val="16"/>
          <w:color w:val="auto"/>
        </w:rPr>
        <w:t>This AFTER-ACQUIRED INTELLECTUAL PROPERTY SECURITY AGREEMENT ([APPLICABLE NUMBERED SUPPLEMENT]</w:t>
      </w:r>
      <w:r>
        <w:rPr>
          <w:rFonts w:ascii="Arial" w:cs="Arial" w:eastAsia="Arial" w:hAnsi="Arial"/>
          <w:sz w:val="13"/>
          <w:szCs w:val="13"/>
          <w:color w:val="auto"/>
        </w:rPr>
        <w:t>1</w:t>
      </w:r>
      <w:r>
        <w:rPr>
          <w:rFonts w:ascii="Arial" w:cs="Arial" w:eastAsia="Arial" w:hAnsi="Arial"/>
          <w:sz w:val="16"/>
          <w:szCs w:val="16"/>
          <w:color w:val="auto"/>
        </w:rPr>
        <w:t xml:space="preserve"> SUPPLEMENTAL FILING), dated as of __________ __, __ (as amended, restated, supplemented or otherwise modified from time to time, this</w:t>
      </w:r>
    </w:p>
    <w:p>
      <w:pPr>
        <w:ind w:right="1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Numbered Supplement] Supplemental Intellectual Property Security Agreement</w:t>
      </w:r>
      <w:r>
        <w:rPr>
          <w:rFonts w:ascii="Arial" w:cs="Arial" w:eastAsia="Arial" w:hAnsi="Arial"/>
          <w:sz w:val="17"/>
          <w:szCs w:val="17"/>
          <w:color w:val="auto"/>
        </w:rPr>
        <w:t>”), is made by each of the signatories hereto (collectively, the “</w:t>
      </w:r>
      <w:r>
        <w:rPr>
          <w:rFonts w:ascii="Arial" w:cs="Arial" w:eastAsia="Arial" w:hAnsi="Arial"/>
          <w:sz w:val="17"/>
          <w:szCs w:val="17"/>
          <w:u w:val="single" w:color="auto"/>
          <w:color w:val="auto"/>
        </w:rPr>
        <w:t>Grantors</w:t>
      </w:r>
      <w:r>
        <w:rPr>
          <w:rFonts w:ascii="Arial" w:cs="Arial" w:eastAsia="Arial" w:hAnsi="Arial"/>
          <w:sz w:val="17"/>
          <w:szCs w:val="17"/>
          <w:color w:val="auto"/>
        </w:rPr>
        <w:t>”) and Morgan Stanley Senior Funding, Inc. as Administrative Agent (in such capacity and together with its successors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Secured Parties (as defined in the Bridge Facility Agreement referred to below).</w:t>
      </w:r>
    </w:p>
    <w:p>
      <w:pPr>
        <w:spacing w:after="0" w:line="17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WHEREAS, BellRing Brands, LLC, a Delaware limited liability company (as successor borrower to Post Holdings, Inc.) (the “</w:t>
      </w:r>
      <w:r>
        <w:rPr>
          <w:rFonts w:ascii="Arial" w:cs="Arial" w:eastAsia="Arial" w:hAnsi="Arial"/>
          <w:sz w:val="18"/>
          <w:szCs w:val="18"/>
          <w:u w:val="single" w:color="auto"/>
          <w:color w:val="auto"/>
        </w:rPr>
        <w:t>Borrower</w:t>
      </w:r>
      <w:r>
        <w:rPr>
          <w:rFonts w:ascii="Arial" w:cs="Arial" w:eastAsia="Arial" w:hAnsi="Arial"/>
          <w:sz w:val="18"/>
          <w:szCs w:val="18"/>
          <w:color w:val="auto"/>
        </w:rPr>
        <w:t>”), is the borrower under that certain Bridge Facility Agreement, dated as of October 11, 2019 (as amended, restated, supplemented, replaced or otherwise modified from time to time, the “</w:t>
      </w:r>
      <w:r>
        <w:rPr>
          <w:rFonts w:ascii="Arial" w:cs="Arial" w:eastAsia="Arial" w:hAnsi="Arial"/>
          <w:sz w:val="18"/>
          <w:szCs w:val="18"/>
          <w:u w:val="single" w:color="auto"/>
          <w:color w:val="auto"/>
        </w:rPr>
        <w:t>Bridge Facility Agreement</w:t>
      </w:r>
      <w:r>
        <w:rPr>
          <w:rFonts w:ascii="Arial" w:cs="Arial" w:eastAsia="Arial" w:hAnsi="Arial"/>
          <w:sz w:val="18"/>
          <w:szCs w:val="18"/>
          <w:color w:val="auto"/>
        </w:rPr>
        <w:t>”).</w:t>
      </w:r>
    </w:p>
    <w:p>
      <w:pPr>
        <w:spacing w:after="0" w:line="18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WHEREAS, Morgan Stanley Senior Funding, Inc., as administrative agent, the Borrower and the other grantors from time to time thereto are parties to that certain Guarantee and Collateral Agreement, dated as of October 11, 2019 (the “</w:t>
      </w:r>
      <w:r>
        <w:rPr>
          <w:rFonts w:ascii="Arial" w:cs="Arial" w:eastAsia="Arial" w:hAnsi="Arial"/>
          <w:sz w:val="17"/>
          <w:szCs w:val="17"/>
          <w:u w:val="single" w:color="auto"/>
          <w:color w:val="auto"/>
        </w:rPr>
        <w:t>Guarantee and Collateral Agreement</w:t>
      </w:r>
      <w:r>
        <w:rPr>
          <w:rFonts w:ascii="Arial" w:cs="Arial" w:eastAsia="Arial" w:hAnsi="Arial"/>
          <w:sz w:val="17"/>
          <w:szCs w:val="17"/>
          <w:color w:val="auto"/>
        </w:rPr>
        <w:t>”). Capitalized terms used and not defined herein have the meanings given to such terms in the Guarantee and Collateral Agreement.</w:t>
      </w:r>
    </w:p>
    <w:p>
      <w:pPr>
        <w:spacing w:after="0" w:line="166"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WHEREAS, under the terms of the Guarantee and Collateral Agreement, the Grantors have granted a security interest in certain property, including, without limitation, the Intellectual Property Collateral (as defined below), to the Administrative Agent for the benefit of the Secured Parties, and have agreed as a condition thereof to execute this [Applicable Numbered Supplement] Supplemental Intellectual Property Security Agreement for recording with the United States Patent and Trademark Office, the United States Copyright Office, the Canadian Intellectual Property Office, and any other applicable Governmental Authority or any political subdivision of the United States or Canada, as applicable.</w:t>
      </w:r>
    </w:p>
    <w:p>
      <w:pPr>
        <w:spacing w:after="0" w:line="173"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WHEREAS, [ADD RECITALS SETTING FORTH THE PREVIOUS FILINGS, INCLUDING DOCUMENT TITLES, RECORDATION DATES, REEL/FRAME, VOLUME/DOCUMENT AND REFERENCE NUMBERS] WHEREAS, .</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each Grantor agrees as follows:</w:t>
      </w:r>
    </w:p>
    <w:p>
      <w:pPr>
        <w:spacing w:after="0" w:line="62"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Grant of Security</w:t>
      </w:r>
      <w:r>
        <w:rPr>
          <w:rFonts w:ascii="Arial" w:cs="Arial" w:eastAsia="Arial" w:hAnsi="Arial"/>
          <w:sz w:val="17"/>
          <w:szCs w:val="17"/>
          <w:color w:val="auto"/>
        </w:rPr>
        <w:t>. Each Grantor hereby grants to the Administrative Agent for the benefit of the Secured Parties a security interest in and to all of such Grantor’s right, title and interest in and to the following (the “</w:t>
      </w:r>
      <w:r>
        <w:rPr>
          <w:rFonts w:ascii="Arial" w:cs="Arial" w:eastAsia="Arial" w:hAnsi="Arial"/>
          <w:sz w:val="17"/>
          <w:szCs w:val="17"/>
          <w:u w:val="single" w:color="auto"/>
          <w:color w:val="auto"/>
        </w:rPr>
        <w:t>Intellectual Property Collateral</w:t>
      </w:r>
      <w:r>
        <w:rPr>
          <w:rFonts w:ascii="Arial" w:cs="Arial" w:eastAsia="Arial" w:hAnsi="Arial"/>
          <w:sz w:val="17"/>
          <w:szCs w:val="17"/>
          <w:color w:val="auto"/>
        </w:rPr>
        <w:t>”), as collateral security for the prompt and complete payment and performance when due (whether at the stated maturity, by acceleration or otherwise) of such Grantor’s Obligations:</w:t>
      </w:r>
    </w:p>
    <w:p>
      <w:pPr>
        <w:spacing w:after="0" w:line="57" w:lineRule="exact"/>
        <w:rPr>
          <w:sz w:val="20"/>
          <w:szCs w:val="20"/>
          <w:color w:val="auto"/>
        </w:rPr>
      </w:pPr>
    </w:p>
    <w:p>
      <w:pPr>
        <w:ind w:left="440" w:right="20" w:firstLine="423"/>
        <w:spacing w:after="0" w:line="342" w:lineRule="auto"/>
        <w:rPr>
          <w:sz w:val="20"/>
          <w:szCs w:val="20"/>
          <w:color w:val="auto"/>
        </w:rPr>
      </w:pPr>
      <w:r>
        <w:rPr>
          <w:rFonts w:ascii="Arial" w:cs="Arial" w:eastAsia="Arial" w:hAnsi="Arial"/>
          <w:sz w:val="16"/>
          <w:szCs w:val="16"/>
          <w:color w:val="auto"/>
        </w:rPr>
        <w:t>A. (i) all trademarks, service marks, trade names, corporate names, company names, business names, trade dress, trade styles, logos, or other indicia of origin or source identification, trademark and service mark registrations, and applications for trademark or service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6327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77"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Insert appropriate sequential numeric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B-2 - 1</w:t>
      </w:r>
    </w:p>
    <w:p>
      <w:pPr>
        <w:sectPr>
          <w:pgSz w:w="11900" w:h="16838" w:orient="portrait"/>
          <w:cols w:equalWidth="0" w:num="1">
            <w:col w:w="11020"/>
          </w:cols>
          <w:pgMar w:left="440" w:top="273" w:right="439" w:bottom="1440" w:gutter="0" w:footer="0" w:header="0"/>
        </w:sectPr>
      </w:pPr>
    </w:p>
    <w:bookmarkStart w:id="526" w:name="page527"/>
    <w:bookmarkEnd w:id="526"/>
    <w:p>
      <w:pPr>
        <w:ind w:lef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registrations and any new renewals thereof, including, without limitation, each registration and application identified in Schedule 1 attached hereto, however, not including any pending “intent-to-use” application for registration of a trademark or service mark filed pursuant to Section 1(b) of the Lanham Act, 15 U.S.C. § 1051, prior to the filing of a “Statement of Use” pursuant to Section 1(d) of the Lanham Act or an “Amendment to Allege Use” pursuant to Section 1(c) of the Lanham Act with respect thereto, to the extent, if any, that, and solely during the period, if any, in which, the grant of a security interest therein would impair the validity or enforceability of any registration that issues from such intent-to-use application under applicable federal Law, (ii) the right to sue or otherwise recover for any and all past, present and future infringements, dilutions and other violations thereof, (iii) all income, royalties, damages and other payments now and hereafter due and/or payable with respect thereto (including, without limitation, payments under all licenses entered into in connection therewith, payments arising out of any other sale, lease, license or other disposition thereof and damages and payments for past, present or future infringements, dilutions and other violations thereof), and (iv) all other rights of any kind whatsoever of such Grantor accruing thereunder or pertaining thereto, together in each case with the goodwill of the business connected with the use of, and symbolized by, each of the above;</w:t>
      </w:r>
    </w:p>
    <w:p>
      <w:pPr>
        <w:spacing w:after="0" w:line="75" w:lineRule="exact"/>
        <w:rPr>
          <w:sz w:val="20"/>
          <w:szCs w:val="20"/>
          <w:color w:val="auto"/>
        </w:rPr>
      </w:pPr>
    </w:p>
    <w:p>
      <w:pPr>
        <w:ind w:left="420" w:right="120" w:firstLine="423"/>
        <w:spacing w:after="0" w:line="254" w:lineRule="auto"/>
        <w:rPr>
          <w:sz w:val="20"/>
          <w:szCs w:val="20"/>
          <w:color w:val="auto"/>
        </w:rPr>
      </w:pPr>
      <w:r>
        <w:rPr>
          <w:rFonts w:ascii="Arial" w:cs="Arial" w:eastAsia="Arial" w:hAnsi="Arial"/>
          <w:sz w:val="18"/>
          <w:szCs w:val="18"/>
          <w:color w:val="auto"/>
        </w:rPr>
        <w:t>B. (i) all patents, patent applications and patentable inventions, including, without limitation, each issued patent and patent application identified in Schedule 1 attached hereto, (ii) all inventions and improvements described and claimed therein, (iii) the right to sue or otherwise recover for any and all past, present and future infringements and other violations thereof, (iv) all income, royalties, damages and other payments now and hereafter due and/or payable with respect thereto (including, without limitation, payments under all licenses entered into in connection therewith, payments arising out of any other sale, lease, license or other disposition thereof and damages and payments for past, present or future infringements and other violations thereof), (v) all reissues, divisions, continuations, continuations-in-part, substitutes, renewals, reexaminations and extensions thereof, all improvements thereon, and (vi) all other rights of any kind whatsoever of such Grantor accruing thereunder or pertaining thereto;</w:t>
      </w:r>
    </w:p>
    <w:p>
      <w:pPr>
        <w:spacing w:after="0" w:line="84" w:lineRule="exact"/>
        <w:rPr>
          <w:sz w:val="20"/>
          <w:szCs w:val="20"/>
          <w:color w:val="auto"/>
        </w:rPr>
      </w:pPr>
    </w:p>
    <w:p>
      <w:pPr>
        <w:ind w:left="420" w:firstLine="423"/>
        <w:spacing w:after="0" w:line="253" w:lineRule="auto"/>
        <w:rPr>
          <w:sz w:val="20"/>
          <w:szCs w:val="20"/>
          <w:color w:val="auto"/>
        </w:rPr>
      </w:pPr>
      <w:r>
        <w:rPr>
          <w:rFonts w:ascii="Arial" w:cs="Arial" w:eastAsia="Arial" w:hAnsi="Arial"/>
          <w:sz w:val="18"/>
          <w:szCs w:val="18"/>
          <w:color w:val="auto"/>
        </w:rPr>
        <w:t>C. (i) all copyrights, whether or not the underlying works of authorship have been published, and all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 attached hereto, (ii) the rights to print, publish and distribute any of the foregoing, (iii) the right to sue or otherwise recover for any and all past, present and future infringements and other violations thereof, (iv) all income, royalties, damages and other payments now and hereafter due and/or payable with respect thereto (including, without limitation, payments under all licenses entered into in connection therewith, payments arising out of any other sale, lease, license or other disposition thereof and damages and payments for past, present or future infringements and other violations thereof), and (v) all other rights of any kind whatsoever of such Grantor accruing thereunder or pertaining thereto; and</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 any and all proceeds of the foregoing.</w:t>
      </w:r>
    </w:p>
    <w:p>
      <w:pPr>
        <w:spacing w:after="0" w:line="117" w:lineRule="exact"/>
        <w:rPr>
          <w:sz w:val="20"/>
          <w:szCs w:val="20"/>
          <w:color w:val="auto"/>
        </w:rPr>
      </w:pPr>
    </w:p>
    <w:p>
      <w:pPr>
        <w:ind w:left="-20" w:right="500" w:firstLine="444"/>
        <w:spacing w:after="0" w:line="264" w:lineRule="auto"/>
        <w:tabs>
          <w:tab w:leader="none" w:pos="601"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Recordation</w:t>
      </w:r>
      <w:r>
        <w:rPr>
          <w:rFonts w:ascii="Arial" w:cs="Arial" w:eastAsia="Arial" w:hAnsi="Arial"/>
          <w:sz w:val="18"/>
          <w:szCs w:val="18"/>
          <w:color w:val="auto"/>
        </w:rPr>
        <w:t>. Each Grantor authorizes and requests that the Register of Copyrights, the Commissioner for Patents, the Commissioner for Trademarks and any other applicable government officer, as applicable, record this [Applicable Numbered Supplement] Supplemental Intellectual Property Security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B-2 - 2</w:t>
      </w:r>
    </w:p>
    <w:p>
      <w:pPr>
        <w:sectPr>
          <w:pgSz w:w="11900" w:h="16838" w:orient="portrait"/>
          <w:cols w:equalWidth="0" w:num="1">
            <w:col w:w="11000"/>
          </w:cols>
          <w:pgMar w:left="460" w:top="274" w:right="439" w:bottom="1440" w:gutter="0" w:footer="0" w:header="0"/>
        </w:sectPr>
      </w:pPr>
    </w:p>
    <w:bookmarkStart w:id="527" w:name="page528"/>
    <w:bookmarkEnd w:id="527"/>
    <w:p>
      <w:pPr>
        <w:ind w:left="-120" w:right="20" w:firstLine="444"/>
        <w:spacing w:after="0" w:line="264" w:lineRule="auto"/>
        <w:tabs>
          <w:tab w:leader="none" w:pos="501"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in Counterparts</w:t>
      </w:r>
      <w:r>
        <w:rPr>
          <w:rFonts w:ascii="Arial" w:cs="Arial" w:eastAsia="Arial" w:hAnsi="Arial"/>
          <w:sz w:val="18"/>
          <w:szCs w:val="18"/>
          <w:color w:val="auto"/>
        </w:rPr>
        <w:t>. This [Applicable Numbered Supplement] Supplemental Intellectual Property Security Agreement may be executed in any number of counterparts (including by facsimile or other electronic imaging means), each of which when so executed shall be deemed to be an original and all of which taken together shall constitute one and the same agreement.</w:t>
      </w:r>
    </w:p>
    <w:p>
      <w:pPr>
        <w:spacing w:after="0" w:line="73" w:lineRule="exact"/>
        <w:rPr>
          <w:rFonts w:ascii="Arial" w:cs="Arial" w:eastAsia="Arial" w:hAnsi="Arial"/>
          <w:sz w:val="18"/>
          <w:szCs w:val="18"/>
          <w:color w:val="auto"/>
        </w:rPr>
      </w:pPr>
    </w:p>
    <w:p>
      <w:pPr>
        <w:ind w:left="-120" w:right="80" w:firstLine="444"/>
        <w:spacing w:after="0" w:line="259" w:lineRule="auto"/>
        <w:tabs>
          <w:tab w:leader="none" w:pos="501"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[Applicable Numbered Supplement] Supplemental Intellectual Property Security Agreement and all claims or causes of action (whether in contract, tort or otherwise) that may be based upon, arise out of or relate in any way hereto or the negotiation, execution or performance thereof or the transactions contemplated hereby, unless otherwise expressly set forth therein, shall be governed by, and construed in accordance with, the law of the state of New York.</w:t>
      </w:r>
    </w:p>
    <w:p>
      <w:pPr>
        <w:spacing w:after="0" w:line="78" w:lineRule="exact"/>
        <w:rPr>
          <w:rFonts w:ascii="Arial" w:cs="Arial" w:eastAsia="Arial" w:hAnsi="Arial"/>
          <w:sz w:val="18"/>
          <w:szCs w:val="18"/>
          <w:color w:val="auto"/>
        </w:rPr>
      </w:pPr>
    </w:p>
    <w:p>
      <w:pPr>
        <w:ind w:left="-120" w:firstLine="444"/>
        <w:spacing w:after="0" w:line="293" w:lineRule="auto"/>
        <w:tabs>
          <w:tab w:leader="none" w:pos="501"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Conflict Provision</w:t>
      </w:r>
      <w:r>
        <w:rPr>
          <w:rFonts w:ascii="Arial" w:cs="Arial" w:eastAsia="Arial" w:hAnsi="Arial"/>
          <w:sz w:val="16"/>
          <w:szCs w:val="16"/>
          <w:color w:val="auto"/>
        </w:rPr>
        <w:t>. This [Applicable Numbered Supplement] Supplemental Intellectual Property Security Agreement has been entered into in conjunction with the provisions of the Guarantee and Collateral Agreement and the Bridge Facility Agreement. The rights and remedies of each party hereto with respect to the security interest granted herein are without prejudice to and are in addition to those set forth in the Guarantee and Collateral Agreement and the Bridge Facility Agreement, all terms and provisions of which are incorporated herein by reference. In the event that any provisions of this [Applicable Numbered Supplement] Supplemental Intellectual Property Security Agreement are in conflict with the Guarantee and Collateral Agreement or the Bridge Facility Agreement, the provisions of the Guarantee and Collateral Agreement or the Bridge Facility Agreement shall govern.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B-2 - 3</w:t>
      </w:r>
    </w:p>
    <w:p>
      <w:pPr>
        <w:sectPr>
          <w:pgSz w:w="11900" w:h="16838" w:orient="portrait"/>
          <w:cols w:equalWidth="0" w:num="1">
            <w:col w:w="10780"/>
          </w:cols>
          <w:pgMar w:left="560" w:top="273" w:right="559" w:bottom="1440" w:gutter="0" w:footer="0" w:header="0"/>
        </w:sectPr>
      </w:pPr>
    </w:p>
    <w:bookmarkStart w:id="528" w:name="page529"/>
    <w:bookmarkEnd w:id="528"/>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[Applicable Numbered Supplement] Supplemental Intellectual Property Security Agreement to be duly executed and delivered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GRANTOR]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MORGAN STANLEY SENIOR FUNDING, INC.</w:t>
      </w:r>
      <w:r>
        <w:rPr>
          <w:rFonts w:ascii="Arial" w:cs="Arial" w:eastAsia="Arial" w:hAnsi="Arial"/>
          <w:sz w:val="17"/>
          <w:szCs w:val="17"/>
          <w:color w:val="auto"/>
        </w:rPr>
        <w:t>, as</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B-2 - 4</w:t>
      </w:r>
    </w:p>
    <w:p>
      <w:pPr>
        <w:sectPr>
          <w:pgSz w:w="11900" w:h="16838" w:orient="portrait"/>
          <w:cols w:equalWidth="0" w:num="1">
            <w:col w:w="10660"/>
          </w:cols>
          <w:pgMar w:left="440" w:top="274" w:right="79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COPYRIGHTS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PATENTS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TRADEMARKS</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B-2 - 5</w:t>
      </w:r>
    </w:p>
    <w:p>
      <w:pPr>
        <w:sectPr>
          <w:pgSz w:w="11900" w:h="16838" w:orient="portrait"/>
          <w:cols w:equalWidth="0" w:num="1">
            <w:col w:w="10020"/>
          </w:cols>
          <w:pgMar w:left="1440" w:top="274" w:right="4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UNCERTIFICATED SECURITY CONTROL AGREEMENT</w:t>
      </w:r>
    </w:p>
    <w:p>
      <w:pPr>
        <w:spacing w:after="0" w:line="225"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This CONTROL AGREEMENT (as amended, restated, supplemented or otherwise modified from time to time, the “</w:t>
      </w:r>
      <w:r>
        <w:rPr>
          <w:rFonts w:ascii="Arial" w:cs="Arial" w:eastAsia="Arial" w:hAnsi="Arial"/>
          <w:sz w:val="16"/>
          <w:szCs w:val="16"/>
          <w:u w:val="single" w:color="auto"/>
          <w:color w:val="auto"/>
        </w:rPr>
        <w:t>Control Agreement</w:t>
      </w:r>
      <w:r>
        <w:rPr>
          <w:rFonts w:ascii="Arial" w:cs="Arial" w:eastAsia="Arial" w:hAnsi="Arial"/>
          <w:sz w:val="16"/>
          <w:szCs w:val="16"/>
          <w:color w:val="auto"/>
        </w:rPr>
        <w:t>”) dated as of _______ ___, ___, is made by and among _______________, a __________ corporation (the “</w:t>
      </w:r>
      <w:r>
        <w:rPr>
          <w:rFonts w:ascii="Arial" w:cs="Arial" w:eastAsia="Arial" w:hAnsi="Arial"/>
          <w:sz w:val="16"/>
          <w:szCs w:val="16"/>
          <w:u w:val="single" w:color="auto"/>
          <w:color w:val="auto"/>
        </w:rPr>
        <w:t>Grantor</w:t>
      </w:r>
      <w:r>
        <w:rPr>
          <w:rFonts w:ascii="Arial" w:cs="Arial" w:eastAsia="Arial" w:hAnsi="Arial"/>
          <w:sz w:val="16"/>
          <w:szCs w:val="16"/>
          <w:color w:val="auto"/>
        </w:rPr>
        <w:t>”), Morgan Stanley Senior Funding, Inc., as</w:t>
      </w:r>
    </w:p>
    <w:p>
      <w:pPr>
        <w:ind w:right="420"/>
        <w:spacing w:after="0" w:line="261" w:lineRule="auto"/>
        <w:rPr>
          <w:sz w:val="20"/>
          <w:szCs w:val="20"/>
          <w:color w:val="auto"/>
        </w:rPr>
      </w:pPr>
      <w:r>
        <w:rPr>
          <w:rFonts w:ascii="Arial" w:cs="Arial" w:eastAsia="Arial" w:hAnsi="Arial"/>
          <w:sz w:val="18"/>
          <w:szCs w:val="18"/>
          <w:color w:val="auto"/>
        </w:rPr>
        <w:t>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(as defined in the Guarantee and Collateral Agreement referred to below), and ____________, a ____________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84"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WHEREAS, the Grantor has granted to the Administrative Agent for the benefit of the Secured Parties a security interest in the uncertificated securities of the Issuer owned by the Grantor from time to time (collectively, the “</w:t>
      </w:r>
      <w:r>
        <w:rPr>
          <w:rFonts w:ascii="Arial" w:cs="Arial" w:eastAsia="Arial" w:hAnsi="Arial"/>
          <w:sz w:val="17"/>
          <w:szCs w:val="17"/>
          <w:u w:val="single" w:color="auto"/>
          <w:color w:val="auto"/>
        </w:rPr>
        <w:t>Pledged Securities</w:t>
      </w:r>
      <w:r>
        <w:rPr>
          <w:rFonts w:ascii="Arial" w:cs="Arial" w:eastAsia="Arial" w:hAnsi="Arial"/>
          <w:sz w:val="17"/>
          <w:szCs w:val="17"/>
          <w:color w:val="auto"/>
        </w:rPr>
        <w:t>”), and all additions thereto and substitutions and proceeds thereof (collectively, with the Pledged Securities, the “</w:t>
      </w:r>
      <w:r>
        <w:rPr>
          <w:rFonts w:ascii="Arial" w:cs="Arial" w:eastAsia="Arial" w:hAnsi="Arial"/>
          <w:sz w:val="17"/>
          <w:szCs w:val="17"/>
          <w:u w:val="single" w:color="auto"/>
          <w:color w:val="auto"/>
        </w:rPr>
        <w:t>Collateral</w:t>
      </w:r>
      <w:r>
        <w:rPr>
          <w:rFonts w:ascii="Arial" w:cs="Arial" w:eastAsia="Arial" w:hAnsi="Arial"/>
          <w:sz w:val="17"/>
          <w:szCs w:val="17"/>
          <w:color w:val="auto"/>
        </w:rPr>
        <w:t>”) pursuant to a Guarantee and Collateral Agreement, dated as of October 11, 2019 (as amended, restated, supplemented, replaced or otherwise modified from time to time, the “</w:t>
      </w:r>
      <w:r>
        <w:rPr>
          <w:rFonts w:ascii="Arial" w:cs="Arial" w:eastAsia="Arial" w:hAnsi="Arial"/>
          <w:sz w:val="17"/>
          <w:szCs w:val="17"/>
          <w:u w:val="single" w:color="auto"/>
          <w:color w:val="auto"/>
        </w:rPr>
        <w:t>Guarantee and Collateral Agreement</w:t>
      </w:r>
      <w:r>
        <w:rPr>
          <w:rFonts w:ascii="Arial" w:cs="Arial" w:eastAsia="Arial" w:hAnsi="Arial"/>
          <w:sz w:val="17"/>
          <w:szCs w:val="17"/>
          <w:color w:val="auto"/>
        </w:rPr>
        <w:t>”), among the Grantor and the other persons party thereto as grantors in favor of the Administrative Agent.</w:t>
      </w:r>
    </w:p>
    <w:p>
      <w:pPr>
        <w:spacing w:after="0" w:line="173"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WHEREAS, the following terms which are defined in Articles 8 and 9 of the Uniform Commercial Code in effect in the State of New York on the date hereof (the “</w:t>
      </w:r>
      <w:r>
        <w:rPr>
          <w:rFonts w:ascii="Arial" w:cs="Arial" w:eastAsia="Arial" w:hAnsi="Arial"/>
          <w:sz w:val="17"/>
          <w:szCs w:val="17"/>
          <w:u w:val="single" w:color="auto"/>
          <w:color w:val="auto"/>
        </w:rPr>
        <w:t>UCC</w:t>
      </w:r>
      <w:r>
        <w:rPr>
          <w:rFonts w:ascii="Arial" w:cs="Arial" w:eastAsia="Arial" w:hAnsi="Arial"/>
          <w:sz w:val="17"/>
          <w:szCs w:val="17"/>
          <w:color w:val="auto"/>
        </w:rPr>
        <w:t>”) are used herein as so defined: Adverse Claim, Control, Instruction, Proceeds and Uncertificated Security.</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62" w:lineRule="exact"/>
        <w:rPr>
          <w:sz w:val="20"/>
          <w:szCs w:val="20"/>
          <w:color w:val="auto"/>
        </w:rPr>
      </w:pPr>
    </w:p>
    <w:p>
      <w:pPr>
        <w:ind w:right="60" w:firstLine="444"/>
        <w:spacing w:after="0" w:line="255" w:lineRule="auto"/>
        <w:tabs>
          <w:tab w:leader="none" w:pos="62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Notice of Security Interest. The Grantor, the Administrative Agent and the Issuer are entering into this Control Agreement to perfect, and to confirm the priority of, the Administrative Agent’s security interest in the Collateral. The Issuer acknowledges that this Control Agreement constitutes written notification to the Issuer of the Administrative Agent’s security interest in the Collateral. The Issuer agrees to promptly make all necessary entries or notations in its books and records to reflect the Administrative Agent’s security interest in the Collateral and, upon request by the Administrative Agent, to register the Administrative Agent as the registered owner of any or all of the Pledged Securities. The Issuer acknowledges that the Administrative Agent has control over the Collateral.</w:t>
      </w:r>
    </w:p>
    <w:p>
      <w:pPr>
        <w:spacing w:after="0" w:line="85" w:lineRule="exact"/>
        <w:rPr>
          <w:rFonts w:ascii="Arial" w:cs="Arial" w:eastAsia="Arial" w:hAnsi="Arial"/>
          <w:sz w:val="18"/>
          <w:szCs w:val="18"/>
          <w:color w:val="auto"/>
        </w:rPr>
      </w:pPr>
    </w:p>
    <w:p>
      <w:pPr>
        <w:ind w:right="320" w:firstLine="444"/>
        <w:spacing w:after="0" w:line="286" w:lineRule="auto"/>
        <w:tabs>
          <w:tab w:leader="none" w:pos="621" w:val="left"/>
        </w:tabs>
        <w:numPr>
          <w:ilvl w:val="1"/>
          <w:numId w:val="507"/>
        </w:numPr>
        <w:rPr>
          <w:rFonts w:ascii="Arial" w:cs="Arial" w:eastAsia="Arial" w:hAnsi="Arial"/>
          <w:sz w:val="16"/>
          <w:szCs w:val="16"/>
          <w:color w:val="auto"/>
        </w:rPr>
      </w:pPr>
      <w:r>
        <w:rPr>
          <w:rFonts w:ascii="Arial" w:cs="Arial" w:eastAsia="Arial" w:hAnsi="Arial"/>
          <w:sz w:val="16"/>
          <w:szCs w:val="16"/>
          <w:color w:val="auto"/>
        </w:rPr>
        <w:t>Collateral. The Issuer hereby represents and warrants to, and agrees with the Grantor and the Administrative Agent that (i) the terms of any limited liability company interests or partnership interests included in the Collateral from time to time shall expressly provide that they are securities governed by Article 8 of the Uniform Commercial Code in effect from time to time in the State of [__________],</w:t>
      </w:r>
      <w:r>
        <w:rPr>
          <w:rFonts w:ascii="Arial" w:cs="Arial" w:eastAsia="Arial" w:hAnsi="Arial"/>
          <w:sz w:val="13"/>
          <w:szCs w:val="13"/>
          <w:color w:val="auto"/>
        </w:rPr>
        <w:t>1</w:t>
      </w:r>
      <w:r>
        <w:rPr>
          <w:rFonts w:ascii="Arial" w:cs="Arial" w:eastAsia="Arial" w:hAnsi="Arial"/>
          <w:sz w:val="16"/>
          <w:szCs w:val="16"/>
          <w:color w:val="auto"/>
        </w:rPr>
        <w:t xml:space="preserve"> (ii) the Pledged Securities are uncertificated securities, (iii) the issuer’s jurisdiction is, and during the term of this Control Agreement shall remain, the State of [____________],</w:t>
      </w:r>
    </w:p>
    <w:p>
      <w:pPr>
        <w:spacing w:after="0" w:line="1" w:lineRule="exact"/>
        <w:rPr>
          <w:rFonts w:ascii="Arial" w:cs="Arial" w:eastAsia="Arial" w:hAnsi="Arial"/>
          <w:sz w:val="16"/>
          <w:szCs w:val="16"/>
          <w:color w:val="auto"/>
        </w:rPr>
      </w:pPr>
    </w:p>
    <w:p>
      <w:pPr>
        <w:ind w:right="80" w:firstLine="4"/>
        <w:spacing w:after="0" w:line="255" w:lineRule="auto"/>
        <w:tabs>
          <w:tab w:leader="none" w:pos="305"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contains a true and complete description of the Pledged Securities as of the date hereof and (v) except for the claims and interests of the Administrative Agent and the Grantor in the Collateral, the Issuer does not know of any claim to or security interest or other interest in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6327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3" w:lineRule="exact"/>
        <w:rPr>
          <w:sz w:val="20"/>
          <w:szCs w:val="20"/>
          <w:color w:val="auto"/>
        </w:rPr>
      </w:pPr>
    </w:p>
    <w:p>
      <w:pPr>
        <w:ind w:left="440" w:hanging="436"/>
        <w:spacing w:after="0"/>
        <w:tabs>
          <w:tab w:leader="none" w:pos="440" w:val="left"/>
        </w:tabs>
        <w:numPr>
          <w:ilvl w:val="0"/>
          <w:numId w:val="509"/>
        </w:numPr>
        <w:rPr>
          <w:rFonts w:ascii="Arial" w:cs="Arial" w:eastAsia="Arial" w:hAnsi="Arial"/>
          <w:sz w:val="15"/>
          <w:szCs w:val="15"/>
          <w:color w:val="auto"/>
        </w:rPr>
      </w:pPr>
      <w:r>
        <w:rPr>
          <w:rFonts w:ascii="Arial" w:cs="Arial" w:eastAsia="Arial" w:hAnsi="Arial"/>
          <w:sz w:val="18"/>
          <w:szCs w:val="18"/>
          <w:color w:val="auto"/>
        </w:rPr>
        <w:t>Insert the “issuer’s jurisdiction” from clause (iii) of Section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11020"/>
          </w:cols>
          <w:pgMar w:left="440" w:top="274" w:right="439" w:bottom="1440" w:gutter="0" w:footer="0" w:header="0"/>
        </w:sectPr>
      </w:pPr>
    </w:p>
    <w:bookmarkStart w:id="531" w:name="page532"/>
    <w:bookmarkEnd w:id="531"/>
    <w:p>
      <w:pPr>
        <w:ind w:left="-20" w:right="60" w:firstLine="444"/>
        <w:spacing w:after="0" w:line="257" w:lineRule="auto"/>
        <w:tabs>
          <w:tab w:leader="none" w:pos="601"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The Issuer hereby agrees, upon written direction from the Administrative Agent and without further consent from the Grantor, (a) to comply with all instructions and directions of any kind originated by the Administrative Agent concerning the Collateral, to liquidate or otherwise dispose of the Collateral as and to the extent directed by the Administrative Agent and to pay over to the Administrative Agent all proceeds without any setoff or deduction, and (b) except as otherwise directed by the Administrative Agent, not to comply with the instructions or directions of any kind originated by the Grantor or any other person.</w:t>
      </w:r>
    </w:p>
    <w:p>
      <w:pPr>
        <w:spacing w:after="0" w:line="80" w:lineRule="exact"/>
        <w:rPr>
          <w:rFonts w:ascii="Arial" w:cs="Arial" w:eastAsia="Arial" w:hAnsi="Arial"/>
          <w:sz w:val="18"/>
          <w:szCs w:val="18"/>
          <w:color w:val="auto"/>
        </w:rPr>
      </w:pPr>
    </w:p>
    <w:p>
      <w:pPr>
        <w:ind w:left="-20" w:right="580" w:firstLine="444"/>
        <w:spacing w:after="0" w:line="259" w:lineRule="auto"/>
        <w:tabs>
          <w:tab w:leader="none" w:pos="60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Other Agreements. The Issuer shall notify promptly the Administrative Agent and the Grantor if any other person asserts any lien, encumbrance, claim (including any adverse claim) or security interest in or against any of the Collateral. In the event of any conflict between the provisions of this Control Agreement and any other agreement governing the Pledged Securities or the Collateral, the provisions of this Control Agreement shall control.</w:t>
      </w:r>
    </w:p>
    <w:p>
      <w:pPr>
        <w:spacing w:after="0" w:line="78" w:lineRule="exact"/>
        <w:rPr>
          <w:rFonts w:ascii="Arial" w:cs="Arial" w:eastAsia="Arial" w:hAnsi="Arial"/>
          <w:sz w:val="18"/>
          <w:szCs w:val="18"/>
          <w:color w:val="auto"/>
        </w:rPr>
      </w:pPr>
    </w:p>
    <w:p>
      <w:pPr>
        <w:ind w:left="-20" w:right="40" w:firstLine="444"/>
        <w:spacing w:after="0" w:line="277" w:lineRule="auto"/>
        <w:tabs>
          <w:tab w:leader="none" w:pos="60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Protection of Issuer. The Issuer may rely and shall be protected in acting upon any notice, instruction or other communication that it reasonably believes to be genuine and authorized.</w:t>
      </w:r>
    </w:p>
    <w:p>
      <w:pPr>
        <w:spacing w:after="0" w:line="62" w:lineRule="exact"/>
        <w:rPr>
          <w:rFonts w:ascii="Arial" w:cs="Arial" w:eastAsia="Arial" w:hAnsi="Arial"/>
          <w:sz w:val="18"/>
          <w:szCs w:val="18"/>
          <w:color w:val="auto"/>
        </w:rPr>
      </w:pPr>
    </w:p>
    <w:p>
      <w:pPr>
        <w:jc w:val="both"/>
        <w:ind w:left="-20" w:right="20" w:firstLine="444"/>
        <w:spacing w:after="0" w:line="259" w:lineRule="auto"/>
        <w:tabs>
          <w:tab w:leader="none" w:pos="60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Termination. This Control Agreement shall terminate automatically upon receipt by the Issuer of written notice executed by the Administrative Agent that (i) all of the obligations secured by the Collateral have been paid in full in immediately available funds other than contingent indemnification obligations as to which no claim has been asserted, or (ii) all of the Collateral has been released, whichever is sooner, and the Issuer shall thereafter be relieved of all duties and obligations hereunder.</w:t>
      </w:r>
    </w:p>
    <w:p>
      <w:pPr>
        <w:spacing w:after="0" w:line="78" w:lineRule="exact"/>
        <w:rPr>
          <w:rFonts w:ascii="Arial" w:cs="Arial" w:eastAsia="Arial" w:hAnsi="Arial"/>
          <w:sz w:val="18"/>
          <w:szCs w:val="18"/>
          <w:color w:val="auto"/>
        </w:rPr>
      </w:pPr>
    </w:p>
    <w:p>
      <w:pPr>
        <w:jc w:val="both"/>
        <w:ind w:left="-20" w:right="100" w:firstLine="444"/>
        <w:spacing w:after="0" w:line="276" w:lineRule="auto"/>
        <w:tabs>
          <w:tab w:leader="none" w:pos="601" w:val="left"/>
        </w:tabs>
        <w:numPr>
          <w:ilvl w:val="0"/>
          <w:numId w:val="510"/>
        </w:numPr>
        <w:rPr>
          <w:rFonts w:ascii="Arial" w:cs="Arial" w:eastAsia="Arial" w:hAnsi="Arial"/>
          <w:sz w:val="17"/>
          <w:szCs w:val="17"/>
          <w:color w:val="auto"/>
        </w:rPr>
      </w:pPr>
      <w:r>
        <w:rPr>
          <w:rFonts w:ascii="Arial" w:cs="Arial" w:eastAsia="Arial" w:hAnsi="Arial"/>
          <w:sz w:val="17"/>
          <w:szCs w:val="17"/>
          <w:color w:val="auto"/>
        </w:rPr>
        <w:t>Notices. All notices, requests and demands to or upon the respective parties hereto to be effective shall be in writing (including by facsimile or other electronic imaging means), and, unless otherwise expressly provided herein, shall be deemed to have been duly given or made when delivered, or three days after being deposited in the mail, postage prepaid, or, in the case of facsimile or electronic imaging notice, when received, to the Grantor’s and the Administrative Agent’s addresses as set forth in the Guarantee and Collateral Agreement, and to the Issuer’s address as set forth below, or to such other address as any party may give to the others in writing for such purpose: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 of Issuer]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8286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ind w:left="420"/>
        <w:spacing w:after="0"/>
        <w:tabs>
          <w:tab w:leader="none" w:pos="1480" w:val="left"/>
          <w:tab w:leader="none" w:pos="1780" w:val="left"/>
        </w:tabs>
        <w:rPr>
          <w:sz w:val="20"/>
          <w:szCs w:val="20"/>
          <w:color w:val="auto"/>
        </w:rPr>
      </w:pPr>
      <w:r>
        <w:rPr>
          <w:rFonts w:ascii="Arial" w:cs="Arial" w:eastAsia="Arial" w:hAnsi="Arial"/>
          <w:sz w:val="18"/>
          <w:szCs w:val="18"/>
          <w:color w:val="auto"/>
        </w:rPr>
        <w:t>Telephone: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-19050</wp:posOffset>
            </wp:positionV>
            <wp:extent cx="67627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676275" cy="8890"/>
                    </a:xfrm>
                    <a:prstGeom prst="rect">
                      <a:avLst/>
                    </a:prstGeom>
                    <a:noFill/>
                  </pic:spPr>
                </pic:pic>
              </a:graphicData>
            </a:graphic>
          </wp:anchor>
        </w:drawing>
      </w:r>
    </w:p>
    <w:p>
      <w:pPr>
        <w:ind w:left="420"/>
        <w:spacing w:after="0"/>
        <w:tabs>
          <w:tab w:leader="none" w:pos="1440" w:val="left"/>
          <w:tab w:leader="none" w:pos="1720" w:val="left"/>
        </w:tabs>
        <w:rPr>
          <w:sz w:val="20"/>
          <w:szCs w:val="20"/>
          <w:color w:val="auto"/>
        </w:rPr>
      </w:pPr>
      <w:r>
        <w:rPr>
          <w:rFonts w:ascii="Arial" w:cs="Arial" w:eastAsia="Arial" w:hAnsi="Arial"/>
          <w:sz w:val="18"/>
          <w:szCs w:val="18"/>
          <w:color w:val="auto"/>
        </w:rPr>
        <w:t>Facsimile: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-19050</wp:posOffset>
            </wp:positionV>
            <wp:extent cx="70485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704850" cy="8890"/>
                    </a:xfrm>
                    <a:prstGeom prst="rect">
                      <a:avLst/>
                    </a:prstGeom>
                    <a:noFill/>
                  </pic:spPr>
                </pic:pic>
              </a:graphicData>
            </a:graphic>
          </wp:anchor>
        </w:drawing>
      </w:r>
    </w:p>
    <w:p>
      <w:pPr>
        <w:spacing w:after="0" w:line="83" w:lineRule="exact"/>
        <w:rPr>
          <w:sz w:val="20"/>
          <w:szCs w:val="20"/>
          <w:color w:val="auto"/>
        </w:rPr>
      </w:pPr>
    </w:p>
    <w:p>
      <w:pPr>
        <w:ind w:left="-20" w:right="420" w:firstLine="444"/>
        <w:spacing w:after="0" w:line="277" w:lineRule="auto"/>
        <w:tabs>
          <w:tab w:leader="none" w:pos="601"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Amendments in Writing. None of the terms or provisions of this Control Agreement may be waived, amended, supplemented or otherwise modified except by a written instrument executed by the parties hereto.</w:t>
      </w:r>
    </w:p>
    <w:p>
      <w:pPr>
        <w:spacing w:after="0" w:line="62" w:lineRule="exact"/>
        <w:rPr>
          <w:rFonts w:ascii="Arial" w:cs="Arial" w:eastAsia="Arial" w:hAnsi="Arial"/>
          <w:sz w:val="18"/>
          <w:szCs w:val="18"/>
          <w:color w:val="auto"/>
        </w:rPr>
      </w:pPr>
    </w:p>
    <w:p>
      <w:pPr>
        <w:ind w:left="-20" w:right="20" w:firstLine="444"/>
        <w:spacing w:after="0" w:line="308" w:lineRule="auto"/>
        <w:tabs>
          <w:tab w:leader="none" w:pos="601" w:val="left"/>
        </w:tabs>
        <w:numPr>
          <w:ilvl w:val="0"/>
          <w:numId w:val="511"/>
        </w:numPr>
        <w:rPr>
          <w:rFonts w:ascii="Arial" w:cs="Arial" w:eastAsia="Arial" w:hAnsi="Arial"/>
          <w:sz w:val="17"/>
          <w:szCs w:val="17"/>
          <w:color w:val="auto"/>
        </w:rPr>
      </w:pPr>
      <w:r>
        <w:rPr>
          <w:rFonts w:ascii="Arial" w:cs="Arial" w:eastAsia="Arial" w:hAnsi="Arial"/>
          <w:sz w:val="17"/>
          <w:szCs w:val="17"/>
          <w:color w:val="auto"/>
        </w:rPr>
        <w:t>Entire Agreement. This Control Agreement and the Guarantee and Collateral Agreement constitute the entire agreement and supersede all other prior agreements and understandings, both written and oral, among the parties with respect to the subject matter hereof.</w:t>
      </w:r>
    </w:p>
    <w:p>
      <w:pPr>
        <w:spacing w:after="0" w:line="38" w:lineRule="exact"/>
        <w:rPr>
          <w:rFonts w:ascii="Arial" w:cs="Arial" w:eastAsia="Arial" w:hAnsi="Arial"/>
          <w:sz w:val="17"/>
          <w:szCs w:val="17"/>
          <w:color w:val="auto"/>
        </w:rPr>
      </w:pPr>
    </w:p>
    <w:p>
      <w:pPr>
        <w:ind w:left="-20" w:firstLine="444"/>
        <w:spacing w:after="0" w:line="264" w:lineRule="auto"/>
        <w:tabs>
          <w:tab w:leader="none" w:pos="691"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Execution in Counterparts. This Control Agreement may be executed in any number of counterparts (including by facsimile or other electronic imaging means), each of which when so executed shall be deemed to be an original and all of which taken together shall constitute one and the same agreement.</w:t>
      </w:r>
    </w:p>
    <w:p>
      <w:pPr>
        <w:spacing w:after="0" w:line="73" w:lineRule="exact"/>
        <w:rPr>
          <w:rFonts w:ascii="Arial" w:cs="Arial" w:eastAsia="Arial" w:hAnsi="Arial"/>
          <w:sz w:val="18"/>
          <w:szCs w:val="18"/>
          <w:color w:val="auto"/>
        </w:rPr>
      </w:pPr>
    </w:p>
    <w:p>
      <w:pPr>
        <w:ind w:left="-20" w:right="20" w:firstLine="444"/>
        <w:spacing w:after="0" w:line="264" w:lineRule="auto"/>
        <w:tabs>
          <w:tab w:leader="none" w:pos="68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Successors and Assigns.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Administrative Agent.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0980"/>
          </w:cols>
          <w:pgMar w:left="460" w:top="274" w:right="459" w:bottom="1440" w:gutter="0" w:footer="0" w:header="0"/>
        </w:sectPr>
      </w:pPr>
    </w:p>
    <w:bookmarkStart w:id="532" w:name="page533"/>
    <w:bookmarkEnd w:id="532"/>
    <w:p>
      <w:pPr>
        <w:ind w:left="-20" w:right="40" w:firstLine="444"/>
        <w:spacing w:after="0" w:line="302" w:lineRule="auto"/>
        <w:tabs>
          <w:tab w:leader="none" w:pos="691" w:val="left"/>
        </w:tabs>
        <w:numPr>
          <w:ilvl w:val="0"/>
          <w:numId w:val="5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and Jurisdiction. This Control Agreement has been delivered to and accepted by the Administrative Agent and will be deemed to be made in the State of New York. This Control Agreement and all claims or causes of action (whether in contract, tort or otherwise) that may be based upon, arise out of or relate in any way hereto or the negotiation, execution or performance thereof or the transactions contemplated hereby, unless otherwise expressly set forth therein, shall be governed by, and construed in accordance with, the law of the state of New York.</w:t>
      </w:r>
    </w:p>
    <w:p>
      <w:pPr>
        <w:spacing w:after="0" w:line="42" w:lineRule="exact"/>
        <w:rPr>
          <w:rFonts w:ascii="Arial" w:cs="Arial" w:eastAsia="Arial" w:hAnsi="Arial"/>
          <w:sz w:val="16"/>
          <w:szCs w:val="16"/>
          <w:color w:val="auto"/>
        </w:rPr>
      </w:pPr>
    </w:p>
    <w:p>
      <w:pPr>
        <w:ind w:left="-20" w:firstLine="444"/>
        <w:spacing w:after="0" w:line="254" w:lineRule="auto"/>
        <w:tabs>
          <w:tab w:leader="none" w:pos="691"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 EACH PARTY HERETO HEREBY IRREVOCABLY WAIVES, TO THE FULLEST EXTENT PERMITTED BY APPLICABLE LAW, ANY RIGHT IT MAY HAVE TO A TRIAL BY JURY IN ANY LEGAL PROCEEDING DIRECTLY OR INDIRECTLY ARISING OUT OF OR RELATING TO THIS CONTROL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1000"/>
          </w:cols>
          <w:pgMar w:left="460" w:top="273" w:right="439" w:bottom="1440" w:gutter="0" w:footer="0" w:header="0"/>
        </w:sectPr>
      </w:pPr>
    </w:p>
    <w:bookmarkStart w:id="533" w:name="page534"/>
    <w:bookmarkEnd w:id="53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Control Agreement to be duly executed and delivered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GRANTOR]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ISSUER]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- 4</w:t>
      </w:r>
    </w:p>
    <w:p>
      <w:pPr>
        <w:sectPr>
          <w:pgSz w:w="11900" w:h="16838" w:orient="portrait"/>
          <w:cols w:equalWidth="0" w:num="1">
            <w:col w:w="11000"/>
          </w:cols>
          <w:pgMar w:left="440" w:top="274" w:right="45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ASSUMPTION AGREEMENT, dated as of ____________, 20___, between ______________________, a _______________ corporation (the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Grantor</w:t>
      </w:r>
      <w:r>
        <w:rPr>
          <w:rFonts w:ascii="Arial" w:cs="Arial" w:eastAsia="Arial" w:hAnsi="Arial"/>
          <w:sz w:val="18"/>
          <w:szCs w:val="18"/>
          <w:color w:val="auto"/>
        </w:rPr>
        <w:t>”), and Morgan Stanley Senior Funding, Inc.,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(i) the banks and other financial institutions and entities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Bridge Facility Agreement referred to below, and (ii) the other Secured Parties (as defined in the Guarantee and Collateral Agreement (as hereinafter defined)). All capitalized terms not defined herein shall have the meaning ascribed to them in such Bridge Facility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E T H</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WHEREAS, [Post Holdings, Inc.][BellRing Brands, LLC (as successor borrower to Post Holdings,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and Morgan Stanley Senior Funding, Inc., as administrative agent have entered into a Bridge Facility Agreement, dated as of October 11, 2019 (as amended, restated, supplemented, replaced or otherwise modified from time to time, the “</w:t>
      </w:r>
      <w:r>
        <w:rPr>
          <w:rFonts w:ascii="Arial" w:cs="Arial" w:eastAsia="Arial" w:hAnsi="Arial"/>
          <w:sz w:val="17"/>
          <w:szCs w:val="17"/>
          <w:u w:val="single" w:color="auto"/>
          <w:color w:val="auto"/>
        </w:rPr>
        <w:t>Bridge Facility Agreement</w:t>
      </w:r>
      <w:r>
        <w:rPr>
          <w:rFonts w:ascii="Arial" w:cs="Arial" w:eastAsia="Arial" w:hAnsi="Arial"/>
          <w:sz w:val="17"/>
          <w:szCs w:val="17"/>
          <w:color w:val="auto"/>
        </w:rPr>
        <w:t>”);</w:t>
      </w:r>
    </w:p>
    <w:p>
      <w:pPr>
        <w:spacing w:after="0" w:line="16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WHEREAS, in connection with the Bridge Facility Agreement, the Borrower, certain of its Affiliates (other than the Additional Grantor), and the Administrative Agent have entered into the Guarantee and Collateral Agreement, dated as of October 11, 2019 (as amended, restated, supplemented, replaced or otherwise modified from time to time, the “</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Bridge Facility Agreement requires the Additional Grantor to become a party to the Guarantee and Collateral Agreement; and</w:t>
      </w:r>
    </w:p>
    <w:p>
      <w:pPr>
        <w:spacing w:after="0" w:line="24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80" w:firstLine="444"/>
        <w:spacing w:after="0" w:line="291" w:lineRule="auto"/>
        <w:tabs>
          <w:tab w:leader="none" w:pos="695" w:val="left"/>
        </w:tabs>
        <w:numPr>
          <w:ilvl w:val="0"/>
          <w:numId w:val="513"/>
        </w:numPr>
        <w:rPr>
          <w:rFonts w:ascii="Arial" w:cs="Arial" w:eastAsia="Arial" w:hAnsi="Arial"/>
          <w:sz w:val="16"/>
          <w:szCs w:val="16"/>
          <w:color w:val="auto"/>
        </w:rPr>
      </w:pPr>
      <w:r>
        <w:rPr>
          <w:rFonts w:ascii="Arial" w:cs="Arial" w:eastAsia="Arial" w:hAnsi="Arial"/>
          <w:sz w:val="16"/>
          <w:szCs w:val="16"/>
          <w:u w:val="single" w:color="auto"/>
          <w:color w:val="auto"/>
        </w:rPr>
        <w:t>Guarantee and Collateral Agreement</w:t>
      </w:r>
      <w:r>
        <w:rPr>
          <w:rFonts w:ascii="Arial" w:cs="Arial" w:eastAsia="Arial" w:hAnsi="Arial"/>
          <w:sz w:val="16"/>
          <w:szCs w:val="16"/>
          <w:color w:val="auto"/>
        </w:rPr>
        <w:t>. By executing and delivering this Assumption Agreement, the Additional Grantor, as provided in Section 8.14 of the Guarantee and Collateral Agreement, hereby becomes a party to the Guarantee and Collateral Agreement as a Guarantor and a Grantor thereunder with the same force and effect as if originally named therein as a Guarantor and a Grantor and, without limiting the generality of the foregoing, hereby expressly assumes all obligations and liabilities of a Guarantor and a Grantor thereunder. The information set forth in Annex 1-A hereto is hereby added to the information set forth in Schedules _____________</w:t>
      </w:r>
      <w:r>
        <w:rPr>
          <w:rFonts w:ascii="Arial" w:cs="Arial" w:eastAsia="Arial" w:hAnsi="Arial"/>
          <w:sz w:val="13"/>
          <w:szCs w:val="13"/>
          <w:color w:val="auto"/>
        </w:rPr>
        <w:t>3</w:t>
      </w:r>
      <w:r>
        <w:rPr>
          <w:rFonts w:ascii="Arial" w:cs="Arial" w:eastAsia="Arial" w:hAnsi="Arial"/>
          <w:sz w:val="16"/>
          <w:szCs w:val="16"/>
          <w:color w:val="auto"/>
        </w:rPr>
        <w:t xml:space="preserve"> to the Guarantee and Collateral Agreement. The Additional Grantor hereby represents and warrants that each of the representations and warranties contained in Article 4 of the Guarantee and Collateral Agreement is true and correct on and as of the date hereof (after giving effect to this Assumption Agreement) as if made on and as of such date.</w:t>
      </w:r>
    </w:p>
    <w:p>
      <w:pPr>
        <w:spacing w:after="0" w:line="55" w:lineRule="exact"/>
        <w:rPr>
          <w:rFonts w:ascii="Arial" w:cs="Arial" w:eastAsia="Arial" w:hAnsi="Arial"/>
          <w:sz w:val="16"/>
          <w:szCs w:val="16"/>
          <w:color w:val="auto"/>
        </w:rPr>
      </w:pPr>
    </w:p>
    <w:p>
      <w:pPr>
        <w:ind w:right="260" w:firstLine="444"/>
        <w:spacing w:after="0" w:line="258" w:lineRule="auto"/>
        <w:tabs>
          <w:tab w:leader="none" w:pos="695" w:val="left"/>
        </w:tabs>
        <w:numPr>
          <w:ilvl w:val="0"/>
          <w:numId w:val="51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AND ALL CLAIMS OR CAUSES OF ACTION (WHETHER IN CONTRACT, TORT OR OTHERWISE) THAT MAY BE BASED UPON, ARISE OUT OF OR RELATE IN ANY WAY HERETO OR THE NEGOTIATION, EXECUTION OR PERFORMANCE THEREOF OR THE TRANSACTIONS CONTEMPLATED HEREBY, UNLESS OTHERWISE EXPRESSLY SET FORTH THEREIN,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6327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440" w:hanging="436"/>
        <w:spacing w:after="0"/>
        <w:tabs>
          <w:tab w:leader="none" w:pos="440" w:val="left"/>
        </w:tabs>
        <w:numPr>
          <w:ilvl w:val="0"/>
          <w:numId w:val="514"/>
        </w:numPr>
        <w:rPr>
          <w:rFonts w:ascii="Arial" w:cs="Arial" w:eastAsia="Arial" w:hAnsi="Arial"/>
          <w:sz w:val="15"/>
          <w:szCs w:val="15"/>
          <w:color w:val="auto"/>
        </w:rPr>
      </w:pPr>
      <w:r>
        <w:rPr>
          <w:rFonts w:ascii="Arial" w:cs="Arial" w:eastAsia="Arial" w:hAnsi="Arial"/>
          <w:sz w:val="18"/>
          <w:szCs w:val="18"/>
          <w:color w:val="auto"/>
        </w:rPr>
        <w:t>Refer to each Schedule that needs to be supplemented.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1 - 1</w:t>
      </w:r>
    </w:p>
    <w:p>
      <w:pPr>
        <w:sectPr>
          <w:pgSz w:w="11900" w:h="16838" w:orient="portrait"/>
          <w:cols w:equalWidth="0" w:num="1">
            <w:col w:w="11020"/>
          </w:cols>
          <w:pgMar w:left="440" w:top="273" w:right="439" w:bottom="1440" w:gutter="0" w:footer="0" w:header="0"/>
        </w:sectPr>
      </w:pPr>
    </w:p>
    <w:bookmarkStart w:id="535" w:name="page536"/>
    <w:bookmarkEnd w:id="535"/>
    <w:p>
      <w:pPr>
        <w:ind w:firstLine="444"/>
        <w:spacing w:after="0" w:line="259" w:lineRule="auto"/>
        <w:tabs>
          <w:tab w:leader="none" w:pos="695"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 This Assumption Agreement will be binding upon and inure to the benefit of the parties hereto and their respective successors and assigns, except that the Additional Grantor may not assign, transfer or delegate any of its rights or obligations under this Assumption Agreement without the prior written consent of the Administrative Agent and any such assignment, transfer or delegation without such consent shall be null and void.</w:t>
      </w:r>
    </w:p>
    <w:p>
      <w:pPr>
        <w:spacing w:after="0" w:line="187"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IN WITNESS WHEREOF, the undersigned has caused this Assumption Agreement to be duly executed and delivered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[ADDITIONAL GRANTOR]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1 - 2</w:t>
      </w:r>
    </w:p>
    <w:p>
      <w:pPr>
        <w:sectPr>
          <w:pgSz w:w="11900" w:h="16838" w:orient="portrait"/>
          <w:cols w:equalWidth="0" w:num="1">
            <w:col w:w="10920"/>
          </w:cols>
          <w:pgMar w:left="440" w:top="274" w:right="5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SCHEDULES TO GUARANTEE AND COLLATERAL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S1 - 1</w:t>
      </w:r>
    </w:p>
    <w:p>
      <w:pPr>
        <w:sectPr>
          <w:pgSz w:w="11900" w:h="16838" w:orient="portrait"/>
          <w:cols w:equalWidth="0" w:num="1">
            <w:col w:w="10020"/>
          </w:cols>
          <w:pgMar w:left="1440" w:top="274" w:right="439" w:bottom="1440" w:gutter="0" w:footer="0" w:header="0"/>
        </w:sectPr>
      </w:pPr>
    </w:p>
    <w:bookmarkStart w:id="537" w:name="page538"/>
    <w:bookmarkEnd w:id="537"/>
    <w:p>
      <w:pPr>
        <w:jc w:val="center"/>
        <w:ind w:right="-10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color w:val="auto"/>
        </w:rPr>
        <w:t>NOTICE ADDRESSES OF GUARANTORS</w:t>
      </w:r>
    </w:p>
    <w:p>
      <w:pPr>
        <w:spacing w:after="0" w:line="256" w:lineRule="exact"/>
        <w:rPr>
          <w:sz w:val="20"/>
          <w:szCs w:val="20"/>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BE Partner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BEF Foods,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BEF Management,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BEF Restaurant Services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BellRing Brands,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Bob Evans Express,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Bob Evans Farms,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Bob Evans Farms,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Bob Evans Holding,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Bob Evans Transportation Company,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Casa Trucking,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Crystal Farms Dairy Company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Dymatize Enterprises,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Impact Real Properties,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Kettle Creations,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MCafe Holding,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M.G. Waldbaum Company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MFI Holding Corporation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MFI International,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Michael Foods Group,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Michael Foods,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Michael Foods of Delaware,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MOM Brands Company,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MOM Brands Sales,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National Pasteurized Eggs,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National Pasteurized Eggs,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Northern Star Co.</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Papetti’s Hygrade Egg Products,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PCB Battle Creek, LLC</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S1 - 2</w:t>
      </w:r>
    </w:p>
    <w:p>
      <w:pPr>
        <w:sectPr>
          <w:pgSz w:w="11900" w:h="16838" w:orient="portrait"/>
          <w:cols w:equalWidth="0" w:num="1">
            <w:col w:w="10019"/>
          </w:cols>
          <w:pgMar w:left="440" w:top="269" w:right="1440" w:bottom="1440" w:gutter="0" w:footer="0" w:header="0"/>
        </w:sectPr>
      </w:pPr>
    </w:p>
    <w:bookmarkStart w:id="538" w:name="page539"/>
    <w:bookmarkEnd w:id="538"/>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PHI Canada Holding Corp.</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Pineland Farms Potato Company,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Post Consumer Brands,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Post Foods,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Premier Nutrition Company,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Supreme Protein,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TA/DEI-A Acquisition Corp.</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Weetabix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mandatory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Executive Vice President, General Counsel and Chief Administrative Officer,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mandatory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Lewis Rice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Washington Avenue, 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Tom W. Zook and Steven C. Drapekin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S1 - 3</w:t>
      </w:r>
    </w:p>
    <w:p>
      <w:pPr>
        <w:sectPr>
          <w:pgSz w:w="11900" w:h="16838" w:orient="portrait"/>
          <w:cols w:equalWidth="0" w:num="1">
            <w:col w:w="10019"/>
          </w:cols>
          <w:pgMar w:left="440" w:top="273" w:right="1440"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BellRing Brands, Inc. of our report dated August 8, 2019 relating to the financial statement of BellRing Brands, Inc., which appears in this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2019</w:t>
      </w:r>
    </w:p>
    <w:p>
      <w:pPr>
        <w:sectPr>
          <w:pgSz w:w="11900" w:h="16838" w:orient="portrait"/>
          <w:cols w:equalWidth="0" w:num="1">
            <w:col w:w="11020"/>
          </w:cols>
          <w:pgMar w:left="440" w:top="121" w:right="4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hereby consent to the use in this Registration Statement on Form S-1 of BellRing Brands, Inc. of our report dated April 5, 2019 relating to the financial statements of Active Nutrition (the combination of Premier Nutrition Corporation, Dymatize Enterprises, LLC and Active Nutrition International GmbH of Post Holdings, Inc.),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5ACA49"/>
    <w:multiLevelType w:val="hybridMultilevel"/>
    <w:lvl w:ilvl="0">
      <w:lvlJc w:val="left"/>
      <w:lvlText w:val="(%1)"/>
      <w:numFmt w:val="decimal"/>
      <w:start w:val="1"/>
    </w:lvl>
  </w:abstractNum>
  <w:abstractNum w:abstractNumId="1">
    <w:nsid w:val="6835B2AE"/>
    <w:multiLevelType w:val="hybridMultilevel"/>
    <w:lvl w:ilvl="0">
      <w:lvlJc w:val="left"/>
      <w:lvlText w:val="(%1)"/>
      <w:numFmt w:val="decimal"/>
      <w:start w:val="1"/>
    </w:lvl>
  </w:abstractNum>
  <w:abstractNum w:abstractNumId="2">
    <w:nsid w:val="4C187C90"/>
    <w:multiLevelType w:val="hybridMultilevel"/>
    <w:lvl w:ilvl="0">
      <w:lvlJc w:val="left"/>
      <w:lvlText w:val="•"/>
      <w:numFmt w:val="bullet"/>
      <w:start w:val="1"/>
    </w:lvl>
  </w:abstractNum>
  <w:abstractNum w:abstractNumId="3">
    <w:nsid w:val="541F28CD"/>
    <w:multiLevelType w:val="hybridMultilevel"/>
    <w:lvl w:ilvl="0">
      <w:lvlJc w:val="left"/>
      <w:lvlText w:val="•"/>
      <w:numFmt w:val="bullet"/>
      <w:start w:val="1"/>
    </w:lvl>
  </w:abstractNum>
  <w:abstractNum w:abstractNumId="4">
    <w:nsid w:val="7F65FD16"/>
    <w:multiLevelType w:val="hybridMultilevel"/>
    <w:lvl w:ilvl="0">
      <w:lvlJc w:val="left"/>
      <w:lvlText w:val="•"/>
      <w:numFmt w:val="bullet"/>
      <w:start w:val="1"/>
    </w:lvl>
  </w:abstractNum>
  <w:abstractNum w:abstractNumId="5">
    <w:nsid w:val="77C9FD68"/>
    <w:multiLevelType w:val="hybridMultilevel"/>
    <w:lvl w:ilvl="0">
      <w:lvlJc w:val="left"/>
      <w:lvlText w:val="•"/>
      <w:numFmt w:val="bullet"/>
      <w:start w:val="1"/>
    </w:lvl>
  </w:abstractNum>
  <w:abstractNum w:abstractNumId="6">
    <w:nsid w:val="298A92BA"/>
    <w:multiLevelType w:val="hybridMultilevel"/>
    <w:lvl w:ilvl="0">
      <w:lvlJc w:val="left"/>
      <w:lvlText w:val="•"/>
      <w:numFmt w:val="bullet"/>
      <w:start w:val="1"/>
    </w:lvl>
  </w:abstractNum>
  <w:abstractNum w:abstractNumId="7">
    <w:nsid w:val="6FE95EAC"/>
    <w:multiLevelType w:val="hybridMultilevel"/>
    <w:lvl w:ilvl="0">
      <w:lvlJc w:val="left"/>
      <w:lvlText w:val="•"/>
      <w:numFmt w:val="bullet"/>
      <w:start w:val="1"/>
    </w:lvl>
  </w:abstractNum>
  <w:abstractNum w:abstractNumId="8">
    <w:nsid w:val="4B697C7A"/>
    <w:multiLevelType w:val="hybridMultilevel"/>
    <w:lvl w:ilvl="0">
      <w:lvlJc w:val="left"/>
      <w:lvlText w:val="•"/>
      <w:numFmt w:val="bullet"/>
      <w:start w:val="1"/>
    </w:lvl>
  </w:abstractNum>
  <w:abstractNum w:abstractNumId="9">
    <w:nsid w:val="51A27AA6"/>
    <w:multiLevelType w:val="hybridMultilevel"/>
    <w:lvl w:ilvl="0">
      <w:lvlJc w:val="left"/>
      <w:lvlText w:val="•"/>
      <w:numFmt w:val="bullet"/>
      <w:start w:val="1"/>
    </w:lvl>
  </w:abstractNum>
  <w:abstractNum w:abstractNumId="10">
    <w:nsid w:val="613183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634102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65BF9DA8"/>
    <w:multiLevelType w:val="hybridMultilevel"/>
    <w:lvl w:ilvl="0">
      <w:lvlJc w:val="left"/>
      <w:lvlText w:val="•"/>
      <w:numFmt w:val="bullet"/>
      <w:start w:val="1"/>
    </w:lvl>
  </w:abstractNum>
  <w:abstractNum w:abstractNumId="13">
    <w:nsid w:val="21A2ECCA"/>
    <w:multiLevelType w:val="hybridMultilevel"/>
    <w:lvl w:ilvl="0">
      <w:lvlJc w:val="left"/>
      <w:lvlText w:val="•"/>
      <w:numFmt w:val="bullet"/>
      <w:start w:val="1"/>
    </w:lvl>
  </w:abstractNum>
  <w:abstractNum w:abstractNumId="14">
    <w:nsid w:val="4D5C4899"/>
    <w:multiLevelType w:val="hybridMultilevel"/>
    <w:lvl w:ilvl="0">
      <w:lvlJc w:val="left"/>
      <w:lvlText w:val="(%1)"/>
      <w:numFmt w:val="lowerRoman"/>
      <w:start w:val="5"/>
    </w:lvl>
  </w:abstractNum>
  <w:abstractNum w:abstractNumId="15">
    <w:nsid w:val="3C3B72B2"/>
    <w:multiLevelType w:val="hybridMultilevel"/>
    <w:lvl w:ilvl="0">
      <w:lvlJc w:val="left"/>
      <w:lvlText w:val="•"/>
      <w:numFmt w:val="bullet"/>
      <w:start w:val="1"/>
    </w:lvl>
  </w:abstractNum>
  <w:abstractNum w:abstractNumId="16">
    <w:nsid w:val="155EC4C2"/>
    <w:multiLevelType w:val="hybridMultilevel"/>
    <w:lvl w:ilvl="0">
      <w:lvlJc w:val="left"/>
      <w:lvlText w:val="•"/>
      <w:numFmt w:val="bullet"/>
      <w:start w:val="1"/>
    </w:lvl>
  </w:abstractNum>
  <w:abstractNum w:abstractNumId="17">
    <w:nsid w:val="65D2A137"/>
    <w:multiLevelType w:val="hybridMultilevel"/>
    <w:lvl w:ilvl="0">
      <w:lvlJc w:val="left"/>
      <w:lvlText w:val="•"/>
      <w:numFmt w:val="bullet"/>
      <w:start w:val="1"/>
    </w:lvl>
  </w:abstractNum>
  <w:abstractNum w:abstractNumId="18">
    <w:nsid w:val="6EBB1F2A"/>
    <w:multiLevelType w:val="hybridMultilevel"/>
    <w:lvl w:ilvl="0">
      <w:lvlJc w:val="left"/>
      <w:lvlText w:val="•"/>
      <w:numFmt w:val="bullet"/>
      <w:start w:val="1"/>
    </w:lvl>
  </w:abstractNum>
  <w:abstractNum w:abstractNumId="19">
    <w:nsid w:val="6FBF29CB"/>
    <w:multiLevelType w:val="hybridMultilevel"/>
    <w:lvl w:ilvl="0">
      <w:lvlJc w:val="left"/>
      <w:lvlText w:val="•"/>
      <w:numFmt w:val="bullet"/>
      <w:start w:val="1"/>
    </w:lvl>
  </w:abstractNum>
  <w:abstractNum w:abstractNumId="20">
    <w:nsid w:val="550B8808"/>
    <w:multiLevelType w:val="hybridMultilevel"/>
    <w:lvl w:ilvl="0">
      <w:lvlJc w:val="left"/>
      <w:lvlText w:val="(%1)"/>
      <w:numFmt w:val="decimal"/>
      <w:start w:val="1"/>
    </w:lvl>
  </w:abstractNum>
  <w:abstractNum w:abstractNumId="21">
    <w:nsid w:val="34CC3ACF"/>
    <w:multiLevelType w:val="hybridMultilevel"/>
    <w:lvl w:ilvl="0">
      <w:lvlJc w:val="left"/>
      <w:lvlText w:val="•"/>
      <w:numFmt w:val="bullet"/>
      <w:start w:val="1"/>
    </w:lvl>
  </w:abstractNum>
  <w:abstractNum w:abstractNumId="22">
    <w:nsid w:val="4E556261"/>
    <w:multiLevelType w:val="hybridMultilevel"/>
    <w:lvl w:ilvl="0">
      <w:lvlJc w:val="left"/>
      <w:lvlText w:val="•"/>
      <w:numFmt w:val="bullet"/>
      <w:start w:val="1"/>
    </w:lvl>
  </w:abstractNum>
  <w:abstractNum w:abstractNumId="23">
    <w:nsid w:val="4C672FC9"/>
    <w:multiLevelType w:val="hybridMultilevel"/>
    <w:lvl w:ilvl="0">
      <w:lvlJc w:val="left"/>
      <w:lvlText w:val="•"/>
      <w:numFmt w:val="bullet"/>
      <w:start w:val="1"/>
    </w:lvl>
  </w:abstractNum>
  <w:abstractNum w:abstractNumId="24">
    <w:nsid w:val="52A311C3"/>
    <w:multiLevelType w:val="hybridMultilevel"/>
    <w:lvl w:ilvl="0">
      <w:lvlJc w:val="left"/>
      <w:lvlText w:val="•"/>
      <w:numFmt w:val="bullet"/>
      <w:start w:val="1"/>
    </w:lvl>
  </w:abstractNum>
  <w:abstractNum w:abstractNumId="25">
    <w:nsid w:val="44EF6B80"/>
    <w:multiLevelType w:val="hybridMultilevel"/>
    <w:lvl w:ilvl="0">
      <w:lvlJc w:val="left"/>
      <w:lvlText w:val="•"/>
      <w:numFmt w:val="bullet"/>
      <w:start w:val="1"/>
    </w:lvl>
  </w:abstractNum>
  <w:abstractNum w:abstractNumId="26">
    <w:nsid w:val="12FCDE5E"/>
    <w:multiLevelType w:val="hybridMultilevel"/>
    <w:lvl w:ilvl="0">
      <w:lvlJc w:val="left"/>
      <w:lvlText w:val="•"/>
      <w:numFmt w:val="bullet"/>
      <w:start w:val="1"/>
    </w:lvl>
  </w:abstractNum>
  <w:abstractNum w:abstractNumId="27">
    <w:nsid w:val="4A1D606E"/>
    <w:multiLevelType w:val="hybridMultilevel"/>
    <w:lvl w:ilvl="0">
      <w:lvlJc w:val="left"/>
      <w:lvlText w:val="•"/>
      <w:numFmt w:val="bullet"/>
      <w:start w:val="1"/>
    </w:lvl>
  </w:abstractNum>
  <w:abstractNum w:abstractNumId="28">
    <w:nsid w:val="4382503"/>
    <w:multiLevelType w:val="hybridMultilevel"/>
    <w:lvl w:ilvl="0">
      <w:lvlJc w:val="left"/>
      <w:lvlText w:val="•"/>
      <w:numFmt w:val="bullet"/>
      <w:start w:val="1"/>
    </w:lvl>
  </w:abstractNum>
  <w:abstractNum w:abstractNumId="29">
    <w:nsid w:val="59B76E28"/>
    <w:multiLevelType w:val="hybridMultilevel"/>
    <w:lvl w:ilvl="0">
      <w:lvlJc w:val="left"/>
      <w:lvlText w:val="•"/>
      <w:numFmt w:val="bullet"/>
      <w:start w:val="1"/>
    </w:lvl>
  </w:abstractNum>
  <w:abstractNum w:abstractNumId="30">
    <w:nsid w:val="4252C2DA"/>
    <w:multiLevelType w:val="hybridMultilevel"/>
    <w:lvl w:ilvl="0">
      <w:lvlJc w:val="left"/>
      <w:lvlText w:val="•"/>
      <w:numFmt w:val="bullet"/>
      <w:start w:val="1"/>
    </w:lvl>
  </w:abstractNum>
  <w:abstractNum w:abstractNumId="31">
    <w:nsid w:val="6A92EF4C"/>
    <w:multiLevelType w:val="hybridMultilevel"/>
    <w:lvl w:ilvl="0">
      <w:lvlJc w:val="left"/>
      <w:lvlText w:val="•"/>
      <w:numFmt w:val="bullet"/>
      <w:start w:val="1"/>
    </w:lvl>
  </w:abstractNum>
  <w:abstractNum w:abstractNumId="32">
    <w:nsid w:val="41ED20D7"/>
    <w:multiLevelType w:val="hybridMultilevel"/>
    <w:lvl w:ilvl="0">
      <w:lvlJc w:val="left"/>
      <w:lvlText w:val="•"/>
      <w:numFmt w:val="bullet"/>
      <w:start w:val="1"/>
    </w:lvl>
  </w:abstractNum>
  <w:abstractNum w:abstractNumId="33">
    <w:nsid w:val="E6B3F6A"/>
    <w:multiLevelType w:val="hybridMultilevel"/>
    <w:lvl w:ilvl="0">
      <w:lvlJc w:val="left"/>
      <w:lvlText w:val="•"/>
      <w:numFmt w:val="bullet"/>
      <w:start w:val="1"/>
    </w:lvl>
  </w:abstractNum>
  <w:abstractNum w:abstractNumId="34">
    <w:nsid w:val="3EB21819"/>
    <w:multiLevelType w:val="hybridMultilevel"/>
    <w:lvl w:ilvl="0">
      <w:lvlJc w:val="left"/>
      <w:lvlText w:val="•"/>
      <w:numFmt w:val="bullet"/>
      <w:start w:val="1"/>
    </w:lvl>
  </w:abstractNum>
  <w:abstractNum w:abstractNumId="35">
    <w:nsid w:val="41531DED"/>
    <w:multiLevelType w:val="hybridMultilevel"/>
    <w:lvl w:ilvl="0">
      <w:lvlJc w:val="left"/>
      <w:lvlText w:val="•"/>
      <w:numFmt w:val="bullet"/>
      <w:start w:val="1"/>
    </w:lvl>
  </w:abstractNum>
  <w:abstractNum w:abstractNumId="36">
    <w:nsid w:val="6353CD2"/>
    <w:multiLevelType w:val="hybridMultilevel"/>
    <w:lvl w:ilvl="0">
      <w:lvlJc w:val="left"/>
      <w:lvlText w:val="(%1)"/>
      <w:numFmt w:val="lowerLetter"/>
      <w:start w:val="1"/>
    </w:lvl>
    <w:lvl w:ilvl="1">
      <w:lvlJc w:val="left"/>
      <w:lvlText w:val="•"/>
      <w:numFmt w:val="bullet"/>
      <w:start w:val="1"/>
    </w:lvl>
  </w:abstractNum>
  <w:abstractNum w:abstractNumId="37">
    <w:nsid w:val="683CAAD3"/>
    <w:multiLevelType w:val="hybridMultilevel"/>
    <w:lvl w:ilvl="0">
      <w:lvlJc w:val="left"/>
      <w:lvlText w:val="(%1)"/>
      <w:numFmt w:val="lowerLetter"/>
      <w:start w:val="3"/>
    </w:lvl>
  </w:abstractNum>
  <w:abstractNum w:abstractNumId="38">
    <w:nsid w:val="313C7C99"/>
    <w:multiLevelType w:val="hybridMultilevel"/>
    <w:lvl w:ilvl="0">
      <w:lvlJc w:val="left"/>
      <w:lvlText w:val="(%1)"/>
      <w:numFmt w:val="decimal"/>
      <w:start w:val="1"/>
    </w:lvl>
  </w:abstractNum>
  <w:abstractNum w:abstractNumId="39">
    <w:nsid w:val="519EB94C"/>
    <w:multiLevelType w:val="hybridMultilevel"/>
    <w:lvl w:ilvl="0">
      <w:lvlJc w:val="left"/>
      <w:lvlText w:val="(%1)"/>
      <w:numFmt w:val="decimal"/>
      <w:start w:val="1"/>
    </w:lvl>
  </w:abstractNum>
  <w:abstractNum w:abstractNumId="40">
    <w:nsid w:val="39DF2579"/>
    <w:multiLevelType w:val="hybridMultilevel"/>
    <w:lvl w:ilvl="0">
      <w:lvlJc w:val="left"/>
      <w:lvlText w:val="%1."/>
      <w:numFmt w:val="lowerLetter"/>
      <w:start w:val="1"/>
    </w:lvl>
  </w:abstractNum>
  <w:abstractNum w:abstractNumId="41">
    <w:nsid w:val="126E008B"/>
    <w:multiLevelType w:val="hybridMultilevel"/>
    <w:lvl w:ilvl="0">
      <w:lvlJc w:val="left"/>
      <w:lvlText w:val="(%1)"/>
      <w:numFmt w:val="lowerRoman"/>
      <w:start w:val="2"/>
    </w:lvl>
  </w:abstractNum>
  <w:abstractNum w:abstractNumId="42">
    <w:nsid w:val="34DFBC00"/>
    <w:multiLevelType w:val="hybridMultilevel"/>
    <w:lvl w:ilvl="0">
      <w:lvlJc w:val="left"/>
      <w:lvlText w:val="%1."/>
      <w:numFmt w:val="lowerLetter"/>
      <w:start w:val="8"/>
    </w:lvl>
  </w:abstractNum>
  <w:abstractNum w:abstractNumId="43">
    <w:nsid w:val="1F9EC322"/>
    <w:multiLevelType w:val="hybridMultilevel"/>
    <w:lvl w:ilvl="0">
      <w:lvlJc w:val="left"/>
      <w:lvlText w:val="(%1)"/>
      <w:numFmt w:val="decimal"/>
      <w:start w:val="1"/>
    </w:lvl>
  </w:abstractNum>
  <w:abstractNum w:abstractNumId="44">
    <w:nsid w:val="3410ED56"/>
    <w:multiLevelType w:val="hybridMultilevel"/>
    <w:lvl w:ilvl="0">
      <w:lvlJc w:val="left"/>
      <w:lvlText w:val="(%1)"/>
      <w:numFmt w:val="lowerRoman"/>
      <w:start w:val="3"/>
    </w:lvl>
  </w:abstractNum>
  <w:abstractNum w:abstractNumId="45">
    <w:nsid w:val="23C049A"/>
    <w:multiLevelType w:val="hybridMultilevel"/>
    <w:lvl w:ilvl="0">
      <w:lvlJc w:val="left"/>
      <w:lvlText w:val="(%1)"/>
      <w:numFmt w:val="lowerLetter"/>
      <w:start w:val="1"/>
    </w:lvl>
  </w:abstractNum>
  <w:abstractNum w:abstractNumId="46">
    <w:nsid w:val="5BDA35D4"/>
    <w:multiLevelType w:val="hybridMultilevel"/>
    <w:lvl w:ilvl="0">
      <w:lvlJc w:val="left"/>
      <w:lvlText w:val="•"/>
      <w:numFmt w:val="bullet"/>
      <w:start w:val="1"/>
    </w:lvl>
  </w:abstractNum>
  <w:abstractNum w:abstractNumId="47">
    <w:nsid w:val="496FB218"/>
    <w:multiLevelType w:val="hybridMultilevel"/>
    <w:lvl w:ilvl="0">
      <w:lvlJc w:val="left"/>
      <w:lvlText w:val="•"/>
      <w:numFmt w:val="bullet"/>
      <w:start w:val="1"/>
    </w:lvl>
    <w:lvl w:ilvl="1">
      <w:lvlJc w:val="left"/>
      <w:lvlText w:val="(%2)"/>
      <w:numFmt w:val="lowerLetter"/>
      <w:start w:val="2"/>
    </w:lvl>
  </w:abstractNum>
  <w:abstractNum w:abstractNumId="48">
    <w:nsid w:val="680EA5D1"/>
    <w:multiLevelType w:val="hybridMultilevel"/>
    <w:lvl w:ilvl="0">
      <w:lvlJc w:val="left"/>
      <w:lvlText w:val="•"/>
      <w:numFmt w:val="bullet"/>
      <w:start w:val="1"/>
    </w:lvl>
  </w:abstractNum>
  <w:abstractNum w:abstractNumId="49">
    <w:nsid w:val="4A9554FE"/>
    <w:multiLevelType w:val="hybridMultilevel"/>
    <w:lvl w:ilvl="0">
      <w:lvlJc w:val="left"/>
      <w:lvlText w:val="•"/>
      <w:numFmt w:val="bullet"/>
      <w:start w:val="1"/>
    </w:lvl>
  </w:abstractNum>
  <w:abstractNum w:abstractNumId="50">
    <w:nsid w:val="392EDBE4"/>
    <w:multiLevelType w:val="hybridMultilevel"/>
    <w:lvl w:ilvl="0">
      <w:lvlJc w:val="left"/>
      <w:lvlText w:val="•"/>
      <w:numFmt w:val="bullet"/>
      <w:start w:val="1"/>
    </w:lvl>
  </w:abstractNum>
  <w:abstractNum w:abstractNumId="51">
    <w:nsid w:val="3D1A2DD9"/>
    <w:multiLevelType w:val="hybridMultilevel"/>
    <w:lvl w:ilvl="0">
      <w:lvlJc w:val="left"/>
      <w:lvlText w:val="•"/>
      <w:numFmt w:val="bullet"/>
      <w:start w:val="1"/>
    </w:lvl>
  </w:abstractNum>
  <w:abstractNum w:abstractNumId="52">
    <w:nsid w:val="7F618FCD"/>
    <w:multiLevelType w:val="hybridMultilevel"/>
    <w:lvl w:ilvl="0">
      <w:lvlJc w:val="left"/>
      <w:lvlText w:val="•"/>
      <w:numFmt w:val="bullet"/>
      <w:start w:val="1"/>
    </w:lvl>
  </w:abstractNum>
  <w:abstractNum w:abstractNumId="53">
    <w:nsid w:val="7843E45"/>
    <w:multiLevelType w:val="hybridMultilevel"/>
    <w:lvl w:ilvl="0">
      <w:lvlJc w:val="left"/>
      <w:lvlText w:val="•"/>
      <w:numFmt w:val="bullet"/>
      <w:start w:val="1"/>
    </w:lvl>
  </w:abstractNum>
  <w:abstractNum w:abstractNumId="54">
    <w:nsid w:val="9815DA3"/>
    <w:multiLevelType w:val="hybridMultilevel"/>
    <w:lvl w:ilvl="0">
      <w:lvlJc w:val="left"/>
      <w:lvlText w:val="•"/>
      <w:numFmt w:val="bullet"/>
      <w:start w:val="1"/>
    </w:lvl>
  </w:abstractNum>
  <w:abstractNum w:abstractNumId="55">
    <w:nsid w:val="5204A191"/>
    <w:multiLevelType w:val="hybridMultilevel"/>
    <w:lvl w:ilvl="0">
      <w:lvlJc w:val="left"/>
      <w:lvlText w:val="•"/>
      <w:numFmt w:val="bullet"/>
      <w:start w:val="1"/>
    </w:lvl>
  </w:abstractNum>
  <w:abstractNum w:abstractNumId="56">
    <w:nsid w:val="4C73A9C6"/>
    <w:multiLevelType w:val="hybridMultilevel"/>
    <w:lvl w:ilvl="0">
      <w:lvlJc w:val="left"/>
      <w:lvlText w:val="(%1)"/>
      <w:numFmt w:val="lowerLetter"/>
      <w:start w:val="1"/>
    </w:lvl>
  </w:abstractNum>
  <w:abstractNum w:abstractNumId="57">
    <w:nsid w:val="1C7E3C01"/>
    <w:multiLevelType w:val="hybridMultilevel"/>
    <w:lvl w:ilvl="0">
      <w:lvlJc w:val="left"/>
      <w:lvlText w:val="(%1)"/>
      <w:numFmt w:val="lowerLetter"/>
      <w:start w:val="1"/>
    </w:lvl>
  </w:abstractNum>
  <w:abstractNum w:abstractNumId="58">
    <w:nsid w:val="1C2201FF"/>
    <w:multiLevelType w:val="hybridMultilevel"/>
    <w:lvl w:ilvl="0">
      <w:lvlJc w:val="left"/>
      <w:lvlText w:val="•"/>
      <w:numFmt w:val="bullet"/>
      <w:start w:val="1"/>
    </w:lvl>
  </w:abstractNum>
  <w:abstractNum w:abstractNumId="59">
    <w:nsid w:val="50ABCEC9"/>
    <w:multiLevelType w:val="hybridMultilevel"/>
    <w:lvl w:ilvl="0">
      <w:lvlJc w:val="left"/>
      <w:lvlText w:val="•"/>
      <w:numFmt w:val="bullet"/>
      <w:start w:val="1"/>
    </w:lvl>
  </w:abstractNum>
  <w:abstractNum w:abstractNumId="60">
    <w:nsid w:val="7635AA2A"/>
    <w:multiLevelType w:val="hybridMultilevel"/>
    <w:lvl w:ilvl="0">
      <w:lvlJc w:val="left"/>
      <w:lvlText w:val="•"/>
      <w:numFmt w:val="bullet"/>
      <w:start w:val="1"/>
    </w:lvl>
  </w:abstractNum>
  <w:abstractNum w:abstractNumId="61">
    <w:nsid w:val="5E74C4D9"/>
    <w:multiLevelType w:val="hybridMultilevel"/>
    <w:lvl w:ilvl="0">
      <w:lvlJc w:val="left"/>
      <w:lvlText w:val="•"/>
      <w:numFmt w:val="bullet"/>
      <w:start w:val="1"/>
    </w:lvl>
  </w:abstractNum>
  <w:abstractNum w:abstractNumId="62">
    <w:nsid w:val="3B3EBE15"/>
    <w:multiLevelType w:val="hybridMultilevel"/>
    <w:lvl w:ilvl="0">
      <w:lvlJc w:val="left"/>
      <w:lvlText w:val="•"/>
      <w:numFmt w:val="bullet"/>
      <w:start w:val="1"/>
    </w:lvl>
  </w:abstractNum>
  <w:abstractNum w:abstractNumId="63">
    <w:nsid w:val="3822CB01"/>
    <w:multiLevelType w:val="hybridMultilevel"/>
    <w:lvl w:ilvl="0">
      <w:lvlJc w:val="left"/>
      <w:lvlText w:val="•"/>
      <w:numFmt w:val="bullet"/>
      <w:start w:val="1"/>
    </w:lvl>
  </w:abstractNum>
  <w:abstractNum w:abstractNumId="64">
    <w:nsid w:val="6CE00443"/>
    <w:multiLevelType w:val="hybridMultilevel"/>
    <w:lvl w:ilvl="0">
      <w:lvlJc w:val="left"/>
      <w:lvlText w:val="•"/>
      <w:numFmt w:val="bullet"/>
      <w:start w:val="1"/>
    </w:lvl>
  </w:abstractNum>
  <w:abstractNum w:abstractNumId="65">
    <w:nsid w:val="79F0D62F"/>
    <w:multiLevelType w:val="hybridMultilevel"/>
    <w:lvl w:ilvl="0">
      <w:lvlJc w:val="left"/>
      <w:lvlText w:val="•"/>
      <w:numFmt w:val="bullet"/>
      <w:start w:val="1"/>
    </w:lvl>
  </w:abstractNum>
  <w:abstractNum w:abstractNumId="66">
    <w:nsid w:val="7975E8EE"/>
    <w:multiLevelType w:val="hybridMultilevel"/>
    <w:lvl w:ilvl="0">
      <w:lvlJc w:val="left"/>
      <w:lvlText w:val="•"/>
      <w:numFmt w:val="bullet"/>
      <w:start w:val="1"/>
    </w:lvl>
  </w:abstractNum>
  <w:abstractNum w:abstractNumId="67">
    <w:nsid w:val="73154115"/>
    <w:multiLevelType w:val="hybridMultilevel"/>
    <w:lvl w:ilvl="0">
      <w:lvlJc w:val="left"/>
      <w:lvlText w:val="•"/>
      <w:numFmt w:val="bullet"/>
      <w:start w:val="1"/>
    </w:lvl>
  </w:abstractNum>
  <w:abstractNum w:abstractNumId="68">
    <w:nsid w:val="622D8102"/>
    <w:multiLevelType w:val="hybridMultilevel"/>
    <w:lvl w:ilvl="0">
      <w:lvlJc w:val="left"/>
      <w:lvlText w:val="•"/>
      <w:numFmt w:val="bullet"/>
      <w:start w:val="1"/>
    </w:lvl>
  </w:abstractNum>
  <w:abstractNum w:abstractNumId="69">
    <w:nsid w:val="2AB26587"/>
    <w:multiLevelType w:val="hybridMultilevel"/>
    <w:lvl w:ilvl="0">
      <w:lvlJc w:val="left"/>
      <w:lvlText w:val="•"/>
      <w:numFmt w:val="bullet"/>
      <w:start w:val="1"/>
    </w:lvl>
  </w:abstractNum>
  <w:abstractNum w:abstractNumId="70">
    <w:nsid w:val="44B3FA61"/>
    <w:multiLevelType w:val="hybridMultilevel"/>
    <w:lvl w:ilvl="0">
      <w:lvlJc w:val="left"/>
      <w:lvlText w:val="(%1)"/>
      <w:numFmt w:val="decimal"/>
      <w:start w:val="1"/>
    </w:lvl>
  </w:abstractNum>
  <w:abstractNum w:abstractNumId="71">
    <w:nsid w:val="1C0CA67C"/>
    <w:multiLevelType w:val="hybridMultilevel"/>
    <w:lvl w:ilvl="0">
      <w:lvlJc w:val="left"/>
      <w:lvlText w:val="(%1)"/>
      <w:numFmt w:val="decimal"/>
      <w:start w:val="4"/>
    </w:lvl>
  </w:abstractNum>
  <w:abstractNum w:abstractNumId="72">
    <w:nsid w:val="3D206613"/>
    <w:multiLevelType w:val="hybridMultilevel"/>
    <w:lvl w:ilvl="0">
      <w:lvlJc w:val="left"/>
      <w:lvlText w:val="(%1)"/>
      <w:numFmt w:val="decimal"/>
      <w:start w:val="5"/>
    </w:lvl>
  </w:abstractNum>
  <w:abstractNum w:abstractNumId="73">
    <w:nsid w:val="7993B662"/>
    <w:multiLevelType w:val="hybridMultilevel"/>
    <w:lvl w:ilvl="0">
      <w:lvlJc w:val="left"/>
      <w:lvlText w:val="(%1)"/>
      <w:numFmt w:val="decimal"/>
      <w:start w:val="1"/>
    </w:lvl>
  </w:abstractNum>
  <w:abstractNum w:abstractNumId="74">
    <w:nsid w:val="3BAB699E"/>
    <w:multiLevelType w:val="hybridMultilevel"/>
    <w:lvl w:ilvl="0">
      <w:lvlJc w:val="left"/>
      <w:lvlText w:val="•"/>
      <w:numFmt w:val="bullet"/>
      <w:start w:val="1"/>
    </w:lvl>
  </w:abstractNum>
  <w:abstractNum w:abstractNumId="75">
    <w:nsid w:val="71315369"/>
    <w:multiLevelType w:val="hybridMultilevel"/>
    <w:lvl w:ilvl="0">
      <w:lvlJc w:val="left"/>
      <w:lvlText w:val="(%1)"/>
      <w:numFmt w:val="lowerRoman"/>
      <w:start w:val="1"/>
    </w:lvl>
  </w:abstractNum>
  <w:abstractNum w:abstractNumId="76">
    <w:nsid w:val="7BCFBAFC"/>
    <w:multiLevelType w:val="hybridMultilevel"/>
    <w:lvl w:ilvl="0">
      <w:lvlJc w:val="left"/>
      <w:lvlText w:val="•"/>
      <w:numFmt w:val="bullet"/>
      <w:start w:val="1"/>
    </w:lvl>
  </w:abstractNum>
  <w:abstractNum w:abstractNumId="77">
    <w:nsid w:val="17859F72"/>
    <w:multiLevelType w:val="hybridMultilevel"/>
    <w:lvl w:ilvl="0">
      <w:lvlJc w:val="left"/>
      <w:lvlText w:val="•"/>
      <w:numFmt w:val="bullet"/>
      <w:start w:val="1"/>
    </w:lvl>
  </w:abstractNum>
  <w:abstractNum w:abstractNumId="78">
    <w:nsid w:val="3AA10581"/>
    <w:multiLevelType w:val="hybridMultilevel"/>
    <w:lvl w:ilvl="0">
      <w:lvlJc w:val="left"/>
      <w:lvlText w:val="•"/>
      <w:numFmt w:val="bullet"/>
      <w:start w:val="1"/>
    </w:lvl>
    <w:lvl w:ilvl="1">
      <w:lvlJc w:val="left"/>
      <w:lvlText w:val="•"/>
      <w:numFmt w:val="bullet"/>
      <w:start w:val="1"/>
    </w:lvl>
  </w:abstractNum>
  <w:abstractNum w:abstractNumId="79">
    <w:nsid w:val="63DE60CD"/>
    <w:multiLevelType w:val="hybridMultilevel"/>
    <w:lvl w:ilvl="0">
      <w:lvlJc w:val="left"/>
      <w:lvlText w:val="•"/>
      <w:numFmt w:val="bullet"/>
      <w:start w:val="1"/>
    </w:lvl>
    <w:lvl w:ilvl="1">
      <w:lvlJc w:val="left"/>
      <w:lvlText w:val="•"/>
      <w:numFmt w:val="bullet"/>
      <w:start w:val="1"/>
    </w:lvl>
  </w:abstractNum>
  <w:abstractNum w:abstractNumId="80">
    <w:nsid w:val="621AF471"/>
    <w:multiLevelType w:val="hybridMultilevel"/>
    <w:lvl w:ilvl="0">
      <w:lvlJc w:val="left"/>
      <w:lvlText w:val="•"/>
      <w:numFmt w:val="bullet"/>
      <w:start w:val="1"/>
    </w:lvl>
  </w:abstractNum>
  <w:abstractNum w:abstractNumId="81">
    <w:nsid w:val="73CFE165"/>
    <w:multiLevelType w:val="hybridMultilevel"/>
    <w:lvl w:ilvl="0">
      <w:lvlJc w:val="left"/>
      <w:lvlText w:val="•"/>
      <w:numFmt w:val="bullet"/>
      <w:start w:val="1"/>
    </w:lvl>
  </w:abstractNum>
  <w:abstractNum w:abstractNumId="82">
    <w:nsid w:val="20F88EA6"/>
    <w:multiLevelType w:val="hybridMultilevel"/>
    <w:lvl w:ilvl="0">
      <w:lvlJc w:val="left"/>
      <w:lvlText w:val="*"/>
      <w:numFmt w:val="bullet"/>
      <w:start w:val="1"/>
    </w:lvl>
  </w:abstractNum>
  <w:abstractNum w:abstractNumId="83">
    <w:nsid w:val="617C843E"/>
    <w:multiLevelType w:val="hybridMultilevel"/>
    <w:lvl w:ilvl="0">
      <w:lvlJc w:val="left"/>
      <w:lvlText w:val="(%1)"/>
      <w:numFmt w:val="decimal"/>
      <w:start w:val="1"/>
    </w:lvl>
  </w:abstractNum>
  <w:abstractNum w:abstractNumId="84">
    <w:nsid w:val="7B541FAB"/>
    <w:multiLevelType w:val="hybridMultilevel"/>
    <w:lvl w:ilvl="0">
      <w:lvlJc w:val="left"/>
      <w:lvlText w:val="(%1)"/>
      <w:numFmt w:val="lowerRoman"/>
      <w:start w:val="4"/>
    </w:lvl>
  </w:abstractNum>
  <w:abstractNum w:abstractNumId="85">
    <w:nsid w:val="2A79EC49"/>
    <w:multiLevelType w:val="hybridMultilevel"/>
    <w:lvl w:ilvl="0">
      <w:lvlJc w:val="left"/>
      <w:lvlText w:val="(%1)"/>
      <w:numFmt w:val="lowerRoman"/>
      <w:start w:val="3"/>
    </w:lvl>
  </w:abstractNum>
  <w:abstractNum w:abstractNumId="86">
    <w:nsid w:val="338125CF"/>
    <w:multiLevelType w:val="hybridMultilevel"/>
    <w:lvl w:ilvl="0">
      <w:lvlJc w:val="left"/>
      <w:lvlText w:val="(%1)"/>
      <w:numFmt w:val="lowerRoman"/>
      <w:start w:val="3"/>
    </w:lvl>
  </w:abstractNum>
  <w:abstractNum w:abstractNumId="87">
    <w:nsid w:val="47C7C971"/>
    <w:multiLevelType w:val="hybridMultilevel"/>
    <w:lvl w:ilvl="0">
      <w:lvlJc w:val="left"/>
      <w:lvlText w:val="•"/>
      <w:numFmt w:val="bullet"/>
      <w:start w:val="1"/>
    </w:lvl>
  </w:abstractNum>
  <w:abstractNum w:abstractNumId="88">
    <w:nsid w:val="46F8284B"/>
    <w:multiLevelType w:val="hybridMultilevel"/>
    <w:lvl w:ilvl="0">
      <w:lvlJc w:val="left"/>
      <w:lvlText w:val="•"/>
      <w:numFmt w:val="bullet"/>
      <w:start w:val="1"/>
    </w:lvl>
  </w:abstractNum>
  <w:abstractNum w:abstractNumId="89">
    <w:nsid w:val="4FA327CE"/>
    <w:multiLevelType w:val="hybridMultilevel"/>
    <w:lvl w:ilvl="0">
      <w:lvlJc w:val="left"/>
      <w:lvlText w:val="•"/>
      <w:numFmt w:val="bullet"/>
      <w:start w:val="1"/>
    </w:lvl>
  </w:abstractNum>
  <w:abstractNum w:abstractNumId="90">
    <w:nsid w:val="1873983A"/>
    <w:multiLevelType w:val="hybridMultilevel"/>
    <w:lvl w:ilvl="0">
      <w:lvlJc w:val="left"/>
      <w:lvlText w:val="•"/>
      <w:numFmt w:val="bullet"/>
      <w:start w:val="1"/>
    </w:lvl>
  </w:abstractNum>
  <w:abstractNum w:abstractNumId="91">
    <w:nsid w:val="3D2DD275"/>
    <w:multiLevelType w:val="hybridMultilevel"/>
    <w:lvl w:ilvl="0">
      <w:lvlJc w:val="left"/>
      <w:lvlText w:val="•"/>
      <w:numFmt w:val="bullet"/>
      <w:start w:val="1"/>
    </w:lvl>
  </w:abstractNum>
  <w:abstractNum w:abstractNumId="92">
    <w:nsid w:val="2E17ECA7"/>
    <w:multiLevelType w:val="hybridMultilevel"/>
    <w:lvl w:ilvl="0">
      <w:lvlJc w:val="left"/>
      <w:lvlText w:val="•"/>
      <w:numFmt w:val="bullet"/>
      <w:start w:val="1"/>
    </w:lvl>
  </w:abstractNum>
  <w:abstractNum w:abstractNumId="93">
    <w:nsid w:val="53B2564F"/>
    <w:multiLevelType w:val="hybridMultilevel"/>
    <w:lvl w:ilvl="0">
      <w:lvlJc w:val="left"/>
      <w:lvlText w:val="•"/>
      <w:numFmt w:val="bullet"/>
      <w:start w:val="1"/>
    </w:lvl>
  </w:abstractNum>
  <w:abstractNum w:abstractNumId="94">
    <w:nsid w:val="75509D76"/>
    <w:multiLevelType w:val="hybridMultilevel"/>
    <w:lvl w:ilvl="0">
      <w:lvlJc w:val="left"/>
      <w:lvlText w:val="•"/>
      <w:numFmt w:val="bullet"/>
      <w:start w:val="1"/>
    </w:lvl>
  </w:abstractNum>
  <w:abstractNum w:abstractNumId="95">
    <w:nsid w:val="1AF7F0EA"/>
    <w:multiLevelType w:val="hybridMultilevel"/>
    <w:lvl w:ilvl="0">
      <w:lvlJc w:val="left"/>
      <w:lvlText w:val="(%1)"/>
      <w:numFmt w:val="decimal"/>
      <w:start w:val="1"/>
    </w:lvl>
  </w:abstractNum>
  <w:abstractNum w:abstractNumId="96">
    <w:nsid w:val="4DA32C7E"/>
    <w:multiLevelType w:val="hybridMultilevel"/>
    <w:lvl w:ilvl="0">
      <w:lvlJc w:val="left"/>
      <w:lvlText w:val="•"/>
      <w:numFmt w:val="bullet"/>
      <w:start w:val="1"/>
    </w:lvl>
  </w:abstractNum>
  <w:abstractNum w:abstractNumId="97">
    <w:nsid w:val="6EC68664"/>
    <w:multiLevelType w:val="hybridMultilevel"/>
    <w:lvl w:ilvl="0">
      <w:lvlJc w:val="left"/>
      <w:lvlText w:val="•"/>
      <w:numFmt w:val="bullet"/>
      <w:start w:val="1"/>
    </w:lvl>
  </w:abstractNum>
  <w:abstractNum w:abstractNumId="98">
    <w:nsid w:val="E0D31FF"/>
    <w:multiLevelType w:val="hybridMultilevel"/>
    <w:lvl w:ilvl="0">
      <w:lvlJc w:val="left"/>
      <w:lvlText w:val="•"/>
      <w:numFmt w:val="bullet"/>
      <w:start w:val="1"/>
    </w:lvl>
  </w:abstractNum>
  <w:abstractNum w:abstractNumId="99">
    <w:nsid w:val="2FD0AD81"/>
    <w:multiLevelType w:val="hybridMultilevel"/>
    <w:lvl w:ilvl="0">
      <w:lvlJc w:val="left"/>
      <w:lvlText w:val="•"/>
      <w:numFmt w:val="bullet"/>
      <w:start w:val="1"/>
    </w:lvl>
  </w:abstractNum>
  <w:abstractNum w:abstractNumId="100">
    <w:nsid w:val="1978EBEB"/>
    <w:multiLevelType w:val="hybridMultilevel"/>
    <w:lvl w:ilvl="0">
      <w:lvlJc w:val="left"/>
      <w:lvlText w:val="(%1)"/>
      <w:numFmt w:val="lowerRoman"/>
      <w:start w:val="1"/>
    </w:lvl>
  </w:abstractNum>
  <w:abstractNum w:abstractNumId="101">
    <w:nsid w:val="52C12C61"/>
    <w:multiLevelType w:val="hybridMultilevel"/>
    <w:lvl w:ilvl="0">
      <w:lvlJc w:val="left"/>
      <w:lvlText w:val="•"/>
      <w:numFmt w:val="bullet"/>
      <w:start w:val="1"/>
    </w:lvl>
  </w:abstractNum>
  <w:abstractNum w:abstractNumId="102">
    <w:nsid w:val="4BDD53FD"/>
    <w:multiLevelType w:val="hybridMultilevel"/>
    <w:lvl w:ilvl="0">
      <w:lvlJc w:val="left"/>
      <w:lvlText w:val="•"/>
      <w:numFmt w:val="bullet"/>
      <w:start w:val="1"/>
    </w:lvl>
  </w:abstractNum>
  <w:abstractNum w:abstractNumId="103">
    <w:nsid w:val="569951FE"/>
    <w:multiLevelType w:val="hybridMultilevel"/>
    <w:lvl w:ilvl="0">
      <w:lvlJc w:val="left"/>
      <w:lvlText w:val="•"/>
      <w:numFmt w:val="bullet"/>
      <w:start w:val="1"/>
    </w:lvl>
  </w:abstractNum>
  <w:abstractNum w:abstractNumId="104">
    <w:nsid w:val="4C54E2C3"/>
    <w:multiLevelType w:val="hybridMultilevel"/>
    <w:lvl w:ilvl="0">
      <w:lvlJc w:val="left"/>
      <w:lvlText w:val="•"/>
      <w:numFmt w:val="bullet"/>
      <w:start w:val="1"/>
    </w:lvl>
  </w:abstractNum>
  <w:abstractNum w:abstractNumId="105">
    <w:nsid w:val="788BD9B"/>
    <w:multiLevelType w:val="hybridMultilevel"/>
    <w:lvl w:ilvl="0">
      <w:lvlJc w:val="left"/>
      <w:lvlText w:val="•"/>
      <w:numFmt w:val="bullet"/>
      <w:start w:val="1"/>
    </w:lvl>
  </w:abstractNum>
  <w:abstractNum w:abstractNumId="106">
    <w:nsid w:val="47CAA567"/>
    <w:multiLevelType w:val="hybridMultilevel"/>
    <w:lvl w:ilvl="0">
      <w:lvlJc w:val="left"/>
      <w:lvlText w:val="•"/>
      <w:numFmt w:val="bullet"/>
      <w:start w:val="1"/>
    </w:lvl>
  </w:abstractNum>
  <w:abstractNum w:abstractNumId="107">
    <w:nsid w:val="48249DBF"/>
    <w:multiLevelType w:val="hybridMultilevel"/>
    <w:lvl w:ilvl="0">
      <w:lvlJc w:val="left"/>
      <w:lvlText w:val="•"/>
      <w:numFmt w:val="bullet"/>
      <w:start w:val="1"/>
    </w:lvl>
    <w:lvl w:ilvl="1">
      <w:lvlJc w:val="left"/>
      <w:lvlText w:val="(%2)"/>
      <w:numFmt w:val="decimal"/>
      <w:start w:val="2"/>
    </w:lvl>
  </w:abstractNum>
  <w:abstractNum w:abstractNumId="108">
    <w:nsid w:val="1F0E5D0D"/>
    <w:multiLevelType w:val="hybridMultilevel"/>
    <w:lvl w:ilvl="0">
      <w:lvlJc w:val="left"/>
      <w:lvlText w:val="(%1)"/>
      <w:numFmt w:val="lowerLetter"/>
      <w:start w:val="2"/>
    </w:lvl>
  </w:abstractNum>
  <w:abstractNum w:abstractNumId="109">
    <w:nsid w:val="26BAAE9"/>
    <w:multiLevelType w:val="hybridMultilevel"/>
    <w:lvl w:ilvl="0">
      <w:lvlJc w:val="left"/>
      <w:lvlText w:val="•"/>
      <w:numFmt w:val="bullet"/>
      <w:start w:val="1"/>
    </w:lvl>
  </w:abstractNum>
  <w:abstractNum w:abstractNumId="110">
    <w:nsid w:val="2C02FE8C"/>
    <w:multiLevelType w:val="hybridMultilevel"/>
    <w:lvl w:ilvl="0">
      <w:lvlJc w:val="left"/>
      <w:lvlText w:val="•"/>
      <w:numFmt w:val="bullet"/>
      <w:start w:val="1"/>
    </w:lvl>
  </w:abstractNum>
  <w:abstractNum w:abstractNumId="111">
    <w:nsid w:val="129517E"/>
    <w:multiLevelType w:val="hybridMultilevel"/>
    <w:lvl w:ilvl="0">
      <w:lvlJc w:val="left"/>
      <w:lvlText w:val="$"/>
      <w:numFmt w:val="bullet"/>
      <w:start w:val="1"/>
    </w:lvl>
  </w:abstractNum>
  <w:abstractNum w:abstractNumId="112">
    <w:nsid w:val="763B8C4E"/>
    <w:multiLevelType w:val="hybridMultilevel"/>
    <w:lvl w:ilvl="0">
      <w:lvlJc w:val="left"/>
      <w:lvlText w:val="(%1)"/>
      <w:numFmt w:val="upperLetter"/>
      <w:start w:val="1"/>
    </w:lvl>
    <w:lvl w:ilvl="1">
      <w:lvlJc w:val="left"/>
      <w:lvlText w:val="•"/>
      <w:numFmt w:val="bullet"/>
      <w:start w:val="1"/>
    </w:lvl>
  </w:abstractNum>
  <w:abstractNum w:abstractNumId="113">
    <w:nsid w:val="4CFB8D32"/>
    <w:multiLevelType w:val="hybridMultilevel"/>
    <w:lvl w:ilvl="0">
      <w:lvlJc w:val="left"/>
      <w:lvlText w:val="•"/>
      <w:numFmt w:val="bullet"/>
      <w:start w:val="1"/>
    </w:lvl>
  </w:abstractNum>
  <w:abstractNum w:abstractNumId="114">
    <w:nsid w:val="62A5D5BD"/>
    <w:multiLevelType w:val="hybridMultilevel"/>
    <w:lvl w:ilvl="0">
      <w:lvlJc w:val="left"/>
      <w:lvlText w:val="•"/>
      <w:numFmt w:val="bullet"/>
      <w:start w:val="1"/>
    </w:lvl>
  </w:abstractNum>
  <w:abstractNum w:abstractNumId="115">
    <w:nsid w:val="718FABF9"/>
    <w:multiLevelType w:val="hybridMultilevel"/>
    <w:lvl w:ilvl="0">
      <w:lvlJc w:val="left"/>
      <w:lvlText w:val="&amp;"/>
      <w:numFmt w:val="bullet"/>
      <w:start w:val="1"/>
    </w:lvl>
  </w:abstractNum>
  <w:abstractNum w:abstractNumId="116">
    <w:nsid w:val="7775797C"/>
    <w:multiLevelType w:val="hybridMultilevel"/>
    <w:lvl w:ilvl="0">
      <w:lvlJc w:val="left"/>
      <w:lvlText w:val="•"/>
      <w:numFmt w:val="bullet"/>
      <w:start w:val="1"/>
    </w:lvl>
  </w:abstractNum>
  <w:abstractNum w:abstractNumId="117">
    <w:nsid w:val="1626FB8C"/>
    <w:multiLevelType w:val="hybridMultilevel"/>
    <w:lvl w:ilvl="0">
      <w:lvlJc w:val="left"/>
      <w:lvlText w:val="(%1)"/>
      <w:numFmt w:val="lowerLetter"/>
      <w:start w:val="4"/>
    </w:lvl>
  </w:abstractNum>
  <w:abstractNum w:abstractNumId="118">
    <w:nsid w:val="3957756A"/>
    <w:multiLevelType w:val="hybridMultilevel"/>
    <w:lvl w:ilvl="0">
      <w:lvlJc w:val="left"/>
      <w:lvlText w:val="(%1)"/>
      <w:numFmt w:val="lowerRoman"/>
      <w:start w:val="3"/>
    </w:lvl>
  </w:abstractNum>
  <w:abstractNum w:abstractNumId="119">
    <w:nsid w:val="3E6DA1C7"/>
    <w:multiLevelType w:val="hybridMultilevel"/>
    <w:lvl w:ilvl="0">
      <w:lvlJc w:val="left"/>
      <w:lvlText w:val="$"/>
      <w:numFmt w:val="bullet"/>
      <w:start w:val="1"/>
    </w:lvl>
  </w:abstractNum>
  <w:abstractNum w:abstractNumId="120">
    <w:nsid w:val="65CA235B"/>
    <w:multiLevelType w:val="hybridMultilevel"/>
    <w:lvl w:ilvl="0">
      <w:lvlJc w:val="left"/>
      <w:lvlText w:val="$"/>
      <w:numFmt w:val="bullet"/>
      <w:start w:val="1"/>
    </w:lvl>
  </w:abstractNum>
  <w:abstractNum w:abstractNumId="121">
    <w:nsid w:val="51CB0DA4"/>
    <w:multiLevelType w:val="hybridMultilevel"/>
    <w:lvl w:ilvl="0">
      <w:lvlJc w:val="left"/>
      <w:lvlText w:val="(%1)"/>
      <w:numFmt w:val="lowerLetter"/>
      <w:start w:val="1"/>
    </w:lvl>
  </w:abstractNum>
  <w:abstractNum w:abstractNumId="122">
    <w:nsid w:val="7B9B743C"/>
    <w:multiLevelType w:val="hybridMultilevel"/>
    <w:lvl w:ilvl="0">
      <w:lvlJc w:val="left"/>
      <w:lvlText w:val="(%1)"/>
      <w:numFmt w:val="lowerLetter"/>
      <w:start w:val="1"/>
    </w:lvl>
  </w:abstractNum>
  <w:abstractNum w:abstractNumId="123">
    <w:nsid w:val="13E21002"/>
    <w:multiLevelType w:val="hybridMultilevel"/>
    <w:lvl w:ilvl="0">
      <w:lvlJc w:val="left"/>
      <w:lvlText w:val="•"/>
      <w:numFmt w:val="bullet"/>
      <w:start w:val="1"/>
    </w:lvl>
  </w:abstractNum>
  <w:abstractNum w:abstractNumId="124">
    <w:nsid w:val="257D63F4"/>
    <w:multiLevelType w:val="hybridMultilevel"/>
    <w:lvl w:ilvl="0">
      <w:lvlJc w:val="left"/>
      <w:lvlText w:val="(%1)"/>
      <w:numFmt w:val="lowerLetter"/>
      <w:start w:val="1"/>
    </w:lvl>
  </w:abstractNum>
  <w:abstractNum w:abstractNumId="125">
    <w:nsid w:val="70EC11B2"/>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5"/>
    </w:lvl>
  </w:abstractNum>
  <w:abstractNum w:abstractNumId="126">
    <w:nsid w:val="2EDA00ED"/>
    <w:multiLevelType w:val="hybridMultilevel"/>
    <w:lvl w:ilvl="0">
      <w:lvlJc w:val="left"/>
      <w:lvlText w:val="*"/>
      <w:numFmt w:val="bullet"/>
      <w:start w:val="1"/>
    </w:lvl>
  </w:abstractNum>
  <w:abstractNum w:abstractNumId="127">
    <w:nsid w:val="73209072"/>
    <w:multiLevelType w:val="hybridMultilevel"/>
    <w:lvl w:ilvl="0">
      <w:lvlJc w:val="left"/>
      <w:lvlText w:val="†"/>
      <w:numFmt w:val="bullet"/>
      <w:start w:val="1"/>
    </w:lvl>
    <w:lvl w:ilvl="1">
      <w:lvlJc w:val="left"/>
      <w:lvlText w:val="%2"/>
      <w:numFmt w:val="upperLetter"/>
      <w:start w:val="35"/>
    </w:lvl>
  </w:abstractNum>
  <w:abstractNum w:abstractNumId="128">
    <w:nsid w:val="5FB29816"/>
    <w:multiLevelType w:val="hybridMultilevel"/>
    <w:lvl w:ilvl="0">
      <w:lvlJc w:val="left"/>
      <w:lvlText w:val="(%1)"/>
      <w:numFmt w:val="lowerLetter"/>
      <w:start w:val="35"/>
    </w:lvl>
    <w:lvl w:ilvl="1">
      <w:lvlJc w:val="left"/>
      <w:lvlText w:val="(%2)"/>
      <w:numFmt w:val="lowerLetter"/>
      <w:start w:val="1"/>
    </w:lvl>
  </w:abstractNum>
  <w:abstractNum w:abstractNumId="129">
    <w:nsid w:val="3CE732EC"/>
    <w:multiLevelType w:val="hybridMultilevel"/>
    <w:lvl w:ilvl="0">
      <w:lvlJc w:val="left"/>
      <w:lvlText w:val="(%1)"/>
      <w:numFmt w:val="lowerLetter"/>
      <w:start w:val="1"/>
    </w:lvl>
  </w:abstractNum>
  <w:abstractNum w:abstractNumId="130">
    <w:nsid w:val="22F13DF3"/>
    <w:multiLevelType w:val="hybridMultilevel"/>
    <w:lvl w:ilvl="0">
      <w:lvlJc w:val="left"/>
      <w:lvlText w:val="(%1)"/>
      <w:numFmt w:val="lowerRoman"/>
      <w:start w:val="6"/>
    </w:lvl>
  </w:abstractNum>
  <w:abstractNum w:abstractNumId="131">
    <w:nsid w:val="792B8401"/>
    <w:multiLevelType w:val="hybridMultilevel"/>
    <w:lvl w:ilvl="0">
      <w:lvlJc w:val="left"/>
      <w:lvlText w:val="(%1)"/>
      <w:numFmt w:val="lowerLetter"/>
      <w:start w:val="1"/>
    </w:lvl>
  </w:abstractNum>
  <w:abstractNum w:abstractNumId="132">
    <w:nsid w:val="FA85F4D"/>
    <w:multiLevelType w:val="hybridMultilevel"/>
    <w:lvl w:ilvl="0">
      <w:lvlJc w:val="left"/>
      <w:lvlText w:val="(%1)"/>
      <w:numFmt w:val="lowerLetter"/>
      <w:start w:val="35"/>
    </w:lvl>
  </w:abstractNum>
  <w:abstractNum w:abstractNumId="133">
    <w:nsid w:val="6ECE91F0"/>
    <w:multiLevelType w:val="hybridMultilevel"/>
    <w:lvl w:ilvl="0">
      <w:lvlJc w:val="left"/>
      <w:lvlText w:val="(%1)"/>
      <w:numFmt w:val="lowerLetter"/>
      <w:start w:val="1"/>
    </w:lvl>
  </w:abstractNum>
  <w:abstractNum w:abstractNumId="134">
    <w:nsid w:val="4FC4D600"/>
    <w:multiLevelType w:val="hybridMultilevel"/>
    <w:lvl w:ilvl="0">
      <w:lvlJc w:val="left"/>
      <w:lvlText w:val="(%1)"/>
      <w:numFmt w:val="lowerLetter"/>
      <w:start w:val="1"/>
    </w:lvl>
    <w:lvl w:ilvl="1">
      <w:lvlJc w:val="left"/>
      <w:lvlText w:val="(%2)"/>
      <w:numFmt w:val="lowerRoman"/>
      <w:start w:val="1"/>
    </w:lvl>
  </w:abstractNum>
  <w:abstractNum w:abstractNumId="135">
    <w:nsid w:val="5BFD4210"/>
    <w:multiLevelType w:val="hybridMultilevel"/>
    <w:lvl w:ilvl="0">
      <w:lvlJc w:val="left"/>
      <w:lvlText w:val="(%1)"/>
      <w:numFmt w:val="lowerRoman"/>
      <w:start w:val="2"/>
    </w:lvl>
  </w:abstractNum>
  <w:abstractNum w:abstractNumId="136">
    <w:nsid w:val="76574F8B"/>
    <w:multiLevelType w:val="hybridMultilevel"/>
    <w:lvl w:ilvl="0">
      <w:lvlJc w:val="left"/>
      <w:lvlText w:val="(%1)"/>
      <w:numFmt w:val="lowerLetter"/>
      <w:start w:val="1"/>
    </w:lvl>
    <w:lvl w:ilvl="1">
      <w:lvlJc w:val="left"/>
      <w:lvlText w:val="(%2)"/>
      <w:numFmt w:val="lowerRoman"/>
      <w:start w:val="1"/>
    </w:lvl>
  </w:abstractNum>
  <w:abstractNum w:abstractNumId="137">
    <w:nsid w:val="178F7B67"/>
    <w:multiLevelType w:val="hybridMultilevel"/>
    <w:lvl w:ilvl="0">
      <w:lvlJc w:val="left"/>
      <w:lvlText w:val="%1"/>
      <w:numFmt w:val="lowerLetter"/>
      <w:start w:val="1"/>
    </w:lvl>
    <w:lvl w:ilvl="1">
      <w:lvlJc w:val="left"/>
      <w:lvlText w:val="(%2)"/>
      <w:numFmt w:val="lowerRoman"/>
      <w:start w:val="3"/>
    </w:lvl>
  </w:abstractNum>
  <w:abstractNum w:abstractNumId="138">
    <w:nsid w:val="2421DFCF"/>
    <w:multiLevelType w:val="hybridMultilevel"/>
    <w:lvl w:ilvl="0">
      <w:lvlJc w:val="left"/>
      <w:lvlText w:val="(%1)"/>
      <w:numFmt w:val="lowerLetter"/>
      <w:start w:val="2"/>
    </w:lvl>
    <w:lvl w:ilvl="1">
      <w:lvlJc w:val="left"/>
      <w:lvlText w:val="%2"/>
      <w:numFmt w:val="lowerRoman"/>
      <w:start w:val="1"/>
    </w:lvl>
  </w:abstractNum>
  <w:abstractNum w:abstractNumId="139">
    <w:nsid w:val="1565AC99"/>
    <w:multiLevelType w:val="hybridMultilevel"/>
    <w:lvl w:ilvl="0">
      <w:lvlJc w:val="left"/>
      <w:lvlText w:val="(%1)"/>
      <w:numFmt w:val="lowerLetter"/>
      <w:start w:val="4"/>
    </w:lvl>
    <w:lvl w:ilvl="1">
      <w:lvlJc w:val="left"/>
      <w:lvlText w:val="(%2)"/>
      <w:numFmt w:val="lowerRoman"/>
      <w:start w:val="1"/>
    </w:lvl>
  </w:abstractNum>
  <w:abstractNum w:abstractNumId="140">
    <w:nsid w:val="19FB26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1">
    <w:nsid w:val="5024DE5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142">
    <w:nsid w:val="168EFE17"/>
    <w:multiLevelType w:val="hybridMultilevel"/>
    <w:lvl w:ilvl="0">
      <w:lvlJc w:val="left"/>
      <w:lvlText w:val="(%1)"/>
      <w:numFmt w:val="lowerRoman"/>
      <w:start w:val="9"/>
    </w:lvl>
  </w:abstractNum>
  <w:abstractNum w:abstractNumId="143">
    <w:nsid w:val="1036B29F"/>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44">
    <w:nsid w:val="1D206B8E"/>
    <w:multiLevelType w:val="hybridMultilevel"/>
    <w:lvl w:ilvl="0">
      <w:lvlJc w:val="left"/>
      <w:lvlText w:val="(%1)"/>
      <w:numFmt w:val="lowerRoman"/>
      <w:start w:val="5"/>
    </w:lvl>
  </w:abstractNum>
  <w:abstractNum w:abstractNumId="145">
    <w:nsid w:val="7934D3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46">
    <w:nsid w:val="1C65E98"/>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3"/>
    </w:lvl>
  </w:abstractNum>
  <w:abstractNum w:abstractNumId="147">
    <w:nsid w:val="1495E50A"/>
    <w:multiLevelType w:val="hybridMultilevel"/>
    <w:lvl w:ilvl="0">
      <w:lvlJc w:val="left"/>
      <w:lvlText w:val="(%1)"/>
      <w:numFmt w:val="lowerRoman"/>
      <w:start w:val="5"/>
    </w:lvl>
  </w:abstractNum>
  <w:abstractNum w:abstractNumId="148">
    <w:nsid w:val="F5BCF61"/>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49">
    <w:nsid w:val="3B1DD403"/>
    <w:multiLevelType w:val="hybridMultilevel"/>
    <w:lvl w:ilvl="0">
      <w:lvlJc w:val="left"/>
      <w:lvlText w:val="(%1)"/>
      <w:numFmt w:val="lowerLetter"/>
      <w:start w:val="1"/>
    </w:lvl>
  </w:abstractNum>
  <w:abstractNum w:abstractNumId="150">
    <w:nsid w:val="530386D1"/>
    <w:multiLevelType w:val="hybridMultilevel"/>
    <w:lvl w:ilvl="0">
      <w:lvlJc w:val="left"/>
      <w:lvlText w:val="(%1)"/>
      <w:numFmt w:val="lowerLetter"/>
      <w:start w:val="5"/>
    </w:lvl>
  </w:abstractNum>
  <w:abstractNum w:abstractNumId="151">
    <w:nsid w:val="7525F2BC"/>
    <w:multiLevelType w:val="hybridMultilevel"/>
    <w:lvl w:ilvl="0">
      <w:lvlJc w:val="left"/>
      <w:lvlText w:val="(%1)"/>
      <w:numFmt w:val="lowerLetter"/>
      <w:start w:val="9"/>
    </w:lvl>
  </w:abstractNum>
  <w:abstractNum w:abstractNumId="152">
    <w:nsid w:val="CE8E1A7"/>
    <w:multiLevelType w:val="hybridMultilevel"/>
    <w:lvl w:ilvl="0">
      <w:lvlJc w:val="left"/>
      <w:lvlText w:val="(%1)"/>
      <w:numFmt w:val="lowerLetter"/>
      <w:start w:val="1"/>
    </w:lvl>
    <w:lvl w:ilvl="1">
      <w:lvlJc w:val="left"/>
      <w:lvlText w:val="(%2)"/>
      <w:numFmt w:val="lowerRoman"/>
      <w:start w:val="1"/>
    </w:lvl>
  </w:abstractNum>
  <w:abstractNum w:abstractNumId="153">
    <w:nsid w:val="4E9EFB0D"/>
    <w:multiLevelType w:val="hybridMultilevel"/>
    <w:lvl w:ilvl="0">
      <w:lvlJc w:val="left"/>
      <w:lvlText w:val="%1"/>
      <w:numFmt w:val="lowerLetter"/>
      <w:start w:val="1"/>
    </w:lvl>
    <w:lvl w:ilvl="1">
      <w:lvlJc w:val="left"/>
      <w:lvlText w:val="(%2)"/>
      <w:numFmt w:val="lowerLetter"/>
      <w:start w:val="61"/>
    </w:lvl>
  </w:abstractNum>
  <w:abstractNum w:abstractNumId="154">
    <w:nsid w:val="90802BE"/>
    <w:multiLevelType w:val="hybridMultilevel"/>
    <w:lvl w:ilvl="0">
      <w:lvlJc w:val="left"/>
      <w:lvlText w:val="(%1)"/>
      <w:numFmt w:val="lowerLetter"/>
      <w:start w:val="2"/>
    </w:lvl>
    <w:lvl w:ilvl="1">
      <w:lvlJc w:val="left"/>
      <w:lvlText w:val="(%2)"/>
      <w:numFmt w:val="lowerLetter"/>
      <w:start w:val="9"/>
    </w:lvl>
  </w:abstractNum>
  <w:abstractNum w:abstractNumId="155">
    <w:nsid w:val="3266459B"/>
    <w:multiLevelType w:val="hybridMultilevel"/>
    <w:lvl w:ilvl="0">
      <w:lvlJc w:val="left"/>
      <w:lvlText w:val="(%1)"/>
      <w:numFmt w:val="lowerRoman"/>
      <w:start w:val="2"/>
    </w:lvl>
  </w:abstractNum>
  <w:abstractNum w:abstractNumId="156">
    <w:nsid w:val="3F8B0CBF"/>
    <w:multiLevelType w:val="hybridMultilevel"/>
    <w:lvl w:ilvl="0">
      <w:lvlJc w:val="left"/>
      <w:lvlText w:val="(%1)"/>
      <w:numFmt w:val="lowerRoman"/>
      <w:start w:val="3"/>
    </w:lvl>
  </w:abstractNum>
  <w:abstractNum w:abstractNumId="157">
    <w:nsid w:val="37E203AB"/>
    <w:multiLevelType w:val="hybridMultilevel"/>
    <w:lvl w:ilvl="0">
      <w:lvlJc w:val="left"/>
      <w:lvlText w:val="%1"/>
      <w:numFmt w:val="lowerLetter"/>
      <w:start w:val="1"/>
    </w:lvl>
    <w:lvl w:ilvl="1">
      <w:lvlJc w:val="left"/>
      <w:lvlText w:val="(%2)"/>
      <w:numFmt w:val="lowerLetter"/>
      <w:start w:val="1"/>
    </w:lvl>
  </w:abstractNum>
  <w:abstractNum w:abstractNumId="158">
    <w:nsid w:val="2586D60E"/>
    <w:multiLevelType w:val="hybridMultilevel"/>
    <w:lvl w:ilvl="0">
      <w:lvlJc w:val="left"/>
      <w:lvlText w:val="(%1)"/>
      <w:numFmt w:val="lowerLetter"/>
      <w:start w:val="9"/>
    </w:lvl>
    <w:lvl w:ilvl="1">
      <w:lvlJc w:val="left"/>
      <w:lvlText w:val="%2"/>
      <w:numFmt w:val="lowerLetter"/>
      <w:start w:val="1"/>
    </w:lvl>
  </w:abstractNum>
  <w:abstractNum w:abstractNumId="159">
    <w:nsid w:val="1F3DA4D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0">
    <w:nsid w:val="74C9369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61">
    <w:nsid w:val="48781401"/>
    <w:multiLevelType w:val="hybridMultilevel"/>
    <w:lvl w:ilvl="0">
      <w:lvlJc w:val="left"/>
      <w:lvlText w:val="(%1)"/>
      <w:numFmt w:val="lowerRoman"/>
      <w:start w:val="4"/>
    </w:lvl>
  </w:abstractNum>
  <w:abstractNum w:abstractNumId="162">
    <w:nsid w:val="186928D6"/>
    <w:multiLevelType w:val="hybridMultilevel"/>
    <w:lvl w:ilvl="0">
      <w:lvlJc w:val="left"/>
      <w:lvlText w:val="(%1)"/>
      <w:numFmt w:val="lowerLetter"/>
      <w:start w:val="5"/>
    </w:lvl>
  </w:abstractNum>
  <w:abstractNum w:abstractNumId="163">
    <w:nsid w:val="47195E5"/>
    <w:multiLevelType w:val="hybridMultilevel"/>
    <w:lvl w:ilvl="0">
      <w:lvlJc w:val="left"/>
      <w:lvlText w:val="(%1)"/>
      <w:numFmt w:val="lowerLetter"/>
      <w:start w:val="1"/>
    </w:lvl>
  </w:abstractNum>
  <w:abstractNum w:abstractNumId="164">
    <w:nsid w:val="3746A5F2"/>
    <w:multiLevelType w:val="hybridMultilevel"/>
    <w:lvl w:ilvl="0">
      <w:lvlJc w:val="left"/>
      <w:lvlText w:val="%1"/>
      <w:numFmt w:val="upperLetter"/>
      <w:start w:val="1"/>
    </w:lvl>
    <w:lvl w:ilvl="1">
      <w:lvlJc w:val="left"/>
      <w:lvlText w:val="(%2)"/>
      <w:numFmt w:val="lowerLetter"/>
      <w:start w:val="3"/>
    </w:lvl>
  </w:abstractNum>
  <w:abstractNum w:abstractNumId="165">
    <w:nsid w:val="682DFED6"/>
    <w:multiLevelType w:val="hybridMultilevel"/>
    <w:lvl w:ilvl="0">
      <w:lvlJc w:val="left"/>
      <w:lvlText w:val="(%1)"/>
      <w:numFmt w:val="upperLetter"/>
      <w:start w:val="1"/>
    </w:lvl>
    <w:lvl w:ilvl="1">
      <w:lvlJc w:val="left"/>
      <w:lvlText w:val="%2"/>
      <w:numFmt w:val="lowerLetter"/>
      <w:start w:val="1"/>
    </w:lvl>
  </w:abstractNum>
  <w:abstractNum w:abstractNumId="166">
    <w:nsid w:val="606ED7F6"/>
    <w:multiLevelType w:val="hybridMultilevel"/>
    <w:lvl w:ilvl="0">
      <w:lvlJc w:val="left"/>
      <w:lvlText w:val="(%1)"/>
      <w:numFmt w:val="lowerLetter"/>
      <w:start w:val="1"/>
    </w:lvl>
  </w:abstractNum>
  <w:abstractNum w:abstractNumId="167">
    <w:nsid w:val="2D9DF57D"/>
    <w:multiLevelType w:val="hybridMultilevel"/>
    <w:lvl w:ilvl="0">
      <w:lvlJc w:val="left"/>
      <w:lvlText w:val="%1"/>
      <w:numFmt w:val="upperLetter"/>
      <w:start w:val="1"/>
    </w:lvl>
    <w:lvl w:ilvl="1">
      <w:lvlJc w:val="left"/>
      <w:lvlText w:val="(%2)"/>
      <w:numFmt w:val="lowerLetter"/>
      <w:start w:val="5"/>
    </w:lvl>
  </w:abstractNum>
  <w:abstractNum w:abstractNumId="168">
    <w:nsid w:val="7FBD7A3E"/>
    <w:multiLevelType w:val="hybridMultilevel"/>
    <w:lvl w:ilvl="0">
      <w:lvlJc w:val="left"/>
      <w:lvlText w:val="(%1)"/>
      <w:numFmt w:val="upperLetter"/>
      <w:start w:val="2"/>
    </w:lvl>
    <w:lvl w:ilvl="1">
      <w:lvlJc w:val="left"/>
      <w:lvlText w:val="%2"/>
      <w:numFmt w:val="lowerLetter"/>
      <w:start w:val="1"/>
    </w:lvl>
  </w:abstractNum>
  <w:abstractNum w:abstractNumId="169">
    <w:nsid w:val="490B7C5"/>
    <w:multiLevelType w:val="hybridMultilevel"/>
    <w:lvl w:ilvl="0">
      <w:lvlJc w:val="left"/>
      <w:lvlText w:val="(%1)"/>
      <w:numFmt w:val="lowerLetter"/>
      <w:start w:val="1"/>
    </w:lvl>
  </w:abstractNum>
  <w:abstractNum w:abstractNumId="170">
    <w:nsid w:val="4303A216"/>
    <w:multiLevelType w:val="hybridMultilevel"/>
    <w:lvl w:ilvl="0">
      <w:lvlJc w:val="left"/>
      <w:lvlText w:val="(%1)"/>
      <w:numFmt w:val="lowerLetter"/>
      <w:start w:val="3"/>
    </w:lvl>
  </w:abstractNum>
  <w:abstractNum w:abstractNumId="171">
    <w:nsid w:val="19B8A08E"/>
    <w:multiLevelType w:val="hybridMultilevel"/>
    <w:lvl w:ilvl="0">
      <w:lvlJc w:val="left"/>
      <w:lvlText w:val="(%1)"/>
      <w:numFmt w:val="lowerLetter"/>
      <w:start w:val="1"/>
    </w:lvl>
  </w:abstractNum>
  <w:abstractNum w:abstractNumId="172">
    <w:nsid w:val="54B59621"/>
    <w:multiLevelType w:val="hybridMultilevel"/>
    <w:lvl w:ilvl="0">
      <w:lvlJc w:val="left"/>
      <w:lvlText w:val="(%1)"/>
      <w:numFmt w:val="lowerLetter"/>
      <w:start w:val="3"/>
    </w:lvl>
  </w:abstractNum>
  <w:abstractNum w:abstractNumId="173">
    <w:nsid w:val="5992A02E"/>
    <w:multiLevelType w:val="hybridMultilevel"/>
    <w:lvl w:ilvl="0">
      <w:lvlJc w:val="left"/>
      <w:lvlText w:val="(%1)"/>
      <w:numFmt w:val="lowerLetter"/>
      <w:start w:val="6"/>
    </w:lvl>
  </w:abstractNum>
  <w:abstractNum w:abstractNumId="174">
    <w:nsid w:val="29EF532D"/>
    <w:multiLevelType w:val="hybridMultilevel"/>
    <w:lvl w:ilvl="0">
      <w:lvlJc w:val="left"/>
      <w:lvlText w:val="(%1)"/>
      <w:numFmt w:val="lowerLetter"/>
      <w:start w:val="1"/>
    </w:lvl>
  </w:abstractNum>
  <w:abstractNum w:abstractNumId="175">
    <w:nsid w:val="71D601AF"/>
    <w:multiLevelType w:val="hybridMultilevel"/>
    <w:lvl w:ilvl="0">
      <w:lvlJc w:val="left"/>
      <w:lvlText w:val="(%1)"/>
      <w:numFmt w:val="lowerLetter"/>
      <w:start w:val="3"/>
    </w:lvl>
  </w:abstractNum>
  <w:abstractNum w:abstractNumId="176">
    <w:nsid w:val="52C77402"/>
    <w:multiLevelType w:val="hybridMultilevel"/>
    <w:lvl w:ilvl="0">
      <w:lvlJc w:val="left"/>
      <w:lvlText w:val="(%1)"/>
      <w:numFmt w:val="lowerLetter"/>
      <w:start w:val="1"/>
    </w:lvl>
  </w:abstractNum>
  <w:abstractNum w:abstractNumId="177">
    <w:nsid w:val="2BB5B1C6"/>
    <w:multiLevelType w:val="hybridMultilevel"/>
    <w:lvl w:ilvl="0">
      <w:lvlJc w:val="left"/>
      <w:lvlText w:val="%1"/>
      <w:numFmt w:val="decimal"/>
      <w:start w:val="1"/>
    </w:lvl>
    <w:lvl w:ilvl="1">
      <w:lvlJc w:val="left"/>
      <w:lvlText w:val="(%2)"/>
      <w:numFmt w:val="lowerLetter"/>
      <w:start w:val="1"/>
    </w:lvl>
  </w:abstractNum>
  <w:abstractNum w:abstractNumId="178">
    <w:nsid w:val="66BE6B9"/>
    <w:multiLevelType w:val="hybridMultilevel"/>
    <w:lvl w:ilvl="0">
      <w:lvlJc w:val="left"/>
      <w:lvlText w:val="(%1)"/>
      <w:numFmt w:val="decimal"/>
      <w:start w:val="7"/>
    </w:lvl>
    <w:lvl w:ilvl="1">
      <w:lvlJc w:val="left"/>
      <w:lvlText w:val="%2"/>
      <w:numFmt w:val="lowerLetter"/>
      <w:start w:val="1"/>
    </w:lvl>
  </w:abstractNum>
  <w:abstractNum w:abstractNumId="179">
    <w:nsid w:val="62234363"/>
    <w:multiLevelType w:val="hybridMultilevel"/>
    <w:lvl w:ilvl="0">
      <w:lvlJc w:val="left"/>
      <w:lvlText w:val="(%1)"/>
      <w:numFmt w:val="lowerLetter"/>
      <w:start w:val="4"/>
    </w:lvl>
  </w:abstractNum>
  <w:abstractNum w:abstractNumId="180">
    <w:nsid w:val="66D385C9"/>
    <w:multiLevelType w:val="hybridMultilevel"/>
    <w:lvl w:ilvl="0">
      <w:lvlJc w:val="left"/>
      <w:lvlText w:val="(%1)"/>
      <w:numFmt w:val="lowerRoman"/>
      <w:start w:val="2"/>
    </w:lvl>
    <w:lvl w:ilvl="1">
      <w:lvlJc w:val="left"/>
      <w:lvlText w:val="(%2)"/>
      <w:numFmt w:val="lowerRoman"/>
      <w:start w:val="1"/>
    </w:lvl>
  </w:abstractNum>
  <w:abstractNum w:abstractNumId="181">
    <w:nsid w:val="596F6D8A"/>
    <w:multiLevelType w:val="hybridMultilevel"/>
    <w:lvl w:ilvl="0">
      <w:lvlJc w:val="left"/>
      <w:lvlText w:val="(%1)"/>
      <w:numFmt w:val="lowerLetter"/>
      <w:start w:val="10"/>
    </w:lvl>
  </w:abstractNum>
  <w:abstractNum w:abstractNumId="182">
    <w:nsid w:val="5749361F"/>
    <w:multiLevelType w:val="hybridMultilevel"/>
    <w:lvl w:ilvl="0">
      <w:lvlJc w:val="left"/>
      <w:lvlText w:val="(%1)"/>
      <w:numFmt w:val="lowerLetter"/>
      <w:start w:val="1"/>
    </w:lvl>
  </w:abstractNum>
  <w:abstractNum w:abstractNumId="183">
    <w:nsid w:val="73BC6770"/>
    <w:multiLevelType w:val="hybridMultilevel"/>
    <w:lvl w:ilvl="0">
      <w:lvlJc w:val="left"/>
      <w:lvlText w:val="(%1)"/>
      <w:numFmt w:val="lowerLetter"/>
      <w:start w:val="4"/>
    </w:lvl>
  </w:abstractNum>
  <w:abstractNum w:abstractNumId="184">
    <w:nsid w:val="280E6897"/>
    <w:multiLevelType w:val="hybridMultilevel"/>
    <w:lvl w:ilvl="0">
      <w:lvlJc w:val="left"/>
      <w:lvlText w:val="(%1)"/>
      <w:numFmt w:val="lowerRoman"/>
      <w:start w:val="1"/>
    </w:lvl>
  </w:abstractNum>
  <w:abstractNum w:abstractNumId="185">
    <w:nsid w:val="605138DE"/>
    <w:multiLevelType w:val="hybridMultilevel"/>
    <w:lvl w:ilvl="0">
      <w:lvlJc w:val="left"/>
      <w:lvlText w:val="(%1)"/>
      <w:numFmt w:val="lowerLetter"/>
      <w:start w:val="1"/>
    </w:lvl>
  </w:abstractNum>
  <w:abstractNum w:abstractNumId="186">
    <w:nsid w:val="2622AD0C"/>
    <w:multiLevelType w:val="hybridMultilevel"/>
    <w:lvl w:ilvl="0">
      <w:lvlJc w:val="left"/>
      <w:lvlText w:val="(%1)"/>
      <w:numFmt w:val="lowerLetter"/>
      <w:start w:val="1"/>
    </w:lvl>
  </w:abstractNum>
  <w:abstractNum w:abstractNumId="187">
    <w:nsid w:val="67997556"/>
    <w:multiLevelType w:val="hybridMultilevel"/>
    <w:lvl w:ilvl="0">
      <w:lvlJc w:val="left"/>
      <w:lvlText w:val="(%1)"/>
      <w:numFmt w:val="lowerLetter"/>
      <w:start w:val="1"/>
    </w:lvl>
  </w:abstractNum>
  <w:abstractNum w:abstractNumId="188">
    <w:nsid w:val="18333C89"/>
    <w:multiLevelType w:val="hybridMultilevel"/>
    <w:lvl w:ilvl="0">
      <w:lvlJc w:val="left"/>
      <w:lvlText w:val="(%1)"/>
      <w:numFmt w:val="lowerLetter"/>
      <w:start w:val="35"/>
    </w:lvl>
    <w:lvl w:ilvl="1">
      <w:lvlJc w:val="left"/>
      <w:lvlText w:val="(%2)"/>
      <w:numFmt w:val="lowerLetter"/>
      <w:start w:val="2"/>
    </w:lvl>
  </w:abstractNum>
  <w:abstractNum w:abstractNumId="189">
    <w:nsid w:val="4BA9831A"/>
    <w:multiLevelType w:val="hybridMultilevel"/>
    <w:lvl w:ilvl="0">
      <w:lvlJc w:val="left"/>
      <w:lvlText w:val="(%1)"/>
      <w:numFmt w:val="lowerLetter"/>
      <w:start w:val="1"/>
    </w:lvl>
  </w:abstractNum>
  <w:abstractNum w:abstractNumId="190">
    <w:nsid w:val="6D71A2B"/>
    <w:multiLevelType w:val="hybridMultilevel"/>
    <w:lvl w:ilvl="0">
      <w:lvlJc w:val="left"/>
      <w:lvlText w:val="(%1)"/>
      <w:numFmt w:val="lowerLetter"/>
      <w:start w:val="1"/>
    </w:lvl>
  </w:abstractNum>
  <w:abstractNum w:abstractNumId="191">
    <w:nsid w:val="CFC7321"/>
    <w:multiLevelType w:val="hybridMultilevel"/>
    <w:lvl w:ilvl="0">
      <w:lvlJc w:val="left"/>
      <w:lvlText w:val="(%1)"/>
      <w:numFmt w:val="lowerLetter"/>
      <w:start w:val="3"/>
    </w:lvl>
    <w:lvl w:ilvl="1">
      <w:lvlJc w:val="left"/>
      <w:lvlText w:val="(%2)"/>
      <w:numFmt w:val="lowerRoman"/>
      <w:start w:val="1"/>
    </w:lvl>
  </w:abstractNum>
  <w:abstractNum w:abstractNumId="192">
    <w:nsid w:val="1421971B"/>
    <w:multiLevelType w:val="hybridMultilevel"/>
    <w:lvl w:ilvl="0">
      <w:lvlJc w:val="left"/>
      <w:lvlText w:val="(%1)"/>
      <w:numFmt w:val="lowerLetter"/>
      <w:start w:val="5"/>
    </w:lvl>
  </w:abstractNum>
  <w:abstractNum w:abstractNumId="193">
    <w:nsid w:val="1F404301"/>
    <w:multiLevelType w:val="hybridMultilevel"/>
    <w:lvl w:ilvl="0">
      <w:lvlJc w:val="left"/>
      <w:lvlText w:val="(%1)"/>
      <w:numFmt w:val="lowerRoman"/>
      <w:start w:val="1"/>
    </w:lvl>
  </w:abstractNum>
  <w:abstractNum w:abstractNumId="194">
    <w:nsid w:val="116E0907"/>
    <w:multiLevelType w:val="hybridMultilevel"/>
    <w:lvl w:ilvl="0">
      <w:lvlJc w:val="left"/>
      <w:lvlText w:val="(%1)"/>
      <w:numFmt w:val="lowerRoman"/>
      <w:start w:val="4"/>
    </w:lvl>
  </w:abstractNum>
  <w:abstractNum w:abstractNumId="195">
    <w:nsid w:val="4B683D0D"/>
    <w:multiLevelType w:val="hybridMultilevel"/>
    <w:lvl w:ilvl="0">
      <w:lvlJc w:val="left"/>
      <w:lvlText w:val="(%1)"/>
      <w:numFmt w:val="lowerLetter"/>
      <w:start w:val="1"/>
    </w:lvl>
  </w:abstractNum>
  <w:abstractNum w:abstractNumId="196">
    <w:nsid w:val="76E41D8"/>
    <w:multiLevelType w:val="hybridMultilevel"/>
    <w:lvl w:ilvl="0">
      <w:lvlJc w:val="left"/>
      <w:lvlText w:val="(%1)"/>
      <w:numFmt w:val="lowerLetter"/>
      <w:start w:val="1"/>
    </w:lvl>
  </w:abstractNum>
  <w:abstractNum w:abstractNumId="197">
    <w:nsid w:val="71DCE0FD"/>
    <w:multiLevelType w:val="hybridMultilevel"/>
    <w:lvl w:ilvl="0">
      <w:lvlJc w:val="left"/>
      <w:lvlText w:val="(%1)"/>
      <w:numFmt w:val="lowerLetter"/>
      <w:start w:val="1"/>
    </w:lvl>
  </w:abstractNum>
  <w:abstractNum w:abstractNumId="198">
    <w:nsid w:val="7906328B"/>
    <w:multiLevelType w:val="hybridMultilevel"/>
    <w:lvl w:ilvl="0">
      <w:lvlJc w:val="left"/>
      <w:lvlText w:val="(%1)"/>
      <w:numFmt w:val="lowerLetter"/>
      <w:start w:val="15"/>
    </w:lvl>
  </w:abstractNum>
  <w:abstractNum w:abstractNumId="199">
    <w:nsid w:val="72BBC16"/>
    <w:multiLevelType w:val="hybridMultilevel"/>
    <w:lvl w:ilvl="0">
      <w:lvlJc w:val="left"/>
      <w:lvlText w:val="(%1)"/>
      <w:numFmt w:val="lowerLetter"/>
      <w:start w:val="1"/>
    </w:lvl>
  </w:abstractNum>
  <w:abstractNum w:abstractNumId="200">
    <w:nsid w:val="766D98C2"/>
    <w:multiLevelType w:val="hybridMultilevel"/>
    <w:lvl w:ilvl="0">
      <w:lvlJc w:val="left"/>
      <w:lvlText w:val="(%1)"/>
      <w:numFmt w:val="lowerLetter"/>
      <w:start w:val="1"/>
    </w:lvl>
  </w:abstractNum>
  <w:abstractNum w:abstractNumId="201">
    <w:nsid w:val="3C09D4A1"/>
    <w:multiLevelType w:val="hybridMultilevel"/>
    <w:lvl w:ilvl="0">
      <w:lvlJc w:val="left"/>
      <w:lvlText w:val="(%1)"/>
      <w:numFmt w:val="lowerLetter"/>
      <w:start w:val="1"/>
    </w:lvl>
  </w:abstractNum>
  <w:abstractNum w:abstractNumId="202">
    <w:nsid w:val="20E45CA4"/>
    <w:multiLevelType w:val="hybridMultilevel"/>
    <w:lvl w:ilvl="0">
      <w:lvlJc w:val="left"/>
      <w:lvlText w:val="(%1)"/>
      <w:numFmt w:val="lowerLetter"/>
      <w:start w:val="3"/>
    </w:lvl>
  </w:abstractNum>
  <w:abstractNum w:abstractNumId="203">
    <w:nsid w:val="4B232EE3"/>
    <w:multiLevelType w:val="hybridMultilevel"/>
    <w:lvl w:ilvl="0">
      <w:lvlJc w:val="left"/>
      <w:lvlText w:val="(%1)"/>
      <w:numFmt w:val="lowerLetter"/>
      <w:start w:val="1"/>
    </w:lvl>
  </w:abstractNum>
  <w:abstractNum w:abstractNumId="204">
    <w:nsid w:val="159C74CF"/>
    <w:multiLevelType w:val="hybridMultilevel"/>
    <w:lvl w:ilvl="0">
      <w:lvlJc w:val="left"/>
      <w:lvlText w:val="(%1)"/>
      <w:numFmt w:val="lowerLetter"/>
      <w:start w:val="5"/>
    </w:lvl>
  </w:abstractNum>
  <w:abstractNum w:abstractNumId="205">
    <w:nsid w:val="4AD3AFD2"/>
    <w:multiLevelType w:val="hybridMultilevel"/>
    <w:lvl w:ilvl="0">
      <w:lvlJc w:val="left"/>
      <w:lvlText w:val="(%1)"/>
      <w:numFmt w:val="lowerLetter"/>
      <w:start w:val="1"/>
    </w:lvl>
  </w:abstractNum>
  <w:abstractNum w:abstractNumId="206">
    <w:nsid w:val="3CF93092"/>
    <w:multiLevelType w:val="hybridMultilevel"/>
    <w:lvl w:ilvl="0">
      <w:lvlJc w:val="left"/>
      <w:lvlText w:val="(%1)"/>
      <w:numFmt w:val="lowerLetter"/>
      <w:start w:val="6"/>
    </w:lvl>
  </w:abstractNum>
  <w:abstractNum w:abstractNumId="207">
    <w:nsid w:val="6863E8D2"/>
    <w:multiLevelType w:val="hybridMultilevel"/>
    <w:lvl w:ilvl="0">
      <w:lvlJc w:val="left"/>
      <w:lvlText w:val="(%1)"/>
      <w:numFmt w:val="lowerLetter"/>
      <w:start w:val="15"/>
    </w:lvl>
  </w:abstractNum>
  <w:abstractNum w:abstractNumId="208">
    <w:nsid w:val="76896198"/>
    <w:multiLevelType w:val="hybridMultilevel"/>
    <w:lvl w:ilvl="0">
      <w:lvlJc w:val="left"/>
      <w:lvlText w:val="(%1)"/>
      <w:numFmt w:val="lowerRoman"/>
      <w:start w:val="2"/>
    </w:lvl>
  </w:abstractNum>
  <w:abstractNum w:abstractNumId="209">
    <w:nsid w:val="4365174B"/>
    <w:multiLevelType w:val="hybridMultilevel"/>
    <w:lvl w:ilvl="0">
      <w:lvlJc w:val="left"/>
      <w:lvlText w:val="(%1)"/>
      <w:numFmt w:val="decimal"/>
      <w:start w:val="1"/>
    </w:lvl>
    <w:lvl w:ilvl="1">
      <w:lvlJc w:val="left"/>
      <w:lvlText w:val="(%2)"/>
      <w:numFmt w:val="lowerLetter"/>
      <w:start w:val="1"/>
    </w:lvl>
  </w:abstractNum>
  <w:abstractNum w:abstractNumId="210">
    <w:nsid w:val="4A872C35"/>
    <w:multiLevelType w:val="hybridMultilevel"/>
    <w:lvl w:ilvl="0">
      <w:lvlJc w:val="left"/>
      <w:lvlText w:val="(%1)"/>
      <w:numFmt w:val="decimal"/>
      <w:start w:val="2"/>
    </w:lvl>
    <w:lvl w:ilvl="1">
      <w:lvlJc w:val="left"/>
      <w:lvlText w:val="(%2)"/>
      <w:numFmt w:val="lowerLetter"/>
      <w:start w:val="1"/>
    </w:lvl>
  </w:abstractNum>
  <w:abstractNum w:abstractNumId="211">
    <w:nsid w:val="5D5CE761"/>
    <w:multiLevelType w:val="hybridMultilevel"/>
    <w:lvl w:ilvl="0">
      <w:lvlJc w:val="left"/>
      <w:lvlText w:val="(%1)"/>
      <w:numFmt w:val="lowerRoman"/>
      <w:start w:val="4"/>
    </w:lvl>
  </w:abstractNum>
  <w:abstractNum w:abstractNumId="212">
    <w:nsid w:val="1CD484D5"/>
    <w:multiLevelType w:val="hybridMultilevel"/>
    <w:lvl w:ilvl="0">
      <w:lvlJc w:val="left"/>
      <w:lvlText w:val="(%1)"/>
      <w:numFmt w:val="lowerLetter"/>
      <w:start w:val="2"/>
    </w:lvl>
  </w:abstractNum>
  <w:abstractNum w:abstractNumId="213">
    <w:nsid w:val="21D06255"/>
    <w:multiLevelType w:val="hybridMultilevel"/>
    <w:lvl w:ilvl="0">
      <w:lvlJc w:val="left"/>
      <w:lvlText w:val="(%1)"/>
      <w:numFmt w:val="lowerLetter"/>
      <w:start w:val="3"/>
    </w:lvl>
  </w:abstractNum>
  <w:abstractNum w:abstractNumId="214">
    <w:nsid w:val="51194ED1"/>
    <w:multiLevelType w:val="hybridMultilevel"/>
    <w:lvl w:ilvl="0">
      <w:lvlJc w:val="left"/>
      <w:lvlText w:val="(%1)"/>
      <w:numFmt w:val="lowerLetter"/>
      <w:start w:val="3"/>
    </w:lvl>
  </w:abstractNum>
  <w:abstractNum w:abstractNumId="215">
    <w:nsid w:val="44E2ED6C"/>
    <w:multiLevelType w:val="hybridMultilevel"/>
    <w:lvl w:ilvl="0">
      <w:lvlJc w:val="left"/>
      <w:lvlText w:val="(%1)"/>
      <w:numFmt w:val="lowerLetter"/>
      <w:start w:val="1"/>
    </w:lvl>
  </w:abstractNum>
  <w:abstractNum w:abstractNumId="216">
    <w:nsid w:val="2219B33"/>
    <w:multiLevelType w:val="hybridMultilevel"/>
    <w:lvl w:ilvl="0">
      <w:lvlJc w:val="left"/>
      <w:lvlText w:val="(%1)"/>
      <w:numFmt w:val="lowerLetter"/>
      <w:start w:val="4"/>
    </w:lvl>
  </w:abstractNum>
  <w:abstractNum w:abstractNumId="217">
    <w:nsid w:val="773BFBDD"/>
    <w:multiLevelType w:val="hybridMultilevel"/>
    <w:lvl w:ilvl="0">
      <w:lvlJc w:val="left"/>
      <w:lvlText w:val="(%1)"/>
      <w:numFmt w:val="lowerLetter"/>
      <w:start w:val="1"/>
    </w:lvl>
  </w:abstractNum>
  <w:abstractNum w:abstractNumId="218">
    <w:nsid w:val="2C7C62C2"/>
    <w:multiLevelType w:val="hybridMultilevel"/>
    <w:lvl w:ilvl="0">
      <w:lvlJc w:val="left"/>
      <w:lvlText w:val="%1"/>
      <w:numFmt w:val="lowerLetter"/>
      <w:start w:val="1"/>
    </w:lvl>
    <w:lvl w:ilvl="1">
      <w:lvlJc w:val="left"/>
      <w:lvlText w:val="(%2)"/>
      <w:numFmt w:val="lowerLetter"/>
      <w:start w:val="4"/>
    </w:lvl>
  </w:abstractNum>
  <w:abstractNum w:abstractNumId="219">
    <w:nsid w:val="1A54D7BC"/>
    <w:multiLevelType w:val="hybridMultilevel"/>
    <w:lvl w:ilvl="0">
      <w:lvlJc w:val="left"/>
      <w:lvlText w:val="(%1)"/>
      <w:numFmt w:val="lowerLetter"/>
      <w:start w:val="35"/>
    </w:lvl>
    <w:lvl w:ilvl="1">
      <w:lvlJc w:val="left"/>
      <w:lvlText w:val="(%2)"/>
      <w:numFmt w:val="lowerLetter"/>
      <w:start w:val="5"/>
    </w:lvl>
  </w:abstractNum>
  <w:abstractNum w:abstractNumId="220">
    <w:nsid w:val="42E57EF7"/>
    <w:multiLevelType w:val="hybridMultilevel"/>
    <w:lvl w:ilvl="0">
      <w:lvlJc w:val="left"/>
      <w:lvlText w:val="(%1)"/>
      <w:numFmt w:val="lowerLetter"/>
      <w:start w:val="2"/>
    </w:lvl>
  </w:abstractNum>
  <w:abstractNum w:abstractNumId="221">
    <w:nsid w:val="33537CED"/>
    <w:multiLevelType w:val="hybridMultilevel"/>
    <w:lvl w:ilvl="0">
      <w:lvlJc w:val="left"/>
      <w:lvlText w:val="(%1)"/>
      <w:numFmt w:val="lowerLetter"/>
      <w:start w:val="1"/>
    </w:lvl>
  </w:abstractNum>
  <w:abstractNum w:abstractNumId="222">
    <w:nsid w:val="27514ADE"/>
    <w:multiLevelType w:val="hybridMultilevel"/>
    <w:lvl w:ilvl="0">
      <w:lvlJc w:val="left"/>
      <w:lvlText w:val="(%1)"/>
      <w:numFmt w:val="lowerLetter"/>
      <w:start w:val="7"/>
    </w:lvl>
  </w:abstractNum>
  <w:abstractNum w:abstractNumId="223">
    <w:nsid w:val="57071613"/>
    <w:multiLevelType w:val="hybridMultilevel"/>
    <w:lvl w:ilvl="0">
      <w:lvlJc w:val="left"/>
      <w:lvlText w:val="(%1)"/>
      <w:numFmt w:val="lowerLetter"/>
      <w:start w:val="1"/>
    </w:lvl>
  </w:abstractNum>
  <w:abstractNum w:abstractNumId="224">
    <w:nsid w:val="5293BFEF"/>
    <w:multiLevelType w:val="hybridMultilevel"/>
    <w:lvl w:ilvl="0">
      <w:lvlJc w:val="left"/>
      <w:lvlText w:val="(%1)"/>
      <w:numFmt w:val="lowerLetter"/>
      <w:start w:val="5"/>
    </w:lvl>
  </w:abstractNum>
  <w:abstractNum w:abstractNumId="225">
    <w:nsid w:val="38BF53E5"/>
    <w:multiLevelType w:val="hybridMultilevel"/>
    <w:lvl w:ilvl="0">
      <w:lvlJc w:val="left"/>
      <w:lvlText w:val="(%1)"/>
      <w:numFmt w:val="lowerLetter"/>
      <w:start w:val="1"/>
    </w:lvl>
  </w:abstractNum>
  <w:abstractNum w:abstractNumId="226">
    <w:nsid w:val="226F5320"/>
    <w:multiLevelType w:val="hybridMultilevel"/>
    <w:lvl w:ilvl="0">
      <w:lvlJc w:val="left"/>
      <w:lvlText w:val="(%1)"/>
      <w:numFmt w:val="lowerLetter"/>
      <w:start w:val="1"/>
    </w:lvl>
  </w:abstractNum>
  <w:abstractNum w:abstractNumId="227">
    <w:nsid w:val="5A0201C7"/>
    <w:multiLevelType w:val="hybridMultilevel"/>
    <w:lvl w:ilvl="0">
      <w:lvlJc w:val="left"/>
      <w:lvlText w:val="(%1)"/>
      <w:numFmt w:val="lowerLetter"/>
      <w:start w:val="1"/>
    </w:lvl>
  </w:abstractNum>
  <w:abstractNum w:abstractNumId="228">
    <w:nsid w:val="2A9C34E2"/>
    <w:multiLevelType w:val="hybridMultilevel"/>
    <w:lvl w:ilvl="0">
      <w:lvlJc w:val="left"/>
      <w:lvlText w:val="(%1)"/>
      <w:numFmt w:val="decimal"/>
      <w:start w:val="1"/>
    </w:lvl>
  </w:abstractNum>
  <w:abstractNum w:abstractNumId="229">
    <w:nsid w:val="1B7585AB"/>
    <w:multiLevelType w:val="hybridMultilevel"/>
    <w:lvl w:ilvl="0">
      <w:lvlJc w:val="left"/>
      <w:lvlText w:val="(%1)"/>
      <w:numFmt w:val="lowerLetter"/>
      <w:start w:val="1"/>
    </w:lvl>
  </w:abstractNum>
  <w:abstractNum w:abstractNumId="230">
    <w:nsid w:val="612DBDDD"/>
    <w:multiLevelType w:val="hybridMultilevel"/>
    <w:lvl w:ilvl="0">
      <w:lvlJc w:val="left"/>
      <w:lvlText w:val="(%1)"/>
      <w:numFmt w:val="decimal"/>
      <w:start w:val="1"/>
    </w:lvl>
  </w:abstractNum>
  <w:abstractNum w:abstractNumId="231">
    <w:nsid w:val="2109CDA4"/>
    <w:multiLevelType w:val="hybridMultilevel"/>
    <w:lvl w:ilvl="0">
      <w:lvlJc w:val="left"/>
      <w:lvlText w:val="(%1)"/>
      <w:numFmt w:val="lowerLetter"/>
      <w:start w:val="1"/>
    </w:lvl>
  </w:abstractNum>
  <w:abstractNum w:abstractNumId="232">
    <w:nsid w:val="577F5A4D"/>
    <w:multiLevelType w:val="hybridMultilevel"/>
    <w:lvl w:ilvl="0">
      <w:lvlJc w:val="left"/>
      <w:lvlText w:val="(%1)"/>
      <w:numFmt w:val="lowerLetter"/>
      <w:start w:val="9"/>
    </w:lvl>
  </w:abstractNum>
  <w:abstractNum w:abstractNumId="233">
    <w:nsid w:val="2121A81"/>
    <w:multiLevelType w:val="hybridMultilevel"/>
    <w:lvl w:ilvl="0">
      <w:lvlJc w:val="left"/>
      <w:lvlText w:val="%1"/>
      <w:numFmt w:val="lowerLetter"/>
      <w:start w:val="1"/>
    </w:lvl>
    <w:lvl w:ilvl="1">
      <w:lvlJc w:val="left"/>
      <w:lvlText w:val="(%2)"/>
      <w:numFmt w:val="lowerLetter"/>
      <w:start w:val="17"/>
    </w:lvl>
    <w:lvl w:ilvl="2">
      <w:lvlJc w:val="left"/>
      <w:lvlText w:val="(%3)"/>
      <w:numFmt w:val="decimal"/>
      <w:start w:val="1"/>
    </w:lvl>
  </w:abstractNum>
  <w:abstractNum w:abstractNumId="234">
    <w:nsid w:val="6C2CFC8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35">
    <w:nsid w:val="6D1BCF1C"/>
    <w:multiLevelType w:val="hybridMultilevel"/>
    <w:lvl w:ilvl="0">
      <w:lvlJc w:val="left"/>
      <w:lvlText w:val="(%1)"/>
      <w:numFmt w:val="lowerLetter"/>
      <w:start w:val="1"/>
    </w:lvl>
  </w:abstractNum>
  <w:abstractNum w:abstractNumId="236">
    <w:nsid w:val="4CE5CA53"/>
    <w:multiLevelType w:val="hybridMultilevel"/>
    <w:lvl w:ilvl="0">
      <w:lvlJc w:val="left"/>
      <w:lvlText w:val="(%1)"/>
      <w:numFmt w:val="lowerLetter"/>
      <w:start w:val="4"/>
    </w:lvl>
  </w:abstractNum>
  <w:abstractNum w:abstractNumId="237">
    <w:nsid w:val="29262D1A"/>
    <w:multiLevelType w:val="hybridMultilevel"/>
    <w:lvl w:ilvl="0">
      <w:lvlJc w:val="left"/>
      <w:lvlText w:val="%1"/>
      <w:numFmt w:val="lowerLetter"/>
      <w:start w:val="1"/>
    </w:lvl>
    <w:lvl w:ilvl="1">
      <w:lvlJc w:val="left"/>
      <w:lvlText w:val="(%2)"/>
      <w:numFmt w:val="lowerLetter"/>
      <w:start w:val="14"/>
    </w:lvl>
  </w:abstractNum>
  <w:abstractNum w:abstractNumId="238">
    <w:nsid w:val="557FB7EE"/>
    <w:multiLevelType w:val="hybridMultilevel"/>
    <w:lvl w:ilvl="0">
      <w:lvlJc w:val="left"/>
      <w:lvlText w:val="(%1)"/>
      <w:numFmt w:val="lowerLetter"/>
      <w:start w:val="35"/>
    </w:lvl>
    <w:lvl w:ilvl="1">
      <w:lvlJc w:val="left"/>
      <w:lvlText w:val="(%2)"/>
      <w:numFmt w:val="lowerLetter"/>
      <w:start w:val="21"/>
    </w:lvl>
  </w:abstractNum>
  <w:abstractNum w:abstractNumId="239">
    <w:nsid w:val="436F2BEB"/>
    <w:multiLevelType w:val="hybridMultilevel"/>
    <w:lvl w:ilvl="0">
      <w:lvlJc w:val="left"/>
      <w:lvlText w:val="(%1)"/>
      <w:numFmt w:val="lowerLetter"/>
      <w:start w:val="23"/>
    </w:lvl>
  </w:abstractNum>
  <w:abstractNum w:abstractNumId="240">
    <w:nsid w:val="6C8B4466"/>
    <w:multiLevelType w:val="hybridMultilevel"/>
    <w:lvl w:ilvl="0">
      <w:lvlJc w:val="left"/>
      <w:lvlText w:val="(%1)"/>
      <w:numFmt w:val="lowerLetter"/>
      <w:start w:val="27"/>
    </w:lvl>
  </w:abstractNum>
  <w:abstractNum w:abstractNumId="241">
    <w:nsid w:val="2006E424"/>
    <w:multiLevelType w:val="hybridMultilevel"/>
    <w:lvl w:ilvl="0">
      <w:lvlJc w:val="left"/>
      <w:lvlText w:val="(%1)"/>
      <w:numFmt w:val="lowerLetter"/>
      <w:start w:val="1"/>
    </w:lvl>
  </w:abstractNum>
  <w:abstractNum w:abstractNumId="242">
    <w:nsid w:val="20CC134C"/>
    <w:multiLevelType w:val="hybridMultilevel"/>
    <w:lvl w:ilvl="0">
      <w:lvlJc w:val="left"/>
      <w:lvlText w:val="(%1)"/>
      <w:numFmt w:val="lowerLetter"/>
      <w:start w:val="2"/>
    </w:lvl>
  </w:abstractNum>
  <w:abstractNum w:abstractNumId="243">
    <w:nsid w:val="95FC93B"/>
    <w:multiLevelType w:val="hybridMultilevel"/>
    <w:lvl w:ilvl="0">
      <w:lvlJc w:val="left"/>
      <w:lvlText w:val="%1"/>
      <w:numFmt w:val="lowerLetter"/>
      <w:start w:val="1"/>
    </w:lvl>
    <w:lvl w:ilvl="1">
      <w:lvlJc w:val="left"/>
      <w:lvlText w:val="(%2)"/>
      <w:numFmt w:val="lowerLetter"/>
      <w:start w:val="1"/>
    </w:lvl>
  </w:abstractNum>
  <w:abstractNum w:abstractNumId="244">
    <w:nsid w:val="41D74679"/>
    <w:multiLevelType w:val="hybridMultilevel"/>
    <w:lvl w:ilvl="0">
      <w:lvlJc w:val="left"/>
      <w:lvlText w:val="(%1)"/>
      <w:numFmt w:val="lowerLetter"/>
      <w:start w:val="2"/>
    </w:lvl>
    <w:lvl w:ilvl="1">
      <w:lvlJc w:val="left"/>
      <w:lvlText w:val="%2"/>
      <w:numFmt w:val="lowerLetter"/>
      <w:start w:val="1"/>
    </w:lvl>
  </w:abstractNum>
  <w:abstractNum w:abstractNumId="245">
    <w:nsid w:val="71E5621E"/>
    <w:multiLevelType w:val="hybridMultilevel"/>
    <w:lvl w:ilvl="0">
      <w:lvlJc w:val="left"/>
      <w:lvlText w:val="(%1)"/>
      <w:numFmt w:val="lowerLetter"/>
      <w:start w:val="2"/>
    </w:lvl>
  </w:abstractNum>
  <w:abstractNum w:abstractNumId="246">
    <w:nsid w:val="4E42B6A8"/>
    <w:multiLevelType w:val="hybridMultilevel"/>
    <w:lvl w:ilvl="0">
      <w:lvlJc w:val="left"/>
      <w:lvlText w:val="(%1)"/>
      <w:numFmt w:val="lowerLetter"/>
      <w:start w:val="1"/>
    </w:lvl>
  </w:abstractNum>
  <w:abstractNum w:abstractNumId="247">
    <w:nsid w:val="43F8E1AC"/>
    <w:multiLevelType w:val="hybridMultilevel"/>
    <w:lvl w:ilvl="0">
      <w:lvlJc w:val="left"/>
      <w:lvlText w:val="(%1)"/>
      <w:numFmt w:val="lowerLetter"/>
      <w:start w:val="3"/>
    </w:lvl>
  </w:abstractNum>
  <w:abstractNum w:abstractNumId="248">
    <w:nsid w:val="69215DFB"/>
    <w:multiLevelType w:val="hybridMultilevel"/>
    <w:lvl w:ilvl="0">
      <w:lvlJc w:val="left"/>
      <w:lvlText w:val="(%1)"/>
      <w:numFmt w:val="lowerLetter"/>
      <w:start w:val="2"/>
    </w:lvl>
  </w:abstractNum>
  <w:abstractNum w:abstractNumId="249">
    <w:nsid w:val="7ABF196A"/>
    <w:multiLevelType w:val="hybridMultilevel"/>
    <w:lvl w:ilvl="0">
      <w:lvlJc w:val="left"/>
      <w:lvlText w:val="(%1)"/>
      <w:numFmt w:val="lowerLetter"/>
      <w:start w:val="1"/>
    </w:lvl>
  </w:abstractNum>
  <w:abstractNum w:abstractNumId="250">
    <w:nsid w:val="5E4DB968"/>
    <w:multiLevelType w:val="hybridMultilevel"/>
    <w:lvl w:ilvl="0">
      <w:lvlJc w:val="left"/>
      <w:lvlText w:val="(%1)"/>
      <w:numFmt w:val="lowerLetter"/>
      <w:start w:val="2"/>
    </w:lvl>
  </w:abstractNum>
  <w:abstractNum w:abstractNumId="251">
    <w:nsid w:val="2C06DCF3"/>
    <w:multiLevelType w:val="hybridMultilevel"/>
    <w:lvl w:ilvl="0">
      <w:lvlJc w:val="left"/>
      <w:lvlText w:val="(%1)"/>
      <w:numFmt w:val="lowerLetter"/>
      <w:start w:val="1"/>
    </w:lvl>
  </w:abstractNum>
  <w:abstractNum w:abstractNumId="252">
    <w:nsid w:val="2E129658"/>
    <w:multiLevelType w:val="hybridMultilevel"/>
    <w:lvl w:ilvl="0">
      <w:lvlJc w:val="left"/>
      <w:lvlText w:val="(%1)"/>
      <w:numFmt w:val="lowerLetter"/>
      <w:start w:val="2"/>
    </w:lvl>
  </w:abstractNum>
  <w:abstractNum w:abstractNumId="253">
    <w:nsid w:val="59F0446"/>
    <w:multiLevelType w:val="hybridMultilevel"/>
    <w:lvl w:ilvl="0">
      <w:lvlJc w:val="left"/>
      <w:lvlText w:val="(%1)"/>
      <w:numFmt w:val="lowerLetter"/>
      <w:start w:val="1"/>
    </w:lvl>
  </w:abstractNum>
  <w:abstractNum w:abstractNumId="254">
    <w:nsid w:val="30DF306"/>
    <w:multiLevelType w:val="hybridMultilevel"/>
    <w:lvl w:ilvl="0">
      <w:lvlJc w:val="left"/>
      <w:lvlText w:val="(%1)"/>
      <w:numFmt w:val="lowerLetter"/>
      <w:start w:val="1"/>
    </w:lvl>
  </w:abstractNum>
  <w:abstractNum w:abstractNumId="255">
    <w:nsid w:val="A65647"/>
    <w:multiLevelType w:val="hybridMultilevel"/>
    <w:lvl w:ilvl="0">
      <w:lvlJc w:val="left"/>
      <w:lvlText w:val="%1"/>
      <w:numFmt w:val="decimal"/>
      <w:start w:val="1"/>
    </w:lvl>
    <w:lvl w:ilvl="1">
      <w:lvlJc w:val="left"/>
      <w:lvlText w:val="(%2)"/>
      <w:numFmt w:val="lowerLetter"/>
      <w:start w:val="1"/>
    </w:lvl>
  </w:abstractNum>
  <w:abstractNum w:abstractNumId="256">
    <w:nsid w:val="3E5E582B"/>
    <w:multiLevelType w:val="hybridMultilevel"/>
    <w:lvl w:ilvl="0">
      <w:lvlJc w:val="left"/>
      <w:lvlText w:val="(%1)"/>
      <w:numFmt w:val="decimal"/>
      <w:start w:val="2"/>
    </w:lvl>
    <w:lvl w:ilvl="1">
      <w:lvlJc w:val="left"/>
      <w:lvlText w:val="(%2)"/>
      <w:numFmt w:val="lowerLetter"/>
      <w:start w:val="3"/>
    </w:lvl>
  </w:abstractNum>
  <w:abstractNum w:abstractNumId="257">
    <w:nsid w:val="257D4626"/>
    <w:multiLevelType w:val="hybridMultilevel"/>
    <w:lvl w:ilvl="0">
      <w:lvlJc w:val="left"/>
      <w:lvlText w:val="(%1)"/>
      <w:numFmt w:val="lowerLetter"/>
      <w:start w:val="1"/>
    </w:lvl>
    <w:lvl w:ilvl="1">
      <w:lvlJc w:val="left"/>
      <w:lvlText w:val="(%2)"/>
      <w:numFmt w:val="lowerLetter"/>
      <w:start w:val="9"/>
    </w:lvl>
  </w:abstractNum>
  <w:abstractNum w:abstractNumId="258">
    <w:nsid w:val="5AA8580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59">
    <w:nsid w:val="68FA8D0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0">
    <w:nsid w:val="40F2CBD2"/>
    <w:multiLevelType w:val="hybridMultilevel"/>
    <w:lvl w:ilvl="0">
      <w:lvlJc w:val="left"/>
      <w:lvlText w:val="(%1)"/>
      <w:numFmt w:val="lowerRoman"/>
      <w:start w:val="3"/>
    </w:lvl>
  </w:abstractNum>
  <w:abstractNum w:abstractNumId="261">
    <w:nsid w:val="3BD615EB"/>
    <w:multiLevelType w:val="hybridMultilevel"/>
    <w:lvl w:ilvl="0">
      <w:lvlJc w:val="left"/>
      <w:lvlText w:val="%1"/>
      <w:numFmt w:val="lowerLetter"/>
      <w:start w:val="1"/>
    </w:lvl>
    <w:lvl w:ilvl="1">
      <w:lvlJc w:val="left"/>
      <w:lvlText w:val="(%2)"/>
      <w:numFmt w:val="lowerRoman"/>
      <w:start w:val="4"/>
    </w:lvl>
  </w:abstractNum>
  <w:abstractNum w:abstractNumId="262">
    <w:nsid w:val="A045AB2"/>
    <w:multiLevelType w:val="hybridMultilevel"/>
    <w:lvl w:ilvl="0">
      <w:lvlJc w:val="left"/>
      <w:lvlText w:val="(%1)"/>
      <w:numFmt w:val="lowerLetter"/>
      <w:start w:val="3"/>
    </w:lvl>
    <w:lvl w:ilvl="1">
      <w:lvlJc w:val="left"/>
      <w:lvlText w:val="(%2)"/>
      <w:numFmt w:val="lowerRoman"/>
      <w:start w:val="1"/>
    </w:lvl>
  </w:abstractNum>
  <w:abstractNum w:abstractNumId="263">
    <w:nsid w:val="1872261F"/>
    <w:multiLevelType w:val="hybridMultilevel"/>
    <w:lvl w:ilvl="0">
      <w:lvlJc w:val="left"/>
      <w:lvlText w:val="(%1)"/>
      <w:numFmt w:val="lowerRoman"/>
      <w:start w:val="4"/>
    </w:lvl>
  </w:abstractNum>
  <w:abstractNum w:abstractNumId="264">
    <w:nsid w:val="3DE8306C"/>
    <w:multiLevelType w:val="hybridMultilevel"/>
    <w:lvl w:ilvl="0">
      <w:lvlJc w:val="left"/>
      <w:lvlText w:val="(%1)"/>
      <w:numFmt w:val="lowerLetter"/>
      <w:start w:val="1"/>
    </w:lvl>
  </w:abstractNum>
  <w:abstractNum w:abstractNumId="265">
    <w:nsid w:val="763157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66">
    <w:nsid w:val="58DF53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4"/>
    </w:lvl>
  </w:abstractNum>
  <w:abstractNum w:abstractNumId="267">
    <w:nsid w:val="ACDFAC0"/>
    <w:multiLevelType w:val="hybridMultilevel"/>
    <w:lvl w:ilvl="0">
      <w:lvlJc w:val="left"/>
      <w:lvlText w:val="(%1)"/>
      <w:numFmt w:val="lowerLetter"/>
      <w:start w:val="1"/>
    </w:lvl>
  </w:abstractNum>
  <w:abstractNum w:abstractNumId="268">
    <w:nsid w:val="1F578454"/>
    <w:multiLevelType w:val="hybridMultilevel"/>
    <w:lvl w:ilvl="0">
      <w:lvlJc w:val="left"/>
      <w:lvlText w:val="(%1)"/>
      <w:numFmt w:val="lowerLetter"/>
      <w:start w:val="1"/>
    </w:lvl>
  </w:abstractNum>
  <w:abstractNum w:abstractNumId="269">
    <w:nsid w:val="5B0DAD2A"/>
    <w:multiLevelType w:val="hybridMultilevel"/>
    <w:lvl w:ilvl="0">
      <w:lvlJc w:val="left"/>
      <w:lvlText w:val="(%1)"/>
      <w:numFmt w:val="lowerLetter"/>
      <w:start w:val="1"/>
    </w:lvl>
  </w:abstractNum>
  <w:abstractNum w:abstractNumId="270">
    <w:nsid w:val="4E3D26A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71">
    <w:nsid w:val="BE2C8BA"/>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72">
    <w:nsid w:val="7B14914E"/>
    <w:multiLevelType w:val="hybridMultilevel"/>
    <w:lvl w:ilvl="0">
      <w:lvlJc w:val="left"/>
      <w:lvlText w:val="(%1)"/>
      <w:numFmt w:val="lowerLetter"/>
      <w:start w:val="4"/>
    </w:lvl>
  </w:abstractNum>
  <w:abstractNum w:abstractNumId="273">
    <w:nsid w:val="6F0939F8"/>
    <w:multiLevelType w:val="hybridMultilevel"/>
    <w:lvl w:ilvl="0">
      <w:lvlJc w:val="left"/>
      <w:lvlText w:val="(%1)"/>
      <w:numFmt w:val="lowerLetter"/>
      <w:start w:val="9"/>
    </w:lvl>
    <w:lvl w:ilvl="1">
      <w:lvlJc w:val="left"/>
      <w:lvlText w:val="%2"/>
      <w:numFmt w:val="lowerLetter"/>
      <w:start w:val="1"/>
    </w:lvl>
  </w:abstractNum>
  <w:abstractNum w:abstractNumId="274">
    <w:nsid w:val="154291F6"/>
    <w:multiLevelType w:val="hybridMultilevel"/>
    <w:lvl w:ilvl="0">
      <w:lvlJc w:val="left"/>
      <w:lvlText w:val="(%1)"/>
      <w:numFmt w:val="lowerLetter"/>
      <w:start w:val="2"/>
    </w:lvl>
    <w:lvl w:ilvl="1">
      <w:lvlJc w:val="left"/>
      <w:lvlText w:val="(%2)"/>
      <w:numFmt w:val="lowerLetter"/>
      <w:start w:val="9"/>
    </w:lvl>
  </w:abstractNum>
  <w:abstractNum w:abstractNumId="275">
    <w:nsid w:val="3CEBD7C7"/>
    <w:multiLevelType w:val="hybridMultilevel"/>
    <w:lvl w:ilvl="0">
      <w:lvlJc w:val="left"/>
      <w:lvlText w:val="(%1)"/>
      <w:numFmt w:val="lowerRoman"/>
      <w:start w:val="2"/>
    </w:lvl>
  </w:abstractNum>
  <w:abstractNum w:abstractNumId="276">
    <w:nsid w:val="60EE9C16"/>
    <w:multiLevelType w:val="hybridMultilevel"/>
    <w:lvl w:ilvl="0">
      <w:lvlJc w:val="left"/>
      <w:lvlText w:val="%1"/>
      <w:numFmt w:val="lowerLetter"/>
      <w:start w:val="1"/>
    </w:lvl>
    <w:lvl w:ilvl="1">
      <w:lvlJc w:val="left"/>
      <w:lvlText w:val="(%2)"/>
      <w:numFmt w:val="lowerLetter"/>
      <w:start w:val="1"/>
    </w:lvl>
  </w:abstractNum>
  <w:abstractNum w:abstractNumId="277">
    <w:nsid w:val="6385489E"/>
    <w:multiLevelType w:val="hybridMultilevel"/>
    <w:lvl w:ilvl="0">
      <w:lvlJc w:val="left"/>
      <w:lvlText w:val="(%1)"/>
      <w:numFmt w:val="lowerLetter"/>
      <w:start w:val="9"/>
    </w:lvl>
    <w:lvl w:ilvl="1">
      <w:lvlJc w:val="left"/>
      <w:lvlText w:val="%2"/>
      <w:numFmt w:val="lowerLetter"/>
      <w:start w:val="1"/>
    </w:lvl>
  </w:abstractNum>
  <w:abstractNum w:abstractNumId="278">
    <w:nsid w:val="E4B973"/>
    <w:multiLevelType w:val="hybridMultilevel"/>
    <w:lvl w:ilvl="0">
      <w:lvlJc w:val="left"/>
      <w:lvlText w:val="(%1)"/>
      <w:numFmt w:val="lowerLetter"/>
      <w:start w:val="4"/>
    </w:lvl>
  </w:abstractNum>
  <w:abstractNum w:abstractNumId="279">
    <w:nsid w:val="4A0FFA11"/>
    <w:multiLevelType w:val="hybridMultilevel"/>
    <w:lvl w:ilvl="0">
      <w:lvlJc w:val="left"/>
      <w:lvlText w:val="(%1)"/>
      <w:numFmt w:val="lowerRoman"/>
      <w:start w:val="1"/>
    </w:lvl>
  </w:abstractNum>
  <w:abstractNum w:abstractNumId="280">
    <w:nsid w:val="5E446208"/>
    <w:multiLevelType w:val="hybridMultilevel"/>
    <w:lvl w:ilvl="0">
      <w:lvlJc w:val="left"/>
      <w:lvlText w:val="(%1)"/>
      <w:numFmt w:val="decimal"/>
      <w:start w:val="1"/>
    </w:lvl>
  </w:abstractNum>
  <w:abstractNum w:abstractNumId="281">
    <w:nsid w:val="5F3272DB"/>
    <w:multiLevelType w:val="hybridMultilevel"/>
    <w:lvl w:ilvl="0">
      <w:lvlJc w:val="left"/>
      <w:lvlText w:val="(%1)"/>
      <w:numFmt w:val="decimal"/>
      <w:start w:val="1"/>
    </w:lvl>
  </w:abstractNum>
  <w:abstractNum w:abstractNumId="282">
    <w:nsid w:val="7616D704"/>
    <w:multiLevelType w:val="hybridMultilevel"/>
    <w:lvl w:ilvl="0">
      <w:lvlJc w:val="left"/>
      <w:lvlText w:val="(%1)"/>
      <w:numFmt w:val="decimal"/>
      <w:start w:val="1"/>
    </w:lvl>
  </w:abstractNum>
  <w:abstractNum w:abstractNumId="283">
    <w:nsid w:val="C56F860"/>
    <w:multiLevelType w:val="hybridMultilevel"/>
    <w:lvl w:ilvl="0">
      <w:lvlJc w:val="left"/>
      <w:lvlText w:val="(%1)"/>
      <w:numFmt w:val="lowerLetter"/>
      <w:start w:val="1"/>
    </w:lvl>
    <w:lvl w:ilvl="1">
      <w:lvlJc w:val="left"/>
      <w:lvlText w:val="(%2)"/>
      <w:numFmt w:val="lowerRoman"/>
      <w:start w:val="1"/>
    </w:lvl>
  </w:abstractNum>
  <w:abstractNum w:abstractNumId="284">
    <w:nsid w:val="64D17722"/>
    <w:multiLevelType w:val="hybridMultilevel"/>
    <w:lvl w:ilvl="0">
      <w:lvlJc w:val="left"/>
      <w:lvlText w:val="%1"/>
      <w:numFmt w:val="lowerLetter"/>
      <w:start w:val="1"/>
    </w:lvl>
    <w:lvl w:ilvl="1">
      <w:lvlJc w:val="left"/>
      <w:lvlText w:val="(%2)"/>
      <w:numFmt w:val="lowerRoman"/>
      <w:start w:val="3"/>
    </w:lvl>
  </w:abstractNum>
  <w:abstractNum w:abstractNumId="285">
    <w:nsid w:val="7924CA0A"/>
    <w:multiLevelType w:val="hybridMultilevel"/>
    <w:lvl w:ilvl="0">
      <w:lvlJc w:val="left"/>
      <w:lvlText w:val="(%1)"/>
      <w:numFmt w:val="lowerLetter"/>
      <w:start w:val="2"/>
    </w:lvl>
    <w:lvl w:ilvl="1">
      <w:lvlJc w:val="left"/>
      <w:lvlText w:val="%2"/>
      <w:numFmt w:val="lowerRoman"/>
      <w:start w:val="1"/>
    </w:lvl>
  </w:abstractNum>
  <w:abstractNum w:abstractNumId="286">
    <w:nsid w:val="CFD4EA7"/>
    <w:multiLevelType w:val="hybridMultilevel"/>
    <w:lvl w:ilvl="0">
      <w:lvlJc w:val="left"/>
      <w:lvlText w:val="(%1)"/>
      <w:numFmt w:val="lowerLetter"/>
      <w:start w:val="1"/>
    </w:lvl>
  </w:abstractNum>
  <w:abstractNum w:abstractNumId="287">
    <w:nsid w:val="232FCF4D"/>
    <w:multiLevelType w:val="hybridMultilevel"/>
    <w:lvl w:ilvl="0">
      <w:lvlJc w:val="left"/>
      <w:lvlText w:val="(%1)"/>
      <w:numFmt w:val="lowerRoman"/>
      <w:start w:val="1"/>
    </w:lvl>
    <w:lvl w:ilvl="1">
      <w:lvlJc w:val="left"/>
      <w:lvlText w:val="(%2)"/>
      <w:numFmt w:val="upperLetter"/>
      <w:start w:val="1"/>
    </w:lvl>
  </w:abstractNum>
  <w:abstractNum w:abstractNumId="288">
    <w:nsid w:val="1EA2103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89">
    <w:nsid w:val="67A5A6B5"/>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290">
    <w:nsid w:val="C2A5C5B"/>
    <w:multiLevelType w:val="hybridMultilevel"/>
    <w:lvl w:ilvl="0">
      <w:lvlJc w:val="left"/>
      <w:lvlText w:val="(%1)"/>
      <w:numFmt w:val="lowerLetter"/>
      <w:start w:val="24"/>
    </w:lvl>
    <w:lvl w:ilvl="1">
      <w:lvlJc w:val="left"/>
      <w:lvlText w:val="(%2)"/>
      <w:numFmt w:val="upperLetter"/>
      <w:start w:val="2"/>
    </w:lvl>
    <w:lvl w:ilvl="2">
      <w:lvlJc w:val="left"/>
      <w:lvlText w:val="(%3)"/>
      <w:numFmt w:val="decimal"/>
      <w:start w:val="2"/>
    </w:lvl>
  </w:abstractNum>
  <w:abstractNum w:abstractNumId="291">
    <w:nsid w:val="5F94DC03"/>
    <w:multiLevelType w:val="hybridMultilevel"/>
    <w:lvl w:ilvl="0">
      <w:lvlJc w:val="left"/>
      <w:lvlText w:val="%1"/>
      <w:numFmt w:val="lowerLetter"/>
      <w:start w:val="1"/>
    </w:lvl>
    <w:lvl w:ilvl="1">
      <w:lvlJc w:val="left"/>
      <w:lvlText w:val="(%2)"/>
      <w:numFmt w:val="lowerLetter"/>
      <w:start w:val="61"/>
    </w:lvl>
  </w:abstractNum>
  <w:abstractNum w:abstractNumId="292">
    <w:nsid w:val="237BBCA0"/>
    <w:multiLevelType w:val="hybridMultilevel"/>
    <w:lvl w:ilvl="0">
      <w:lvlJc w:val="left"/>
      <w:lvlText w:val="(%1)"/>
      <w:numFmt w:val="lowerLetter"/>
      <w:start w:val="6"/>
    </w:lvl>
    <w:lvl w:ilvl="1">
      <w:lvlJc w:val="left"/>
      <w:lvlText w:val="%2"/>
      <w:numFmt w:val="lowerLetter"/>
      <w:start w:val="1"/>
    </w:lvl>
  </w:abstractNum>
  <w:abstractNum w:abstractNumId="293">
    <w:nsid w:val="162EB70D"/>
    <w:multiLevelType w:val="hybridMultilevel"/>
    <w:lvl w:ilvl="0">
      <w:lvlJc w:val="left"/>
      <w:lvlText w:val="(%1)"/>
      <w:numFmt w:val="lowerLetter"/>
      <w:start w:val="8"/>
    </w:lvl>
  </w:abstractNum>
  <w:abstractNum w:abstractNumId="294">
    <w:nsid w:val="78070222"/>
    <w:multiLevelType w:val="hybridMultilevel"/>
    <w:lvl w:ilvl="0">
      <w:lvlJc w:val="left"/>
      <w:lvlText w:val="(%1)"/>
      <w:numFmt w:val="lowerLetter"/>
      <w:start w:val="1"/>
    </w:lvl>
    <w:lvl w:ilvl="1">
      <w:lvlJc w:val="left"/>
      <w:lvlText w:val="(%2)"/>
      <w:numFmt w:val="lowerRoman"/>
      <w:start w:val="1"/>
    </w:lvl>
  </w:abstractNum>
  <w:abstractNum w:abstractNumId="295">
    <w:nsid w:val="6163ED0D"/>
    <w:multiLevelType w:val="hybridMultilevel"/>
    <w:lvl w:ilvl="0">
      <w:lvlJc w:val="left"/>
      <w:lvlText w:val="(%1)"/>
      <w:numFmt w:val="lowerLetter"/>
      <w:start w:val="2"/>
    </w:lvl>
  </w:abstractNum>
  <w:abstractNum w:abstractNumId="296">
    <w:nsid w:val="C600E47"/>
    <w:multiLevelType w:val="hybridMultilevel"/>
    <w:lvl w:ilvl="0">
      <w:lvlJc w:val="left"/>
      <w:lvlText w:val="(%1)"/>
      <w:numFmt w:val="lowerLetter"/>
      <w:start w:val="1"/>
    </w:lvl>
  </w:abstractNum>
  <w:abstractNum w:abstractNumId="297">
    <w:nsid w:val="7D94F75D"/>
    <w:multiLevelType w:val="hybridMultilevel"/>
    <w:lvl w:ilvl="0">
      <w:lvlJc w:val="left"/>
      <w:lvlText w:val="(%1)"/>
      <w:numFmt w:val="lowerLetter"/>
      <w:start w:val="1"/>
    </w:lvl>
  </w:abstractNum>
  <w:abstractNum w:abstractNumId="298">
    <w:nsid w:val="6C31E7CD"/>
    <w:multiLevelType w:val="hybridMultilevel"/>
    <w:lvl w:ilvl="0">
      <w:lvlJc w:val="left"/>
      <w:lvlText w:val="(%1)"/>
      <w:numFmt w:val="lowerLetter"/>
      <w:start w:val="2"/>
    </w:lvl>
  </w:abstractNum>
  <w:abstractNum w:abstractNumId="299">
    <w:nsid w:val="2BB792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0">
    <w:nsid w:val="58A2A48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301">
    <w:nsid w:val="3A6F0E7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302">
    <w:nsid w:val="379A5B5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3">
    <w:nsid w:val="53B735D5"/>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304">
    <w:nsid w:val="29784870"/>
    <w:multiLevelType w:val="hybridMultilevel"/>
    <w:lvl w:ilvl="0">
      <w:lvlJc w:val="left"/>
      <w:lvlText w:val="%1"/>
      <w:numFmt w:val="lowerLetter"/>
      <w:start w:val="1"/>
    </w:lvl>
    <w:lvl w:ilvl="1">
      <w:lvlJc w:val="left"/>
      <w:lvlText w:val="(%2)"/>
      <w:numFmt w:val="lowerLetter"/>
      <w:start w:val="10"/>
    </w:lvl>
  </w:abstractNum>
  <w:abstractNum w:abstractNumId="305">
    <w:nsid w:val="4CDCED4C"/>
    <w:multiLevelType w:val="hybridMultilevel"/>
    <w:lvl w:ilvl="0">
      <w:lvlJc w:val="left"/>
      <w:lvlText w:val="(%1)"/>
      <w:numFmt w:val="lowerLetter"/>
      <w:start w:val="61"/>
    </w:lvl>
    <w:lvl w:ilvl="1">
      <w:lvlJc w:val="left"/>
      <w:lvlText w:val="(%2)"/>
      <w:numFmt w:val="lowerLetter"/>
      <w:start w:val="11"/>
    </w:lvl>
  </w:abstractNum>
  <w:abstractNum w:abstractNumId="306">
    <w:nsid w:val="10A30D9C"/>
    <w:multiLevelType w:val="hybridMultilevel"/>
    <w:lvl w:ilvl="0">
      <w:lvlJc w:val="left"/>
      <w:lvlText w:val="(%1)"/>
      <w:numFmt w:val="lowerLetter"/>
      <w:start w:val="1"/>
    </w:lvl>
    <w:lvl w:ilvl="1">
      <w:lvlJc w:val="left"/>
      <w:lvlText w:val="(%2)"/>
      <w:numFmt w:val="lowerRoman"/>
      <w:start w:val="1"/>
    </w:lvl>
  </w:abstractNum>
  <w:abstractNum w:abstractNumId="307">
    <w:nsid w:val="A66E4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08">
    <w:nsid w:val="306235E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309">
    <w:nsid w:val="1187C70F"/>
    <w:multiLevelType w:val="hybridMultilevel"/>
    <w:lvl w:ilvl="0">
      <w:lvlJc w:val="left"/>
      <w:lvlText w:val="(%1)"/>
      <w:numFmt w:val="lowerLetter"/>
      <w:start w:val="7"/>
    </w:lvl>
  </w:abstractNum>
  <w:abstractNum w:abstractNumId="310">
    <w:nsid w:val="5476DE98"/>
    <w:multiLevelType w:val="hybridMultilevel"/>
    <w:lvl w:ilvl="0">
      <w:lvlJc w:val="left"/>
      <w:lvlText w:val="(%1)"/>
      <w:numFmt w:val="lowerLetter"/>
      <w:start w:val="2"/>
    </w:lvl>
  </w:abstractNum>
  <w:abstractNum w:abstractNumId="311">
    <w:nsid w:val="EA697F2"/>
    <w:multiLevelType w:val="hybridMultilevel"/>
    <w:lvl w:ilvl="0">
      <w:lvlJc w:val="left"/>
      <w:lvlText w:val="(%1)"/>
      <w:numFmt w:val="lowerLetter"/>
      <w:start w:val="1"/>
    </w:lvl>
  </w:abstractNum>
  <w:abstractNum w:abstractNumId="312">
    <w:nsid w:val="70BA39EB"/>
    <w:multiLevelType w:val="hybridMultilevel"/>
    <w:lvl w:ilvl="0">
      <w:lvlJc w:val="left"/>
      <w:lvlText w:val="(%1)"/>
      <w:numFmt w:val="lowerLetter"/>
      <w:start w:val="3"/>
    </w:lvl>
  </w:abstractNum>
  <w:abstractNum w:abstractNumId="313">
    <w:nsid w:val="4A8DB59C"/>
    <w:multiLevelType w:val="hybridMultilevel"/>
    <w:lvl w:ilvl="0">
      <w:lvlJc w:val="left"/>
      <w:lvlText w:val="(%1)"/>
      <w:numFmt w:val="lowerLetter"/>
      <w:start w:val="1"/>
    </w:lvl>
  </w:abstractNum>
  <w:abstractNum w:abstractNumId="314">
    <w:nsid w:val="1AFD9053"/>
    <w:multiLevelType w:val="hybridMultilevel"/>
    <w:lvl w:ilvl="0">
      <w:lvlJc w:val="left"/>
      <w:lvlText w:val="(%1)"/>
      <w:numFmt w:val="lowerLetter"/>
      <w:start w:val="4"/>
    </w:lvl>
    <w:lvl w:ilvl="1">
      <w:lvlJc w:val="left"/>
      <w:lvlText w:val="(%2)"/>
      <w:numFmt w:val="lowerLetter"/>
      <w:start w:val="35"/>
    </w:lvl>
  </w:abstractNum>
  <w:abstractNum w:abstractNumId="315">
    <w:nsid w:val="558BB10D"/>
    <w:multiLevelType w:val="hybridMultilevel"/>
    <w:lvl w:ilvl="0">
      <w:lvlJc w:val="left"/>
      <w:lvlText w:val="(%1)"/>
      <w:numFmt w:val="lowerLetter"/>
      <w:start w:val="1"/>
    </w:lvl>
  </w:abstractNum>
  <w:abstractNum w:abstractNumId="316">
    <w:nsid w:val="43B27FA7"/>
    <w:multiLevelType w:val="hybridMultilevel"/>
    <w:lvl w:ilvl="0">
      <w:lvlJc w:val="left"/>
      <w:lvlText w:val="(%1)"/>
      <w:numFmt w:val="lowerLetter"/>
      <w:start w:val="4"/>
    </w:lvl>
  </w:abstractNum>
  <w:abstractNum w:abstractNumId="317">
    <w:nsid w:val="27FADEFA"/>
    <w:multiLevelType w:val="hybridMultilevel"/>
    <w:lvl w:ilvl="0">
      <w:lvlJc w:val="left"/>
      <w:lvlText w:val="(%1)"/>
      <w:numFmt w:val="lowerLetter"/>
      <w:start w:val="1"/>
    </w:lvl>
  </w:abstractNum>
  <w:abstractNum w:abstractNumId="318">
    <w:nsid w:val="78BB805A"/>
    <w:multiLevelType w:val="hybridMultilevel"/>
    <w:lvl w:ilvl="0">
      <w:lvlJc w:val="left"/>
      <w:lvlText w:val="(%1)"/>
      <w:numFmt w:val="lowerLetter"/>
      <w:start w:val="4"/>
    </w:lvl>
    <w:lvl w:ilvl="1">
      <w:lvlJc w:val="left"/>
      <w:lvlText w:val="(%2)"/>
      <w:numFmt w:val="lowerRoman"/>
      <w:start w:val="1"/>
    </w:lvl>
  </w:abstractNum>
  <w:abstractNum w:abstractNumId="319">
    <w:nsid w:val="62548FD8"/>
    <w:multiLevelType w:val="hybridMultilevel"/>
    <w:lvl w:ilvl="0">
      <w:lvlJc w:val="left"/>
      <w:lvlText w:val="(%1)"/>
      <w:numFmt w:val="lowerLetter"/>
      <w:start w:val="1"/>
    </w:lvl>
  </w:abstractNum>
  <w:abstractNum w:abstractNumId="320">
    <w:nsid w:val="FA085B0"/>
    <w:multiLevelType w:val="hybridMultilevel"/>
    <w:lvl w:ilvl="0">
      <w:lvlJc w:val="left"/>
      <w:lvlText w:val="(%1)"/>
      <w:numFmt w:val="lowerLetter"/>
      <w:start w:val="1"/>
    </w:lvl>
  </w:abstractNum>
  <w:abstractNum w:abstractNumId="321">
    <w:nsid w:val="4E5DCB5"/>
    <w:multiLevelType w:val="hybridMultilevel"/>
    <w:lvl w:ilvl="0">
      <w:lvlJc w:val="left"/>
      <w:lvlText w:val="(%1)"/>
      <w:numFmt w:val="lowerLetter"/>
      <w:start w:val="1"/>
    </w:lvl>
  </w:abstractNum>
  <w:abstractNum w:abstractNumId="322">
    <w:nsid w:val="41E96BDB"/>
    <w:multiLevelType w:val="hybridMultilevel"/>
    <w:lvl w:ilvl="0">
      <w:lvlJc w:val="left"/>
      <w:lvlText w:val="(%1)"/>
      <w:numFmt w:val="lowerLetter"/>
      <w:start w:val="2"/>
    </w:lvl>
  </w:abstractNum>
  <w:abstractNum w:abstractNumId="323">
    <w:nsid w:val="331C4250"/>
    <w:multiLevelType w:val="hybridMultilevel"/>
    <w:lvl w:ilvl="0">
      <w:lvlJc w:val="left"/>
      <w:lvlText w:val="(%1)"/>
      <w:numFmt w:val="lowerLetter"/>
      <w:start w:val="1"/>
    </w:lvl>
  </w:abstractNum>
  <w:abstractNum w:abstractNumId="324">
    <w:nsid w:val="1B1493C2"/>
    <w:multiLevelType w:val="hybridMultilevel"/>
    <w:lvl w:ilvl="0">
      <w:lvlJc w:val="left"/>
      <w:lvlText w:val="(%1)"/>
      <w:numFmt w:val="lowerLetter"/>
      <w:start w:val="8"/>
    </w:lvl>
  </w:abstractNum>
  <w:abstractNum w:abstractNumId="325">
    <w:nsid w:val="39F06DFD"/>
    <w:multiLevelType w:val="hybridMultilevel"/>
    <w:lvl w:ilvl="0">
      <w:lvlJc w:val="left"/>
      <w:lvlText w:val="(%1)"/>
      <w:numFmt w:val="lowerLetter"/>
      <w:start w:val="26"/>
    </w:lvl>
  </w:abstractNum>
  <w:abstractNum w:abstractNumId="326">
    <w:nsid w:val="14802F5D"/>
    <w:multiLevelType w:val="hybridMultilevel"/>
    <w:lvl w:ilvl="0">
      <w:lvlJc w:val="left"/>
      <w:lvlText w:val="(%1)"/>
      <w:numFmt w:val="lowerLetter"/>
      <w:start w:val="1"/>
    </w:lvl>
  </w:abstractNum>
  <w:abstractNum w:abstractNumId="327">
    <w:nsid w:val="2774A209"/>
    <w:multiLevelType w:val="hybridMultilevel"/>
    <w:lvl w:ilvl="0">
      <w:lvlJc w:val="left"/>
      <w:lvlText w:val="%1"/>
      <w:numFmt w:val="lowerLetter"/>
      <w:start w:val="1"/>
    </w:lvl>
    <w:lvl w:ilvl="1">
      <w:lvlJc w:val="left"/>
      <w:lvlText w:val="(%2)"/>
      <w:numFmt w:val="lowerLetter"/>
      <w:start w:val="1"/>
    </w:lvl>
  </w:abstractNum>
  <w:abstractNum w:abstractNumId="328">
    <w:nsid w:val="3785655A"/>
    <w:multiLevelType w:val="hybridMultilevel"/>
    <w:lvl w:ilvl="0">
      <w:lvlJc w:val="left"/>
      <w:lvlText w:val="(%1)"/>
      <w:numFmt w:val="lowerLetter"/>
      <w:start w:val="3"/>
    </w:lvl>
    <w:lvl w:ilvl="1">
      <w:lvlJc w:val="left"/>
      <w:lvlText w:val="%2"/>
      <w:numFmt w:val="lowerLetter"/>
      <w:start w:val="1"/>
    </w:lvl>
  </w:abstractNum>
  <w:abstractNum w:abstractNumId="329">
    <w:nsid w:val="B2172A"/>
    <w:multiLevelType w:val="hybridMultilevel"/>
    <w:lvl w:ilvl="0">
      <w:lvlJc w:val="left"/>
      <w:lvlText w:val="(%1)"/>
      <w:numFmt w:val="lowerLetter"/>
      <w:start w:val="1"/>
    </w:lvl>
  </w:abstractNum>
  <w:abstractNum w:abstractNumId="330">
    <w:nsid w:val="532C34A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1">
    <w:nsid w:val="102809E2"/>
    <w:multiLevelType w:val="hybridMultilevel"/>
    <w:lvl w:ilvl="0">
      <w:lvlJc w:val="left"/>
      <w:lvlText w:val="(%1)"/>
      <w:numFmt w:val="lowerRoman"/>
      <w:start w:val="4"/>
    </w:lvl>
  </w:abstractNum>
  <w:abstractNum w:abstractNumId="332">
    <w:nsid w:val="3B2125A3"/>
    <w:multiLevelType w:val="hybridMultilevel"/>
    <w:lvl w:ilvl="0">
      <w:lvlJc w:val="left"/>
      <w:lvlText w:val="(%1)"/>
      <w:numFmt w:val="lowerLetter"/>
      <w:start w:val="2"/>
    </w:lvl>
    <w:lvl w:ilvl="1">
      <w:lvlJc w:val="left"/>
      <w:lvlText w:val="(%2)"/>
      <w:numFmt w:val="lowerLetter"/>
      <w:start w:val="9"/>
    </w:lvl>
  </w:abstractNum>
  <w:abstractNum w:abstractNumId="333">
    <w:nsid w:val="AC68FFB"/>
    <w:multiLevelType w:val="hybridMultilevel"/>
    <w:lvl w:ilvl="0">
      <w:lvlJc w:val="left"/>
      <w:lvlText w:val="(%1)"/>
      <w:numFmt w:val="lowerRoman"/>
      <w:start w:val="2"/>
    </w:lvl>
  </w:abstractNum>
  <w:abstractNum w:abstractNumId="334">
    <w:nsid w:val="63DF3FB7"/>
    <w:multiLevelType w:val="hybridMultilevel"/>
    <w:lvl w:ilvl="0">
      <w:lvlJc w:val="left"/>
      <w:lvlText w:val="(%1)"/>
      <w:numFmt w:val="lowerRoman"/>
      <w:start w:val="8"/>
    </w:lvl>
  </w:abstractNum>
  <w:abstractNum w:abstractNumId="335">
    <w:nsid w:val="64996E13"/>
    <w:multiLevelType w:val="hybridMultilevel"/>
    <w:lvl w:ilvl="0">
      <w:lvlJc w:val="left"/>
      <w:lvlText w:val="(%1)"/>
      <w:numFmt w:val="lowerRoman"/>
      <w:start w:val="7"/>
    </w:lvl>
    <w:lvl w:ilvl="1">
      <w:lvlJc w:val="left"/>
      <w:lvlText w:val="%2"/>
      <w:numFmt w:val="lowerLetter"/>
      <w:start w:val="1"/>
    </w:lvl>
  </w:abstractNum>
  <w:abstractNum w:abstractNumId="336">
    <w:nsid w:val="57A37D47"/>
    <w:multiLevelType w:val="hybridMultilevel"/>
    <w:lvl w:ilvl="0">
      <w:lvlJc w:val="left"/>
      <w:lvlText w:val="(%1)"/>
      <w:numFmt w:val="lowerRoman"/>
      <w:start w:val="4"/>
    </w:lvl>
    <w:lvl w:ilvl="1">
      <w:lvlJc w:val="left"/>
      <w:lvlText w:val="(%2)"/>
      <w:numFmt w:val="lowerLetter"/>
      <w:start w:val="3"/>
    </w:lvl>
  </w:abstractNum>
  <w:abstractNum w:abstractNumId="337">
    <w:nsid w:val="74824D54"/>
    <w:multiLevelType w:val="hybridMultilevel"/>
    <w:lvl w:ilvl="0">
      <w:lvlJc w:val="left"/>
      <w:lvlText w:val="(%1)"/>
      <w:numFmt w:val="lowerLetter"/>
      <w:start w:val="1"/>
    </w:lvl>
  </w:abstractNum>
  <w:abstractNum w:abstractNumId="338">
    <w:nsid w:val="6F00529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39">
    <w:nsid w:val="805B331"/>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9"/>
    </w:lvl>
  </w:abstractNum>
  <w:abstractNum w:abstractNumId="340">
    <w:nsid w:val="60A1463"/>
    <w:multiLevelType w:val="hybridMultilevel"/>
    <w:lvl w:ilvl="0">
      <w:lvlJc w:val="left"/>
      <w:lvlText w:val="%1"/>
      <w:numFmt w:val="lowerLetter"/>
      <w:start w:val="1"/>
    </w:lvl>
    <w:lvl w:ilvl="1">
      <w:lvlJc w:val="left"/>
      <w:lvlText w:val="(%2)"/>
      <w:numFmt w:val="lowerLetter"/>
      <w:start w:val="35"/>
    </w:lvl>
  </w:abstractNum>
  <w:abstractNum w:abstractNumId="341">
    <w:nsid w:val="43773132"/>
    <w:multiLevelType w:val="hybridMultilevel"/>
    <w:lvl w:ilvl="0">
      <w:lvlJc w:val="left"/>
      <w:lvlText w:val="(%1)"/>
      <w:numFmt w:val="lowerLetter"/>
      <w:start w:val="2"/>
    </w:lvl>
    <w:lvl w:ilvl="1">
      <w:lvlJc w:val="left"/>
      <w:lvlText w:val="(%2)"/>
      <w:numFmt w:val="lowerLetter"/>
      <w:start w:val="9"/>
    </w:lvl>
  </w:abstractNum>
  <w:abstractNum w:abstractNumId="342">
    <w:nsid w:val="16AC4B23"/>
    <w:multiLevelType w:val="hybridMultilevel"/>
    <w:lvl w:ilvl="0">
      <w:lvlJc w:val="left"/>
      <w:lvlText w:val="(%1)"/>
      <w:numFmt w:val="lowerRoman"/>
      <w:start w:val="2"/>
    </w:lvl>
  </w:abstractNum>
  <w:abstractNum w:abstractNumId="343">
    <w:nsid w:val="76C44E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44">
    <w:nsid w:val="E04E6C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45">
    <w:nsid w:val="31A9DB76"/>
    <w:multiLevelType w:val="hybridMultilevel"/>
    <w:lvl w:ilvl="0">
      <w:lvlJc w:val="left"/>
      <w:lvlText w:val="(%1)"/>
      <w:numFmt w:val="upperLetter"/>
      <w:start w:val="1"/>
    </w:lvl>
  </w:abstractNum>
  <w:abstractNum w:abstractNumId="346">
    <w:nsid w:val="4C4FFF5B"/>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347">
    <w:nsid w:val="51B7667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2"/>
    </w:lvl>
  </w:abstractNum>
  <w:abstractNum w:abstractNumId="348">
    <w:nsid w:val="59A4BA71"/>
    <w:multiLevelType w:val="hybridMultilevel"/>
    <w:lvl w:ilvl="0">
      <w:lvlJc w:val="left"/>
      <w:lvlText w:val="(%1)"/>
      <w:numFmt w:val="decimal"/>
      <w:start w:val="7"/>
    </w:lvl>
  </w:abstractNum>
  <w:abstractNum w:abstractNumId="349">
    <w:nsid w:val="450B7FB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0">
    <w:nsid w:val="340BF64D"/>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51">
    <w:nsid w:val="69454021"/>
    <w:multiLevelType w:val="hybridMultilevel"/>
    <w:lvl w:ilvl="0">
      <w:lvlJc w:val="left"/>
      <w:lvlText w:val="(%1)"/>
      <w:numFmt w:val="lowerRoman"/>
      <w:start w:val="4"/>
    </w:lvl>
  </w:abstractNum>
  <w:abstractNum w:abstractNumId="352">
    <w:nsid w:val="49F15C6B"/>
    <w:multiLevelType w:val="hybridMultilevel"/>
    <w:lvl w:ilvl="0">
      <w:lvlJc w:val="left"/>
      <w:lvlText w:val="(%1)"/>
      <w:numFmt w:val="lowerRoman"/>
      <w:start w:val="10"/>
    </w:lvl>
  </w:abstractNum>
  <w:abstractNum w:abstractNumId="353">
    <w:nsid w:val="75F56228"/>
    <w:multiLevelType w:val="hybridMultilevel"/>
    <w:lvl w:ilvl="0">
      <w:lvlJc w:val="left"/>
      <w:lvlText w:val="(%1)"/>
      <w:numFmt w:val="lowerRoman"/>
      <w:start w:val="16"/>
    </w:lvl>
  </w:abstractNum>
  <w:abstractNum w:abstractNumId="354">
    <w:nsid w:val="1C618271"/>
    <w:multiLevelType w:val="hybridMultilevel"/>
    <w:lvl w:ilvl="0">
      <w:lvlJc w:val="left"/>
      <w:lvlText w:val="(%1)"/>
      <w:numFmt w:val="lowerLetter"/>
      <w:start w:val="1"/>
    </w:lvl>
    <w:lvl w:ilvl="1">
      <w:lvlJc w:val="left"/>
      <w:lvlText w:val="(%2)"/>
      <w:numFmt w:val="lowerRoman"/>
      <w:start w:val="1"/>
    </w:lvl>
  </w:abstractNum>
  <w:abstractNum w:abstractNumId="355">
    <w:nsid w:val="6505F02E"/>
    <w:multiLevelType w:val="hybridMultilevel"/>
    <w:lvl w:ilvl="0">
      <w:lvlJc w:val="left"/>
      <w:lvlText w:val="(%1)"/>
      <w:numFmt w:val="lowerRoman"/>
      <w:start w:val="6"/>
    </w:lvl>
  </w:abstractNum>
  <w:abstractNum w:abstractNumId="356">
    <w:nsid w:val="2FE5D025"/>
    <w:multiLevelType w:val="hybridMultilevel"/>
    <w:lvl w:ilvl="0">
      <w:lvlJc w:val="left"/>
      <w:lvlText w:val="(%1)"/>
      <w:numFmt w:val="lowerRoman"/>
      <w:start w:val="10"/>
    </w:lvl>
  </w:abstractNum>
  <w:abstractNum w:abstractNumId="357">
    <w:nsid w:val="30E1B1CF"/>
    <w:multiLevelType w:val="hybridMultilevel"/>
    <w:lvl w:ilvl="0">
      <w:lvlJc w:val="left"/>
      <w:lvlText w:val="(%1)"/>
      <w:numFmt w:val="lowerRoman"/>
      <w:start w:val="15"/>
    </w:lvl>
  </w:abstractNum>
  <w:abstractNum w:abstractNumId="358">
    <w:nsid w:val="C7A9237"/>
    <w:multiLevelType w:val="hybridMultilevel"/>
    <w:lvl w:ilvl="0">
      <w:lvlJc w:val="left"/>
      <w:lvlText w:val="(%1)"/>
      <w:numFmt w:val="lowerLetter"/>
      <w:start w:val="1"/>
    </w:lvl>
  </w:abstractNum>
  <w:abstractNum w:abstractNumId="359">
    <w:nsid w:val="676B358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360">
    <w:nsid w:val="3193C8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61">
    <w:nsid w:val="5FA6C6DC"/>
    <w:multiLevelType w:val="hybridMultilevel"/>
    <w:lvl w:ilvl="0">
      <w:lvlJc w:val="left"/>
      <w:lvlText w:val="(%1)"/>
      <w:numFmt w:val="lowerRoman"/>
      <w:start w:val="3"/>
    </w:lvl>
    <w:lvl w:ilvl="1">
      <w:lvlJc w:val="left"/>
      <w:lvlText w:val="(%2)"/>
      <w:numFmt w:val="upperLetter"/>
      <w:start w:val="1"/>
    </w:lvl>
  </w:abstractNum>
  <w:abstractNum w:abstractNumId="362">
    <w:nsid w:val="77933F62"/>
    <w:multiLevelType w:val="hybridMultilevel"/>
    <w:lvl w:ilvl="0">
      <w:lvlJc w:val="left"/>
      <w:lvlText w:val="%1"/>
      <w:numFmt w:val="lowerRoman"/>
      <w:start w:val="1"/>
    </w:lvl>
    <w:lvl w:ilvl="1">
      <w:lvlJc w:val="left"/>
      <w:lvlText w:val="(%2)"/>
      <w:numFmt w:val="upperLetter"/>
      <w:start w:val="2"/>
    </w:lvl>
  </w:abstractNum>
  <w:abstractNum w:abstractNumId="363">
    <w:nsid w:val="6CB4EE9C"/>
    <w:multiLevelType w:val="hybridMultilevel"/>
    <w:lvl w:ilvl="0">
      <w:lvlJc w:val="left"/>
      <w:lvlText w:val="(%1)"/>
      <w:numFmt w:val="lowerRoman"/>
      <w:start w:val="7"/>
    </w:lvl>
    <w:lvl w:ilvl="1">
      <w:lvlJc w:val="left"/>
      <w:lvlText w:val="(%2)"/>
      <w:numFmt w:val="upperLetter"/>
      <w:start w:val="1"/>
    </w:lvl>
  </w:abstractNum>
  <w:abstractNum w:abstractNumId="364">
    <w:nsid w:val="6A6D56D7"/>
    <w:multiLevelType w:val="hybridMultilevel"/>
    <w:lvl w:ilvl="0">
      <w:lvlJc w:val="left"/>
      <w:lvlText w:val="(%1)"/>
      <w:numFmt w:val="lowerRoman"/>
      <w:start w:val="9"/>
    </w:lvl>
  </w:abstractNum>
  <w:abstractNum w:abstractNumId="365">
    <w:nsid w:val="5B727F19"/>
    <w:multiLevelType w:val="hybridMultilevel"/>
    <w:lvl w:ilvl="0">
      <w:lvlJc w:val="left"/>
      <w:lvlText w:val="(%1)"/>
      <w:numFmt w:val="lowerRoman"/>
      <w:start w:val="12"/>
    </w:lvl>
  </w:abstractNum>
  <w:abstractNum w:abstractNumId="366">
    <w:nsid w:val="514E5CB0"/>
    <w:multiLevelType w:val="hybridMultilevel"/>
    <w:lvl w:ilvl="0">
      <w:lvlJc w:val="left"/>
      <w:lvlText w:val="(%1)"/>
      <w:numFmt w:val="lowerRoman"/>
      <w:start w:val="17"/>
    </w:lvl>
  </w:abstractNum>
  <w:abstractNum w:abstractNumId="367">
    <w:nsid w:val="4210D41E"/>
    <w:multiLevelType w:val="hybridMultilevel"/>
    <w:lvl w:ilvl="0">
      <w:lvlJc w:val="left"/>
      <w:lvlText w:val="%1"/>
      <w:numFmt w:val="lowerLetter"/>
      <w:start w:val="1"/>
    </w:lvl>
    <w:lvl w:ilvl="1">
      <w:lvlJc w:val="left"/>
      <w:lvlText w:val="(%2)"/>
      <w:numFmt w:val="lowerRoman"/>
      <w:start w:val="27"/>
    </w:lvl>
  </w:abstractNum>
  <w:abstractNum w:abstractNumId="368">
    <w:nsid w:val="4FF4CC6D"/>
    <w:multiLevelType w:val="hybridMultilevel"/>
    <w:lvl w:ilvl="0">
      <w:lvlJc w:val="left"/>
      <w:lvlText w:val="(%1)"/>
      <w:numFmt w:val="lowerLetter"/>
      <w:start w:val="3"/>
    </w:lvl>
    <w:lvl w:ilvl="1">
      <w:lvlJc w:val="left"/>
      <w:lvlText w:val="%2"/>
      <w:numFmt w:val="lowerRoman"/>
      <w:start w:val="1"/>
    </w:lvl>
  </w:abstractNum>
  <w:abstractNum w:abstractNumId="369">
    <w:nsid w:val="404EAF4A"/>
    <w:multiLevelType w:val="hybridMultilevel"/>
    <w:lvl w:ilvl="0">
      <w:lvlJc w:val="left"/>
      <w:lvlText w:val="(%1)"/>
      <w:numFmt w:val="lowerLetter"/>
      <w:start w:val="5"/>
    </w:lvl>
  </w:abstractNum>
  <w:abstractNum w:abstractNumId="370">
    <w:nsid w:val="4A1687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1">
    <w:nsid w:val="55FEE0D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372">
    <w:nsid w:val="3C5E0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upperLetter"/>
      <w:start w:val="4"/>
    </w:lvl>
  </w:abstractNum>
  <w:abstractNum w:abstractNumId="373">
    <w:nsid w:val="60C2D27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374">
    <w:nsid w:val="4CC32F1F"/>
    <w:multiLevelType w:val="hybridMultilevel"/>
    <w:lvl w:ilvl="0">
      <w:lvlJc w:val="left"/>
      <w:lvlText w:val="(%1)"/>
      <w:numFmt w:val="lowerRoman"/>
      <w:start w:val="4"/>
    </w:lvl>
  </w:abstractNum>
  <w:abstractNum w:abstractNumId="375">
    <w:nsid w:val="11CAC74A"/>
    <w:multiLevelType w:val="hybridMultilevel"/>
    <w:lvl w:ilvl="0">
      <w:lvlJc w:val="left"/>
      <w:lvlText w:val="(%1)"/>
      <w:numFmt w:val="lowerLetter"/>
      <w:start w:val="3"/>
    </w:lvl>
  </w:abstractNum>
  <w:abstractNum w:abstractNumId="376">
    <w:nsid w:val="126CADE9"/>
    <w:multiLevelType w:val="hybridMultilevel"/>
    <w:lvl w:ilvl="0">
      <w:lvlJc w:val="left"/>
      <w:lvlText w:val="(%1)"/>
      <w:numFmt w:val="lowerLetter"/>
      <w:start w:val="1"/>
    </w:lvl>
    <w:lvl w:ilvl="1">
      <w:lvlJc w:val="left"/>
      <w:lvlText w:val="(%2)"/>
      <w:numFmt w:val="lowerLetter"/>
      <w:start w:val="9"/>
    </w:lvl>
  </w:abstractNum>
  <w:abstractNum w:abstractNumId="377">
    <w:nsid w:val="19132E7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78">
    <w:nsid w:val="63822DC0"/>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79">
    <w:nsid w:val="6C11685A"/>
    <w:multiLevelType w:val="hybridMultilevel"/>
    <w:lvl w:ilvl="0">
      <w:lvlJc w:val="left"/>
      <w:lvlText w:val="(%1)"/>
      <w:numFmt w:val="lowerRoman"/>
      <w:start w:val="2"/>
    </w:lvl>
  </w:abstractNum>
  <w:abstractNum w:abstractNumId="380">
    <w:nsid w:val="5E1EAE31"/>
    <w:multiLevelType w:val="hybridMultilevel"/>
    <w:lvl w:ilvl="0">
      <w:lvlJc w:val="left"/>
      <w:lvlText w:val="(%1)"/>
      <w:numFmt w:val="lowerRoman"/>
      <w:start w:val="7"/>
    </w:lvl>
  </w:abstractNum>
  <w:abstractNum w:abstractNumId="381">
    <w:nsid w:val="178E240D"/>
    <w:multiLevelType w:val="hybridMultilevel"/>
    <w:lvl w:ilvl="0">
      <w:lvlJc w:val="left"/>
      <w:lvlText w:val="(%1)"/>
      <w:numFmt w:val="lowerLetter"/>
      <w:start w:val="1"/>
    </w:lvl>
    <w:lvl w:ilvl="1">
      <w:lvlJc w:val="left"/>
      <w:lvlText w:val="(%2)"/>
      <w:numFmt w:val="lowerRoman"/>
      <w:start w:val="1"/>
    </w:lvl>
  </w:abstractNum>
  <w:abstractNum w:abstractNumId="382">
    <w:nsid w:val="5556A87B"/>
    <w:multiLevelType w:val="hybridMultilevel"/>
    <w:lvl w:ilvl="0">
      <w:lvlJc w:val="left"/>
      <w:lvlText w:val="%1"/>
      <w:numFmt w:val="lowerLetter"/>
      <w:start w:val="1"/>
    </w:lvl>
    <w:lvl w:ilvl="1">
      <w:lvlJc w:val="left"/>
      <w:lvlText w:val="(%2)"/>
      <w:numFmt w:val="lowerLetter"/>
      <w:start w:val="2"/>
    </w:lvl>
  </w:abstractNum>
  <w:abstractNum w:abstractNumId="383">
    <w:nsid w:val="28100A9C"/>
    <w:multiLevelType w:val="hybridMultilevel"/>
    <w:lvl w:ilvl="0">
      <w:lvlJc w:val="left"/>
      <w:lvlText w:val="(%1)"/>
      <w:numFmt w:val="lowerLetter"/>
      <w:start w:val="3"/>
    </w:lvl>
    <w:lvl w:ilvl="1">
      <w:lvlJc w:val="left"/>
      <w:lvlText w:val="(%2)"/>
      <w:numFmt w:val="lowerLetter"/>
      <w:start w:val="3"/>
    </w:lvl>
  </w:abstractNum>
  <w:abstractNum w:abstractNumId="384">
    <w:nsid w:val="D838636"/>
    <w:multiLevelType w:val="hybridMultilevel"/>
    <w:lvl w:ilvl="0">
      <w:lvlJc w:val="left"/>
      <w:lvlText w:val="%1"/>
      <w:numFmt w:val="lowerLetter"/>
      <w:start w:val="1"/>
    </w:lvl>
    <w:lvl w:ilvl="1">
      <w:lvlJc w:val="left"/>
      <w:lvlText w:val="(%2)"/>
      <w:numFmt w:val="lowerLetter"/>
      <w:start w:val="5"/>
    </w:lvl>
  </w:abstractNum>
  <w:abstractNum w:abstractNumId="385">
    <w:nsid w:val="71B82AED"/>
    <w:multiLevelType w:val="hybridMultilevel"/>
    <w:lvl w:ilvl="0">
      <w:lvlJc w:val="left"/>
      <w:lvlText w:val="(%1)"/>
      <w:numFmt w:val="lowerLetter"/>
      <w:start w:val="35"/>
    </w:lvl>
    <w:lvl w:ilvl="1">
      <w:lvlJc w:val="left"/>
      <w:lvlText w:val="%2"/>
      <w:numFmt w:val="lowerLetter"/>
      <w:start w:val="1"/>
    </w:lvl>
  </w:abstractNum>
  <w:abstractNum w:abstractNumId="386">
    <w:nsid w:val="D15FA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7">
    <w:nsid w:val="3D69565B"/>
    <w:multiLevelType w:val="hybridMultilevel"/>
    <w:lvl w:ilvl="0">
      <w:lvlJc w:val="left"/>
      <w:lvlText w:val="(%1)"/>
      <w:numFmt w:val="lowerRoman"/>
      <w:start w:val="2"/>
    </w:lvl>
  </w:abstractNum>
  <w:abstractNum w:abstractNumId="388">
    <w:nsid w:val="2299DCBC"/>
    <w:multiLevelType w:val="hybridMultilevel"/>
    <w:lvl w:ilvl="0">
      <w:lvlJc w:val="left"/>
      <w:lvlText w:val="(%1)"/>
      <w:numFmt w:val="lowerLetter"/>
      <w:start w:val="2"/>
    </w:lvl>
    <w:lvl w:ilvl="1">
      <w:lvlJc w:val="left"/>
      <w:lvlText w:val="(%2)"/>
      <w:numFmt w:val="lowerRoman"/>
      <w:start w:val="1"/>
    </w:lvl>
  </w:abstractNum>
  <w:abstractNum w:abstractNumId="389">
    <w:nsid w:val="19908D02"/>
    <w:multiLevelType w:val="hybridMultilevel"/>
    <w:lvl w:ilvl="0">
      <w:lvlJc w:val="left"/>
      <w:lvlText w:val="(%1)"/>
      <w:numFmt w:val="lowerLetter"/>
      <w:start w:val="1"/>
    </w:lvl>
  </w:abstractNum>
  <w:abstractNum w:abstractNumId="390">
    <w:nsid w:val="24D48BDB"/>
    <w:multiLevelType w:val="hybridMultilevel"/>
    <w:lvl w:ilvl="0">
      <w:lvlJc w:val="left"/>
      <w:lvlText w:val="%1"/>
      <w:numFmt w:val="lowerLetter"/>
      <w:start w:val="1"/>
    </w:lvl>
    <w:lvl w:ilvl="1">
      <w:lvlJc w:val="left"/>
      <w:lvlText w:val="(%2)"/>
      <w:numFmt w:val="lowerLetter"/>
      <w:start w:val="3"/>
    </w:lvl>
  </w:abstractNum>
  <w:abstractNum w:abstractNumId="391">
    <w:nsid w:val="542DA5B5"/>
    <w:multiLevelType w:val="hybridMultilevel"/>
    <w:lvl w:ilvl="0">
      <w:lvlJc w:val="left"/>
      <w:lvlText w:val="(%1)"/>
      <w:numFmt w:val="lowerLetter"/>
      <w:start w:val="35"/>
    </w:lvl>
    <w:lvl w:ilvl="1">
      <w:lvlJc w:val="left"/>
      <w:lvlText w:val="(%2)"/>
      <w:numFmt w:val="lowerLetter"/>
      <w:start w:val="6"/>
    </w:lvl>
  </w:abstractNum>
  <w:abstractNum w:abstractNumId="392">
    <w:nsid w:val="793753DE"/>
    <w:multiLevelType w:val="hybridMultilevel"/>
    <w:lvl w:ilvl="0">
      <w:lvlJc w:val="left"/>
      <w:lvlText w:val="(%1)"/>
      <w:numFmt w:val="lowerLetter"/>
      <w:start w:val="7"/>
    </w:lvl>
  </w:abstractNum>
  <w:abstractNum w:abstractNumId="393">
    <w:nsid w:val="1C67CB3D"/>
    <w:multiLevelType w:val="hybridMultilevel"/>
    <w:lvl w:ilvl="0">
      <w:lvlJc w:val="left"/>
      <w:lvlText w:val="(%1)"/>
      <w:numFmt w:val="lowerLetter"/>
      <w:start w:val="2"/>
    </w:lvl>
  </w:abstractNum>
  <w:abstractNum w:abstractNumId="394">
    <w:nsid w:val="40E29452"/>
    <w:multiLevelType w:val="hybridMultilevel"/>
    <w:lvl w:ilvl="0">
      <w:lvlJc w:val="left"/>
      <w:lvlText w:val="(%1)"/>
      <w:numFmt w:val="lowerLetter"/>
      <w:start w:val="4"/>
    </w:lvl>
  </w:abstractNum>
  <w:abstractNum w:abstractNumId="395">
    <w:nsid w:val="63A4AAB6"/>
    <w:multiLevelType w:val="hybridMultilevel"/>
    <w:lvl w:ilvl="0">
      <w:lvlJc w:val="left"/>
      <w:lvlText w:val="(%1)"/>
      <w:numFmt w:val="lowerLetter"/>
      <w:start w:val="1"/>
    </w:lvl>
  </w:abstractNum>
  <w:abstractNum w:abstractNumId="396">
    <w:nsid w:val="77DA4A57"/>
    <w:multiLevelType w:val="hybridMultilevel"/>
    <w:lvl w:ilvl="0">
      <w:lvlJc w:val="left"/>
      <w:lvlText w:val="(%1)"/>
      <w:numFmt w:val="lowerLetter"/>
      <w:start w:val="1"/>
    </w:lvl>
  </w:abstractNum>
  <w:abstractNum w:abstractNumId="397">
    <w:nsid w:val="1230F102"/>
    <w:multiLevelType w:val="hybridMultilevel"/>
    <w:lvl w:ilvl="0">
      <w:lvlJc w:val="left"/>
      <w:lvlText w:val="(%1)"/>
      <w:numFmt w:val="lowerRoman"/>
      <w:start w:val="4"/>
    </w:lvl>
  </w:abstractNum>
  <w:abstractNum w:abstractNumId="398">
    <w:nsid w:val="25B57ED4"/>
    <w:multiLevelType w:val="hybridMultilevel"/>
    <w:lvl w:ilvl="0">
      <w:lvlJc w:val="left"/>
      <w:lvlText w:val="(%1)"/>
      <w:numFmt w:val="lowerLetter"/>
      <w:start w:val="1"/>
    </w:lvl>
  </w:abstractNum>
  <w:abstractNum w:abstractNumId="399">
    <w:nsid w:val="47CF16C4"/>
    <w:multiLevelType w:val="hybridMultilevel"/>
    <w:lvl w:ilvl="0">
      <w:lvlJc w:val="left"/>
      <w:lvlText w:val="%1"/>
      <w:numFmt w:val="lowerLetter"/>
      <w:start w:val="1"/>
    </w:lvl>
    <w:lvl w:ilvl="1">
      <w:lvlJc w:val="left"/>
      <w:lvlText w:val="(%2)"/>
      <w:numFmt w:val="lowerLetter"/>
      <w:start w:val="1"/>
    </w:lvl>
  </w:abstractNum>
  <w:abstractNum w:abstractNumId="400">
    <w:nsid w:val="527FA04C"/>
    <w:multiLevelType w:val="hybridMultilevel"/>
    <w:lvl w:ilvl="0">
      <w:lvlJc w:val="left"/>
      <w:lvlText w:val="(%1)"/>
      <w:numFmt w:val="lowerLetter"/>
      <w:start w:val="61"/>
    </w:lvl>
    <w:lvl w:ilvl="1">
      <w:lvlJc w:val="left"/>
      <w:lvlText w:val="%2"/>
      <w:numFmt w:val="lowerLetter"/>
      <w:start w:val="1"/>
    </w:lvl>
  </w:abstractNum>
  <w:abstractNum w:abstractNumId="401">
    <w:nsid w:val="6FCC0624"/>
    <w:multiLevelType w:val="hybridMultilevel"/>
    <w:lvl w:ilvl="0">
      <w:lvlJc w:val="left"/>
      <w:lvlText w:val="(%1)"/>
      <w:numFmt w:val="lowerLetter"/>
      <w:start w:val="2"/>
    </w:lvl>
  </w:abstractNum>
  <w:abstractNum w:abstractNumId="402">
    <w:nsid w:val="1DCDF795"/>
    <w:multiLevelType w:val="hybridMultilevel"/>
    <w:lvl w:ilvl="0">
      <w:lvlJc w:val="left"/>
      <w:lvlText w:val="(%1)"/>
      <w:numFmt w:val="lowerLetter"/>
      <w:start w:val="1"/>
    </w:lvl>
  </w:abstractNum>
  <w:abstractNum w:abstractNumId="403">
    <w:nsid w:val="564580C8"/>
    <w:multiLevelType w:val="hybridMultilevel"/>
    <w:lvl w:ilvl="0">
      <w:lvlJc w:val="left"/>
      <w:lvlText w:val="(%1)"/>
      <w:numFmt w:val="lowerLetter"/>
      <w:start w:val="2"/>
    </w:lvl>
    <w:lvl w:ilvl="1">
      <w:lvlJc w:val="left"/>
      <w:lvlText w:val="(%2)"/>
      <w:numFmt w:val="lowerRoman"/>
      <w:start w:val="1"/>
    </w:lvl>
  </w:abstractNum>
  <w:abstractNum w:abstractNumId="404">
    <w:nsid w:val="508ED897"/>
    <w:multiLevelType w:val="hybridMultilevel"/>
    <w:lvl w:ilvl="0">
      <w:lvlJc w:val="left"/>
      <w:lvlText w:val="%1"/>
      <w:numFmt w:val="lowerLetter"/>
      <w:start w:val="1"/>
    </w:lvl>
    <w:lvl w:ilvl="1">
      <w:lvlJc w:val="left"/>
      <w:lvlText w:val="(%2)"/>
      <w:numFmt w:val="lowerLetter"/>
      <w:start w:val="61"/>
    </w:lvl>
  </w:abstractNum>
  <w:abstractNum w:abstractNumId="405">
    <w:nsid w:val="6A9126B5"/>
    <w:multiLevelType w:val="hybridMultilevel"/>
    <w:lvl w:ilvl="0">
      <w:lvlJc w:val="left"/>
      <w:lvlText w:val="(%1)"/>
      <w:numFmt w:val="lowerLetter"/>
      <w:start w:val="5"/>
    </w:lvl>
    <w:lvl w:ilvl="1">
      <w:lvlJc w:val="left"/>
      <w:lvlText w:val="%2"/>
      <w:numFmt w:val="lowerLetter"/>
      <w:start w:val="1"/>
    </w:lvl>
  </w:abstractNum>
  <w:abstractNum w:abstractNumId="406">
    <w:nsid w:val="68104812"/>
    <w:multiLevelType w:val="hybridMultilevel"/>
    <w:lvl w:ilvl="0">
      <w:lvlJc w:val="left"/>
      <w:lvlText w:val="(%1)"/>
      <w:numFmt w:val="lowerLetter"/>
      <w:start w:val="1"/>
    </w:lvl>
  </w:abstractNum>
  <w:abstractNum w:abstractNumId="407">
    <w:nsid w:val="62FB8680"/>
    <w:multiLevelType w:val="hybridMultilevel"/>
    <w:lvl w:ilvl="0">
      <w:lvlJc w:val="left"/>
      <w:lvlText w:val="(%1)"/>
      <w:numFmt w:val="lowerLetter"/>
      <w:start w:val="6"/>
    </w:lvl>
  </w:abstractNum>
  <w:abstractNum w:abstractNumId="408">
    <w:nsid w:val="3A45530"/>
    <w:multiLevelType w:val="hybridMultilevel"/>
    <w:lvl w:ilvl="0">
      <w:lvlJc w:val="left"/>
      <w:lvlText w:val="(%1)"/>
      <w:numFmt w:val="lowerLetter"/>
      <w:start w:val="1"/>
    </w:lvl>
    <w:lvl w:ilvl="1">
      <w:lvlJc w:val="left"/>
      <w:lvlText w:val="(%2)"/>
      <w:numFmt w:val="lowerRoman"/>
      <w:start w:val="1"/>
    </w:lvl>
  </w:abstractNum>
  <w:abstractNum w:abstractNumId="409">
    <w:nsid w:val="4B9275D2"/>
    <w:multiLevelType w:val="hybridMultilevel"/>
    <w:lvl w:ilvl="0">
      <w:lvlJc w:val="left"/>
      <w:lvlText w:val="(%1)"/>
      <w:numFmt w:val="lowerLetter"/>
      <w:start w:val="2"/>
    </w:lvl>
  </w:abstractNum>
  <w:abstractNum w:abstractNumId="410">
    <w:nsid w:val="4F0CEEDB"/>
    <w:multiLevelType w:val="hybridMultilevel"/>
    <w:lvl w:ilvl="0">
      <w:lvlJc w:val="left"/>
      <w:lvlText w:val="(%1)"/>
      <w:numFmt w:val="lowerLetter"/>
      <w:start w:val="3"/>
    </w:lvl>
  </w:abstractNum>
  <w:abstractNum w:abstractNumId="411">
    <w:nsid w:val="61C30361"/>
    <w:multiLevelType w:val="hybridMultilevel"/>
    <w:lvl w:ilvl="0">
      <w:lvlJc w:val="left"/>
      <w:lvlText w:val="(%1)"/>
      <w:numFmt w:val="lowerLetter"/>
      <w:start w:val="1"/>
    </w:lvl>
  </w:abstractNum>
  <w:abstractNum w:abstractNumId="412">
    <w:nsid w:val="632099E0"/>
    <w:multiLevelType w:val="hybridMultilevel"/>
    <w:lvl w:ilvl="0">
      <w:lvlJc w:val="left"/>
      <w:lvlText w:val="(%1)"/>
      <w:numFmt w:val="lowerLetter"/>
      <w:start w:val="1"/>
    </w:lvl>
  </w:abstractNum>
  <w:abstractNum w:abstractNumId="413">
    <w:nsid w:val="24639756"/>
    <w:multiLevelType w:val="hybridMultilevel"/>
    <w:lvl w:ilvl="0">
      <w:lvlJc w:val="left"/>
      <w:lvlText w:val="(%1)"/>
      <w:numFmt w:val="lowerLetter"/>
      <w:start w:val="2"/>
    </w:lvl>
  </w:abstractNum>
  <w:abstractNum w:abstractNumId="414">
    <w:nsid w:val="9D30DFD"/>
    <w:multiLevelType w:val="hybridMultilevel"/>
    <w:lvl w:ilvl="0">
      <w:lvlJc w:val="left"/>
      <w:lvlText w:val="(%1)"/>
      <w:numFmt w:val="lowerLetter"/>
      <w:start w:val="5"/>
    </w:lvl>
  </w:abstractNum>
  <w:abstractNum w:abstractNumId="415">
    <w:nsid w:val="70A42016"/>
    <w:multiLevelType w:val="hybridMultilevel"/>
    <w:lvl w:ilvl="0">
      <w:lvlJc w:val="left"/>
      <w:lvlText w:val="(%1)"/>
      <w:numFmt w:val="lowerLetter"/>
      <w:start w:val="1"/>
    </w:lvl>
    <w:lvl w:ilvl="1">
      <w:lvlJc w:val="left"/>
      <w:lvlText w:val="(%2)"/>
      <w:numFmt w:val="lowerLetter"/>
      <w:start w:val="9"/>
    </w:lvl>
  </w:abstractNum>
  <w:abstractNum w:abstractNumId="416">
    <w:nsid w:val="161BC24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17">
    <w:nsid w:val="16E908C8"/>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418">
    <w:nsid w:val="2E0D7671"/>
    <w:multiLevelType w:val="hybridMultilevel"/>
    <w:lvl w:ilvl="0">
      <w:lvlJc w:val="left"/>
      <w:lvlText w:val="(%1)"/>
      <w:numFmt w:val="lowerRoman"/>
      <w:start w:val="2"/>
    </w:lvl>
    <w:lvl w:ilvl="1">
      <w:lvlJc w:val="left"/>
      <w:lvlText w:val="(%2)"/>
      <w:numFmt w:val="upperLetter"/>
      <w:start w:val="1"/>
    </w:lvl>
  </w:abstractNum>
  <w:abstractNum w:abstractNumId="419">
    <w:nsid w:val="38B59EFF"/>
    <w:multiLevelType w:val="hybridMultilevel"/>
    <w:lvl w:ilvl="0">
      <w:lvlJc w:val="left"/>
      <w:lvlText w:val="%1"/>
      <w:numFmt w:val="lowerLetter"/>
      <w:start w:val="1"/>
    </w:lvl>
    <w:lvl w:ilvl="1">
      <w:lvlJc w:val="left"/>
      <w:lvlText w:val="(%2)"/>
      <w:numFmt w:val="upperLetter"/>
      <w:start w:val="1"/>
    </w:lvl>
  </w:abstractNum>
  <w:abstractNum w:abstractNumId="420">
    <w:nsid w:val="307995CA"/>
    <w:multiLevelType w:val="hybridMultilevel"/>
    <w:lvl w:ilvl="0">
      <w:lvlJc w:val="left"/>
      <w:lvlText w:val="(%1)"/>
      <w:numFmt w:val="lowerLetter"/>
      <w:start w:val="1"/>
    </w:lvl>
    <w:lvl w:ilvl="1">
      <w:lvlJc w:val="left"/>
      <w:lvlText w:val="(%2)"/>
      <w:numFmt w:val="upperLetter"/>
      <w:start w:val="2"/>
    </w:lvl>
  </w:abstractNum>
  <w:abstractNum w:abstractNumId="421">
    <w:nsid w:val="52E2024D"/>
    <w:multiLevelType w:val="hybridMultilevel"/>
    <w:lvl w:ilvl="0">
      <w:lvlJc w:val="left"/>
      <w:lvlText w:val="(%1)"/>
      <w:numFmt w:val="lowerRoman"/>
      <w:start w:val="8"/>
    </w:lvl>
  </w:abstractNum>
  <w:abstractNum w:abstractNumId="422">
    <w:nsid w:val="CE344B5"/>
    <w:multiLevelType w:val="hybridMultilevel"/>
    <w:lvl w:ilvl="0">
      <w:lvlJc w:val="left"/>
      <w:lvlText w:val="(%1)"/>
      <w:numFmt w:val="lowerLetter"/>
      <w:start w:val="3"/>
    </w:lvl>
  </w:abstractNum>
  <w:abstractNum w:abstractNumId="423">
    <w:nsid w:val="29B0E9A8"/>
    <w:multiLevelType w:val="hybridMultilevel"/>
    <w:lvl w:ilvl="0">
      <w:lvlJc w:val="left"/>
      <w:lvlText w:val="(%1)"/>
      <w:numFmt w:val="lowerLetter"/>
      <w:start w:val="4"/>
    </w:lvl>
  </w:abstractNum>
  <w:abstractNum w:abstractNumId="424">
    <w:nsid w:val="6F49CD8A"/>
    <w:multiLevelType w:val="hybridMultilevel"/>
    <w:lvl w:ilvl="0">
      <w:lvlJc w:val="left"/>
      <w:lvlText w:val="(%1)"/>
      <w:numFmt w:val="lowerRoman"/>
      <w:start w:val="2"/>
    </w:lvl>
  </w:abstractNum>
  <w:abstractNum w:abstractNumId="425">
    <w:nsid w:val="4DC5D907"/>
    <w:multiLevelType w:val="hybridMultilevel"/>
    <w:lvl w:ilvl="0">
      <w:lvlJc w:val="left"/>
      <w:lvlText w:val="(%1)"/>
      <w:numFmt w:val="lowerLetter"/>
      <w:start w:val="5"/>
    </w:lvl>
  </w:abstractNum>
  <w:abstractNum w:abstractNumId="426">
    <w:nsid w:val="D55945E"/>
    <w:multiLevelType w:val="hybridMultilevel"/>
    <w:lvl w:ilvl="0">
      <w:lvlJc w:val="left"/>
      <w:lvlText w:val="%1"/>
      <w:numFmt w:val="lowerRoman"/>
      <w:start w:val="1"/>
    </w:lvl>
    <w:lvl w:ilvl="1">
      <w:lvlJc w:val="left"/>
      <w:lvlText w:val="(%2)"/>
      <w:numFmt w:val="lowerRoman"/>
      <w:start w:val="1"/>
    </w:lvl>
  </w:abstractNum>
  <w:abstractNum w:abstractNumId="427">
    <w:nsid w:val="672417E1"/>
    <w:multiLevelType w:val="hybridMultilevel"/>
    <w:lvl w:ilvl="0">
      <w:lvlJc w:val="left"/>
      <w:lvlText w:val="(%1)"/>
      <w:numFmt w:val="lowerRoman"/>
      <w:start w:val="10"/>
    </w:lvl>
    <w:lvl w:ilvl="1">
      <w:lvlJc w:val="left"/>
      <w:lvlText w:val="%2"/>
      <w:numFmt w:val="lowerRoman"/>
      <w:start w:val="1"/>
    </w:lvl>
  </w:abstractNum>
  <w:abstractNum w:abstractNumId="428">
    <w:nsid w:val="5FF6CA09"/>
    <w:multiLevelType w:val="hybridMultilevel"/>
    <w:lvl w:ilvl="0">
      <w:lvlJc w:val="left"/>
      <w:lvlText w:val="(%1)"/>
      <w:numFmt w:val="lowerRoman"/>
      <w:start w:val="5"/>
    </w:lvl>
  </w:abstractNum>
  <w:abstractNum w:abstractNumId="429">
    <w:nsid w:val="330B1333"/>
    <w:multiLevelType w:val="hybridMultilevel"/>
    <w:lvl w:ilvl="0">
      <w:lvlJc w:val="left"/>
      <w:lvlText w:val="(%1)"/>
      <w:numFmt w:val="lowerLetter"/>
      <w:start w:val="1"/>
    </w:lvl>
  </w:abstractNum>
  <w:abstractNum w:abstractNumId="430">
    <w:nsid w:val="2EF32EA6"/>
    <w:multiLevelType w:val="hybridMultilevel"/>
    <w:lvl w:ilvl="0">
      <w:lvlJc w:val="left"/>
      <w:lvlText w:val="(%1)"/>
      <w:numFmt w:val="lowerLetter"/>
      <w:start w:val="1"/>
    </w:lvl>
  </w:abstractNum>
  <w:abstractNum w:abstractNumId="431">
    <w:nsid w:val="32766A55"/>
    <w:multiLevelType w:val="hybridMultilevel"/>
    <w:lvl w:ilvl="0">
      <w:lvlJc w:val="left"/>
      <w:lvlText w:val="(%1)"/>
      <w:numFmt w:val="lowerLetter"/>
      <w:start w:val="4"/>
    </w:lvl>
  </w:abstractNum>
  <w:abstractNum w:abstractNumId="432">
    <w:nsid w:val="22D71957"/>
    <w:multiLevelType w:val="hybridMultilevel"/>
    <w:lvl w:ilvl="0">
      <w:lvlJc w:val="left"/>
      <w:lvlText w:val="(%1)"/>
      <w:numFmt w:val="upperLetter"/>
      <w:start w:val="2"/>
    </w:lvl>
  </w:abstractNum>
  <w:abstractNum w:abstractNumId="433">
    <w:nsid w:val="4CC1263B"/>
    <w:multiLevelType w:val="hybridMultilevel"/>
    <w:lvl w:ilvl="0">
      <w:lvlJc w:val="left"/>
      <w:lvlText w:val="(%1)"/>
      <w:numFmt w:val="lowerLetter"/>
      <w:start w:val="1"/>
    </w:lvl>
    <w:lvl w:ilvl="1">
      <w:lvlJc w:val="left"/>
      <w:lvlText w:val="(%2)"/>
      <w:numFmt w:val="lowerLetter"/>
      <w:start w:val="9"/>
    </w:lvl>
  </w:abstractNum>
  <w:abstractNum w:abstractNumId="434">
    <w:nsid w:val="8BBEB1D"/>
    <w:multiLevelType w:val="hybridMultilevel"/>
    <w:lvl w:ilvl="0">
      <w:lvlJc w:val="left"/>
      <w:lvlText w:val="(%1)"/>
      <w:numFmt w:val="lowerRoman"/>
      <w:start w:val="2"/>
    </w:lvl>
  </w:abstractNum>
  <w:abstractNum w:abstractNumId="435">
    <w:nsid w:val="7365F1EE"/>
    <w:multiLevelType w:val="hybridMultilevel"/>
    <w:lvl w:ilvl="0">
      <w:lvlJc w:val="left"/>
      <w:lvlText w:val="(%1)"/>
      <w:numFmt w:val="lowerLetter"/>
      <w:start w:val="1"/>
    </w:lvl>
  </w:abstractNum>
  <w:abstractNum w:abstractNumId="436">
    <w:nsid w:val="37524CF0"/>
    <w:multiLevelType w:val="hybridMultilevel"/>
    <w:lvl w:ilvl="0">
      <w:lvlJc w:val="left"/>
      <w:lvlText w:val="1"/>
      <w:numFmt w:val="bullet"/>
      <w:start w:val="1"/>
    </w:lvl>
  </w:abstractNum>
  <w:abstractNum w:abstractNumId="437">
    <w:nsid w:val="70CC332F"/>
    <w:multiLevelType w:val="hybridMultilevel"/>
    <w:lvl w:ilvl="0">
      <w:lvlJc w:val="left"/>
      <w:lvlText w:val="2"/>
      <w:numFmt w:val="bullet"/>
      <w:start w:val="1"/>
    </w:lvl>
  </w:abstractNum>
  <w:abstractNum w:abstractNumId="438">
    <w:nsid w:val="5661786E"/>
    <w:multiLevelType w:val="hybridMultilevel"/>
    <w:lvl w:ilvl="0">
      <w:lvlJc w:val="left"/>
      <w:lvlText w:val="3"/>
      <w:numFmt w:val="bullet"/>
      <w:start w:val="1"/>
    </w:lvl>
  </w:abstractNum>
  <w:abstractNum w:abstractNumId="439">
    <w:nsid w:val="3AF6A220"/>
    <w:multiLevelType w:val="hybridMultilevel"/>
    <w:lvl w:ilvl="0">
      <w:lvlJc w:val="left"/>
      <w:lvlText w:val="4"/>
      <w:numFmt w:val="bullet"/>
      <w:start w:val="1"/>
    </w:lvl>
  </w:abstractNum>
  <w:abstractNum w:abstractNumId="440">
    <w:nsid w:val="3C5EA902"/>
    <w:multiLevelType w:val="hybridMultilevel"/>
    <w:lvl w:ilvl="0">
      <w:lvlJc w:val="left"/>
      <w:lvlText w:val="5"/>
      <w:numFmt w:val="bullet"/>
      <w:start w:val="1"/>
    </w:lvl>
  </w:abstractNum>
  <w:abstractNum w:abstractNumId="441">
    <w:nsid w:val="256E6749"/>
    <w:multiLevelType w:val="hybridMultilevel"/>
    <w:lvl w:ilvl="0">
      <w:lvlJc w:val="left"/>
      <w:lvlText w:val="6"/>
      <w:numFmt w:val="bullet"/>
      <w:start w:val="1"/>
    </w:lvl>
  </w:abstractNum>
  <w:abstractNum w:abstractNumId="442">
    <w:nsid w:val="1CB9A581"/>
    <w:multiLevelType w:val="hybridMultilevel"/>
    <w:lvl w:ilvl="0">
      <w:lvlJc w:val="left"/>
      <w:lvlText w:val="7"/>
      <w:numFmt w:val="bullet"/>
      <w:start w:val="1"/>
    </w:lvl>
  </w:abstractNum>
  <w:abstractNum w:abstractNumId="443">
    <w:nsid w:val="1F7F42E2"/>
    <w:multiLevelType w:val="hybridMultilevel"/>
    <w:lvl w:ilvl="0">
      <w:lvlJc w:val="left"/>
      <w:lvlText w:val="A"/>
      <w:numFmt w:val="bullet"/>
      <w:start w:val="1"/>
    </w:lvl>
  </w:abstractNum>
  <w:abstractNum w:abstractNumId="444">
    <w:nsid w:val="49D1FEA0"/>
    <w:multiLevelType w:val="hybridMultilevel"/>
    <w:lvl w:ilvl="0">
      <w:lvlJc w:val="left"/>
      <w:lvlText w:val="C"/>
      <w:numFmt w:val="bullet"/>
      <w:start w:val="1"/>
    </w:lvl>
  </w:abstractNum>
  <w:abstractNum w:abstractNumId="445">
    <w:nsid w:val="268CB37F"/>
    <w:multiLevelType w:val="hybridMultilevel"/>
    <w:lvl w:ilvl="0">
      <w:lvlJc w:val="left"/>
      <w:lvlText w:val="1"/>
      <w:numFmt w:val="bullet"/>
      <w:start w:val="1"/>
    </w:lvl>
  </w:abstractNum>
  <w:abstractNum w:abstractNumId="446">
    <w:nsid w:val="102362F8"/>
    <w:multiLevelType w:val="hybridMultilevel"/>
    <w:lvl w:ilvl="0">
      <w:lvlJc w:val="left"/>
      <w:lvlText w:val="(%1)"/>
      <w:numFmt w:val="lowerLetter"/>
      <w:start w:val="1"/>
    </w:lvl>
  </w:abstractNum>
  <w:abstractNum w:abstractNumId="447">
    <w:nsid w:val="5FEDC0E3"/>
    <w:multiLevelType w:val="hybridMultilevel"/>
    <w:lvl w:ilvl="0">
      <w:lvlJc w:val="left"/>
      <w:lvlText w:val="(%1)"/>
      <w:numFmt w:val="lowerRoman"/>
      <w:start w:val="8"/>
    </w:lvl>
  </w:abstractNum>
  <w:abstractNum w:abstractNumId="448">
    <w:nsid w:val="3D75BC47"/>
    <w:multiLevelType w:val="hybridMultilevel"/>
    <w:lvl w:ilvl="0">
      <w:lvlJc w:val="left"/>
      <w:lvlText w:val="(%1)"/>
      <w:numFmt w:val="lowerLetter"/>
      <w:start w:val="1"/>
    </w:lvl>
  </w:abstractNum>
  <w:abstractNum w:abstractNumId="449">
    <w:nsid w:val="3E30D969"/>
    <w:multiLevelType w:val="hybridMultilevel"/>
    <w:lvl w:ilvl="0">
      <w:lvlJc w:val="left"/>
      <w:lvlText w:val="(%1)"/>
      <w:numFmt w:val="lowerLetter"/>
      <w:start w:val="1"/>
    </w:lvl>
  </w:abstractNum>
  <w:abstractNum w:abstractNumId="450">
    <w:nsid w:val="18A35FE3"/>
    <w:multiLevelType w:val="hybridMultilevel"/>
    <w:lvl w:ilvl="0">
      <w:lvlJc w:val="left"/>
      <w:lvlText w:val="(%1)"/>
      <w:numFmt w:val="lowerLetter"/>
      <w:start w:val="2"/>
    </w:lvl>
  </w:abstractNum>
  <w:abstractNum w:abstractNumId="451">
    <w:nsid w:val="6DEF5211"/>
    <w:multiLevelType w:val="hybridMultilevel"/>
    <w:lvl w:ilvl="0">
      <w:lvlJc w:val="left"/>
      <w:lvlText w:val="(%1)"/>
      <w:numFmt w:val="lowerLetter"/>
      <w:start w:val="1"/>
    </w:lvl>
  </w:abstractNum>
  <w:abstractNum w:abstractNumId="452">
    <w:nsid w:val="1112DBB6"/>
    <w:multiLevelType w:val="hybridMultilevel"/>
    <w:lvl w:ilvl="0">
      <w:lvlJc w:val="left"/>
      <w:lvlText w:val="(%1)"/>
      <w:numFmt w:val="lowerLetter"/>
      <w:start w:val="2"/>
    </w:lvl>
  </w:abstractNum>
  <w:abstractNum w:abstractNumId="453">
    <w:nsid w:val="2586A498"/>
    <w:multiLevelType w:val="hybridMultilevel"/>
    <w:lvl w:ilvl="0">
      <w:lvlJc w:val="left"/>
      <w:lvlText w:val="(%1)"/>
      <w:numFmt w:val="lowerLetter"/>
      <w:start w:val="6"/>
    </w:lvl>
  </w:abstractNum>
  <w:abstractNum w:abstractNumId="454">
    <w:nsid w:val="17A03BB9"/>
    <w:multiLevelType w:val="hybridMultilevel"/>
    <w:lvl w:ilvl="0">
      <w:lvlJc w:val="left"/>
      <w:lvlText w:val="(%1)"/>
      <w:numFmt w:val="lowerLetter"/>
      <w:start w:val="1"/>
    </w:lvl>
  </w:abstractNum>
  <w:abstractNum w:abstractNumId="455">
    <w:nsid w:val="5CA941"/>
    <w:multiLevelType w:val="hybridMultilevel"/>
    <w:lvl w:ilvl="0">
      <w:lvlJc w:val="left"/>
      <w:lvlText w:val="(%1)"/>
      <w:numFmt w:val="lowerLetter"/>
      <w:start w:val="1"/>
    </w:lvl>
  </w:abstractNum>
  <w:abstractNum w:abstractNumId="456">
    <w:nsid w:val="734C7D9F"/>
    <w:multiLevelType w:val="hybridMultilevel"/>
    <w:lvl w:ilvl="0">
      <w:lvlJc w:val="left"/>
      <w:lvlText w:val="(%1)"/>
      <w:numFmt w:val="lowerLetter"/>
      <w:start w:val="7"/>
    </w:lvl>
  </w:abstractNum>
  <w:abstractNum w:abstractNumId="457">
    <w:nsid w:val="24F5D018"/>
    <w:multiLevelType w:val="hybridMultilevel"/>
    <w:lvl w:ilvl="0">
      <w:lvlJc w:val="left"/>
      <w:lvlText w:val="(%1)"/>
      <w:numFmt w:val="lowerLetter"/>
      <w:start w:val="1"/>
    </w:lvl>
  </w:abstractNum>
  <w:abstractNum w:abstractNumId="458">
    <w:nsid w:val="6780C122"/>
    <w:multiLevelType w:val="hybridMultilevel"/>
    <w:lvl w:ilvl="0">
      <w:lvlJc w:val="left"/>
      <w:lvlText w:val="(%1)"/>
      <w:numFmt w:val="lowerLetter"/>
      <w:start w:val="1"/>
    </w:lvl>
  </w:abstractNum>
  <w:abstractNum w:abstractNumId="459">
    <w:nsid w:val="534347A8"/>
    <w:multiLevelType w:val="hybridMultilevel"/>
    <w:lvl w:ilvl="0">
      <w:lvlJc w:val="left"/>
      <w:lvlText w:val="(%1)"/>
      <w:numFmt w:val="lowerLetter"/>
      <w:start w:val="2"/>
    </w:lvl>
  </w:abstractNum>
  <w:abstractNum w:abstractNumId="460">
    <w:nsid w:val="5800E34B"/>
    <w:multiLevelType w:val="hybridMultilevel"/>
    <w:lvl w:ilvl="0">
      <w:lvlJc w:val="left"/>
      <w:lvlText w:val="%1"/>
      <w:numFmt w:val="lowerLetter"/>
      <w:start w:val="1"/>
    </w:lvl>
    <w:lvl w:ilvl="1">
      <w:lvlJc w:val="left"/>
      <w:lvlText w:val="(%2)"/>
      <w:numFmt w:val="lowerLetter"/>
      <w:start w:val="1"/>
    </w:lvl>
  </w:abstractNum>
  <w:abstractNum w:abstractNumId="461">
    <w:nsid w:val="1673EFC8"/>
    <w:multiLevelType w:val="hybridMultilevel"/>
    <w:lvl w:ilvl="0">
      <w:lvlJc w:val="left"/>
      <w:lvlText w:val="(%1)"/>
      <w:numFmt w:val="lowerLetter"/>
      <w:start w:val="61"/>
    </w:lvl>
    <w:lvl w:ilvl="1">
      <w:lvlJc w:val="left"/>
      <w:lvlText w:val="%2"/>
      <w:numFmt w:val="lowerLetter"/>
      <w:start w:val="1"/>
    </w:lvl>
  </w:abstractNum>
  <w:abstractNum w:abstractNumId="462">
    <w:nsid w:val="5B9B1FD"/>
    <w:multiLevelType w:val="hybridMultilevel"/>
    <w:lvl w:ilvl="0">
      <w:lvlJc w:val="left"/>
      <w:lvlText w:val="(%1)"/>
      <w:numFmt w:val="lowerLetter"/>
      <w:start w:val="1"/>
    </w:lvl>
  </w:abstractNum>
  <w:abstractNum w:abstractNumId="463">
    <w:nsid w:val="7AD7FCA2"/>
    <w:multiLevelType w:val="hybridMultilevel"/>
    <w:lvl w:ilvl="0">
      <w:lvlJc w:val="left"/>
      <w:lvlText w:val="%1"/>
      <w:numFmt w:val="lowerLetter"/>
      <w:start w:val="1"/>
    </w:lvl>
    <w:lvl w:ilvl="1">
      <w:lvlJc w:val="left"/>
      <w:lvlText w:val="(%2)"/>
      <w:numFmt w:val="lowerLetter"/>
      <w:start w:val="2"/>
    </w:lvl>
  </w:abstractNum>
  <w:abstractNum w:abstractNumId="464">
    <w:nsid w:val="63351604"/>
    <w:multiLevelType w:val="hybridMultilevel"/>
    <w:lvl w:ilvl="0">
      <w:lvlJc w:val="left"/>
      <w:lvlText w:val="(%1)"/>
      <w:numFmt w:val="lowerLetter"/>
      <w:start w:val="35"/>
    </w:lvl>
    <w:lvl w:ilvl="1">
      <w:lvlJc w:val="left"/>
      <w:lvlText w:val="%2"/>
      <w:numFmt w:val="lowerLetter"/>
      <w:start w:val="1"/>
    </w:lvl>
  </w:abstractNum>
  <w:abstractNum w:abstractNumId="465">
    <w:nsid w:val="E759D1A"/>
    <w:multiLevelType w:val="hybridMultilevel"/>
    <w:lvl w:ilvl="0">
      <w:lvlJc w:val="left"/>
      <w:lvlText w:val="(%1)"/>
      <w:numFmt w:val="lowerLetter"/>
      <w:start w:val="7"/>
    </w:lvl>
  </w:abstractNum>
  <w:abstractNum w:abstractNumId="466">
    <w:nsid w:val="6E3DEE90"/>
    <w:multiLevelType w:val="hybridMultilevel"/>
    <w:lvl w:ilvl="0">
      <w:lvlJc w:val="left"/>
      <w:lvlText w:val="(%1)"/>
      <w:numFmt w:val="lowerLetter"/>
      <w:start w:val="1"/>
    </w:lvl>
  </w:abstractNum>
  <w:abstractNum w:abstractNumId="467">
    <w:nsid w:val="1A8762F4"/>
    <w:multiLevelType w:val="hybridMultilevel"/>
    <w:lvl w:ilvl="0">
      <w:lvlJc w:val="left"/>
      <w:lvlText w:val="(%1)"/>
      <w:numFmt w:val="lowerLetter"/>
      <w:start w:val="4"/>
    </w:lvl>
  </w:abstractNum>
  <w:abstractNum w:abstractNumId="468">
    <w:nsid w:val="7F41D049"/>
    <w:multiLevelType w:val="hybridMultilevel"/>
    <w:lvl w:ilvl="0">
      <w:lvlJc w:val="left"/>
      <w:lvlText w:val="(%1)"/>
      <w:numFmt w:val="lowerLetter"/>
      <w:start w:val="1"/>
    </w:lvl>
  </w:abstractNum>
  <w:abstractNum w:abstractNumId="469">
    <w:nsid w:val="449F66FE"/>
    <w:multiLevelType w:val="hybridMultilevel"/>
    <w:lvl w:ilvl="0">
      <w:lvlJc w:val="left"/>
      <w:lvlText w:val="(%1)"/>
      <w:numFmt w:val="lowerLetter"/>
      <w:start w:val="1"/>
    </w:lvl>
  </w:abstractNum>
  <w:abstractNum w:abstractNumId="470">
    <w:nsid w:val="557E0515"/>
    <w:multiLevelType w:val="hybridMultilevel"/>
    <w:lvl w:ilvl="0">
      <w:lvlJc w:val="left"/>
      <w:lvlText w:val="(%1)"/>
      <w:numFmt w:val="lowerLetter"/>
      <w:start w:val="1"/>
    </w:lvl>
  </w:abstractNum>
  <w:abstractNum w:abstractNumId="471">
    <w:nsid w:val="3BA0794B"/>
    <w:multiLevelType w:val="hybridMultilevel"/>
    <w:lvl w:ilvl="0">
      <w:lvlJc w:val="left"/>
      <w:lvlText w:val="%1"/>
      <w:numFmt w:val="lowerLetter"/>
      <w:start w:val="1"/>
    </w:lvl>
    <w:lvl w:ilvl="1">
      <w:lvlJc w:val="left"/>
      <w:lvlText w:val="(%2)"/>
      <w:numFmt w:val="lowerLetter"/>
      <w:start w:val="1"/>
    </w:lvl>
  </w:abstractNum>
  <w:abstractNum w:abstractNumId="472">
    <w:nsid w:val="6A0DCE48"/>
    <w:multiLevelType w:val="hybridMultilevel"/>
    <w:lvl w:ilvl="0">
      <w:lvlJc w:val="left"/>
      <w:lvlText w:val="(%1)"/>
      <w:numFmt w:val="lowerLetter"/>
      <w:start w:val="35"/>
    </w:lvl>
    <w:lvl w:ilvl="1">
      <w:lvlJc w:val="left"/>
      <w:lvlText w:val="(%2)"/>
      <w:numFmt w:val="lowerLetter"/>
      <w:start w:val="4"/>
    </w:lvl>
  </w:abstractNum>
  <w:abstractNum w:abstractNumId="473">
    <w:nsid w:val="7237AA96"/>
    <w:multiLevelType w:val="hybridMultilevel"/>
    <w:lvl w:ilvl="0">
      <w:lvlJc w:val="left"/>
      <w:lvlText w:val="(%1)"/>
      <w:numFmt w:val="lowerLetter"/>
      <w:start w:val="6"/>
    </w:lvl>
  </w:abstractNum>
  <w:abstractNum w:abstractNumId="474">
    <w:nsid w:val="5B1FBC2D"/>
    <w:multiLevelType w:val="hybridMultilevel"/>
    <w:lvl w:ilvl="0">
      <w:lvlJc w:val="left"/>
      <w:lvlText w:val="(%1)"/>
      <w:numFmt w:val="lowerLetter"/>
      <w:start w:val="12"/>
    </w:lvl>
  </w:abstractNum>
  <w:abstractNum w:abstractNumId="475">
    <w:nsid w:val="33DFCCE8"/>
    <w:multiLevelType w:val="hybridMultilevel"/>
    <w:lvl w:ilvl="0">
      <w:lvlJc w:val="left"/>
      <w:lvlText w:val="(%1)"/>
      <w:numFmt w:val="lowerLetter"/>
      <w:start w:val="1"/>
    </w:lvl>
  </w:abstractNum>
  <w:abstractNum w:abstractNumId="476">
    <w:nsid w:val="18C45E15"/>
    <w:multiLevelType w:val="hybridMultilevel"/>
    <w:lvl w:ilvl="0">
      <w:lvlJc w:val="left"/>
      <w:lvlText w:val="(%1)"/>
      <w:numFmt w:val="lowerLetter"/>
      <w:start w:val="2"/>
    </w:lvl>
  </w:abstractNum>
  <w:abstractNum w:abstractNumId="477">
    <w:nsid w:val="6B431F25"/>
    <w:multiLevelType w:val="hybridMultilevel"/>
    <w:lvl w:ilvl="0">
      <w:lvlJc w:val="left"/>
      <w:lvlText w:val="(%1)"/>
      <w:numFmt w:val="lowerLetter"/>
      <w:start w:val="1"/>
    </w:lvl>
  </w:abstractNum>
  <w:abstractNum w:abstractNumId="478">
    <w:nsid w:val="13CD8DCB"/>
    <w:multiLevelType w:val="hybridMultilevel"/>
    <w:lvl w:ilvl="0">
      <w:lvlJc w:val="left"/>
      <w:lvlText w:val="(%1)"/>
      <w:numFmt w:val="lowerLetter"/>
      <w:start w:val="1"/>
    </w:lvl>
  </w:abstractNum>
  <w:abstractNum w:abstractNumId="479">
    <w:nsid w:val="563A1A5C"/>
    <w:multiLevelType w:val="hybridMultilevel"/>
    <w:lvl w:ilvl="0">
      <w:lvlJc w:val="left"/>
      <w:lvlText w:val="(%1)"/>
      <w:numFmt w:val="lowerLetter"/>
      <w:start w:val="3"/>
    </w:lvl>
  </w:abstractNum>
  <w:abstractNum w:abstractNumId="480">
    <w:nsid w:val="2973F88F"/>
    <w:multiLevelType w:val="hybridMultilevel"/>
    <w:lvl w:ilvl="0">
      <w:lvlJc w:val="left"/>
      <w:lvlText w:val="(%1)"/>
      <w:numFmt w:val="lowerLetter"/>
      <w:start w:val="1"/>
    </w:lvl>
  </w:abstractNum>
  <w:abstractNum w:abstractNumId="481">
    <w:nsid w:val="2C70EDAE"/>
    <w:multiLevelType w:val="hybridMultilevel"/>
    <w:lvl w:ilvl="0">
      <w:lvlJc w:val="left"/>
      <w:lvlText w:val="(%1)"/>
      <w:numFmt w:val="lowerLetter"/>
      <w:start w:val="1"/>
    </w:lvl>
  </w:abstractNum>
  <w:abstractNum w:abstractNumId="482">
    <w:nsid w:val="44296C6D"/>
    <w:multiLevelType w:val="hybridMultilevel"/>
    <w:lvl w:ilvl="0">
      <w:lvlJc w:val="left"/>
      <w:lvlText w:val="(%1)"/>
      <w:numFmt w:val="lowerLetter"/>
      <w:start w:val="1"/>
    </w:lvl>
  </w:abstractNum>
  <w:abstractNum w:abstractNumId="483">
    <w:nsid w:val="3A86D445"/>
    <w:multiLevelType w:val="hybridMultilevel"/>
    <w:lvl w:ilvl="0">
      <w:lvlJc w:val="left"/>
      <w:lvlText w:val="(%1)"/>
      <w:numFmt w:val="lowerLetter"/>
      <w:start w:val="2"/>
    </w:lvl>
  </w:abstractNum>
  <w:abstractNum w:abstractNumId="484">
    <w:nsid w:val="51F79246"/>
    <w:multiLevelType w:val="hybridMultilevel"/>
    <w:lvl w:ilvl="0">
      <w:lvlJc w:val="left"/>
      <w:lvlText w:val="(%1)"/>
      <w:numFmt w:val="lowerLetter"/>
      <w:start w:val="3"/>
    </w:lvl>
  </w:abstractNum>
  <w:abstractNum w:abstractNumId="485">
    <w:nsid w:val="5BC9A827"/>
    <w:multiLevelType w:val="hybridMultilevel"/>
    <w:lvl w:ilvl="0">
      <w:lvlJc w:val="left"/>
      <w:lvlText w:val="(%1)"/>
      <w:numFmt w:val="lowerLetter"/>
      <w:start w:val="1"/>
    </w:lvl>
  </w:abstractNum>
  <w:abstractNum w:abstractNumId="486">
    <w:nsid w:val="3AE37D86"/>
    <w:multiLevelType w:val="hybridMultilevel"/>
    <w:lvl w:ilvl="0">
      <w:lvlJc w:val="left"/>
      <w:lvlText w:val="(%1)"/>
      <w:numFmt w:val="lowerLetter"/>
      <w:start w:val="1"/>
    </w:lvl>
    <w:lvl w:ilvl="1">
      <w:lvlJc w:val="left"/>
      <w:lvlText w:val="(%2)"/>
      <w:numFmt w:val="lowerRoman"/>
      <w:start w:val="1"/>
    </w:lvl>
  </w:abstractNum>
  <w:abstractNum w:abstractNumId="487">
    <w:nsid w:val="45440FE5"/>
    <w:multiLevelType w:val="hybridMultilevel"/>
    <w:lvl w:ilvl="0">
      <w:lvlJc w:val="left"/>
      <w:lvlText w:val="%1"/>
      <w:numFmt w:val="decimal"/>
      <w:start w:val="1"/>
    </w:lvl>
    <w:lvl w:ilvl="1">
      <w:lvlJc w:val="left"/>
      <w:lvlText w:val="(%2)"/>
      <w:numFmt w:val="lowerRoman"/>
      <w:start w:val="3"/>
    </w:lvl>
  </w:abstractNum>
  <w:abstractNum w:abstractNumId="488">
    <w:nsid w:val="BF783F"/>
    <w:multiLevelType w:val="hybridMultilevel"/>
    <w:lvl w:ilvl="0">
      <w:lvlJc w:val="left"/>
      <w:lvlText w:val="(%1)"/>
      <w:numFmt w:val="decimal"/>
      <w:start w:val="3"/>
    </w:lvl>
    <w:lvl w:ilvl="1">
      <w:lvlJc w:val="left"/>
      <w:lvlText w:val="%2"/>
      <w:numFmt w:val="lowerRoman"/>
      <w:start w:val="1"/>
    </w:lvl>
  </w:abstractNum>
  <w:abstractNum w:abstractNumId="489">
    <w:nsid w:val="22643EA9"/>
    <w:multiLevelType w:val="hybridMultilevel"/>
    <w:lvl w:ilvl="0">
      <w:lvlJc w:val="left"/>
      <w:lvlText w:val="(%1)"/>
      <w:numFmt w:val="lowerLetter"/>
      <w:start w:val="2"/>
    </w:lvl>
  </w:abstractNum>
  <w:abstractNum w:abstractNumId="490">
    <w:nsid w:val="1887578D"/>
    <w:multiLevelType w:val="hybridMultilevel"/>
    <w:lvl w:ilvl="0">
      <w:lvlJc w:val="left"/>
      <w:lvlText w:val="(%1)"/>
      <w:numFmt w:val="lowerLetter"/>
      <w:start w:val="4"/>
    </w:lvl>
  </w:abstractNum>
  <w:abstractNum w:abstractNumId="491">
    <w:nsid w:val="58C05B8A"/>
    <w:multiLevelType w:val="hybridMultilevel"/>
    <w:lvl w:ilvl="0">
      <w:lvlJc w:val="left"/>
      <w:lvlText w:val="(%1)"/>
      <w:numFmt w:val="lowerLetter"/>
      <w:start w:val="1"/>
    </w:lvl>
  </w:abstractNum>
  <w:abstractNum w:abstractNumId="492">
    <w:nsid w:val="38D82E71"/>
    <w:multiLevelType w:val="hybridMultilevel"/>
    <w:lvl w:ilvl="0">
      <w:lvlJc w:val="left"/>
      <w:lvlText w:val="(%1)"/>
      <w:numFmt w:val="lowerLetter"/>
      <w:start w:val="2"/>
    </w:lvl>
  </w:abstractNum>
  <w:abstractNum w:abstractNumId="493">
    <w:nsid w:val="1E41098A"/>
    <w:multiLevelType w:val="hybridMultilevel"/>
    <w:lvl w:ilvl="0">
      <w:lvlJc w:val="left"/>
      <w:lvlText w:val="(%1)"/>
      <w:numFmt w:val="lowerLetter"/>
      <w:start w:val="1"/>
    </w:lvl>
  </w:abstractNum>
  <w:abstractNum w:abstractNumId="494">
    <w:nsid w:val="5398582C"/>
    <w:multiLevelType w:val="hybridMultilevel"/>
    <w:lvl w:ilvl="0">
      <w:lvlJc w:val="left"/>
      <w:lvlText w:val="(%1)"/>
      <w:numFmt w:val="lowerLetter"/>
      <w:start w:val="2"/>
    </w:lvl>
  </w:abstractNum>
  <w:abstractNum w:abstractNumId="495">
    <w:nsid w:val="1C0D4475"/>
    <w:multiLevelType w:val="hybridMultilevel"/>
    <w:lvl w:ilvl="0">
      <w:lvlJc w:val="left"/>
      <w:lvlText w:val="(%1)"/>
      <w:numFmt w:val="lowerLetter"/>
      <w:start w:val="1"/>
    </w:lvl>
  </w:abstractNum>
  <w:abstractNum w:abstractNumId="496">
    <w:nsid w:val="2CB6A6A4"/>
    <w:multiLevelType w:val="hybridMultilevel"/>
    <w:lvl w:ilvl="0">
      <w:lvlJc w:val="left"/>
      <w:lvlText w:val="(%1)"/>
      <w:numFmt w:val="lowerLetter"/>
      <w:start w:val="4"/>
    </w:lvl>
  </w:abstractNum>
  <w:abstractNum w:abstractNumId="497">
    <w:nsid w:val="41D646BC"/>
    <w:multiLevelType w:val="hybridMultilevel"/>
    <w:lvl w:ilvl="0">
      <w:lvlJc w:val="left"/>
      <w:lvlText w:val="(%1)"/>
      <w:numFmt w:val="lowerLetter"/>
      <w:start w:val="2"/>
    </w:lvl>
  </w:abstractNum>
  <w:abstractNum w:abstractNumId="498">
    <w:nsid w:val="3694A76A"/>
    <w:multiLevelType w:val="hybridMultilevel"/>
    <w:lvl w:ilvl="0">
      <w:lvlJc w:val="left"/>
      <w:lvlText w:val="(%1)"/>
      <w:numFmt w:val="lowerLetter"/>
      <w:start w:val="1"/>
    </w:lvl>
  </w:abstractNum>
  <w:abstractNum w:abstractNumId="499">
    <w:nsid w:val="2BF876EE"/>
    <w:multiLevelType w:val="hybridMultilevel"/>
    <w:lvl w:ilvl="0">
      <w:lvlJc w:val="left"/>
      <w:lvlText w:val="(%1)"/>
      <w:numFmt w:val="lowerLetter"/>
      <w:start w:val="3"/>
    </w:lvl>
  </w:abstractNum>
  <w:abstractNum w:abstractNumId="500">
    <w:nsid w:val="675ADBA"/>
    <w:multiLevelType w:val="hybridMultilevel"/>
    <w:lvl w:ilvl="0">
      <w:lvlJc w:val="left"/>
      <w:lvlText w:val="%1."/>
      <w:numFmt w:val="lowerLetter"/>
      <w:start w:val="1"/>
    </w:lvl>
  </w:abstractNum>
  <w:abstractNum w:abstractNumId="501">
    <w:nsid w:val="C12AC7F"/>
    <w:multiLevelType w:val="hybridMultilevel"/>
    <w:lvl w:ilvl="0">
      <w:lvlJc w:val="left"/>
      <w:lvlText w:val="%1."/>
      <w:numFmt w:val="decimal"/>
      <w:start w:val="1"/>
    </w:lvl>
    <w:lvl w:ilvl="1">
      <w:lvlJc w:val="left"/>
      <w:lvlText w:val="%2."/>
      <w:numFmt w:val="upperLetter"/>
      <w:start w:val="1"/>
    </w:lvl>
  </w:abstractNum>
  <w:abstractNum w:abstractNumId="502">
    <w:nsid w:val="6798F039"/>
    <w:multiLevelType w:val="hybridMultilevel"/>
    <w:lvl w:ilvl="0">
      <w:lvlJc w:val="left"/>
      <w:lvlText w:val="%1."/>
      <w:numFmt w:val="decimal"/>
      <w:start w:val="2"/>
    </w:lvl>
  </w:abstractNum>
  <w:abstractNum w:abstractNumId="503">
    <w:nsid w:val="70837C02"/>
    <w:multiLevelType w:val="hybridMultilevel"/>
    <w:lvl w:ilvl="0">
      <w:lvlJc w:val="left"/>
      <w:lvlText w:val="%1."/>
      <w:numFmt w:val="decimal"/>
      <w:start w:val="5"/>
    </w:lvl>
  </w:abstractNum>
  <w:abstractNum w:abstractNumId="504">
    <w:nsid w:val="7E4A5715"/>
    <w:multiLevelType w:val="hybridMultilevel"/>
    <w:lvl w:ilvl="0">
      <w:lvlJc w:val="left"/>
      <w:lvlText w:val="%1."/>
      <w:numFmt w:val="decimal"/>
      <w:start w:val="2"/>
    </w:lvl>
  </w:abstractNum>
  <w:abstractNum w:abstractNumId="505">
    <w:nsid w:val="42B8AC67"/>
    <w:multiLevelType w:val="hybridMultilevel"/>
    <w:lvl w:ilvl="0">
      <w:lvlJc w:val="left"/>
      <w:lvlText w:val="%1."/>
      <w:numFmt w:val="decimal"/>
      <w:start w:val="3"/>
    </w:lvl>
  </w:abstractNum>
  <w:abstractNum w:abstractNumId="506">
    <w:nsid w:val="246348EA"/>
    <w:multiLevelType w:val="hybridMultilevel"/>
    <w:lvl w:ilvl="0">
      <w:lvlJc w:val="left"/>
      <w:lvlText w:val="%1"/>
      <w:numFmt w:val="lowerRoman"/>
      <w:start w:val="1"/>
    </w:lvl>
    <w:lvl w:ilvl="1">
      <w:lvlJc w:val="left"/>
      <w:lvlText w:val="%2."/>
      <w:numFmt w:val="decimal"/>
      <w:start w:val="1"/>
    </w:lvl>
  </w:abstractNum>
  <w:abstractNum w:abstractNumId="507">
    <w:nsid w:val="170EB52B"/>
    <w:multiLevelType w:val="hybridMultilevel"/>
    <w:lvl w:ilvl="0">
      <w:lvlJc w:val="left"/>
      <w:lvlText w:val="(%1)"/>
      <w:numFmt w:val="lowerRoman"/>
      <w:start w:val="4"/>
    </w:lvl>
    <w:lvl w:ilvl="1">
      <w:lvlJc w:val="left"/>
      <w:lvlText w:val="%2"/>
      <w:numFmt w:val="decimal"/>
      <w:start w:val="1"/>
    </w:lvl>
  </w:abstractNum>
  <w:abstractNum w:abstractNumId="508">
    <w:nsid w:val="2DFBCB8C"/>
    <w:multiLevelType w:val="hybridMultilevel"/>
    <w:lvl w:ilvl="0">
      <w:lvlJc w:val="left"/>
      <w:lvlText w:val="1"/>
      <w:numFmt w:val="bullet"/>
      <w:start w:val="1"/>
    </w:lvl>
  </w:abstractNum>
  <w:abstractNum w:abstractNumId="509">
    <w:nsid w:val="3830D6B6"/>
    <w:multiLevelType w:val="hybridMultilevel"/>
    <w:lvl w:ilvl="0">
      <w:lvlJc w:val="left"/>
      <w:lvlText w:val="%1."/>
      <w:numFmt w:val="decimal"/>
      <w:start w:val="3"/>
    </w:lvl>
  </w:abstractNum>
  <w:abstractNum w:abstractNumId="510">
    <w:nsid w:val="6D48CF87"/>
    <w:multiLevelType w:val="hybridMultilevel"/>
    <w:lvl w:ilvl="0">
      <w:lvlJc w:val="left"/>
      <w:lvlText w:val="%1."/>
      <w:numFmt w:val="decimal"/>
      <w:start w:val="8"/>
    </w:lvl>
  </w:abstractNum>
  <w:abstractNum w:abstractNumId="511">
    <w:nsid w:val="576FC41B"/>
    <w:multiLevelType w:val="hybridMultilevel"/>
    <w:lvl w:ilvl="0">
      <w:lvlJc w:val="left"/>
      <w:lvlText w:val="%1."/>
      <w:numFmt w:val="decimal"/>
      <w:start w:val="12"/>
    </w:lvl>
  </w:abstractNum>
  <w:abstractNum w:abstractNumId="512">
    <w:nsid w:val="64A1C464"/>
    <w:multiLevelType w:val="hybridMultilevel"/>
    <w:lvl w:ilvl="0">
      <w:lvlJc w:val="left"/>
      <w:lvlText w:val="(%1)"/>
      <w:numFmt w:val="decimal"/>
      <w:start w:val="1"/>
    </w:lvl>
  </w:abstractNum>
  <w:abstractNum w:abstractNumId="513">
    <w:nsid w:val="31723BF5"/>
    <w:multiLevelType w:val="hybridMultilevel"/>
    <w:lvl w:ilvl="0">
      <w:lvlJc w:val="left"/>
      <w:lvlText w:val="3"/>
      <w:numFmt w:val="bullet"/>
      <w:start w:val="1"/>
    </w:lvl>
  </w:abstractNum>
  <w:abstractNum w:abstractNumId="514">
    <w:nsid w:val="11F69861"/>
    <w:multiLevelType w:val="hybridMultilevel"/>
    <w:lvl w:ilvl="0">
      <w:lvlJc w:val="left"/>
      <w:lvlText w:val="(%1)"/>
      <w:numFmt w:val="decimal"/>
      <w:start w:val="3"/>
    </w:lvl>
  </w:abstractNum>
  <w:abstractNum w:abstractNumId="515">
    <w:nsid w:val="369956AB"/>
    <w:multiLevelType w:val="hybridMultilevel"/>
    <w:lvl w:ilvl="0">
      <w:lvlJc w:val="left"/>
      <w:lvlText w:val="%1."/>
      <w:numFmt w:val="decimal"/>
      <w:start w:val="1"/>
    </w:lvl>
  </w:abstractNum>
  <w:abstractNum w:abstractNumId="516">
    <w:nsid w:val="D3BE41C"/>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6" Type="http://schemas.openxmlformats.org/officeDocument/2006/relationships/image" Target="media/image550.png"/><Relationship Id="rId577"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1" Type="http://schemas.openxmlformats.org/officeDocument/2006/relationships/image" Target="media/image555.png"/><Relationship Id="rId582" Type="http://schemas.openxmlformats.org/officeDocument/2006/relationships/image" Target="media/image556.png"/><Relationship Id="rId583" Type="http://schemas.openxmlformats.org/officeDocument/2006/relationships/image" Target="media/image557.png"/><Relationship Id="rId584" Type="http://schemas.openxmlformats.org/officeDocument/2006/relationships/image" Target="media/image558.png"/><Relationship Id="rId585" Type="http://schemas.openxmlformats.org/officeDocument/2006/relationships/image" Target="media/image559.png"/><Relationship Id="rId586" Type="http://schemas.openxmlformats.org/officeDocument/2006/relationships/image" Target="media/image560.png"/><Relationship Id="rId587" Type="http://schemas.openxmlformats.org/officeDocument/2006/relationships/image" Target="media/image561.png"/><Relationship Id="rId588" Type="http://schemas.openxmlformats.org/officeDocument/2006/relationships/image" Target="media/image562.png"/><Relationship Id="rId589" Type="http://schemas.openxmlformats.org/officeDocument/2006/relationships/image" Target="media/image563.png"/><Relationship Id="rId590"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3" Type="http://schemas.openxmlformats.org/officeDocument/2006/relationships/image" Target="media/image567.png"/><Relationship Id="rId594" Type="http://schemas.openxmlformats.org/officeDocument/2006/relationships/image" Target="media/image568.png"/><Relationship Id="rId595"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png"/><Relationship Id="rId608" Type="http://schemas.openxmlformats.org/officeDocument/2006/relationships/image" Target="media/image582.png"/><Relationship Id="rId609" Type="http://schemas.openxmlformats.org/officeDocument/2006/relationships/image" Target="media/image583.png"/><Relationship Id="rId610" Type="http://schemas.openxmlformats.org/officeDocument/2006/relationships/image" Target="media/image584.png"/><Relationship Id="rId611" Type="http://schemas.openxmlformats.org/officeDocument/2006/relationships/image" Target="media/image585.png"/><Relationship Id="rId612" Type="http://schemas.openxmlformats.org/officeDocument/2006/relationships/image" Target="media/image586.png"/><Relationship Id="rId613" Type="http://schemas.openxmlformats.org/officeDocument/2006/relationships/image" Target="media/image587.png"/><Relationship Id="rId614" Type="http://schemas.openxmlformats.org/officeDocument/2006/relationships/image" Target="media/image588.png"/><Relationship Id="rId615"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20" Type="http://schemas.openxmlformats.org/officeDocument/2006/relationships/image" Target="media/image594.png"/><Relationship Id="rId621" Type="http://schemas.openxmlformats.org/officeDocument/2006/relationships/image" Target="media/image595.png"/><Relationship Id="rId622" Type="http://schemas.openxmlformats.org/officeDocument/2006/relationships/image" Target="media/image596.png"/><Relationship Id="rId623" Type="http://schemas.openxmlformats.org/officeDocument/2006/relationships/image" Target="media/image597.png"/><Relationship Id="rId624" Type="http://schemas.openxmlformats.org/officeDocument/2006/relationships/image" Target="media/image598.png"/><Relationship Id="rId625" Type="http://schemas.openxmlformats.org/officeDocument/2006/relationships/image" Target="media/image599.png"/><Relationship Id="rId626" Type="http://schemas.openxmlformats.org/officeDocument/2006/relationships/image" Target="media/image600.png"/><Relationship Id="rId627" Type="http://schemas.openxmlformats.org/officeDocument/2006/relationships/image" Target="media/image601.png"/><Relationship Id="rId628" Type="http://schemas.openxmlformats.org/officeDocument/2006/relationships/image" Target="media/image602.png"/><Relationship Id="rId629" Type="http://schemas.openxmlformats.org/officeDocument/2006/relationships/image" Target="media/image603.png"/><Relationship Id="rId630" Type="http://schemas.openxmlformats.org/officeDocument/2006/relationships/image" Target="media/image604.png"/><Relationship Id="rId631" Type="http://schemas.openxmlformats.org/officeDocument/2006/relationships/image" Target="media/image605.png"/><Relationship Id="rId632" Type="http://schemas.openxmlformats.org/officeDocument/2006/relationships/image" Target="media/image606.png"/><Relationship Id="rId633" Type="http://schemas.openxmlformats.org/officeDocument/2006/relationships/image" Target="media/image607.png"/><Relationship Id="rId634" Type="http://schemas.openxmlformats.org/officeDocument/2006/relationships/image" Target="media/image608.png"/><Relationship Id="rId635" Type="http://schemas.openxmlformats.org/officeDocument/2006/relationships/image" Target="media/image609.png"/><Relationship Id="rId636" Type="http://schemas.openxmlformats.org/officeDocument/2006/relationships/image" Target="media/image610.png"/><Relationship Id="rId637" Type="http://schemas.openxmlformats.org/officeDocument/2006/relationships/image" Target="media/image611.png"/><Relationship Id="rId638" Type="http://schemas.openxmlformats.org/officeDocument/2006/relationships/image" Target="media/image612.png"/><Relationship Id="rId639" Type="http://schemas.openxmlformats.org/officeDocument/2006/relationships/image" Target="media/image613.png"/><Relationship Id="rId640" Type="http://schemas.openxmlformats.org/officeDocument/2006/relationships/image" Target="media/image614.png"/><Relationship Id="rId641" Type="http://schemas.openxmlformats.org/officeDocument/2006/relationships/image" Target="media/image615.png"/><Relationship Id="rId642" Type="http://schemas.openxmlformats.org/officeDocument/2006/relationships/image" Target="media/image616.png"/><Relationship Id="rId643" Type="http://schemas.openxmlformats.org/officeDocument/2006/relationships/image" Target="media/image617.png"/><Relationship Id="rId644" Type="http://schemas.openxmlformats.org/officeDocument/2006/relationships/image" Target="media/image618.png"/><Relationship Id="rId645" Type="http://schemas.openxmlformats.org/officeDocument/2006/relationships/image" Target="media/image619.png"/><Relationship Id="rId646" Type="http://schemas.openxmlformats.org/officeDocument/2006/relationships/image" Target="media/image620.png"/><Relationship Id="rId647" Type="http://schemas.openxmlformats.org/officeDocument/2006/relationships/image" Target="media/image621.png"/><Relationship Id="rId648" Type="http://schemas.openxmlformats.org/officeDocument/2006/relationships/image" Target="media/image622.png"/><Relationship Id="rId649" Type="http://schemas.openxmlformats.org/officeDocument/2006/relationships/image" Target="media/image623.png"/><Relationship Id="rId65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95" Type="http://schemas.openxmlformats.org/officeDocument/2006/relationships/image" Target="media/image669.png"/><Relationship Id="rId696" Type="http://schemas.openxmlformats.org/officeDocument/2006/relationships/image" Target="media/image670.png"/><Relationship Id="rId697" Type="http://schemas.openxmlformats.org/officeDocument/2006/relationships/image" Target="media/image671.png"/><Relationship Id="rId698" Type="http://schemas.openxmlformats.org/officeDocument/2006/relationships/image" Target="media/image672.png"/><Relationship Id="rId699" Type="http://schemas.openxmlformats.org/officeDocument/2006/relationships/image" Target="media/image673.png"/><Relationship Id="rId700" Type="http://schemas.openxmlformats.org/officeDocument/2006/relationships/image" Target="media/image674.png"/><Relationship Id="rId701" Type="http://schemas.openxmlformats.org/officeDocument/2006/relationships/image" Target="media/image675.png"/><Relationship Id="rId702" Type="http://schemas.openxmlformats.org/officeDocument/2006/relationships/image" Target="media/image676.png"/><Relationship Id="rId703" Type="http://schemas.openxmlformats.org/officeDocument/2006/relationships/image" Target="media/image677.png"/><Relationship Id="rId704" Type="http://schemas.openxmlformats.org/officeDocument/2006/relationships/image" Target="media/image678.png"/><Relationship Id="rId705" Type="http://schemas.openxmlformats.org/officeDocument/2006/relationships/image" Target="media/image679.png"/><Relationship Id="rId706" Type="http://schemas.openxmlformats.org/officeDocument/2006/relationships/image" Target="media/image680.png"/><Relationship Id="rId707" Type="http://schemas.openxmlformats.org/officeDocument/2006/relationships/image" Target="media/image681.png"/><Relationship Id="rId708" Type="http://schemas.openxmlformats.org/officeDocument/2006/relationships/image" Target="media/image682.png"/><Relationship Id="rId709" Type="http://schemas.openxmlformats.org/officeDocument/2006/relationships/image" Target="media/image683.png"/><Relationship Id="rId710" Type="http://schemas.openxmlformats.org/officeDocument/2006/relationships/image" Target="media/image684.png"/><Relationship Id="rId711" Type="http://schemas.openxmlformats.org/officeDocument/2006/relationships/image" Target="media/image685.png"/><Relationship Id="rId712" Type="http://schemas.openxmlformats.org/officeDocument/2006/relationships/image" Target="media/image686.png"/><Relationship Id="rId713" Type="http://schemas.openxmlformats.org/officeDocument/2006/relationships/image" Target="media/image687.png"/><Relationship Id="rId714" Type="http://schemas.openxmlformats.org/officeDocument/2006/relationships/image" Target="media/image688.png"/><Relationship Id="rId325" Type="http://schemas.openxmlformats.org/officeDocument/2006/relationships/hyperlink" Target="http://www.sec.gov/Archives/edgar/data/1772016/000119312519263070/d727525dex11.htm" TargetMode="External"/><Relationship Id="rId326" Type="http://schemas.openxmlformats.org/officeDocument/2006/relationships/hyperlink" Target="http://www.sec.gov/Archives/edgar/data/1772016/000119312519263070/d727525dex31.htm" TargetMode="External"/><Relationship Id="rId327" Type="http://schemas.openxmlformats.org/officeDocument/2006/relationships/hyperlink" Target="http://www.sec.gov/Archives/edgar/data/1772016/000119312519263070/d727525dex32.htm" TargetMode="External"/><Relationship Id="rId328" Type="http://schemas.openxmlformats.org/officeDocument/2006/relationships/hyperlink" Target="http://www.sec.gov/Archives/edgar/data/1772016/000119312519250692/d727525dex41.htm" TargetMode="External"/><Relationship Id="rId329" Type="http://schemas.openxmlformats.org/officeDocument/2006/relationships/hyperlink" Target="http://www.sec.gov/Archives/edgar/data/1772016/000119312519263070/d727525dex51.htm" TargetMode="External"/><Relationship Id="rId330" Type="http://schemas.openxmlformats.org/officeDocument/2006/relationships/hyperlink" Target="http://www.sec.gov/Archives/edgar/data/1772016/000119312519250692/d727525dex102.htm" TargetMode="External"/><Relationship Id="rId331" Type="http://schemas.openxmlformats.org/officeDocument/2006/relationships/hyperlink" Target="http://www.sec.gov/Archives/edgar/data/1772016/000119312519250692/d727525dex103.htm" TargetMode="External"/><Relationship Id="rId332" Type="http://schemas.openxmlformats.org/officeDocument/2006/relationships/hyperlink" Target="http://www.sec.gov/Archives/edgar/data/1772016/000119312519250692/d727525dex104.htm" TargetMode="External"/><Relationship Id="rId333" Type="http://schemas.openxmlformats.org/officeDocument/2006/relationships/hyperlink" Target="http://www.sec.gov/Archives/edgar/data/1772016/000119312519250692/d727525dex105.htm" TargetMode="External"/><Relationship Id="rId334" Type="http://schemas.openxmlformats.org/officeDocument/2006/relationships/hyperlink" Target="http://www.sec.gov/Archives/edgar/data/1772016/000119312519250692/d727525dex106.htm" TargetMode="External"/><Relationship Id="rId335" Type="http://schemas.openxmlformats.org/officeDocument/2006/relationships/hyperlink" Target="http://www.sec.gov/Archives/edgar/data/1772016/000119312519250692/d727525dex107.htm" TargetMode="External"/><Relationship Id="rId336" Type="http://schemas.openxmlformats.org/officeDocument/2006/relationships/hyperlink" Target="http://www.sec.gov/Archives/edgar/data/1772016/000119312519250692/d727525dex108.htm" TargetMode="External"/><Relationship Id="rId337" Type="http://schemas.openxmlformats.org/officeDocument/2006/relationships/hyperlink" Target="http://www.sec.gov/Archives/edgar/data/1772016/000119312519263070/d727525dex109.htm" TargetMode="External"/><Relationship Id="rId338" Type="http://schemas.openxmlformats.org/officeDocument/2006/relationships/hyperlink" Target="http://www.sec.gov/Archives/edgar/data/1772016/000119312519250692/d727525dex1012.htm" TargetMode="External"/><Relationship Id="rId339" Type="http://schemas.openxmlformats.org/officeDocument/2006/relationships/hyperlink" Target="http://www.sec.gov/Archives/edgar/data/1772016/000119312519250692/d727525dex211.htm" TargetMode="External"/><Relationship Id="rId340" Type="http://schemas.openxmlformats.org/officeDocument/2006/relationships/hyperlink" Target="http://www.sec.gov/Archives/edgar/data/1772016/000119312519250692/d727525dex991.htm" TargetMode="External"/><Relationship Id="rId341" Type="http://schemas.openxmlformats.org/officeDocument/2006/relationships/hyperlink" Target="http://www.sec.gov/Archives/edgar/data/1772016/000119312519250692/d727525dex992.htm" TargetMode="External"/><Relationship Id="rId342" Type="http://schemas.openxmlformats.org/officeDocument/2006/relationships/hyperlink" Target="http://www.sec.gov/Archives/edgar/data/1772016/000119312519250692/d727525dex993.htm" TargetMode="External"/><Relationship Id="rId343" Type="http://schemas.openxmlformats.org/officeDocument/2006/relationships/hyperlink" Target="http://www.sec.gov/Archives/edgar/data/1772016/000119312519250692/d727525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2019-12-21T00:32:51Z</dcterms:created>
  <dcterms:modified xsi:type="dcterms:W3CDTF">2019-12-21T00:32:51Z</dcterms:modified>
</cp:coreProperties>
</file>