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Mollere Marc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BELLRING BRANDS,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BRBR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03/10/2022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SVP, INTERNATIONAL</w:t>
      </w:r>
    </w:p>
    <w:p>
      <w:pPr>
        <w:spacing w:after="0" w:line="402" w:lineRule="exact"/>
        <w:rPr>
          <w:sz w:val="24"/>
          <w:szCs w:val="24"/>
          <w:color w:val="auto"/>
        </w:rPr>
      </w:pPr>
    </w:p>
    <w:p>
      <w:pPr>
        <w:sectPr>
          <w:pgSz w:w="11900" w:h="16838" w:orient="portrait"/>
          <w:cols w:equalWidth="0" w:num="3">
            <w:col w:w="3200" w:space="720"/>
            <w:col w:w="3260" w:space="5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ST. LOUIS</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MO</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63144</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3"/>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3"/>
          </w:tcPr>
          <w:p>
            <w:pPr>
              <w:ind w:left="900"/>
              <w:spacing w:after="0"/>
              <w:rPr>
                <w:sz w:val="20"/>
                <w:szCs w:val="20"/>
                <w:color w:val="auto"/>
              </w:rPr>
            </w:pPr>
            <w:r>
              <w:rPr>
                <w:rFonts w:ascii="Arial" w:cs="Arial" w:eastAsia="Arial" w:hAnsi="Arial"/>
                <w:sz w:val="17"/>
                <w:szCs w:val="17"/>
                <w:color w:val="0000FF"/>
              </w:rPr>
              <w:t>03/10/2022</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760" w:type="dxa"/>
            <w:vAlign w:val="bottom"/>
          </w:tcPr>
          <w:p>
            <w:pPr>
              <w:jc w:val="right"/>
              <w:ind w:right="73"/>
              <w:spacing w:after="0"/>
              <w:rPr>
                <w:sz w:val="20"/>
                <w:szCs w:val="20"/>
                <w:color w:val="auto"/>
              </w:rPr>
            </w:pPr>
            <w:r>
              <w:rPr>
                <w:rFonts w:ascii="Arial" w:cs="Arial" w:eastAsia="Arial" w:hAnsi="Arial"/>
                <w:sz w:val="17"/>
                <w:szCs w:val="17"/>
                <w:color w:val="0000FF"/>
              </w:rPr>
              <w:t>7,281</w:t>
            </w:r>
          </w:p>
        </w:tc>
        <w:tc>
          <w:tcPr>
            <w:tcW w:w="640" w:type="dxa"/>
            <w:vAlign w:val="bottom"/>
          </w:tcPr>
          <w:p>
            <w:pPr>
              <w:ind w:left="280"/>
              <w:spacing w:after="0"/>
              <w:rPr>
                <w:sz w:val="20"/>
                <w:szCs w:val="20"/>
                <w:color w:val="auto"/>
              </w:rPr>
            </w:pPr>
            <w:r>
              <w:rPr>
                <w:rFonts w:ascii="Arial" w:cs="Arial" w:eastAsia="Arial" w:hAnsi="Arial"/>
                <w:sz w:val="17"/>
                <w:szCs w:val="17"/>
                <w:color w:val="0000FF"/>
              </w:rPr>
              <w:t>D</w:t>
            </w:r>
          </w:p>
        </w:tc>
        <w:tc>
          <w:tcPr>
            <w:tcW w:w="540" w:type="dxa"/>
            <w:vAlign w:val="bottom"/>
            <w:gridSpan w:val="2"/>
          </w:tcPr>
          <w:p>
            <w:pPr>
              <w:jc w:val="right"/>
              <w:ind w:right="175"/>
              <w:spacing w:after="0"/>
              <w:rPr>
                <w:sz w:val="20"/>
                <w:szCs w:val="20"/>
                <w:color w:val="auto"/>
              </w:rPr>
            </w:pPr>
            <w:r>
              <w:rPr>
                <w:rFonts w:ascii="Arial" w:cs="Arial" w:eastAsia="Arial" w:hAnsi="Arial"/>
                <w:sz w:val="11"/>
                <w:szCs w:val="11"/>
                <w:color w:val="008000"/>
              </w:rPr>
              <w:t>(1)</w:t>
            </w:r>
          </w:p>
        </w:tc>
        <w:tc>
          <w:tcPr>
            <w:tcW w:w="1200" w:type="dxa"/>
            <w:vAlign w:val="bottom"/>
            <w:gridSpan w:val="2"/>
          </w:tcPr>
          <w:p>
            <w:pPr>
              <w:jc w:val="right"/>
              <w:ind w:right="317"/>
              <w:spacing w:after="0"/>
              <w:rPr>
                <w:sz w:val="20"/>
                <w:szCs w:val="20"/>
                <w:color w:val="auto"/>
              </w:rPr>
            </w:pPr>
            <w:r>
              <w:rPr>
                <w:rFonts w:ascii="Arial" w:cs="Arial" w:eastAsia="Arial" w:hAnsi="Arial"/>
                <w:sz w:val="17"/>
                <w:szCs w:val="17"/>
                <w:color w:val="0000FF"/>
              </w:rPr>
              <w:t>15,162</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5"/>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03/10/2022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15,162</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gridSpan w:val="2"/>
          </w:tcPr>
          <w:p>
            <w:pPr>
              <w:jc w:val="right"/>
              <w:ind w:right="95"/>
              <w:spacing w:after="0"/>
              <w:rPr>
                <w:sz w:val="20"/>
                <w:szCs w:val="20"/>
                <w:color w:val="auto"/>
              </w:rPr>
            </w:pPr>
            <w:r>
              <w:rPr>
                <w:rFonts w:ascii="Arial" w:cs="Arial" w:eastAsia="Arial" w:hAnsi="Arial"/>
                <w:sz w:val="11"/>
                <w:szCs w:val="11"/>
                <w:color w:val="008000"/>
              </w:rPr>
              <w:t>(1)(2)</w:t>
            </w: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517"/>
              <w:spacing w:after="0"/>
              <w:rPr>
                <w:sz w:val="20"/>
                <w:szCs w:val="20"/>
                <w:color w:val="auto"/>
              </w:rPr>
            </w:pPr>
            <w:r>
              <w:rPr>
                <w:rFonts w:ascii="Arial" w:cs="Arial" w:eastAsia="Arial" w:hAnsi="Arial"/>
                <w:sz w:val="17"/>
                <w:szCs w:val="17"/>
                <w:color w:val="0000FF"/>
              </w:rPr>
              <w:t>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1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68" w:lineRule="auto"/>
        <w:tabs>
          <w:tab w:leader="none" w:pos="17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March 10, 2022, Post Holdings, Inc. ("Post") and BellRing Intermediate Holdings, Inc. (formerly known as BellRing Brands, Inc.) ("Old BellRing") completed the transactions under the transaction agreement and plan of merger entered into on October 26, 2021, as amended on February 28, 2022, whereby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Old BellRing merged with a subsidiary of New BellRing and each outstanding share of Old BellRing Class A common stock was converted into one share of New BellRing common stock and $2.97 in cash (collectively, the "Transactions").</w:t>
      </w:r>
    </w:p>
    <w:p>
      <w:pPr>
        <w:spacing w:after="0" w:line="15" w:lineRule="exact"/>
        <w:rPr>
          <w:rFonts w:ascii="Arial" w:cs="Arial" w:eastAsia="Arial" w:hAnsi="Arial"/>
          <w:sz w:val="12"/>
          <w:szCs w:val="12"/>
          <w:color w:val="008000"/>
        </w:rPr>
      </w:pPr>
    </w:p>
    <w:p>
      <w:pPr>
        <w:jc w:val="both"/>
        <w:ind w:left="40" w:right="260" w:firstLine="7"/>
        <w:spacing w:after="0" w:line="245"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Includes (i) an original grant of 10,323 restricted stock units of which 3,441 are unvested and shall vest on November 20, 2022, (ii) an original grant of 8,229 restricted stock units of which 2,743 are unvested and shall vest on November 12, 2022 and 2,743 are unvested and shall vest on November 12, 2023 and (iii) an original grant of 6,235 restricted stock units which are unvested and shall vest in three equal annual installments commencing November 11, 2022. In connection with the Transactions, unvested restricted stock units of Old BellRing were assumed by New BellRing and continue to be subject to the same terms and conditions of the Old BellRing awards.</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Craig L. Rosenthal,</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03/10/2022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4837"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2022-03-10T16:00:00Z</dcterms:created>
  <dcterms:modified xsi:type="dcterms:W3CDTF">2022-03-10T16:00:00Z</dcterms:modified>
</cp:coreProperties>
</file>