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Free Writing Prospectus</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 under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October 11,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October 7,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333-233867</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Update to Preliminary 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Issued October 7, 2019</w:t>
      </w:r>
    </w:p>
    <w:p>
      <w:pPr>
        <w:spacing w:after="0" w:line="211" w:lineRule="exact"/>
        <w:rPr>
          <w:sz w:val="24"/>
          <w:szCs w:val="24"/>
          <w:color w:val="auto"/>
        </w:rPr>
      </w:pPr>
    </w:p>
    <w:p>
      <w:pPr>
        <w:ind w:right="20" w:firstLine="441"/>
        <w:spacing w:after="0" w:line="255" w:lineRule="auto"/>
        <w:rPr>
          <w:sz w:val="20"/>
          <w:szCs w:val="20"/>
          <w:color w:val="auto"/>
        </w:rPr>
      </w:pPr>
      <w:r>
        <w:rPr>
          <w:rFonts w:ascii="Arial" w:cs="Arial" w:eastAsia="Arial" w:hAnsi="Arial"/>
          <w:sz w:val="18"/>
          <w:szCs w:val="18"/>
          <w:color w:val="auto"/>
        </w:rPr>
        <w:t>This free writing prospectus relates to the initial public offering of 30,000,000 shares of Class A common stock of BellRing Brands, Inc. and updates and supplements the preliminary prospectus dated October 7, 2019 (the “Preliminary Prospectus”) that was included in Amendment No. 1 to the Registration Statement on Form S-1 (File No. 333-233867) relating to this offering of Class A common stock. On October 11, 2019, BellRing Brands, Inc. filed Amendment No. 2 to the Registration Statement on Form S-1 relating to this offering of Class A common stock, which Amendment No. 2 includes an update to the Preliminary Prospectus (the “Updated Preliminary Prospectus”). Amendment No. 2, including the Updated Preliminary Prospectus, may be accessed through the following link:</w:t>
      </w:r>
    </w:p>
    <w:p>
      <w:pPr>
        <w:spacing w:after="0" w:line="85" w:lineRule="exact"/>
        <w:rPr>
          <w:sz w:val="24"/>
          <w:szCs w:val="24"/>
          <w:color w:val="auto"/>
        </w:rPr>
      </w:pPr>
    </w:p>
    <w:p>
      <w:pPr>
        <w:ind w:left="440"/>
        <w:spacing w:after="0"/>
        <w:rPr>
          <w:rFonts w:ascii="Arial" w:cs="Arial" w:eastAsia="Arial" w:hAnsi="Arial"/>
          <w:sz w:val="18"/>
          <w:szCs w:val="18"/>
          <w:u w:val="single" w:color="auto"/>
          <w:color w:val="0000EE"/>
        </w:rPr>
      </w:pPr>
      <w:hyperlink r:id="rId8">
        <w:r>
          <w:rPr>
            <w:rFonts w:ascii="Arial" w:cs="Arial" w:eastAsia="Arial" w:hAnsi="Arial"/>
            <w:sz w:val="18"/>
            <w:szCs w:val="18"/>
            <w:u w:val="single" w:color="auto"/>
            <w:color w:val="0000EE"/>
          </w:rPr>
          <w:t>http://www.sec.gov/Archives/edgar/data/1772016/000119312519266329/d727525ds1a.htm</w:t>
        </w:r>
      </w:hyperlink>
    </w:p>
    <w:p>
      <w:pPr>
        <w:spacing w:after="0" w:line="225" w:lineRule="exact"/>
        <w:rPr>
          <w:sz w:val="24"/>
          <w:szCs w:val="24"/>
          <w:color w:val="auto"/>
        </w:rPr>
      </w:pPr>
    </w:p>
    <w:p>
      <w:pPr>
        <w:ind w:right="120" w:firstLine="441"/>
        <w:spacing w:after="0" w:line="255" w:lineRule="auto"/>
        <w:rPr>
          <w:sz w:val="20"/>
          <w:szCs w:val="20"/>
          <w:color w:val="auto"/>
        </w:rPr>
      </w:pPr>
      <w:r>
        <w:rPr>
          <w:rFonts w:ascii="Arial" w:cs="Arial" w:eastAsia="Arial" w:hAnsi="Arial"/>
          <w:sz w:val="18"/>
          <w:szCs w:val="18"/>
          <w:color w:val="auto"/>
        </w:rPr>
        <w:t>The changes in the Updated Preliminary Prospectus primarily reflect updates related to the amount and terms of the debt facilities that BellRing Brands, LLC expects to enter into immediately after the completion of the formation transactions and the completion of this offering, consisting of a revolving credit facility and a term loan facility. If the board of managers at BellRing Brands, LLC determines to borrow under the debt facilities, we anticipate that BellRing Brands, LLC will borrow approximately $700.0 million under the term loan facility and approximately $73.0 million under the revolving credit facility (with remaining availability of $127.0 million) (based upon the midpoint of the estimated offering price range set forth on the cover page of this prospectus). We expect that the amount of the Post bridge loan, which will be repaid in full from the proceeds of the offering and the debt facilities, will be $1,225.0 million.</w:t>
      </w:r>
    </w:p>
    <w:p>
      <w:pPr>
        <w:spacing w:after="0" w:line="189" w:lineRule="exact"/>
        <w:rPr>
          <w:sz w:val="24"/>
          <w:szCs w:val="24"/>
          <w:color w:val="auto"/>
        </w:rPr>
      </w:pPr>
    </w:p>
    <w:p>
      <w:pPr>
        <w:ind w:right="240" w:firstLine="441"/>
        <w:spacing w:after="0" w:line="308" w:lineRule="auto"/>
        <w:rPr>
          <w:sz w:val="20"/>
          <w:szCs w:val="20"/>
          <w:color w:val="auto"/>
        </w:rPr>
      </w:pPr>
      <w:r>
        <w:rPr>
          <w:rFonts w:ascii="Arial" w:cs="Arial" w:eastAsia="Arial" w:hAnsi="Arial"/>
          <w:sz w:val="17"/>
          <w:szCs w:val="17"/>
          <w:color w:val="auto"/>
        </w:rPr>
        <w:t xml:space="preserve">The revised “Capitalization,” “Dilution,” “Unaudited Pro Forma Combined Financial Information” and “Description of Certain Indebtedness— Debt Facilities” sections of the Updated Preliminary Prospectus are attached to this free writing prospectus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7" w:lineRule="exact"/>
        <w:rPr>
          <w:sz w:val="24"/>
          <w:szCs w:val="24"/>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This free writing prospectus should be read together with the Updated Preliminary Prospectus included in Amendment No. 2 to the Registration Statement on Form S-1, including the section entitled “Risk Factors” beginning on page 28 of the Updated Preliminary Prospectus. Capitalized terms used, but not defined, herein have the meanings set forth in the Updated Preliminary Prospectus.</w:t>
      </w:r>
    </w:p>
    <w:p>
      <w:pPr>
        <w:sectPr>
          <w:pgSz w:w="11900" w:h="16838" w:orient="portrait"/>
          <w:cols w:equalWidth="0" w:num="1">
            <w:col w:w="11020"/>
          </w:cols>
          <w:pgMar w:left="440" w:top="233" w:right="4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section of the Preliminary Prospectus titled “Capitalization” is revised as follows: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1" w:lineRule="exact"/>
        <w:rPr>
          <w:sz w:val="20"/>
          <w:szCs w:val="20"/>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80" w:hanging="436"/>
        <w:spacing w:after="0" w:line="255"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an as adjusted basis after giving effect to: (i) this offering, at an assumed initial public offering price of $17.50 per share (which is the midpoint of the estimated offering price range set forth on the cover page of this prospectus), (ii) the entry of BellRing Brands, LLC into the debt facilities, the borrowing by BellRing Brands, LLC under the term loan facility and the revolving credit facility and the application of the net proceeds of this offering and the debt facilities to repay in full the Post bridge loan and all interest thereunder and for the other purposes described under “Use of Proceeds” and (iii) the formation transactions, and assuming no exercise of the underwriters’ over-allotment option.</w:t>
      </w:r>
    </w:p>
    <w:p>
      <w:pPr>
        <w:spacing w:after="0" w:line="193"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business’s audited combined financial statements and the notes thereto as of September 30, 2018 and 2017 and for the three fiscal years ended September 30, 2018 and Post’s Active Nutrition business’s unaudited condensed combined financial statements and the notes thereto for the nine months ended June 30, 2019 and 2018, each appearing elsewhere in this prospectus.</w:t>
      </w:r>
    </w:p>
    <w:p>
      <w:pPr>
        <w:spacing w:after="0" w:line="191"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 June 30, 2019</w:t>
      </w:r>
    </w:p>
    <w:p>
      <w:pPr>
        <w:jc w:val="center"/>
        <w:ind w:left="624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7"/>
              </w:rPr>
              <w:t>Active</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w w:val="98"/>
              </w:rPr>
              <w:t>BellRing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11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Brands, Inc.</w:t>
            </w:r>
          </w:p>
        </w:tc>
        <w:tc>
          <w:tcPr>
            <w:tcW w:w="0" w:type="dxa"/>
            <w:vAlign w:val="bottom"/>
          </w:tcPr>
          <w:p>
            <w:pPr>
              <w:spacing w:after="0"/>
              <w:rPr>
                <w:sz w:val="1"/>
                <w:szCs w:val="1"/>
                <w:color w:val="auto"/>
              </w:rPr>
            </w:pPr>
          </w:p>
        </w:tc>
      </w:t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debt</w:t>
            </w:r>
            <w:r>
              <w:rPr>
                <w:rFonts w:ascii="Arial" w:cs="Arial" w:eastAsia="Arial" w:hAnsi="Arial"/>
                <w:sz w:val="15"/>
                <w:szCs w:val="15"/>
                <w:color w:val="auto"/>
              </w:rPr>
              <w: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Debt issuance costs</w:t>
            </w:r>
            <w:r>
              <w:rPr>
                <w:rFonts w:ascii="Arial" w:cs="Arial" w:eastAsia="Arial" w:hAnsi="Arial"/>
                <w:sz w:val="15"/>
                <w:szCs w:val="15"/>
                <w:color w:val="auto"/>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5"/>
                <w:szCs w:val="15"/>
                <w:color w:val="auto"/>
              </w:rPr>
              <w: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ind w:left="340"/>
              <w:spacing w:after="0" w:line="201" w:lineRule="exact"/>
              <w:rPr>
                <w:sz w:val="20"/>
                <w:szCs w:val="20"/>
                <w:color w:val="auto"/>
              </w:rPr>
            </w:pPr>
            <w:r>
              <w:rPr>
                <w:rFonts w:ascii="Arial" w:cs="Arial" w:eastAsia="Arial" w:hAnsi="Arial"/>
                <w:sz w:val="18"/>
                <w:szCs w:val="18"/>
                <w:color w:val="auto"/>
                <w:w w:val="93"/>
              </w:rPr>
              <w:t>Class A, par value $0.01 per share; actual: No shares authorized, issued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520"/>
              <w:spacing w:after="0"/>
              <w:rPr>
                <w:sz w:val="20"/>
                <w:szCs w:val="20"/>
                <w:color w:val="auto"/>
              </w:rPr>
            </w:pPr>
            <w:r>
              <w:rPr>
                <w:rFonts w:ascii="Arial" w:cs="Arial" w:eastAsia="Arial" w:hAnsi="Arial"/>
                <w:sz w:val="18"/>
                <w:szCs w:val="18"/>
                <w:color w:val="auto"/>
              </w:rPr>
              <w:t>outstanding as of June 30, 2019; as adjusted: 500,000,000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520"/>
              <w:spacing w:after="0"/>
              <w:rPr>
                <w:sz w:val="20"/>
                <w:szCs w:val="20"/>
                <w:color w:val="auto"/>
              </w:rPr>
            </w:pPr>
            <w:r>
              <w:rPr>
                <w:rFonts w:ascii="Arial" w:cs="Arial" w:eastAsia="Arial" w:hAnsi="Arial"/>
                <w:sz w:val="18"/>
                <w:szCs w:val="18"/>
                <w:color w:val="auto"/>
              </w:rPr>
              <w:t>authorized, 30,000,000 shares issued and outstanding</w:t>
            </w:r>
            <w:r>
              <w:rPr>
                <w:rFonts w:ascii="Arial" w:cs="Arial" w:eastAsia="Arial" w:hAnsi="Arial"/>
                <w:sz w:val="15"/>
                <w:szCs w:val="15"/>
                <w:color w:val="auto"/>
              </w:rPr>
              <w:t>(b)</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Class B, par value $0.01 per share; actual: No shares authorized, issued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outstanding as of June 30, 2019; as adjusted: one share authorized, issued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w:t>
            </w:r>
            <w:r>
              <w:rPr>
                <w:rFonts w:ascii="Arial" w:cs="Arial" w:eastAsia="Arial" w:hAnsi="Arial"/>
                <w:sz w:val="15"/>
                <w:szCs w:val="15"/>
                <w:color w:val="auto"/>
              </w:rPr>
              <w:t>(b)</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ind w:left="340"/>
              <w:spacing w:after="0" w:line="201" w:lineRule="exact"/>
              <w:rPr>
                <w:sz w:val="20"/>
                <w:szCs w:val="20"/>
                <w:color w:val="auto"/>
              </w:rPr>
            </w:pPr>
            <w:r>
              <w:rPr>
                <w:rFonts w:ascii="Arial" w:cs="Arial" w:eastAsia="Arial" w:hAnsi="Arial"/>
                <w:sz w:val="18"/>
                <w:szCs w:val="18"/>
                <w:color w:val="auto"/>
                <w:w w:val="92"/>
              </w:rPr>
              <w:t>Preferred stock, par value $0.01 per share; 50,000,000 shares authorized, no</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520"/>
              <w:spacing w:after="0"/>
              <w:rPr>
                <w:sz w:val="20"/>
                <w:szCs w:val="20"/>
                <w:color w:val="auto"/>
              </w:rPr>
            </w:pPr>
            <w:r>
              <w:rPr>
                <w:rFonts w:ascii="Arial" w:cs="Arial" w:eastAsia="Arial" w:hAnsi="Arial"/>
                <w:sz w:val="18"/>
                <w:szCs w:val="18"/>
                <w:color w:val="auto"/>
              </w:rPr>
              <w:t>shares issued and outstanding actual and as adjusted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060"/>
              <w:spacing w:after="0"/>
              <w:rPr>
                <w:sz w:val="20"/>
                <w:szCs w:val="20"/>
                <w:color w:val="auto"/>
              </w:rPr>
            </w:pPr>
            <w:r>
              <w:rPr>
                <w:rFonts w:ascii="Arial" w:cs="Arial" w:eastAsia="Arial" w:hAnsi="Arial"/>
                <w:sz w:val="18"/>
                <w:szCs w:val="18"/>
                <w:color w:val="auto"/>
              </w:rPr>
              <w:t>Total Capitalization</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ind w:left="440" w:hanging="436"/>
        <w:spacing w:after="0" w:line="255"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completion of this offering, Post will borrow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assume all interest of $2.2 million thereunder, and Post and its subsidiary guarantors (which will not include BellRing Brands, LLC or its domestic subsidiaries) will be released from all of their obligations under the Post bridge loan and all interest thereunder. We will not receive any of the proceeds of the Post bridge loan.</w:t>
      </w:r>
    </w:p>
    <w:p>
      <w:pPr>
        <w:spacing w:after="0" w:line="81" w:lineRule="exact"/>
        <w:rPr>
          <w:rFonts w:ascii="Arial" w:cs="Arial" w:eastAsia="Arial" w:hAnsi="Arial"/>
          <w:sz w:val="18"/>
          <w:szCs w:val="18"/>
          <w:color w:val="auto"/>
        </w:rPr>
      </w:pPr>
    </w:p>
    <w:p>
      <w:pPr>
        <w:ind w:left="440" w:right="40"/>
        <w:spacing w:after="0" w:line="270" w:lineRule="auto"/>
        <w:rPr>
          <w:rFonts w:ascii="Arial" w:cs="Arial" w:eastAsia="Arial" w:hAnsi="Arial"/>
          <w:sz w:val="18"/>
          <w:szCs w:val="18"/>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6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For purposes of the table above, we have assumed:</w:t>
      </w:r>
    </w:p>
    <w:p>
      <w:pPr>
        <w:spacing w:after="0" w:line="130" w:lineRule="exact"/>
        <w:rPr>
          <w:rFonts w:ascii="Arial" w:cs="Arial" w:eastAsia="Arial" w:hAnsi="Arial"/>
          <w:sz w:val="18"/>
          <w:szCs w:val="18"/>
          <w:color w:val="auto"/>
        </w:rPr>
      </w:pPr>
    </w:p>
    <w:p>
      <w:pPr>
        <w:ind w:left="980" w:right="180" w:hanging="436"/>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approximately $73.0 million of borrowings under the revolving credit facility will be incurred concurrently with the completion of this offering (based upon the midpoint of the estimated offering price range set forth on the cover page of this prospectus; the amount of such borrowing is expected to be up to $30.0 million if the offering price is at the high end of the price range and up to $100.0 million if the offering price is at the low end of the price range);</w:t>
      </w:r>
    </w:p>
    <w:p>
      <w:pPr>
        <w:spacing w:after="0" w:line="92" w:lineRule="exact"/>
        <w:rPr>
          <w:rFonts w:ascii="Arial" w:cs="Arial" w:eastAsia="Arial" w:hAnsi="Arial"/>
          <w:sz w:val="18"/>
          <w:szCs w:val="18"/>
          <w:color w:val="auto"/>
        </w:rPr>
      </w:pPr>
    </w:p>
    <w:p>
      <w:pPr>
        <w:ind w:left="980" w:hanging="436"/>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the full amount available under the term loan facility will be incurred concurrently with the completion of this offering; and</w:t>
      </w:r>
    </w:p>
    <w:p>
      <w:pPr>
        <w:spacing w:after="0" w:line="130" w:lineRule="exact"/>
        <w:rPr>
          <w:rFonts w:ascii="Arial" w:cs="Arial" w:eastAsia="Arial" w:hAnsi="Arial"/>
          <w:sz w:val="18"/>
          <w:szCs w:val="18"/>
          <w:color w:val="auto"/>
        </w:rPr>
      </w:pPr>
    </w:p>
    <w:p>
      <w:pPr>
        <w:ind w:left="980" w:hanging="436"/>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$6.1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(d) below.</w:t>
      </w:r>
    </w:p>
    <w:p>
      <w:pPr>
        <w:spacing w:after="0" w:line="92" w:lineRule="exact"/>
        <w:rPr>
          <w:rFonts w:ascii="Arial" w:cs="Arial" w:eastAsia="Arial" w:hAnsi="Arial"/>
          <w:sz w:val="18"/>
          <w:szCs w:val="18"/>
          <w:color w:val="auto"/>
        </w:rPr>
      </w:pPr>
    </w:p>
    <w:p>
      <w:pPr>
        <w:ind w:left="440" w:hanging="436"/>
        <w:spacing w:after="0" w:line="342"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pacing w:after="0" w:line="15" w:lineRule="exact"/>
        <w:rPr>
          <w:rFonts w:ascii="Arial" w:cs="Arial" w:eastAsia="Arial" w:hAnsi="Arial"/>
          <w:sz w:val="16"/>
          <w:szCs w:val="16"/>
          <w:color w:val="auto"/>
        </w:rPr>
      </w:pPr>
    </w:p>
    <w:p>
      <w:pPr>
        <w:ind w:left="440" w:right="220"/>
        <w:spacing w:after="0" w:line="277" w:lineRule="auto"/>
        <w:rPr>
          <w:rFonts w:ascii="Arial" w:cs="Arial" w:eastAsia="Arial" w:hAnsi="Arial"/>
          <w:sz w:val="16"/>
          <w:szCs w:val="16"/>
          <w:color w:val="auto"/>
        </w:rPr>
      </w:pPr>
      <w:r>
        <w:rPr>
          <w:rFonts w:ascii="Arial" w:cs="Arial" w:eastAsia="Arial" w:hAnsi="Arial"/>
          <w:sz w:val="18"/>
          <w:szCs w:val="18"/>
          <w:color w:val="auto"/>
        </w:rPr>
        <w:t>In this offering, BellRing Brands, Inc. expects to issue 30,000,000 shares of its Class A common stock (or 34,500,000 shares if the underwriters exercise their over-allotment option in full).</w:t>
      </w:r>
    </w:p>
    <w:p>
      <w:pPr>
        <w:spacing w:after="0" w:line="62" w:lineRule="exact"/>
        <w:rPr>
          <w:rFonts w:ascii="Arial" w:cs="Arial" w:eastAsia="Arial" w:hAnsi="Arial"/>
          <w:sz w:val="16"/>
          <w:szCs w:val="16"/>
          <w:color w:val="auto"/>
        </w:rPr>
      </w:pPr>
    </w:p>
    <w:p>
      <w:pPr>
        <w:ind w:left="440"/>
        <w:spacing w:after="0" w:line="270" w:lineRule="auto"/>
        <w:rPr>
          <w:rFonts w:ascii="Arial" w:cs="Arial" w:eastAsia="Arial" w:hAnsi="Arial"/>
          <w:sz w:val="16"/>
          <w:szCs w:val="16"/>
          <w:color w:val="auto"/>
        </w:rPr>
      </w:pPr>
      <w:r>
        <w:rPr>
          <w:rFonts w:ascii="Arial" w:cs="Arial" w:eastAsia="Arial" w:hAnsi="Arial"/>
          <w:sz w:val="17"/>
          <w:szCs w:val="17"/>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BellRing Brands, LLC Units will be classified as temporary equity. The noncontrolling interest balance is determined based on the fair value of Post’s BellRing Brands, LLC Units if they were to be converted to shares of BellRing Brands, Inc. Class A common stock, assuming the shares are offered at $17.50 per share (the midpoint of the estimated offering price range set forth on the cover page of this prospectus).</w:t>
      </w:r>
    </w:p>
    <w:p>
      <w:pPr>
        <w:spacing w:after="0" w:line="87" w:lineRule="exact"/>
        <w:rPr>
          <w:rFonts w:ascii="Arial" w:cs="Arial" w:eastAsia="Arial" w:hAnsi="Arial"/>
          <w:sz w:val="16"/>
          <w:szCs w:val="16"/>
          <w:color w:val="auto"/>
        </w:rPr>
      </w:pPr>
    </w:p>
    <w:p>
      <w:pPr>
        <w:ind w:left="440" w:right="40" w:hanging="436"/>
        <w:spacing w:after="0" w:line="293"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price range listed 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 and related interest.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 w:name="page4"/>
    <w:bookmarkEnd w:id="3"/>
    <w:p>
      <w:pPr>
        <w:ind w:left="436" w:hanging="436"/>
        <w:spacing w:after="0" w:line="259"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1776" w:type="dxa"/>
        <w:tblCellMar>
          <w:top w:w="0" w:type="dxa"/>
          <w:left w:w="0" w:type="dxa"/>
          <w:bottom w:w="0" w:type="dxa"/>
          <w:right w:w="0" w:type="dxa"/>
        </w:tblCellMar>
      </w:tblP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Net term loan and revolving credit facility </w:t>
            </w:r>
            <w:r>
              <w:rPr>
                <w:rFonts w:ascii="Arial" w:cs="Arial" w:eastAsia="Arial" w:hAnsi="Arial"/>
                <w:sz w:val="15"/>
                <w:szCs w:val="15"/>
                <w:color w:val="auto"/>
                <w:w w:val="98"/>
              </w:rPr>
              <w:t>(a)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 xml:space="preserve">Net proceeds from offering </w:t>
            </w:r>
            <w:r>
              <w:rPr>
                <w:rFonts w:ascii="Arial" w:cs="Arial" w:eastAsia="Arial" w:hAnsi="Arial"/>
                <w:sz w:val="15"/>
                <w:szCs w:val="15"/>
                <w:color w:val="auto"/>
              </w:rPr>
              <w:t>(c)</w:t>
            </w: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Payment of Post bridge loan and interest </w:t>
            </w:r>
            <w:r>
              <w:rPr>
                <w:rFonts w:ascii="Arial" w:cs="Arial" w:eastAsia="Arial" w:hAnsi="Arial"/>
                <w:sz w:val="15"/>
                <w:szCs w:val="15"/>
                <w:color w:val="auto"/>
                <w:w w:val="98"/>
              </w:rPr>
              <w:t>(a)</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3"/>
              </w:rPr>
              <w:t>Payment of cash and cash equivalents to Post</w:t>
            </w: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0" w:type="dxa"/>
            <w:vAlign w:val="bottom"/>
          </w:tcPr>
          <w:p>
            <w:pPr>
              <w:jc w:val="right"/>
              <w:ind w:right="281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56"/>
          </w:cols>
          <w:pgMar w:left="444" w:top="274" w:right="599" w:bottom="1440" w:gutter="0" w:footer="0" w:header="0"/>
        </w:sectPr>
      </w:pPr>
    </w:p>
    <w:bookmarkStart w:id="4" w:name="page5"/>
    <w:bookmarkEnd w:id="4"/>
    <w:p>
      <w:pPr>
        <w:jc w:val="both"/>
        <w:ind w:left="980" w:right="20" w:hanging="54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reference under the Risk Factor captioned “</w:t>
      </w:r>
      <w:r>
        <w:rPr>
          <w:rFonts w:ascii="Arial" w:cs="Arial" w:eastAsia="Arial" w:hAnsi="Arial"/>
          <w:sz w:val="18"/>
          <w:szCs w:val="18"/>
          <w:i w:val="1"/>
          <w:iCs w:val="1"/>
          <w:color w:val="auto"/>
        </w:rPr>
        <w:t>Investors purchasing Class A common stock in this offering will experience immediate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substantial dilution” </w:t>
      </w:r>
      <w:r>
        <w:rPr>
          <w:rFonts w:ascii="Arial" w:cs="Arial" w:eastAsia="Arial" w:hAnsi="Arial"/>
          <w:sz w:val="18"/>
          <w:szCs w:val="18"/>
          <w:color w:val="auto"/>
        </w:rPr>
        <w:t>to dilution of $23.26 is revised to dilution of $22.65, and the section of the Preliminary Prospectus titled “Dilution” is</w:t>
      </w:r>
      <w:r>
        <w:rPr>
          <w:rFonts w:ascii="Arial" w:cs="Arial" w:eastAsia="Arial" w:hAnsi="Arial"/>
          <w:sz w:val="18"/>
          <w:szCs w:val="18"/>
          <w:i w:val="1"/>
          <w:iCs w:val="1"/>
          <w:color w:val="auto"/>
        </w:rPr>
        <w:t xml:space="preserve"> </w:t>
      </w:r>
      <w:r>
        <w:rPr>
          <w:rFonts w:ascii="Arial" w:cs="Arial" w:eastAsia="Arial" w:hAnsi="Arial"/>
          <w:sz w:val="18"/>
          <w:szCs w:val="18"/>
          <w:color w:val="auto"/>
        </w:rPr>
        <w:t>revised as follows: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8"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(total assets less goodwill, other intangible assets, net and deferred financing fees) less our total liabilities (excluding debt issuance cost and unamortized discount) by the number of shares of our Class A common stock outstanding. As of June 30, 2019, after giving effect to the formation transactions (including the assumption by BellRing Brands, LLC of the Post bridge loan and related interest) and the assumed redemption, but not this offering, the use of the proceeds of this offering or the expected borrowing under the debt facilities for the purposes described under “Use of Proceeds,” we had a pro forma net tangible book value of $(1,117.4) million, or $(11.46) per share of Class A common stock.</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giving further effect to receipt of the net proceeds from our issuance and the sale of 30,000,000 shares of Class A common stock in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at an assumed initial public offering price of $17.50 per share of Class A common stock, which is the midpoint of the estimated offering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set forth on the cover page of this prospectus, and after deducting the estimated underwriting discounts and commissions and offering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by us and the use of the proceeds of this offering and the expected borrowing under the debt facilities for the purposes described under “Use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our pro forma as adjusted net tangible book value as of June 30, 2019 would have been approximately $(657.1) million,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$(5.15) per share. This amount represents an immediate increase in pro forma net tangible book value of $6.31 per share to our existing stockholder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immediate dilution of approximately $22.65 per share to new investors participating in this offering. We determine dilution by subtracting the pro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forma as adjusted net tangible book value per share after this offering from the amount of cash that a new investor paid for a share of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340"/>
              <w:spacing w:after="0" w:line="201" w:lineRule="exact"/>
              <w:rPr>
                <w:sz w:val="20"/>
                <w:szCs w:val="20"/>
                <w:color w:val="auto"/>
              </w:rPr>
            </w:pPr>
            <w:r>
              <w:rPr>
                <w:rFonts w:ascii="Arial" w:cs="Arial" w:eastAsia="Arial" w:hAnsi="Arial"/>
                <w:sz w:val="18"/>
                <w:szCs w:val="18"/>
                <w:color w:val="auto"/>
                <w:w w:val="93"/>
              </w:rPr>
              <w:t>Pro forma net tangible book value per share as of June 30, 2019, giving effect to the</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w w:val="95"/>
              </w:rPr>
              <w:t>formation transactions (including the assumption by BellRing Brands, LLC of the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w w:val="94"/>
              </w:rPr>
              <w:t>Post bridge loan) and the assumed redemption, but not this offering or the use of</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w w:val="95"/>
              </w:rPr>
              <w:t>the proceeds of this offering and the expected borrowing under the debt facilities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rPr>
              <w:t>for the purposes described under “Use of Proceeds”</w:t>
            </w:r>
            <w:r>
              <w:rPr>
                <w:rFonts w:ascii="Arial" w:cs="Arial" w:eastAsia="Arial" w:hAnsi="Arial"/>
                <w:sz w:val="15"/>
                <w:szCs w:val="15"/>
                <w:color w:val="auto"/>
              </w:rPr>
              <w:t>(a)</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$(11.46)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Increase in pro forma net tangible book value per share attributable to new investors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8"/>
                <w:szCs w:val="18"/>
                <w:color w:val="auto"/>
                <w:w w:val="94"/>
              </w:rPr>
              <w:t>Less: Pro forma as adjusted net tangible book value per share of Class A common stock</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w w:val="97"/>
              </w:rPr>
              <w:t>upon completion of this offering and the use of the proceeds of this offering and the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w w:val="95"/>
              </w:rPr>
              <w:t>expected borrowing under the debt facilities for the purposes described under “Use of</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Proceeds”</w:t>
            </w:r>
            <w:r>
              <w:rPr>
                <w:rFonts w:ascii="Arial" w:cs="Arial" w:eastAsia="Arial" w:hAnsi="Arial"/>
                <w:sz w:val="15"/>
                <w:szCs w:val="15"/>
                <w:color w:val="auto"/>
              </w:rPr>
              <w:t>(b)</w:t>
            </w:r>
          </w:p>
        </w:tc>
        <w:tc>
          <w:tcPr>
            <w:tcW w:w="1120" w:type="dxa"/>
            <w:vAlign w:val="bottom"/>
            <w:gridSpan w:val="3"/>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above discussion and table exclude an aggregate of 2,000,000 additional shares of our Class A common stock reserved for future awards pursuant to the 2019 LTIP.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 w:name="page6"/>
    <w:bookmarkEnd w:id="5"/>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$1.00 increase or decrease in the assumed initial public offering price of $17.50 per share (the midpoint of the estimated offering price range set forth on the cover page of this prospectus) would increase or decrease the as adjusted net tangible book value per share after this offering by $0.22 per share and increase or decrease the dilution to new investors in this offering by $0.78 per share, in each case assuming the number of shares of Class A 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 in full, the as adjusted net tangible book value per share of our common stock would be $(3.98) per share, and the dilution in net tangible book value per share to investors in this offering would be $21.48 per share of Class A common stock.</w:t>
      </w:r>
    </w:p>
    <w:p>
      <w:pPr>
        <w:spacing w:after="0" w:line="73"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net tangible book value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gridSpan w:val="2"/>
          </w:tcPr>
          <w:p>
            <w:pPr>
              <w:ind w:left="1780"/>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Goodwill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r>
      <w:tr>
        <w:trPr>
          <w:trHeight w:val="223"/>
        </w:trPr>
        <w:tc>
          <w:tcPr>
            <w:tcW w:w="7680" w:type="dxa"/>
            <w:vAlign w:val="bottom"/>
            <w:gridSpan w:val="2"/>
          </w:tcPr>
          <w:p>
            <w:pPr>
              <w:ind w:left="1780"/>
              <w:spacing w:after="0"/>
              <w:rPr>
                <w:sz w:val="20"/>
                <w:szCs w:val="20"/>
                <w:color w:val="auto"/>
              </w:rPr>
            </w:pPr>
            <w:r>
              <w:rPr>
                <w:rFonts w:ascii="Arial" w:cs="Arial" w:eastAsia="Arial" w:hAnsi="Arial"/>
                <w:sz w:val="18"/>
                <w:szCs w:val="18"/>
                <w:color w:val="auto"/>
              </w:rPr>
              <w:t>Total tangible assets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Post bridge loan and interest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 forma net tangible book value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(1,117.4)</w:t>
            </w: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BellRing Brands, LLC Units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97,474,179</w:t>
            </w:r>
          </w:p>
        </w:tc>
        <w:tc>
          <w:tcPr>
            <w:tcW w:w="100" w:type="dxa"/>
            <w:vAlign w:val="bottom"/>
            <w:shd w:val="clear" w:color="auto" w:fill="CCEEFF"/>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 forma net tangible book value per share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r>
      <w:tr>
        <w:trPr>
          <w:trHeight w:val="323"/>
        </w:trPr>
        <w:tc>
          <w:tcPr>
            <w:tcW w:w="7680" w:type="dxa"/>
            <w:vAlign w:val="bottom"/>
            <w:gridSpan w:val="2"/>
          </w:tcPr>
          <w:p>
            <w:pPr>
              <w:spacing w:after="0"/>
              <w:rPr>
                <w:sz w:val="20"/>
                <w:szCs w:val="20"/>
                <w:color w:val="auto"/>
              </w:rPr>
            </w:pPr>
            <w:r>
              <w:rPr>
                <w:rFonts w:ascii="Arial" w:cs="Arial" w:eastAsia="Arial" w:hAnsi="Arial"/>
                <w:sz w:val="18"/>
                <w:szCs w:val="18"/>
                <w:color w:val="auto"/>
              </w:rPr>
              <w:t>(b)   Pro forma adjusted net tangible book value per share:</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680" w:type="dxa"/>
            <w:vAlign w:val="bottom"/>
            <w:gridSpan w:val="2"/>
          </w:tcPr>
          <w:p>
            <w:pPr>
              <w:ind w:left="1780"/>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Goodwill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r>
      <w:tr>
        <w:trPr>
          <w:trHeight w:val="223"/>
        </w:trPr>
        <w:tc>
          <w:tcPr>
            <w:tcW w:w="178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Deferred financing fees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assets</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r>
      <w:tr>
        <w:trPr>
          <w:trHeight w:val="202"/>
        </w:trPr>
        <w:tc>
          <w:tcPr>
            <w:tcW w:w="178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term loan and revolving credit facility (excluding debt issuance costs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unamortized discount)</w:t>
            </w:r>
          </w:p>
        </w:tc>
        <w:tc>
          <w:tcPr>
            <w:tcW w:w="4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20"/>
                <w:szCs w:val="20"/>
                <w:color w:val="auto"/>
              </w:rPr>
            </w:pPr>
          </w:p>
        </w:tc>
      </w:tr>
      <w:tr>
        <w:trPr>
          <w:trHeight w:val="209"/>
        </w:trPr>
        <w:tc>
          <w:tcPr>
            <w:tcW w:w="7680" w:type="dxa"/>
            <w:vAlign w:val="bottom"/>
            <w:gridSpan w:val="2"/>
          </w:tcPr>
          <w:p>
            <w:pPr>
              <w:ind w:left="1780"/>
              <w:spacing w:after="0"/>
              <w:rPr>
                <w:sz w:val="20"/>
                <w:szCs w:val="20"/>
                <w:color w:val="auto"/>
              </w:rPr>
            </w:pPr>
            <w:r>
              <w:rPr>
                <w:rFonts w:ascii="Arial" w:cs="Arial" w:eastAsia="Arial" w:hAnsi="Arial"/>
                <w:sz w:val="18"/>
                <w:szCs w:val="18"/>
                <w:color w:val="auto"/>
                <w:w w:val="98"/>
              </w:rPr>
              <w:t>Total Pro Forma Liabilities (excluding debt issuance costs and unamortized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Arial" w:cs="Arial" w:eastAsia="Arial" w:hAnsi="Arial"/>
                <w:sz w:val="18"/>
                <w:szCs w:val="18"/>
                <w:color w:val="auto"/>
              </w:rPr>
              <w:t>discount)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20"/>
                <w:szCs w:val="20"/>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(657.1)</w:t>
            </w:r>
          </w:p>
        </w:tc>
      </w:tr>
      <w:tr>
        <w:trPr>
          <w:trHeight w:val="216"/>
        </w:trPr>
        <w:tc>
          <w:tcPr>
            <w:tcW w:w="17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Class A common stock</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127,474,179</w:t>
            </w:r>
          </w:p>
        </w:tc>
        <w:tc>
          <w:tcPr>
            <w:tcW w:w="10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 per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r>
      <w:tr>
        <w:trPr>
          <w:trHeight w:val="365"/>
        </w:trPr>
        <w:tc>
          <w:tcPr>
            <w:tcW w:w="7680" w:type="dxa"/>
            <w:vAlign w:val="bottom"/>
            <w:gridSpan w:val="2"/>
          </w:tcPr>
          <w:p>
            <w:pPr>
              <w:ind w:left="546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6" w:name="page7"/>
    <w:bookmarkEnd w:id="6"/>
    <w:p>
      <w:pPr>
        <w:ind w:left="980" w:right="460" w:hanging="5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section of the Preliminary Prospectus titled “Unaudited Pro Forma Condensed Consolidated Financial Information” is revised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The following unaudited pro forma condensed consolidated balance sheet and statements of operations have been prepared to reflect (i) the formation transactions described in “Prospectus Summary—Formation Transactions,” including the issuance of one share of our Class B common stock and 97,474,179 BellRing Brands, LLC Units to Post; (ii) the sale of 30,000,000 shares of our Class A common stock in this offering, at an assumed initial public offering price of $17.50 per share (which is the midpoint of the estimated offering price range set forth on the cover page of this prospectus) and assuming no exercise by the underwriters of their over-allotment option to purchase additional shares of our Class A common stock; and</w:t>
      </w:r>
    </w:p>
    <w:p>
      <w:pPr>
        <w:spacing w:after="0" w:line="2" w:lineRule="exact"/>
        <w:rPr>
          <w:sz w:val="20"/>
          <w:szCs w:val="20"/>
          <w:color w:val="auto"/>
        </w:rPr>
      </w:pPr>
    </w:p>
    <w:p>
      <w:pPr>
        <w:ind w:right="240" w:firstLine="4"/>
        <w:spacing w:after="0" w:line="292"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entry of BellRing Brands, LLC into the debt facilities, its borrowing under the term loan facility and the revolving credit facility and the application of the net proceeds of this offering and the debt facilities to repay the remaining balance of the Post bridge loan and all interest thereunder and for the other purposes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6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 recognize a deferred tax asset of approximately $838.7 million and a liability of approximately $712.9 million, assuming (i) all redemptions occurred immediately after this offering;</w:t>
      </w:r>
    </w:p>
    <w:p>
      <w:pPr>
        <w:spacing w:after="0" w:line="12" w:lineRule="exact"/>
        <w:rPr>
          <w:sz w:val="20"/>
          <w:szCs w:val="20"/>
          <w:color w:val="auto"/>
        </w:rPr>
      </w:pPr>
    </w:p>
    <w:p>
      <w:pPr>
        <w:ind w:left="5460" w:right="1320" w:hanging="5456"/>
        <w:spacing w:after="0" w:line="433"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price of $17.50 per share (the midpoint of the estimated offering price range set forth on the cover page of this prospectus); (iii) a 7</w:t>
      </w:r>
    </w:p>
    <w:p>
      <w:pPr>
        <w:sectPr>
          <w:pgSz w:w="11900" w:h="16838" w:orient="portrait"/>
          <w:cols w:equalWidth="0" w:num="1">
            <w:col w:w="11020"/>
          </w:cols>
          <w:pgMar w:left="440" w:top="274" w:right="439" w:bottom="1440" w:gutter="0" w:footer="0" w:header="0"/>
        </w:sectPr>
      </w:pPr>
    </w:p>
    <w:bookmarkStart w:id="7" w:name="page8"/>
    <w:bookmarkEnd w:id="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constant corporate tax rate of 25.0%; (iv) we will have sufficient taxable income to fully utilize the tax benefits; and (v) no material changes in tax law. For each 5% increase (decrease) in the amount of BellRing Brands, LLC Units redeemed by Post (and its transferees and assignees), our deferred tax asset would increase (decrease) by approximately $41.9 million and the related liability would increase (decrease) by approximately $35.6 million, assuming that the price per share and corporate tax rate remain the same. For each $1.00 increase (decrease) in the assumed share price of $17.50 per share (the midpoint of the estimated offering price range set forth on the cover page of this prospectus), our deferred tax asset would increase (decrease) by approximately $31.5 million and the related liability would increase (decrease) by approximately $26.8 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78"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The present value of such tax benefit payments are discounted at a rate equal to the lesser of (i)</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6.50% per annum, compounded annually and (ii) LIBOR plus 300 basis points. If we were to elect to terminate the tax receivable agreement immediately after this offering, based on the assumed initial public offering price of $17.50 per share of our Class A common stock (the midpoint of the estimated offering price range set forth on the cover page of this prospectus), we estimate that we would be required to pay approximately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$546.6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90"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Following this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980" w:right="280" w:hanging="54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audited combined financial statements and the notes thereto of Post’s Active Nutrition business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980" w:right="140" w:hanging="54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unaudited condensed combined financial statements and the notes thereto of Post’s Active Nutrition business as of June 30, 2019 and September 30, 2018 and for the nine months ended June 30, 2019 and 2018 included in this prospectus; and</w:t>
      </w:r>
    </w:p>
    <w:p>
      <w:pPr>
        <w:spacing w:after="0" w:line="51" w:lineRule="exact"/>
        <w:rPr>
          <w:rFonts w:ascii="Arial" w:cs="Arial" w:eastAsia="Arial" w:hAnsi="Arial"/>
          <w:sz w:val="17"/>
          <w:szCs w:val="17"/>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BALANCE SHEET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Active Nutrition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580"/>
              <w:spacing w:after="0"/>
              <w:rPr>
                <w:sz w:val="20"/>
                <w:szCs w:val="20"/>
                <w:color w:val="auto"/>
              </w:rPr>
            </w:pPr>
            <w:r>
              <w:rPr>
                <w:rFonts w:ascii="Arial" w:cs="Arial" w:eastAsia="Arial" w:hAnsi="Arial"/>
                <w:sz w:val="18"/>
                <w:szCs w:val="18"/>
                <w:color w:val="auto"/>
              </w:rPr>
              <w:t>6.1</w:t>
            </w:r>
            <w:r>
              <w:rPr>
                <w:rFonts w:ascii="Arial" w:cs="Arial" w:eastAsia="Arial" w:hAnsi="Arial"/>
                <w:sz w:val="15"/>
                <w:szCs w:val="15"/>
                <w:color w:val="auto"/>
              </w:rPr>
              <w:t>(b)(c)(d)(g)</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10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80"/>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35.0</w:t>
            </w:r>
            <w:r>
              <w:rPr>
                <w:rFonts w:ascii="Arial" w:cs="Arial" w:eastAsia="Arial" w:hAnsi="Arial"/>
                <w:sz w:val="15"/>
                <w:szCs w:val="15"/>
                <w:color w:val="auto"/>
              </w:rPr>
              <w:t>(b)</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716.9</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80"/>
              <w:spacing w:after="0"/>
              <w:rPr>
                <w:sz w:val="20"/>
                <w:szCs w:val="20"/>
                <w:color w:val="auto"/>
              </w:rPr>
            </w:pPr>
            <w:r>
              <w:rPr>
                <w:rFonts w:ascii="Arial" w:cs="Arial" w:eastAsia="Arial" w:hAnsi="Arial"/>
                <w:sz w:val="18"/>
                <w:szCs w:val="18"/>
                <w:color w:val="auto"/>
              </w:rPr>
              <w:t>0.7</w:t>
            </w:r>
            <w:r>
              <w:rPr>
                <w:rFonts w:ascii="Arial" w:cs="Arial" w:eastAsia="Arial" w:hAnsi="Arial"/>
                <w:sz w:val="15"/>
                <w:szCs w:val="15"/>
                <w:color w:val="auto"/>
              </w:rPr>
              <w: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(f)</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1,705.8</w:t>
            </w:r>
            <w:r>
              <w:rPr>
                <w:rFonts w:ascii="Arial" w:cs="Arial" w:eastAsia="Arial" w:hAnsi="Arial"/>
                <w:sz w:val="15"/>
                <w:szCs w:val="15"/>
                <w:color w:val="auto"/>
              </w:rPr>
              <w:t>(a)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Class A, par value $0.01 per share; actual: No shares authorized,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outstanding as of June 30, 2019; as adjusted: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500,000,000 shares authorized, 30,000,000 shares issued and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0.3</w:t>
            </w:r>
            <w:r>
              <w:rPr>
                <w:rFonts w:ascii="Arial" w:cs="Arial" w:eastAsia="Arial" w:hAnsi="Arial"/>
                <w:sz w:val="15"/>
                <w:szCs w:val="15"/>
                <w:color w:val="auto"/>
              </w:rPr>
              <w:t>(a)(c)</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700"/>
              <w:spacing w:after="0" w:line="201" w:lineRule="exact"/>
              <w:rPr>
                <w:sz w:val="20"/>
                <w:szCs w:val="20"/>
                <w:color w:val="auto"/>
              </w:rPr>
            </w:pPr>
            <w:r>
              <w:rPr>
                <w:rFonts w:ascii="Arial" w:cs="Arial" w:eastAsia="Arial" w:hAnsi="Arial"/>
                <w:sz w:val="18"/>
                <w:szCs w:val="18"/>
                <w:color w:val="auto"/>
                <w:w w:val="94"/>
              </w:rPr>
              <w:t>Class B, par value $0.01 per share; actual: No shares authorized,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80"/>
              <w:spacing w:after="0"/>
              <w:rPr>
                <w:sz w:val="20"/>
                <w:szCs w:val="20"/>
                <w:color w:val="auto"/>
              </w:rPr>
            </w:pPr>
            <w:r>
              <w:rPr>
                <w:rFonts w:ascii="Arial" w:cs="Arial" w:eastAsia="Arial" w:hAnsi="Arial"/>
                <w:sz w:val="18"/>
                <w:szCs w:val="18"/>
                <w:color w:val="auto"/>
                <w:w w:val="97"/>
              </w:rPr>
              <w:t>issued and outstanding as of June 30, 2019; as adjusted: one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880"/>
              <w:spacing w:after="0"/>
              <w:rPr>
                <w:sz w:val="20"/>
                <w:szCs w:val="20"/>
                <w:color w:val="auto"/>
              </w:rPr>
            </w:pPr>
            <w:r>
              <w:rPr>
                <w:rFonts w:ascii="Arial" w:cs="Arial" w:eastAsia="Arial" w:hAnsi="Arial"/>
                <w:sz w:val="18"/>
                <w:szCs w:val="18"/>
                <w:color w:val="auto"/>
              </w:rPr>
              <w:t>share authorized, issued and outstanding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(a)(c)</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$0.01 per share; 50,000,000 shares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authorized, no shares issued and outstanding actual and pro forma</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(a)(c)</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(492.8)</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(1,970.3)</w:t>
            </w:r>
            <w:r>
              <w:rPr>
                <w:rFonts w:ascii="Arial" w:cs="Arial" w:eastAsia="Arial" w:hAnsi="Arial"/>
                <w:sz w:val="15"/>
                <w:szCs w:val="15"/>
                <w:color w:val="auto"/>
              </w:rPr>
              <w:t>(b)(c)(d)(f)</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(2,462.8)</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STATEMENT OF OPERATIONS FOR THE NINE MONTHS ENDED JUNE 30, 2019 ($ 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12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w w:val="95"/>
              </w:rPr>
              <w:t>Active Nutrition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620" w:type="dxa"/>
            <w:vAlign w:val="bottom"/>
            <w:gridSpan w:val="4"/>
          </w:tcPr>
          <w:p>
            <w:pPr>
              <w:ind w:left="32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1"/>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(h)</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3"/>
              </w:rPr>
              <w:t>43.0</w:t>
            </w:r>
            <w:r>
              <w:rPr>
                <w:rFonts w:ascii="Arial" w:cs="Arial" w:eastAsia="Arial" w:hAnsi="Arial"/>
                <w:sz w:val="15"/>
                <w:szCs w:val="15"/>
                <w:color w:val="auto"/>
                <w:w w:val="93"/>
              </w:rPr>
              <w:t>(b)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ind w:left="351"/>
              <w:spacing w:after="0"/>
              <w:rPr>
                <w:sz w:val="20"/>
                <w:szCs w:val="20"/>
                <w:color w:val="auto"/>
              </w:rPr>
            </w:pPr>
            <w:r>
              <w:rPr>
                <w:rFonts w:ascii="Arial" w:cs="Arial" w:eastAsia="Arial" w:hAnsi="Arial"/>
                <w:sz w:val="18"/>
                <w:szCs w:val="18"/>
                <w:color w:val="auto"/>
                <w:w w:val="84"/>
              </w:rPr>
              <w:t>(39.0)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(25.2)</w:t>
            </w:r>
            <w:r>
              <w:rPr>
                <w:rFonts w:ascii="Arial" w:cs="Arial" w:eastAsia="Arial" w:hAnsi="Arial"/>
                <w:sz w:val="15"/>
                <w:szCs w:val="15"/>
                <w:color w:val="auto"/>
                <w:w w:val="94"/>
              </w:rPr>
              <w: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color w:val="auto"/>
                <w:w w:val="84"/>
              </w:rPr>
              <w:t>(13.8)</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3"/>
              </w:rPr>
              <w:t>66.9</w:t>
            </w:r>
            <w:r>
              <w:rPr>
                <w:rFonts w:ascii="Arial" w:cs="Arial" w:eastAsia="Arial" w:hAnsi="Arial"/>
                <w:sz w:val="15"/>
                <w:szCs w:val="15"/>
                <w:color w:val="auto"/>
                <w:w w:val="93"/>
              </w:rPr>
              <w:t>(a)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color w:val="auto"/>
                <w:w w:val="84"/>
              </w:rPr>
              <w:t>(80.7)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0.52</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0.52</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CONSOLIDATED STATEMENT OF OPERATIONS FOR THE YEAR ENDED SEPTEMBER 30, 2018 ($ 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14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w w:val="95"/>
              </w:rPr>
              <w:t>Active Nutrition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620" w:type="dxa"/>
            <w:vAlign w:val="bottom"/>
            <w:gridSpan w:val="4"/>
          </w:tcPr>
          <w:p>
            <w:pPr>
              <w:ind w:left="32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100" w:type="dxa"/>
            <w:vAlign w:val="bottom"/>
            <w:gridSpan w:val="4"/>
          </w:tcPr>
          <w:p>
            <w:pPr>
              <w:ind w:left="62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(h)</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3"/>
              </w:rPr>
              <w:t>57.3</w:t>
            </w:r>
            <w:r>
              <w:rPr>
                <w:rFonts w:ascii="Arial" w:cs="Arial" w:eastAsia="Arial" w:hAnsi="Arial"/>
                <w:sz w:val="15"/>
                <w:szCs w:val="15"/>
                <w:color w:val="auto"/>
                <w:w w:val="93"/>
              </w:rPr>
              <w:t>(b)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ind w:left="351"/>
              <w:spacing w:after="0"/>
              <w:rPr>
                <w:sz w:val="20"/>
                <w:szCs w:val="20"/>
                <w:color w:val="auto"/>
              </w:rPr>
            </w:pPr>
            <w:r>
              <w:rPr>
                <w:rFonts w:ascii="Arial" w:cs="Arial" w:eastAsia="Arial" w:hAnsi="Arial"/>
                <w:sz w:val="18"/>
                <w:szCs w:val="18"/>
                <w:color w:val="auto"/>
                <w:w w:val="80"/>
              </w:rPr>
              <w:t>(57.3)</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(21.8)</w:t>
            </w:r>
            <w:r>
              <w:rPr>
                <w:rFonts w:ascii="Arial" w:cs="Arial" w:eastAsia="Arial" w:hAnsi="Arial"/>
                <w:sz w:val="15"/>
                <w:szCs w:val="15"/>
                <w:color w:val="auto"/>
                <w:w w:val="91"/>
              </w:rPr>
              <w: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color w:val="auto"/>
                <w:w w:val="80"/>
              </w:rPr>
              <w:t>(35.5)</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47.8</w:t>
            </w:r>
            <w:r>
              <w:rPr>
                <w:rFonts w:ascii="Arial" w:cs="Arial" w:eastAsia="Arial" w:hAnsi="Arial"/>
                <w:sz w:val="15"/>
                <w:szCs w:val="15"/>
                <w:color w:val="auto"/>
                <w:w w:val="89"/>
              </w:rPr>
              <w:t>(a)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color w:val="auto"/>
                <w:w w:val="71"/>
              </w:rPr>
              <w:t>(83.3))</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0.43</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0.43</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1" w:name="page12"/>
    <w:bookmarkEnd w:id="1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980" w:hanging="43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980" w:right="320" w:hanging="43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980" w:right="20" w:hanging="436"/>
        <w:spacing w:after="0" w:line="289"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Units will be classified as temporary equity. The noncontrolling interest balance is determined based on the fair value of Post’s BellRing Brands, LLC Units if they were to be converted to shares of BellRing Brands, Inc. Class A common stock assuming the shares are offered at $17.50 per share (the midpoint of the estimated offering price range set forth on the cover page of this prospectus).</w:t>
      </w:r>
    </w:p>
    <w:p>
      <w:pPr>
        <w:spacing w:after="0" w:line="72" w:lineRule="exact"/>
        <w:rPr>
          <w:rFonts w:ascii="Arial" w:cs="Arial" w:eastAsia="Arial" w:hAnsi="Arial"/>
          <w:sz w:val="16"/>
          <w:szCs w:val="16"/>
          <w:color w:val="auto"/>
        </w:rPr>
      </w:pPr>
    </w:p>
    <w:p>
      <w:pPr>
        <w:ind w:left="980" w:right="40" w:hanging="436"/>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purchasers in this offering (i) will own 30,000,000 shares of Class A common stock (or 34,500,000 shares if the underwriters exercise their non-allotment option in full), which, for so long as Post or its affiliates (other than us) directly own more than 50% of the BellRing Brands, LLC Units as described in this prospectus, will represent 33% of the combined voting power of the common stock of BellRing Brands, Inc. and 100% of the economic interest in BellRing Brands, Inc., and (ii) through BellRing Brands, Inc.’s ownership of BellRing Brands, LLC Units, indirectly will hold 23.5% of the economic interest in BellRing Brands, LLC (or 26.1% if the underwriters exercise their over-allotment option in full).</w:t>
      </w:r>
    </w:p>
    <w:p>
      <w:pPr>
        <w:spacing w:after="0" w:line="98" w:lineRule="exact"/>
        <w:rPr>
          <w:rFonts w:ascii="Arial" w:cs="Arial" w:eastAsia="Arial" w:hAnsi="Arial"/>
          <w:sz w:val="18"/>
          <w:szCs w:val="18"/>
          <w:color w:val="auto"/>
        </w:rPr>
      </w:pPr>
    </w:p>
    <w:p>
      <w:pPr>
        <w:ind w:left="980" w:right="140" w:hanging="436"/>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Post—Amended and Restated Limited Liability Company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2" w:name="page13"/>
    <w:bookmarkEnd w:id="12"/>
    <w:p>
      <w:pPr>
        <w:ind w:left="980" w:right="100" w:hanging="436"/>
        <w:spacing w:after="0" w:line="25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980" w:right="500" w:hanging="436"/>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76.5% of the earnings before income taxes will be allocated to the noncontrolling interest to reflect the entitlement of Post to a portion of the consolidated net earnings (loss).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 Post Bridge Loan and Senior Unsecured Debt Facilities</w:t>
      </w:r>
    </w:p>
    <w:p>
      <w:pPr>
        <w:spacing w:after="0" w:line="11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Prior to completion of this offering, Post will borrow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(i) BellRing Brands, LLC will become the borrower under the Post bridge loan and assume all interest of $2.2 million thereunder, and Post and its subsidiary guarantors (which will not include BellRing Brands, LLC or its domestic subsidiaries) will be released from all obligations under the Post bridge loan and all interest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82"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See “Description of Certain Indebtedness.”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980" w:right="180" w:hanging="436"/>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$73.0 million of borrowings under the revolving credit facility will be incurred concurrently with the completion of this offering (based upon the midpoint of the estimated offering price range set forth on the cover page of this prospectus; the amount of such borrowing is expected to be up to $30.0 million if the offering price is at the high end of the price range and up to $100.0 million if the offering price is at the low end of the price range) at an assumed interest rate of 6.2%;</w:t>
      </w:r>
    </w:p>
    <w:p>
      <w:pPr>
        <w:spacing w:after="0" w:line="92" w:lineRule="exact"/>
        <w:rPr>
          <w:rFonts w:ascii="Arial" w:cs="Arial" w:eastAsia="Arial" w:hAnsi="Arial"/>
          <w:sz w:val="18"/>
          <w:szCs w:val="18"/>
          <w:color w:val="auto"/>
        </w:rPr>
      </w:pPr>
    </w:p>
    <w:p>
      <w:pPr>
        <w:ind w:left="980" w:right="140" w:hanging="43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full amount available, $35.0 million of which is considered the current portion of long-term debt, under the term loan facility will be incurred concurrently with the completion of this offering at an assumed interest rate of 6.9%; and</w:t>
      </w:r>
    </w:p>
    <w:p>
      <w:pPr>
        <w:spacing w:after="0" w:line="75" w:lineRule="exact"/>
        <w:rPr>
          <w:rFonts w:ascii="Arial" w:cs="Arial" w:eastAsia="Arial" w:hAnsi="Arial"/>
          <w:sz w:val="18"/>
          <w:szCs w:val="18"/>
          <w:color w:val="auto"/>
        </w:rPr>
      </w:pPr>
    </w:p>
    <w:p>
      <w:pPr>
        <w:ind w:left="980" w:hanging="436"/>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$6.1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(g)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rates assumed above for the debt facilities would increase or decrease pro forma interest expense by approximately $1.2 million for the fiscal year ended September 30, 2018 and approximately $0.9 million for the nine months ended June 30, 2019 (assuming the principal balance of the debt facilities does not change from that assumed above).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BellRing Brands, Inc. expects to issue 30,000,000 shares of Class A common stock in this offering (or 34,500,000 shares if the underwriters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their over-allotment in full). The unaudited pro forma consolidated basic and diluted earnings per share for the periods presented are based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combined basic and diluted weighted-average shares outstanding to be issued by BellRing Brands, Inc. in this offering. The calculation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includes 30,000,000 shares of Class A common stock assumed to be sold in this offering. On the same day this offering is completed, but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completion of this offering, BellRing Brands, Inc. will issue to Post (in exchange for the 1,000 shares of common stock initially issued to Post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its incorporation, which shares will be cancelled as part of the exchange) one share of Class B common stock, which share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cannot be transferred by Post except to its affiliates (other than us). The share of BellRing Brands, Inc. Class B common stock does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in its earnings and is therefore not included in the weighted average shares outstanding or net earnings available per common share.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estimated offering price range set forth on the cover page of this prospectus), after deducting underwriting discounts and commissions and estimated offering expenses payable by us.</w:t>
      </w:r>
    </w:p>
    <w:p>
      <w:pPr>
        <w:spacing w:after="0" w:line="7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 and related interest.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Following the formation transactions, BellRing Brands, Inc. will be subject to U.S. federal income taxes, in addition to state, local and foreign taxes, with respect to its allocable share of any net taxable income of BellRing Brands, LLC and its domestic subsidiaries. As a result, this reflects the tax effects of the proforma adjustments at an assumed blended statutory tax rate of 27.2% for the fiscal year ended September 30, 2018 and 23.8% for the nine months ended June 30, 2019 along with adjustments to reflect BellRing Brands, Inc.’s 23.5% of net taxable income.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 formation transactions. The unaudited pro forma condensed consolidated financial statements include adjustments to reflect the expected amounts due to Post under the tax receivable agreement from disproportionate allocations of tax benefits to BellRing Brands, Inc. under Section 704(c) of the Code resulting from the 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 Cash and cash equivalents</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term loan and revolving credit facility</w:t>
            </w:r>
            <w:r>
              <w:rPr>
                <w:rFonts w:ascii="Arial" w:cs="Arial" w:eastAsia="Arial" w:hAnsi="Arial"/>
                <w:sz w:val="15"/>
                <w:szCs w:val="15"/>
                <w:color w:val="auto"/>
              </w:rPr>
              <w:t>(b)</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proceeds from offering</w:t>
            </w:r>
            <w:r>
              <w:rPr>
                <w:rFonts w:ascii="Arial" w:cs="Arial" w:eastAsia="Arial" w:hAnsi="Arial"/>
                <w:sz w:val="15"/>
                <w:szCs w:val="15"/>
                <w:color w:val="auto"/>
              </w:rPr>
              <w:t>(d)</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Payment of Post bridge loan and interest</w:t>
            </w:r>
            <w:r>
              <w:rPr>
                <w:rFonts w:ascii="Arial" w:cs="Arial" w:eastAsia="Arial" w:hAnsi="Arial"/>
                <w:sz w:val="15"/>
                <w:szCs w:val="15"/>
                <w:color w:val="auto"/>
              </w:rPr>
              <w:t>(b)</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 Transaction expenses and Master Services Agreement costs</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Represents the removal of non-recurring transaction expenses in Active Nutrition’s historical statement of operations for the nine months ended June 30, 2019, which are directly attributable to BellRing Brands, Inc.’s separation from Post. Additionally, no adjustments have been made related to expected master services agreement fees as the best estimates of those amounts are included in expense allocations that are recorded in Active Nutrition’s historical statements of operations. For additional information on expense allocations, refer to Notes 8 and 10 within “Notes to Condensed Combined Financial Statements” for the nine months ended June 30, 2019 and “Notes to Combined Financial Statements” for the year ended September 30, 2018, respectively.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440" w:top="274" w:right="61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The section of the Preliminary Prospectus titled “Description of Certain Indebtedness—Debt Facilities” is revised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the full amount available under the term loan facility and approximately $73.0 million under the revolving credit facility (based upon the midpoint of the estimated offering price range set forth on the cover page of this prospectus), resulting in net proceeds to BellRing Brands, LLC of approximately $6.1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83"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 In addition, we will be required to maintain a maximum total net leverage ratio not to exceed 6.00:1.00, as measured at the end of any fiscal quarter, commencing with the first full fiscal quarter after the closing date of the debt facilities.</w:t>
      </w:r>
    </w:p>
    <w:p>
      <w:pPr>
        <w:spacing w:after="0" w:line="178"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expect that the interest rate for the term loan facility will be, at our option, either (a) a LIBOR rate or (b) a base rate determined by reference to the highest of (i) the prime rate, (ii) the federal funds rate plus 0.50% per annum, and (iii) one-month LIBOR plus 1.00% per annum, in each case plus an applicable margin of 5.00% for LIBOR loans or 4.00% for base rate loans. We expect that the term loan facility will require scheduled amortization payments in an annual amount equal to 5.00% of the original principal amount of the term loans, payable quarterly (commencing on March 31, 2020), with the balance to be paid at maturity on October 21, 2024. We expect that the term loan facility will provide for customary mandatory prepayment provisions, including provisions for mandatory prepayment (a) from the net cash proceeds of certain asset sales and (b) beginning with the fiscal year ending September 30, 2020, 75% of annual excess cash flow (which percentage will be reduced to 50% if the secured net leverage ratio is below a specified level as of a fiscal year end), and will provide that the terms loans may be optionally prepaid at 101% of the principal amount thereof at any time during the first year of the facility, and without premium or penalty thereafter.</w:t>
      </w:r>
    </w:p>
    <w:p>
      <w:pPr>
        <w:spacing w:after="0" w:line="182" w:lineRule="exact"/>
        <w:rPr>
          <w:sz w:val="20"/>
          <w:szCs w:val="20"/>
          <w:color w:val="auto"/>
        </w:rPr>
      </w:pPr>
    </w:p>
    <w:p>
      <w:pPr>
        <w:ind w:right="100" w:firstLine="441"/>
        <w:spacing w:after="0" w:line="285" w:lineRule="auto"/>
        <w:rPr>
          <w:sz w:val="20"/>
          <w:szCs w:val="20"/>
          <w:color w:val="auto"/>
        </w:rPr>
      </w:pPr>
      <w:r>
        <w:rPr>
          <w:rFonts w:ascii="Arial" w:cs="Arial" w:eastAsia="Arial" w:hAnsi="Arial"/>
          <w:sz w:val="16"/>
          <w:szCs w:val="16"/>
          <w:color w:val="auto"/>
        </w:rPr>
        <w:t>We expect that the interest rate for the revolving credit facility will be, at our option, either (a) a LIBOR rate or (b) a base rate determined in the same manner as for the term loan facility, in each case plus an applicable margin. The applicable margin during the first full fiscal quarter following the closing date will be 4.25% for LIBOR loans and 3.25% for base rate loans. We expect that, following the first full fiscal quarter after the closing date, the applicable margin for LIBOR loans and base rate loans will be (i) 4.25% and 3.25%, respectively, if the secured net leverage ratio is greater than or equal to 3.50:1:00, (ii) 4.00% and 3.00%, respectively, if the secured net leverage ratio is less than 3.50:1:00 and greater than or equal to 2.50:1.00 or</w:t>
      </w:r>
    </w:p>
    <w:p>
      <w:pPr>
        <w:spacing w:after="0" w:line="2" w:lineRule="exact"/>
        <w:rPr>
          <w:sz w:val="20"/>
          <w:szCs w:val="20"/>
          <w:color w:val="auto"/>
        </w:rPr>
      </w:pPr>
    </w:p>
    <w:p>
      <w:pPr>
        <w:ind w:right="20" w:firstLine="4"/>
        <w:spacing w:after="0" w:line="25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3.75% and 2.75%, respectively, if the secured net leverage ratio is less than 2.50:1:00. We expect that BellRing Brands, LLC will pay the revolving lenders a facility fee per annum on the average daily unused portion of the revolving commitments through the maturity date for the applicable revolving credit commitments, which fee varies between 0.50% and 0.25% based on the total secured net leverage ratio as of each fiscal quarter end. We expect that the revolving credit facility will have a maturity date of October 21, 2024.</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 w:name="page17"/>
    <w:bookmarkEnd w:id="16"/>
    <w:p>
      <w:pPr>
        <w:ind w:left="3820"/>
        <w:spacing w:after="0"/>
        <w:tabs>
          <w:tab w:leader="none" w:pos="4620" w:val="left"/>
          <w:tab w:leader="none" w:pos="5480" w:val="left"/>
          <w:tab w:leader="none" w:pos="6280" w:val="left"/>
          <w:tab w:leader="none" w:pos="7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BellRing Brands, Inc. has filed a registration statement (including the Updated Preliminary Prospectus) with the Securities and Exchange Commission (the “SEC”) for the offering to which this communication relates. Before you invest, you should read the Updated Preliminary Prospectus in that registration statement and other documents BellRing Brands, Inc. has filed with the SEC for more complete information about BellRing Brands, Inc. and this offering. You may get these documents for free by visiting EDGAR on the SEC web site at www.sec.gov. Alternatively, a copy of the Updated Preliminary Prospectus may be obtained from Morgan Stanley &amp; Co. LLC, Attention: Prospectus Department, 180 Varick Street, Second Floor, New York, New York 10014; Citigroup Global Markets Inc., c/o Broadridge Financial Solutions, 1155 Long Island Ave., Edgewood, NY 11717, or by telephone at (800) 831-9146; J.P. Morgan Securities LLC, c/o Broadridge Financial Solutions, 1155 Long Island Avenue, Edgewood, NY 11717, or by telephone at (866) 803-9204, or by email at prospectus-eq_fi@jpmchase.com; or Goldman Sachs &amp; Co. LLC, Attention: Prospectus Department, 200 West Street, New York, NY 10282, or by telephone at (866) 471-2526, or by email at prospectus-ny@ny.email.gs.com.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lvl w:ilvl="1">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lowerRoman"/>
      <w:start w:val="3"/>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8" Type="http://schemas.openxmlformats.org/officeDocument/2006/relationships/hyperlink" Target="http://www.sec.gov/Archives/edgar/data/1772016/000119312519266329/d727525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2019-12-04T22:54:34Z</dcterms:created>
  <dcterms:modified xsi:type="dcterms:W3CDTF">2019-12-04T22:54:34Z</dcterms:modified>
</cp:coreProperties>
</file>