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On November 18, 2025, BellRing Brands, Inc. (the "Company") issued a press release announcing results for its fourth fiscal quarter and fiscal year ended September 30, 2025. A copy of the press release is attached hereto as Exhibit 99.1 and incorporated herein by reference.</w:t>
      </w:r>
    </w:p>
    <w:p>
      <w:pPr>
        <w:spacing w:after="0" w:line="129"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2"/>
          <w:szCs w:val="12"/>
          <w:color w:val="auto"/>
        </w:rPr>
        <w:t>In addition, on November 18, 2025, the Company published to the "Investor Relations" section of its website, www.bellringbrands.com, a supplemental presentation related to results for its fourth fiscal quarter and year ended September 30, 2025.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92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November 18, 2025</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Fourth Fiscal Quarter and Year Ended September 30, 2025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18, 2025</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400" w:type="dxa"/>
            <w:vAlign w:val="bottom"/>
          </w:tcPr>
          <w:p>
            <w:pPr>
              <w:spacing w:after="0"/>
              <w:rPr>
                <w:sz w:val="19"/>
                <w:szCs w:val="19"/>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40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4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400" w:type="dxa"/>
            <w:vAlign w:val="bottom"/>
          </w:tcPr>
          <w:p>
            <w:pPr>
              <w:spacing w:after="0"/>
              <w:rPr>
                <w:sz w:val="13"/>
                <w:szCs w:val="13"/>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line="275" w:lineRule="auto"/>
        <w:rPr>
          <w:sz w:val="20"/>
          <w:szCs w:val="20"/>
          <w:color w:val="auto"/>
        </w:rPr>
      </w:pPr>
      <w:r>
        <w:rPr>
          <w:rFonts w:ascii="Times New Roman" w:cs="Times New Roman" w:eastAsia="Times New Roman" w:hAnsi="Times New Roman"/>
          <w:sz w:val="17"/>
          <w:szCs w:val="17"/>
          <w:b w:val="1"/>
          <w:bCs w:val="1"/>
          <w:color w:val="auto"/>
        </w:rPr>
        <w:t>BellRing Brands Reports Results for the Fourth Quarter and Fiscal Year 2025; Provides Fiscal Year 2026 Outlook and Updates Long-Term Financial Algorithm</w:t>
      </w:r>
    </w:p>
    <w:p>
      <w:pPr>
        <w:spacing w:after="0" w:line="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 Louis - November 18, 2025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fourth fiscal quarter and fiscal year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September 30, 2025, provided its 2026 outlook and updated its long-term financial algorithm.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Fiscal Year 2025 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Fourth quarter net sales of $648.2 million, up 16.6% year-over-year</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Fourth quarter operating profit of $102.2 million, net earnings of $59.6 million and Adjusted EBITDA* of $117.4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net sales of $2,316.6 million, up 16.1% year-over-year</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operating profit of $357.4 million, net earnings of $216.2 million and Adjusted EBITDA* of $481.6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Generated $260.6 million in cash from operations in fiscal year 2025 and repurchased 7% of common shares outstanding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2026 Outlook:</w:t>
      </w:r>
    </w:p>
    <w:p>
      <w:pPr>
        <w:spacing w:after="0" w:line="7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2026 net sales and Adjusted EBITDA* expected to range between $2.41-$2.49 billion and $425-$455 million,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Long-Term Financial Algorithm:</w:t>
      </w:r>
    </w:p>
    <w:p>
      <w:pPr>
        <w:spacing w:after="0" w:line="7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Net sales growth target of 7% to 9%</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Adjusted EBITDA as a percentage of Net Sales* target of 18% to 20%</w:t>
      </w:r>
    </w:p>
    <w:p>
      <w:pPr>
        <w:spacing w:after="0" w:line="9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and Adjusted EBITDA as a percentage of net sales are non-GAAP measures. For additional information regarding non-GAAP measures, see the related explanations presented under “Use of Non-GAAP Measures” later in this release. BellRing provides Adjusted EBITDA and Adjusted EBITDA as a percentage of net sales guidance only on a non-GAAP basis and does not provide a reconciliation of its forward-looking Adjusted EBITDA or Adjusted EBITDA as a percentage of net sales non-GAAP guidance measures to the most directly comparable GAAP measure due to the inherent difficulty in forecasting and quantifying certain amounts that are necessary for such reconciliation, including the adjustments described under “Outlook” later in this release.</w:t>
      </w:r>
    </w:p>
    <w:p>
      <w:pPr>
        <w:spacing w:after="0" w:line="9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“We delivered strong results in 2025, with sales up 16% driven by expanding household penetration, continued distribution gains and meaningful innovation performance,” said Darcy Davenport, President and Chief Executive Officer of BellRing. “Premier is the #1 ready-to-drink protein shake brand, supported by strong brand equity, high repeat purchase rates, a scalable manufacturing platform and deep retail partnerships.</w:t>
      </w:r>
    </w:p>
    <w:p>
      <w:pPr>
        <w:spacing w:after="0" w:line="1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Looking ahead, today we are updating our long-term financial algorithm which reflects attractive revenue growth while acknowledging the larger size of the ready-to-drink shake category and more dynamic near-term industry trends. In 2026, we are stepping up brand investment, accelerating our innovation pipeline and sharpening multi-channel execution to reach even more consumers. While the first quarter reflects short-term challenges, we expect net sales growth to progress towards the upper end of our algorithm for the balance of the year, driven by the ramp up of our demand initiatives and more favorable comparisons. We are confident in our ability to sustain strong growth, deliver on our financial targets and drive long-term shareholder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Consumption Trends</w:t>
      </w:r>
    </w:p>
    <w:p>
      <w:pPr>
        <w:spacing w:after="0" w:line="1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increased 20.4% and 16.9%, respectively,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and RTD products decreased 1.5% in the 13-week period ended September 28, 2025, as compared to the same period in 2024 (inclusive of Circana United States (“U.S.”) Multi Outlet Plus with Convenience and management estimates of untracked channels). For additional information regarding consumption metrics, see the supplemental slide presentation on BellRing’s website, which can be accessed by visiting the Investor Relations section.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Fourth Quarter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$648.2 million, an increase of 16.6%, or $92.4 million, compared to the prior year period, driven by 19.2% increase in volume and 2.6% decrease in price/mix.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14.9%, driven by 18.4% volume growth and 3.5% decrease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14.1%, driven by 18.4% increase in volume and 4.3% decrease in price/mix.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Volume gains were lifted by incremental promotional events and distribution gains, with the incremental promotions resulting in a decline in price/mix.</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32.9% lifted by strong volume growth. In addition, international benefitted from an estimated timing shift of $8 million in net sales purchased ahead of pricing actions in fiscal 2026.</w:t>
      </w:r>
    </w:p>
    <w:p>
      <w:pPr>
        <w:spacing w:after="0" w:line="1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Gross profit was $187.4 million, or 28.9% of net sales, a decrease of 8.6%, or $17.7 million, compared to $205.1 million, or 36.9% of net sales, in the prior year period. Adjusted gross profit* was $192.4 million, or 29.7% of net sales, a decrease of $7.0 million, or 3.5%, compared to $199.4 million, or 35.9% of net sales, in the prior year period. In the fourth quarter of 2025, gross profit and adjusted gross profit were impacted by input cost inflation, increased promotional activity and packaging redesign costs.</w:t>
      </w:r>
    </w:p>
    <w:p>
      <w:pPr>
        <w:spacing w:after="0" w:line="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9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$80.9 million, or 12.5% of net sales, a decrease of $7.8 million compared to $88.7 million, or 16.0% of net sales, in the prior year period. As anticipated, marketing and consumer advertising expenses drove the decrease and were $16.2 million, a decrease of $8.9 million compared to the prior year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$102.2 million, a decrease of 8.8%, or $9.9 million, compared to $112.1 million in the prior year period.</w:t>
      </w:r>
    </w:p>
    <w:p>
      <w:pPr>
        <w:spacing w:after="0" w:line="11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Interest expense, net was $19.1 million and $14.5 million in the fourth quarter of 2025 and 2024, respectively, with the increase primarily driven by higher outstanding borrowings under BellRing’s revolving credit facility. Income tax expense was $23.5 million in the fourth quarter of 2025, an effective income tax rate of 28.3%, compared to $25.9 million in the fourth quarter of 2024, an effective income tax rate of 26.5%.</w:t>
      </w:r>
    </w:p>
    <w:p>
      <w:pPr>
        <w:spacing w:after="0" w:line="7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Net earnings were $59.6 million, a decrease of 16.9%, or $12.1 million, compared to $71.7 million in the prior year period. Net earnings per diluted common share were $0.48, a decrease of 12.7%, compared to $0.55 in the prior year period. Adjusted net earnings* were $63.4 million, a decrease of 5.5%, compared to $67.1 million in the prior year period. Adjusted diluted earnings per common share* were $0.51 in both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$117.4 million, an increase of 0.8%, or $0.9 million, compared to $116.5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2025 Results</w:t>
      </w:r>
    </w:p>
    <w:p>
      <w:pPr>
        <w:spacing w:after="0" w:line="11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$2,316.6 million, an increase of 16.1%, or $320.4 million, compared to the prior year, driven by 14.7% increase in volume and 1.4% increase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16.8%, driven by 14.6% increase in volume and 2.2% increase in price/mix.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13.3%.</w:t>
      </w:r>
    </w:p>
    <w:p>
      <w:pPr>
        <w:spacing w:after="0" w:line="7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Gross profit was $770.4 million, or 33.3% of net sales, an increase of 8.9%, or $63.1 million, compared to $707.3 million, or 35.4% of net sales, in the prior year. Adjusted gross profit* was $785.6 million, or 33.9% of net sales, an increase of $83.6 million, or 11.9%, compared to $702.0 million, or 35.2% of net sales, in the prior year. In the twelve months ended September 30, 2025, gross profit and adjusted gross profit benefited from higher pricing which was more than offset by incremental promotional activity and net input cost inflation.</w:t>
      </w:r>
    </w:p>
    <w:p>
      <w:pPr>
        <w:spacing w:after="0" w:line="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SG&amp;A expenses were $396.0 million, or 17.1% of net sales, an increase of $111.4 million compared to $284.6 million, or 14.3% of net sales, in the prior year. SG&amp;A expenses in the twelve months ended September 30, 2025 included a $69.0 million provision for legal matters related to a settlement in principle regarding previously disclosed litigation (which was treated as an adjustment for non-GAAP measures), higher marketing and consumer advertising expenses and increased distribution and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74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warehousing expenses on higher volumes. Marketing and consumer advertising expenses were $75.2 million, an increase of $13.9 million, compared to the prior year.</w:t>
      </w:r>
    </w:p>
    <w:p>
      <w:pPr>
        <w:spacing w:after="0" w:line="11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Operating profit was $357.4 million, a decrease of 7.8%, or $30.3 million, compared to $387.7 million in the prior year. In the twelve months ended September 30, 2025, operating profit was negatively impacted by the aforementioned $69.0 million provision for legal matters. In the twelve months ended September 30, 2024, operating profit was negatively impacted by $17.4 million of accelerated amortization, which was treated as an adjustment for non-GAAP measures.</w:t>
      </w:r>
    </w:p>
    <w:p>
      <w:pPr>
        <w:spacing w:after="0" w:line="83" w:lineRule="exact"/>
        <w:rPr>
          <w:sz w:val="20"/>
          <w:szCs w:val="20"/>
          <w:color w:val="auto"/>
        </w:rPr>
      </w:pPr>
    </w:p>
    <w:p>
      <w:pPr>
        <w:ind w:right="100"/>
        <w:spacing w:after="0" w:line="327" w:lineRule="auto"/>
        <w:rPr>
          <w:sz w:val="20"/>
          <w:szCs w:val="20"/>
          <w:color w:val="auto"/>
        </w:rPr>
      </w:pPr>
      <w:r>
        <w:rPr>
          <w:rFonts w:ascii="Times New Roman" w:cs="Times New Roman" w:eastAsia="Times New Roman" w:hAnsi="Times New Roman"/>
          <w:sz w:val="11"/>
          <w:szCs w:val="11"/>
          <w:color w:val="auto"/>
        </w:rPr>
        <w:t>Interest expense, net was $68.4 million and $58.3 million in the twelve months ended September 30, 2025 and 2024, respectively, with the increase primarily driven by higher outstanding borrowings under BellRing’s revolving credit facility. Income tax expense was $72.8 million in the twelve months ended September 30, 2025, compared to $82.9 million in the twelve months ended September 30, 2024, an effective income tax rate of 25.2% in both periods.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earnings were $216.2 million, a decrease of 12.3%, or $30.3 million, compared to $246.5 million in the prior year. Net earnings per diluted common share were $1.68, a decrease of 9.7%, compared to $1.86 in the prior 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were $279.1 million, an increase of 9.2%, compared to $255.5 million in the prior year. Adjusted diluted earnings per common share* were $2.17, an increase of 12.4%, compared to $1.93 in the prior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$481.6 million, an increase of 9.4%, or $41.4 million, compared to $440.2 million in the prior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During the fourth quarter of 2025, BellRing repurchased 5.2 million shares for $206.9 million at an average price of $40.04 per share. During fiscal year 2025, BellRing repurchased 9.0 million shares for $472.5 million at an average price of $52.62 per share. Subsequent to the end of the fourth quarter of 2025 and as of November 17, 2025, BellRing repurchased 1.2 million shares for $40.0 million at an average price of $34.01 per share. As of November 17, 2025, BellRing had $276.5 million remaining under its share repurchase authorization.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2026 Outlook</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BellRing is providing its full year 2026 guidance in the table below. While the company does not intend to provide detailed quarterly guidance on a regular basis, from a phasing perspective, net sales for the first quarter are expected to decline approximately 5% compared to the prior year period. The first quarter reflects tough prior year comparisons in the club channel and certain one-time factors including non-repeating promotion for both Premier Protein and Dymatize as well as the Dymatize sales timing benefit recognized in the fourth quarter of fiscal year 2025. Together, these certain one-time factors are a 4-percentage point headwind to first quarter growth. Net sales growth is expected to accelerate beyond the first quarter as merchandising initiatives, advertising and innovation become more meaningful and club comparisons ease. The company expects Adjusted EBITDA as a percentage of net sales to be approximately 16% in the first quarter primarily driven by lower net sales and gross profit margin.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5260" w:type="dxa"/>
            <w:vAlign w:val="bottom"/>
            <w:tcBorders>
              <w:bottom w:val="single" w:sz="8" w:color="auto"/>
            </w:tcBorders>
          </w:tcPr>
          <w:p>
            <w:pPr>
              <w:jc w:val="center"/>
              <w:ind w:left="2960"/>
              <w:spacing w:after="0"/>
              <w:rPr>
                <w:sz w:val="20"/>
                <w:szCs w:val="20"/>
                <w:color w:val="auto"/>
              </w:rPr>
            </w:pPr>
            <w:r>
              <w:rPr>
                <w:rFonts w:ascii="Times New Roman" w:cs="Times New Roman" w:eastAsia="Times New Roman" w:hAnsi="Times New Roman"/>
                <w:sz w:val="12"/>
                <w:szCs w:val="12"/>
                <w:b w:val="1"/>
                <w:bCs w:val="1"/>
                <w:color w:val="auto"/>
                <w:w w:val="98"/>
              </w:rPr>
              <w:t>Fiscal Year 2026</w:t>
            </w:r>
          </w:p>
        </w:tc>
      </w:tr>
      <w:tr>
        <w:trPr>
          <w:trHeight w:val="14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5260" w:type="dxa"/>
            <w:vAlign w:val="bottom"/>
            <w:shd w:val="clear" w:color="auto" w:fill="CCEEFF"/>
          </w:tcPr>
          <w:p>
            <w:pPr>
              <w:jc w:val="center"/>
              <w:ind w:left="2960"/>
              <w:spacing w:after="0"/>
              <w:rPr>
                <w:sz w:val="20"/>
                <w:szCs w:val="20"/>
                <w:color w:val="auto"/>
              </w:rPr>
            </w:pPr>
            <w:r>
              <w:rPr>
                <w:rFonts w:ascii="Times New Roman" w:cs="Times New Roman" w:eastAsia="Times New Roman" w:hAnsi="Times New Roman"/>
                <w:sz w:val="12"/>
                <w:szCs w:val="12"/>
                <w:color w:val="auto"/>
                <w:w w:val="99"/>
              </w:rPr>
              <w:t>$2.41-$2.49 billion</w:t>
            </w:r>
          </w:p>
        </w:tc>
      </w:tr>
      <w:tr>
        <w:trPr>
          <w:trHeight w:val="153"/>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Net Sales Growth</w:t>
            </w:r>
          </w:p>
        </w:tc>
        <w:tc>
          <w:tcPr>
            <w:tcW w:w="5260" w:type="dxa"/>
            <w:vAlign w:val="bottom"/>
          </w:tcPr>
          <w:p>
            <w:pPr>
              <w:jc w:val="center"/>
              <w:ind w:left="2960"/>
              <w:spacing w:after="0"/>
              <w:rPr>
                <w:sz w:val="20"/>
                <w:szCs w:val="20"/>
                <w:color w:val="auto"/>
              </w:rPr>
            </w:pPr>
            <w:r>
              <w:rPr>
                <w:rFonts w:ascii="Times New Roman" w:cs="Times New Roman" w:eastAsia="Times New Roman" w:hAnsi="Times New Roman"/>
                <w:sz w:val="12"/>
                <w:szCs w:val="12"/>
                <w:color w:val="auto"/>
              </w:rPr>
              <w:t>4% to 8%</w:t>
            </w:r>
          </w:p>
        </w:tc>
      </w:tr>
      <w:tr>
        <w:trPr>
          <w:trHeight w:val="15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5260" w:type="dxa"/>
            <w:vAlign w:val="bottom"/>
            <w:shd w:val="clear" w:color="auto" w:fill="CCEEFF"/>
          </w:tcPr>
          <w:p>
            <w:pPr>
              <w:jc w:val="center"/>
              <w:ind w:left="2980"/>
              <w:spacing w:after="0"/>
              <w:rPr>
                <w:sz w:val="20"/>
                <w:szCs w:val="20"/>
                <w:color w:val="auto"/>
              </w:rPr>
            </w:pPr>
            <w:r>
              <w:rPr>
                <w:rFonts w:ascii="Times New Roman" w:cs="Times New Roman" w:eastAsia="Times New Roman" w:hAnsi="Times New Roman"/>
                <w:sz w:val="12"/>
                <w:szCs w:val="12"/>
                <w:color w:val="auto"/>
              </w:rPr>
              <w:t>$425-$455 million</w:t>
            </w:r>
          </w:p>
        </w:tc>
      </w:tr>
      <w:tr>
        <w:trPr>
          <w:trHeight w:val="153"/>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as a percentage of Net Sales</w:t>
            </w:r>
          </w:p>
        </w:tc>
        <w:tc>
          <w:tcPr>
            <w:tcW w:w="5260" w:type="dxa"/>
            <w:vAlign w:val="bottom"/>
          </w:tcPr>
          <w:p>
            <w:pPr>
              <w:jc w:val="center"/>
              <w:ind w:left="2980"/>
              <w:spacing w:after="0"/>
              <w:rPr>
                <w:sz w:val="20"/>
                <w:szCs w:val="20"/>
                <w:color w:val="auto"/>
              </w:rPr>
            </w:pPr>
            <w:r>
              <w:rPr>
                <w:rFonts w:ascii="Times New Roman" w:cs="Times New Roman" w:eastAsia="Times New Roman" w:hAnsi="Times New Roman"/>
                <w:sz w:val="12"/>
                <w:szCs w:val="12"/>
                <w:color w:val="auto"/>
              </w:rPr>
              <w:t>Approximately 18%</w:t>
            </w:r>
          </w:p>
        </w:tc>
      </w:tr>
      <w:tr>
        <w:trPr>
          <w:trHeight w:val="15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5260" w:type="dxa"/>
            <w:vAlign w:val="bottom"/>
            <w:shd w:val="clear" w:color="auto" w:fill="CCEEFF"/>
          </w:tcPr>
          <w:p>
            <w:pPr>
              <w:jc w:val="center"/>
              <w:ind w:left="2980"/>
              <w:spacing w:after="0"/>
              <w:rPr>
                <w:sz w:val="20"/>
                <w:szCs w:val="20"/>
                <w:color w:val="auto"/>
              </w:rPr>
            </w:pPr>
            <w:r>
              <w:rPr>
                <w:rFonts w:ascii="Times New Roman" w:cs="Times New Roman" w:eastAsia="Times New Roman" w:hAnsi="Times New Roman"/>
                <w:sz w:val="12"/>
                <w:szCs w:val="12"/>
                <w:color w:val="auto"/>
              </w:rPr>
              <w:t>$8 million</w:t>
            </w:r>
          </w:p>
        </w:tc>
      </w:tr>
    </w:tbl>
    <w:p>
      <w:pPr>
        <w:spacing w:after="0" w:line="1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BellRing provides Adjusted EBITDA and Adjusted EBITDA as a percentage of Net Sales guidance only on a non-GAAP basis and does not provide a reconciliation of its forward-looking Adjusted EBITDA and Adjusted EBITDA as a percentage of Net Sales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reconciliations of historical numbers, the amounts of which, based on historical experience, could be significant. For additional information regarding BellRing’s non-GAAP measures, see the related explanations presented under “Use of Non-GAAP Measures.”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80"/>
          </w:cols>
          <w:pgMar w:left="300" w:top="64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Long-Term Financial Algorithm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BellRing is updating its long-term net sales growth target and reiterating its long-term Adjusted EBITDA as a percentage of net sales target. The updated long-term financial targets are:</w:t>
      </w:r>
    </w:p>
    <w:p>
      <w:pPr>
        <w:spacing w:after="0" w:line="17"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net sales growth of 7% to 9%</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as a percentage of net sales of 18% to 20%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November 18, 2025 at 8:30 a.m. ET to discuss financial results for the fourth quarter of fiscal year 2025 and fiscal year 2026 outlook. Darcy H. Davenport, President and Chief Executive Officer, and Paul A. Rode, Chief Financial Officer, will participate in the call.</w:t>
      </w:r>
    </w:p>
    <w:p>
      <w:pPr>
        <w:spacing w:after="0" w:line="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Q4 2025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2026, BellRing’s net sales, Adjusted EBITDA and commentary regarding its first quarter of 2026 outlook and BellRing’s long-term financial algorithm.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38" w:right="319" w:bottom="1440" w:gutter="0" w:footer="0" w:header="0"/>
        </w:sectPr>
      </w:pPr>
    </w:p>
    <w:bookmarkStart w:id="7" w:name="page8"/>
    <w:bookmarkEnd w:id="7"/>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16" w:lineRule="exact"/>
        <w:rPr>
          <w:rFonts w:ascii="Times New Roman" w:cs="Times New Roman" w:eastAsia="Times New Roman" w:hAnsi="Times New Roman"/>
          <w:sz w:val="12"/>
          <w:szCs w:val="12"/>
          <w:color w:val="auto"/>
        </w:rPr>
      </w:pPr>
    </w:p>
    <w:p>
      <w:pPr>
        <w:ind w:left="420" w:right="22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third-party contract manufacturers for the manufacture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and/or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 or other long-lived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64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the #1 ready-to-drink protein and convenient nutrition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00" w:top="638"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60" w:type="dxa"/>
            <w:vAlign w:val="bottom"/>
          </w:tcPr>
          <w:p>
            <w:pPr>
              <w:spacing w:after="0"/>
              <w:rPr>
                <w:sz w:val="12"/>
                <w:szCs w:val="12"/>
                <w:color w:val="auto"/>
              </w:rPr>
            </w:pPr>
          </w:p>
        </w:tc>
        <w:tc>
          <w:tcPr>
            <w:tcW w:w="2060" w:type="dxa"/>
            <w:vAlign w:val="bottom"/>
            <w:gridSpan w:val="4"/>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62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2,316.6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1,996.2</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sold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460.8</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1,546.2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1,288.9</w:t>
            </w:r>
          </w:p>
        </w:tc>
      </w:tr>
      <w:tr>
        <w:trPr>
          <w:trHeight w:val="14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770.4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707.3</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396.0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284.6</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357.4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387.7</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 net</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68.4</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289.0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329.4</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72.8</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15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216.2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246.5</w:t>
            </w:r>
          </w:p>
        </w:tc>
      </w:tr>
      <w:tr>
        <w:trPr>
          <w:trHeight w:val="153"/>
        </w:trPr>
        <w:tc>
          <w:tcPr>
            <w:tcW w:w="6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0.56</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2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32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1.68</w:t>
            </w:r>
          </w:p>
        </w:tc>
        <w:tc>
          <w:tcPr>
            <w:tcW w:w="2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r>
      <w:tr>
        <w:trPr>
          <w:trHeight w:val="171"/>
        </w:trPr>
        <w:tc>
          <w:tcPr>
            <w:tcW w:w="6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126.9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r>
      <w:tr>
        <w:trPr>
          <w:trHeight w:val="155"/>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128.5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980"/>
          </w:cols>
          <w:pgMar w:left="460" w:top="638" w:right="4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60" w:type="dxa"/>
            <w:vAlign w:val="bottom"/>
            <w:tcBorders>
              <w:bottom w:val="single" w:sz="8" w:color="auto"/>
            </w:tcBorders>
          </w:tcPr>
          <w:p>
            <w:pPr>
              <w:spacing w:after="0"/>
              <w:rPr>
                <w:sz w:val="12"/>
                <w:szCs w:val="12"/>
                <w:color w:val="auto"/>
              </w:rPr>
            </w:pPr>
          </w:p>
        </w:tc>
      </w:tr>
      <w:tr>
        <w:trPr>
          <w:trHeight w:val="162"/>
        </w:trPr>
        <w:tc>
          <w:tcPr>
            <w:tcW w:w="318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8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220.4</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6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665.5</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592.7</w:t>
            </w:r>
          </w:p>
        </w:tc>
      </w:tr>
      <w:tr>
        <w:trPr>
          <w:trHeight w:val="144"/>
        </w:trPr>
        <w:tc>
          <w:tcPr>
            <w:tcW w:w="318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141.8</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53"/>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69"/>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941.0</w:t>
            </w:r>
          </w:p>
        </w:tc>
        <w:tc>
          <w:tcPr>
            <w:tcW w:w="3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320"/>
        </w:trPr>
        <w:tc>
          <w:tcPr>
            <w:tcW w:w="3180" w:type="dxa"/>
            <w:vAlign w:val="bottom"/>
          </w:tcPr>
          <w:p>
            <w:pPr>
              <w:spacing w:after="0"/>
              <w:rPr>
                <w:sz w:val="24"/>
                <w:szCs w:val="24"/>
                <w:color w:val="auto"/>
              </w:rPr>
            </w:pPr>
          </w:p>
        </w:tc>
        <w:tc>
          <w:tcPr>
            <w:tcW w:w="3960" w:type="dxa"/>
            <w:vAlign w:val="bottom"/>
          </w:tcPr>
          <w:p>
            <w:pPr>
              <w:jc w:val="center"/>
              <w:ind w:left="82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1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15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38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6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282.8</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w:t>
            </w:r>
          </w:p>
        </w:tc>
      </w:tr>
      <w:tr>
        <w:trPr>
          <w:trHeight w:val="144"/>
        </w:trPr>
        <w:tc>
          <w:tcPr>
            <w:tcW w:w="318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833.1</w:t>
            </w: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2"/>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1,394.9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1,042.9</w:t>
            </w:r>
          </w:p>
        </w:tc>
      </w:tr>
      <w:tr>
        <w:trPr>
          <w:trHeight w:val="144"/>
        </w:trPr>
        <w:tc>
          <w:tcPr>
            <w:tcW w:w="31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r>
      <w:tr>
        <w:trPr>
          <w:trHeight w:val="153"/>
        </w:trPr>
        <w:tc>
          <w:tcPr>
            <w:tcW w:w="3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r>
      <w:tr>
        <w:trPr>
          <w:trHeight w:val="15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(775.6)</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w:t>
            </w:r>
          </w:p>
        </w:tc>
      </w:tr>
      <w:tr>
        <w:trPr>
          <w:trHeight w:val="142"/>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6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(453.9)</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w:t>
            </w:r>
          </w:p>
        </w:tc>
      </w:tr>
      <w:tr>
        <w:trPr>
          <w:trHeight w:val="142"/>
        </w:trPr>
        <w:tc>
          <w:tcPr>
            <w:tcW w:w="318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6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941.0</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20"/>
        </w:trPr>
        <w:tc>
          <w:tcPr>
            <w:tcW w:w="3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180" w:type="dxa"/>
            <w:vAlign w:val="bottom"/>
          </w:tcPr>
          <w:p>
            <w:pPr>
              <w:spacing w:after="0"/>
              <w:rPr>
                <w:sz w:val="24"/>
                <w:szCs w:val="24"/>
                <w:color w:val="auto"/>
              </w:rPr>
            </w:pPr>
          </w:p>
        </w:tc>
        <w:tc>
          <w:tcPr>
            <w:tcW w:w="5380" w:type="dxa"/>
            <w:vAlign w:val="bottom"/>
            <w:gridSpan w:val="2"/>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5380" w:type="dxa"/>
            <w:vAlign w:val="bottom"/>
            <w:gridSpan w:val="2"/>
          </w:tcPr>
          <w:p>
            <w:pPr>
              <w:jc w:val="center"/>
              <w:ind w:right="48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1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c>
          <w:tcPr>
            <w:tcW w:w="460" w:type="dxa"/>
            <w:vAlign w:val="bottom"/>
            <w:tcBorders>
              <w:bottom w:val="single" w:sz="8" w:color="auto"/>
            </w:tcBorders>
          </w:tcPr>
          <w:p>
            <w:pPr>
              <w:spacing w:after="0"/>
              <w:rPr>
                <w:sz w:val="13"/>
                <w:szCs w:val="13"/>
                <w:color w:val="auto"/>
              </w:rPr>
            </w:pPr>
          </w:p>
        </w:tc>
      </w:tr>
      <w:tr>
        <w:trPr>
          <w:trHeight w:val="134"/>
        </w:trPr>
        <w:tc>
          <w:tcPr>
            <w:tcW w:w="3180" w:type="dxa"/>
            <w:vAlign w:val="bottom"/>
            <w:tcBorders>
              <w:bottom w:val="single" w:sz="8" w:color="CCEEFF"/>
            </w:tcBorders>
          </w:tcPr>
          <w:p>
            <w:pPr>
              <w:spacing w:after="0"/>
              <w:rPr>
                <w:sz w:val="11"/>
                <w:szCs w:val="11"/>
                <w:color w:val="auto"/>
              </w:rPr>
            </w:pPr>
          </w:p>
        </w:tc>
        <w:tc>
          <w:tcPr>
            <w:tcW w:w="396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r>
      <w:tr>
        <w:trPr>
          <w:trHeight w:val="134"/>
        </w:trPr>
        <w:tc>
          <w:tcPr>
            <w:tcW w:w="31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8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260.6</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r>
      <w:tr>
        <w:trPr>
          <w:trHeight w:val="15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3"/>
        </w:trPr>
        <w:tc>
          <w:tcPr>
            <w:tcW w:w="3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(238.3)</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r>
      <w:tr>
        <w:trPr>
          <w:trHeight w:val="153"/>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in cash, cash equivalents and restricted cash</w:t>
            </w:r>
          </w:p>
        </w:tc>
        <w:tc>
          <w:tcPr>
            <w:tcW w:w="396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3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w:t>
            </w:r>
          </w:p>
        </w:tc>
      </w:tr>
      <w:tr>
        <w:trPr>
          <w:trHeight w:val="20"/>
        </w:trPr>
        <w:tc>
          <w:tcPr>
            <w:tcW w:w="3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20"/>
          </w:cols>
          <w:pgMar w:left="340" w:top="63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 and Adjusted gross profit margin</w:t>
      </w:r>
    </w:p>
    <w:p>
      <w:pPr>
        <w:spacing w:after="0" w:line="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BellRing believes Adjusted gross profit is useful to investors in evaluating BellRing’s underlying profitability of its revenue-generating activities as it excludes mark-to-market adjustments on commodity hedges (which are primarily non-cash and not consistent across periods; see the explanation below for more information). BellRing believes Adjusted gross profit margin (Adjusted gross profit as a percentage of net sales) is useful to investors in evaluating BellRing’s operating performance because it allows for more meaningful comparison of operating performance across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right="300" w:hanging="212"/>
        <w:spacing w:after="0" w:line="250" w:lineRule="auto"/>
        <w:tabs>
          <w:tab w:leader="none" w:pos="41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 for legal matters</w:t>
      </w:r>
      <w:r>
        <w:rPr>
          <w:rFonts w:ascii="Times New Roman" w:cs="Times New Roman" w:eastAsia="Times New Roman" w:hAnsi="Times New Roman"/>
          <w:sz w:val="12"/>
          <w:szCs w:val="12"/>
          <w:color w:val="auto"/>
        </w:rPr>
        <w:t>: BellRing has excluded gains and losses recorded to recognize the anticipated or actual resolution of certain litigation as BellRing believes such gains and losses do not reflect expected ongoing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operating income and expenses and do not contribute to a meaningful evaluation of BellRing’s current operating performance or comparisons of BellRing’s operating performance to other periods.</w:t>
      </w:r>
    </w:p>
    <w:p>
      <w:pPr>
        <w:ind w:left="4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1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non-cash items and the amount and frequency of such adjustments are not consistent.</w:t>
      </w:r>
    </w:p>
    <w:p>
      <w:pPr>
        <w:ind w:left="420" w:right="48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200" w:hanging="212"/>
        <w:spacing w:after="0" w:line="260" w:lineRule="auto"/>
        <w:tabs>
          <w:tab w:leader="none" w:pos="41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provision for legal matters, mark-to-market adjustments on commodity hedges and foreign currency gain/loss on intercompany loans. Additionally, Adjusted EBITDA reflects an adjustment for the following item:</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0"/>
          </w:cols>
          <w:pgMar w:left="300" w:top="641" w:right="319" w:bottom="1440" w:gutter="0" w:footer="0" w:header="0"/>
        </w:sectPr>
      </w:pPr>
    </w:p>
    <w:bookmarkStart w:id="12" w:name="page13"/>
    <w:bookmarkEnd w:id="12"/>
    <w:p>
      <w:pPr>
        <w:ind w:left="420" w:hanging="212"/>
        <w:spacing w:after="0" w:line="258" w:lineRule="auto"/>
        <w:tabs>
          <w:tab w:leader="none" w:pos="41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RECONCILIATION OF GROSS PROFIT TO ADJUSTED GROSS PROFIT (Unaudited)</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60" w:type="dxa"/>
            <w:vAlign w:val="bottom"/>
          </w:tcPr>
          <w:p>
            <w:pPr>
              <w:spacing w:after="0"/>
              <w:rPr>
                <w:sz w:val="12"/>
                <w:szCs w:val="12"/>
                <w:color w:val="auto"/>
              </w:rPr>
            </w:pPr>
          </w:p>
        </w:tc>
        <w:tc>
          <w:tcPr>
            <w:tcW w:w="2680" w:type="dxa"/>
            <w:vAlign w:val="bottom"/>
            <w:gridSpan w:val="6"/>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00" w:type="dxa"/>
            <w:vAlign w:val="bottom"/>
          </w:tcPr>
          <w:p>
            <w:pPr>
              <w:spacing w:after="0"/>
              <w:rPr>
                <w:sz w:val="12"/>
                <w:szCs w:val="12"/>
                <w:color w:val="auto"/>
              </w:rPr>
            </w:pPr>
          </w:p>
        </w:tc>
        <w:tc>
          <w:tcPr>
            <w:tcW w:w="2160" w:type="dxa"/>
            <w:vAlign w:val="bottom"/>
            <w:gridSpan w:val="4"/>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616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187.4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205.1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770.4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707.3</w:t>
            </w:r>
          </w:p>
        </w:tc>
      </w:tr>
      <w:tr>
        <w:trPr>
          <w:trHeight w:val="153"/>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(5.7)</w:t>
            </w:r>
          </w:p>
        </w:tc>
        <w:tc>
          <w:tcPr>
            <w:tcW w:w="3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15.2</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(5.3)</w:t>
            </w:r>
          </w:p>
        </w:tc>
      </w:tr>
      <w:tr>
        <w:trPr>
          <w:trHeight w:val="162"/>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192.4</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199.4</w:t>
            </w:r>
          </w:p>
        </w:tc>
        <w:tc>
          <w:tcPr>
            <w:tcW w:w="3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785.6</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702.0</w:t>
            </w:r>
          </w:p>
        </w:tc>
      </w:tr>
      <w:tr>
        <w:trPr>
          <w:trHeight w:val="149"/>
        </w:trPr>
        <w:tc>
          <w:tcPr>
            <w:tcW w:w="6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 as a percentage of Net Sales</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28.9 %</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36.9 %</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33.3 %</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35.4 %</w:t>
            </w: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 as a percentage of Net Sales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29.7 %</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35.9 %</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33.9 %</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00" w:top="640" w:right="37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62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71.7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216.2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246.5</w:t>
            </w:r>
          </w:p>
        </w:tc>
      </w:tr>
      <w:tr>
        <w:trPr>
          <w:trHeight w:val="171"/>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69.0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6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6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82.8</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11.9</w:t>
            </w:r>
          </w:p>
        </w:tc>
      </w:tr>
      <w:tr>
        <w:trPr>
          <w:trHeight w:val="153"/>
        </w:trPr>
        <w:tc>
          <w:tcPr>
            <w:tcW w:w="62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6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67.1</w:t>
            </w:r>
          </w:p>
        </w:tc>
        <w:tc>
          <w:tcPr>
            <w:tcW w:w="32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279.1</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255.5</w:t>
            </w:r>
          </w:p>
        </w:tc>
      </w:tr>
      <w:tr>
        <w:trPr>
          <w:trHeight w:val="20"/>
        </w:trPr>
        <w:tc>
          <w:tcPr>
            <w:tcW w:w="6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40" w:hanging="130"/>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using a rate of 24.0%.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40" w:type="dxa"/>
            <w:vAlign w:val="bottom"/>
          </w:tcPr>
          <w:p>
            <w:pPr>
              <w:spacing w:after="0"/>
              <w:rPr>
                <w:sz w:val="11"/>
                <w:szCs w:val="11"/>
                <w:color w:val="auto"/>
              </w:rPr>
            </w:pPr>
          </w:p>
        </w:tc>
        <w:tc>
          <w:tcPr>
            <w:tcW w:w="4300" w:type="dxa"/>
            <w:vAlign w:val="bottom"/>
            <w:gridSpan w:val="4"/>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7"/>
              </w:rPr>
              <w:t>RECONCILIATION OF DILUTED EARNINGS PER COMMON SHARE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2"/>
        </w:trPr>
        <w:tc>
          <w:tcPr>
            <w:tcW w:w="3140" w:type="dxa"/>
            <w:vAlign w:val="bottom"/>
          </w:tcPr>
          <w:p>
            <w:pPr>
              <w:spacing w:after="0"/>
              <w:rPr>
                <w:sz w:val="12"/>
                <w:szCs w:val="12"/>
                <w:color w:val="auto"/>
              </w:rPr>
            </w:pPr>
          </w:p>
        </w:tc>
        <w:tc>
          <w:tcPr>
            <w:tcW w:w="4300" w:type="dxa"/>
            <w:vAlign w:val="bottom"/>
            <w:gridSpan w:val="4"/>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7"/>
              </w:rPr>
              <w:t>TO ADJUSTED DILUTED EARNINGS PER COMMON SHARE (Unaudited)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3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60" w:type="dxa"/>
            <w:vAlign w:val="bottom"/>
          </w:tcPr>
          <w:p>
            <w:pPr>
              <w:spacing w:after="0"/>
              <w:rPr>
                <w:sz w:val="13"/>
                <w:szCs w:val="13"/>
                <w:color w:val="auto"/>
              </w:rPr>
            </w:pPr>
          </w:p>
        </w:tc>
        <w:tc>
          <w:tcPr>
            <w:tcW w:w="2060" w:type="dxa"/>
            <w:vAlign w:val="bottom"/>
            <w:gridSpan w:val="4"/>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3140" w:type="dxa"/>
            <w:vAlign w:val="bottom"/>
            <w:tcBorders>
              <w:bottom w:val="single" w:sz="8" w:color="CCEEFF"/>
            </w:tcBorders>
          </w:tcPr>
          <w:p>
            <w:pPr>
              <w:spacing w:after="0"/>
              <w:rPr>
                <w:sz w:val="11"/>
                <w:szCs w:val="11"/>
                <w:color w:val="auto"/>
              </w:rPr>
            </w:pPr>
          </w:p>
        </w:tc>
        <w:tc>
          <w:tcPr>
            <w:tcW w:w="3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3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0.48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1.86</w:t>
            </w:r>
          </w:p>
        </w:tc>
      </w:tr>
      <w:tr>
        <w:trPr>
          <w:trHeight w:val="180"/>
        </w:trPr>
        <w:tc>
          <w:tcPr>
            <w:tcW w:w="31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3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0.53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3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0.13</w:t>
            </w:r>
          </w:p>
        </w:tc>
      </w:tr>
      <w:tr>
        <w:trPr>
          <w:trHeight w:val="153"/>
        </w:trPr>
        <w:tc>
          <w:tcPr>
            <w:tcW w:w="3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3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1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3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0.64</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0.09</w:t>
            </w:r>
          </w:p>
        </w:tc>
      </w:tr>
      <w:tr>
        <w:trPr>
          <w:trHeight w:val="153"/>
        </w:trPr>
        <w:tc>
          <w:tcPr>
            <w:tcW w:w="31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3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24"/>
        </w:trPr>
        <w:tc>
          <w:tcPr>
            <w:tcW w:w="314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310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0.51</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0.51</w:t>
            </w:r>
          </w:p>
        </w:tc>
        <w:tc>
          <w:tcPr>
            <w:tcW w:w="320" w:type="dxa"/>
            <w:vAlign w:val="bottom"/>
          </w:tcPr>
          <w:p>
            <w:pPr>
              <w:spacing w:after="0"/>
              <w:rPr>
                <w:sz w:val="10"/>
                <w:szCs w:val="10"/>
                <w:color w:val="auto"/>
              </w:rPr>
            </w:pPr>
          </w:p>
        </w:tc>
        <w:tc>
          <w:tcPr>
            <w:tcW w:w="160" w:type="dxa"/>
            <w:vAlign w:val="bottom"/>
            <w:tcBorders>
              <w:bottom w:val="single" w:sz="8" w:color="auto"/>
            </w:tcBorders>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2.17</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1.93</w:t>
            </w:r>
          </w:p>
        </w:tc>
      </w:tr>
      <w:tr>
        <w:trPr>
          <w:trHeight w:val="20"/>
        </w:trPr>
        <w:tc>
          <w:tcPr>
            <w:tcW w:w="3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40" w:hanging="130"/>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using a rate of 24.0%.</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980"/>
          </w:cols>
          <w:pgMar w:left="460" w:top="641" w:right="459" w:bottom="1440" w:gutter="0" w:footer="0" w:header="0"/>
        </w:sectPr>
      </w:pPr>
    </w:p>
    <w:bookmarkStart w:id="14" w:name="page15"/>
    <w:bookmarkEnd w:id="14"/>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Earnings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 for legal matters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15" w:lineRule="exact"/>
        <w:rPr>
          <w:sz w:val="20"/>
          <w:szCs w:val="20"/>
          <w:color w:val="auto"/>
        </w:rPr>
      </w:pPr>
    </w:p>
    <w:p>
      <w:pPr>
        <w:ind w:right="720"/>
        <w:spacing w:after="0" w:line="310" w:lineRule="auto"/>
        <w:rPr>
          <w:sz w:val="20"/>
          <w:szCs w:val="20"/>
          <w:color w:val="auto"/>
        </w:rPr>
      </w:pPr>
      <w:r>
        <w:rPr>
          <w:rFonts w:ascii="Times New Roman" w:cs="Times New Roman" w:eastAsia="Times New Roman" w:hAnsi="Times New Roman"/>
          <w:sz w:val="11"/>
          <w:szCs w:val="11"/>
          <w:color w:val="auto"/>
        </w:rPr>
        <w:t>Mark-to-market adjustments on commodity hedges Foreign currency gain on intercompany loans</w:t>
      </w:r>
    </w:p>
    <w:p>
      <w:pPr>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33" w:lineRule="exact"/>
        <w:rPr>
          <w:sz w:val="20"/>
          <w:szCs w:val="20"/>
          <w:color w:val="auto"/>
        </w:rPr>
      </w:pPr>
    </w:p>
    <w:p>
      <w:pPr>
        <w:ind w:right="780"/>
        <w:spacing w:after="0" w:line="351" w:lineRule="auto"/>
        <w:rPr>
          <w:sz w:val="20"/>
          <w:szCs w:val="20"/>
          <w:color w:val="auto"/>
        </w:rPr>
      </w:pPr>
      <w:r>
        <w:rPr>
          <w:rFonts w:ascii="Times New Roman" w:cs="Times New Roman" w:eastAsia="Times New Roman" w:hAnsi="Times New Roman"/>
          <w:sz w:val="11"/>
          <w:szCs w:val="11"/>
          <w:b w:val="1"/>
          <w:bCs w:val="1"/>
          <w:color w:val="auto"/>
        </w:rPr>
        <w:t>Net Earnings as a percentage of Net Sales Adjusted EBITDA as a percentage of Net Sales</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0"/>
          <w:szCs w:val="10"/>
          <w:b w:val="1"/>
          <w:bCs w:val="1"/>
          <w:color w:val="auto"/>
        </w:rPr>
        <w:t>RECONCILIATION OF NET EARNINGS TO ADJUSTED EBITDA (Unaudited)</w:t>
      </w:r>
    </w:p>
    <w:p>
      <w:pPr>
        <w:spacing w:after="0" w:line="25"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248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 w:type="dxa"/>
            <w:vAlign w:val="bottom"/>
          </w:tcPr>
          <w:p>
            <w:pPr>
              <w:spacing w:after="0"/>
              <w:rPr>
                <w:sz w:val="12"/>
                <w:szCs w:val="12"/>
                <w:color w:val="auto"/>
              </w:rPr>
            </w:pPr>
          </w:p>
        </w:tc>
        <w:tc>
          <w:tcPr>
            <w:tcW w:w="2180" w:type="dxa"/>
            <w:vAlign w:val="bottom"/>
            <w:gridSpan w:val="4"/>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1"/>
        </w:trPr>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59.6</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71.7</w:t>
            </w:r>
          </w:p>
        </w:tc>
        <w:tc>
          <w:tcPr>
            <w:tcW w:w="3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216.2</w:t>
            </w:r>
          </w:p>
        </w:tc>
        <w:tc>
          <w:tcPr>
            <w:tcW w:w="22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246.5</w:t>
            </w:r>
          </w:p>
        </w:tc>
      </w:tr>
      <w:tr>
        <w:trPr>
          <w:trHeight w:val="153"/>
        </w:trPr>
        <w:tc>
          <w:tcPr>
            <w:tcW w:w="20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23.5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25.9</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72.8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82.9</w:t>
            </w:r>
          </w:p>
        </w:tc>
      </w:tr>
      <w:tr>
        <w:trPr>
          <w:trHeight w:val="153"/>
        </w:trPr>
        <w:tc>
          <w:tcPr>
            <w:tcW w:w="20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19.1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14.5</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68.4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58.3</w:t>
            </w:r>
          </w:p>
        </w:tc>
      </w:tr>
      <w:tr>
        <w:trPr>
          <w:trHeight w:val="153"/>
        </w:trPr>
        <w:tc>
          <w:tcPr>
            <w:tcW w:w="20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36.5</w:t>
            </w:r>
          </w:p>
        </w:tc>
      </w:tr>
      <w:tr>
        <w:trPr>
          <w:trHeight w:val="153"/>
        </w:trPr>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69.0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0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5.7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22.8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21.5</w:t>
            </w:r>
          </w:p>
        </w:tc>
      </w:tr>
      <w:tr>
        <w:trPr>
          <w:trHeight w:val="153"/>
        </w:trPr>
        <w:tc>
          <w:tcPr>
            <w:tcW w:w="20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(5.3)</w:t>
            </w:r>
          </w:p>
        </w:tc>
      </w:tr>
      <w:tr>
        <w:trPr>
          <w:trHeight w:val="155"/>
        </w:trPr>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117.4</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116.5</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481.6</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440.2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7"/>
        </w:trPr>
        <w:tc>
          <w:tcPr>
            <w:tcW w:w="20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9.2 %</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12.9 %</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9.3 %</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12.3 %</w:t>
            </w:r>
          </w:p>
        </w:tc>
      </w:tr>
      <w:tr>
        <w:trPr>
          <w:trHeight w:val="155"/>
        </w:trPr>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18.1 %</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20.8 %</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-1102360</wp:posOffset>
            </wp:positionV>
            <wp:extent cx="712089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0890" cy="10287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-902335</wp:posOffset>
            </wp:positionV>
            <wp:extent cx="712089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-708025</wp:posOffset>
            </wp:positionV>
            <wp:extent cx="712089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-513715</wp:posOffset>
            </wp:positionV>
            <wp:extent cx="712089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-319405</wp:posOffset>
            </wp:positionV>
            <wp:extent cx="712089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0890" cy="11430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-96520</wp:posOffset>
            </wp:positionV>
            <wp:extent cx="712089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0890" cy="97155"/>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180" w:space="520"/>
            <w:col w:w="7520"/>
          </w:cols>
          <w:pgMar w:left="340" w:top="7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20"/>
          </w:cols>
          <w:pgMar w:left="340" w:top="749" w:right="339" w:bottom="144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6"/>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2025-11-18T06:06:21Z</dcterms:created>
  <dcterms:modified xsi:type="dcterms:W3CDTF">2025-11-18T06:06:21Z</dcterms:modified>
</cp:coreProperties>
</file>