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327"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75" w:after="30"/>
              <w:jc w:val="left"/>
              <w:rPr/>
            </w:pPr>
            <w:r>
              <w:rPr/>
            </w:r>
          </w:p>
        </w:tc>
      </w:tr>
    </w:tbl>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 xml:space="preserve">UNITED STATES </w:t>
      </w:r>
    </w:p>
    <w:p>
      <w:pPr>
        <w:pStyle w:val="TextBody"/>
        <w:bidi w:val="0"/>
        <w:spacing w:lineRule="auto" w:line="288" w:before="0" w:after="0"/>
        <w:jc w:val="center"/>
        <w:rPr/>
      </w:pPr>
      <w:r>
        <w:rPr>
          <w:rFonts w:ascii="Times New Roman;serif" w:hAnsi="Times New Roman;serif"/>
          <w:b/>
          <w:color w:val="000000"/>
          <w:sz w:val="32"/>
        </w:rPr>
        <w:t>SECURITIES AND EXCHANGE COMMISSION</w:t>
      </w:r>
      <w:r>
        <w:rPr>
          <w:color w:val="000000"/>
        </w:rPr>
        <w:t xml:space="preserv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120"/>
        <w:jc w:val="center"/>
        <w:rPr>
          <w:rFonts w:ascii="Times New Roman;serif" w:hAnsi="Times New Roman;serif"/>
          <w:b w:val="false"/>
          <w:color w:val="000000"/>
          <w:sz w:val="24"/>
        </w:rPr>
      </w:pPr>
      <w:r>
        <w:rPr>
          <w:rFonts w:ascii="Times New Roman;serif" w:hAnsi="Times New Roman;serif"/>
          <w:b w:val="false"/>
          <w:color w:val="000000"/>
          <w:sz w:val="24"/>
        </w:rPr>
        <w:t>______________________</w:t>
      </w:r>
    </w:p>
    <w:p>
      <w:pPr>
        <w:pStyle w:val="TextBody"/>
        <w:bidi w:val="0"/>
        <w:spacing w:lineRule="auto" w:line="288" w:before="0" w:after="18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312" w:before="180" w:after="18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October 17, 2025 </w:t>
      </w:r>
    </w:p>
    <w:p>
      <w:pPr>
        <w:pStyle w:val="TextBody"/>
        <w:bidi w:val="0"/>
        <w:spacing w:before="0" w:after="60"/>
        <w:jc w:val="center"/>
        <w:rPr/>
      </w:pPr>
      <w:r>
        <w:rPr/>
        <w:drawing>
          <wp:inline distT="0" distB="0" distL="0" distR="0">
            <wp:extent cx="1666875" cy="876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66875" cy="876300"/>
                    </a:xfrm>
                    <a:prstGeom prst="rect">
                      <a:avLst/>
                    </a:prstGeom>
                  </pic:spPr>
                </pic:pic>
              </a:graphicData>
            </a:graphic>
          </wp:inline>
        </w:drawing>
      </w:r>
      <w:bookmarkStart w:id="0" w:name="i-1"/>
      <w:bookmarkEnd w:id="0"/>
    </w:p>
    <w:p>
      <w:pPr>
        <w:pStyle w:val="TextBody"/>
        <w:bidi w:val="0"/>
        <w:spacing w:lineRule="auto" w:line="288" w:before="0" w:after="140"/>
        <w:jc w:val="center"/>
        <w:rPr/>
      </w:pPr>
      <w:r>
        <w:rPr>
          <w:rFonts w:ascii="Times New Roman;serif" w:hAnsi="Times New Roman;serif"/>
          <w:b/>
          <w:color w:val="000000"/>
          <w:sz w:val="40"/>
        </w:rPr>
        <w:t>BellRing Brands, Inc.</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861" w:type="dxa"/>
        <w:jc w:val="center"/>
        <w:tblInd w:w="0" w:type="dxa"/>
        <w:tblLayout w:type="fixed"/>
        <w:tblCellMar>
          <w:top w:w="28" w:type="dxa"/>
          <w:left w:w="28" w:type="dxa"/>
          <w:bottom w:w="28" w:type="dxa"/>
          <w:right w:w="28" w:type="dxa"/>
        </w:tblCellMar>
      </w:tblPr>
      <w:tblGrid>
        <w:gridCol w:w="1328"/>
        <w:gridCol w:w="1167"/>
        <w:gridCol w:w="1179"/>
        <w:gridCol w:w="379"/>
        <w:gridCol w:w="379"/>
        <w:gridCol w:w="379"/>
        <w:gridCol w:w="379"/>
        <w:gridCol w:w="379"/>
        <w:gridCol w:w="398"/>
        <w:gridCol w:w="847"/>
        <w:gridCol w:w="847"/>
        <w:gridCol w:w="1200"/>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22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001-39093</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87-3296749</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674"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1137"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1156"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2894" w:type="dxa"/>
            <w:gridSpan w:val="3"/>
            <w:tcBorders/>
            <w:tcMar>
              <w:top w:w="0" w:type="dxa"/>
              <w:left w:w="0" w:type="dxa"/>
              <w:bottom w:w="0" w:type="dxa"/>
              <w:right w:w="0" w:type="dxa"/>
            </w:tcMar>
            <w:vAlign w:val="center"/>
          </w:tcPr>
          <w:p>
            <w:pPr>
              <w:pStyle w:val="TableContents"/>
              <w:bidi w:val="0"/>
              <w:spacing w:before="75" w:after="30"/>
              <w:jc w:val="left"/>
              <w:rPr/>
            </w:pPr>
            <w:r>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2503 S. Hanley Road</w:t>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St. Louis</w:t>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Missouri</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63144</w:t>
            </w:r>
          </w:p>
        </w:tc>
      </w:tr>
      <w:tr>
        <w:trPr/>
        <w:tc>
          <w:tcPr>
            <w:tcW w:w="5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312" w:before="120" w:after="18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2"/>
        </w:rPr>
        <w:t>(314) 644-7600</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2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2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83" w:type="dxa"/>
        <w:jc w:val="left"/>
        <w:tblInd w:w="0" w:type="dxa"/>
        <w:tblLayout w:type="fixed"/>
        <w:tblCellMar>
          <w:top w:w="28" w:type="dxa"/>
          <w:left w:w="28" w:type="dxa"/>
          <w:bottom w:w="28" w:type="dxa"/>
          <w:right w:w="28" w:type="dxa"/>
        </w:tblCellMar>
      </w:tblPr>
      <w:tblGrid>
        <w:gridCol w:w="1325"/>
        <w:gridCol w:w="1160"/>
        <w:gridCol w:w="1174"/>
        <w:gridCol w:w="539"/>
        <w:gridCol w:w="539"/>
        <w:gridCol w:w="541"/>
        <w:gridCol w:w="1085"/>
        <w:gridCol w:w="1085"/>
        <w:gridCol w:w="1535"/>
      </w:tblGrid>
      <w:tr>
        <w:trPr/>
        <w:tc>
          <w:tcPr>
            <w:tcW w:w="132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$0.01 par value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BRBR</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75" w:after="30"/>
              <w:jc w:val="center"/>
              <w:rPr/>
            </w:pPr>
            <w:r>
              <w:rPr/>
            </w:r>
          </w:p>
        </w:tc>
      </w:tr>
    </w:tbl>
    <w:p>
      <w:pPr>
        <w:pStyle w:val="TextBody"/>
        <w:bidi w:val="0"/>
        <w:spacing w:before="12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144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jc w:val="left"/>
        <w:rPr/>
      </w:pPr>
      <w:r>
        <w:rPr/>
      </w:r>
    </w:p>
    <w:p>
      <w:pPr>
        <w:pStyle w:val="TextBody"/>
        <w:bidi w:val="0"/>
        <w:spacing w:lineRule="auto" w:line="288" w:before="0" w:after="120"/>
        <w:jc w:val="left"/>
        <w:rPr/>
      </w:pPr>
      <w:r>
        <w:rPr>
          <w:rFonts w:ascii="Times New Roman;serif" w:hAnsi="Times New Roman;serif"/>
          <w:b w:val="false"/>
          <w:color w:val="000000"/>
          <w:sz w:val="20"/>
        </w:rPr>
        <w:t xml:space="preserve">As previously disclosed in the periodic reports filed by BellRing Brands, Inc. (the “Company”) with the U.S. Securities and Exchange Commission (the “SEC”), the Company is party to several class action lawsuits related to its </w:t>
      </w:r>
      <w:r>
        <w:rPr>
          <w:rFonts w:ascii="Times New Roman;serif" w:hAnsi="Times New Roman;serif"/>
          <w:b w:val="false"/>
          <w:i/>
          <w:color w:val="000000"/>
          <w:sz w:val="20"/>
        </w:rPr>
        <w:t xml:space="preserve">Joint Juice </w:t>
      </w:r>
      <w:r>
        <w:rPr>
          <w:rFonts w:ascii="Times New Roman;serif" w:hAnsi="Times New Roman;serif"/>
          <w:b w:val="false"/>
          <w:color w:val="000000"/>
          <w:sz w:val="20"/>
        </w:rPr>
        <w:t>product filed against its subsidiary, Premier Nutrition Company, LLC (“Premier Nutrition”), in the U.S. District Court for the Northern District of California and the Superior Court for the State of California, County of Alameda, seeking monetary damages and injunctive relief with respect to consumers in several states (described in the Company’s periodic reports as the “California Federal Class Lawsuit,” the “Related Federal Actions” and the “California State Case” and, together, the “Joint Juice Litigation”). As previously disclosed in the Company’s third quarter fiscal 2025 earnings release and quarterly report filed with the SEC, on June 25, 2025, Premier Nutrition reached a class-wide settlement in principle regarding the Joint Juice Litigation, under the terms of which Premier Nutrition would pay $90.0 million to resolve all claims related to the Joint Juice Litigation.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17, 2025, the parties executed a Stipulation of Settlement in the California Federal Class Lawsuit (the “California Federal Settlement”). On October 20, 2025, Plaintiff filed an unopposed motion for preliminary approval of the California Federal Settlement, which motion remains pending. Pursuant to the terms of the California Federal Settlement, if the settlement receives final court approval and becomes effective, the Company will pay a total of $19.2 million into a settlement fund to resolve the California Federal Class Lawsuit. The California Federal Settlement does not constitute an admission of liability or wrongdoing by the Company or any of its current or former directors or officers.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22, 2025, the parties executed a Stipulation of Settlement in the Related Federal Actions and the California State Case (together, the “Multistate Settlement”). On October 23, 2025, Plaintiff filed an unopposed motion for preliminary approval of the Multistate Settlement, which motion remains pending. Pursuant to the terms of the Multistate Settlement, if the settlement receives final court approval and becomes effective, the Company will pay a total of $70.8 million into a settlement fund to resolve the Related Federal Actions and the California State Case. The Multistate Settlement does not constitute an admission of liability or wrongdoing by the Company or any of its current or former directors or officers.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There can be no assurance as to the ultimate outcome of the Joint Juice Litigation, including no assurance that the California Federal Settlement will be approved by the U.S. District Court or that the Multistate Settlement will be approved by the California Superior Court. If either the California Federal Settlement or the Multistate Settlement is not approved, the Company will continue to pursue its legal defenses.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10184" w:type="dxa"/>
        <w:jc w:val="left"/>
        <w:tblInd w:w="0" w:type="dxa"/>
        <w:tblLayout w:type="fixed"/>
        <w:tblCellMar>
          <w:top w:w="28" w:type="dxa"/>
          <w:left w:w="28" w:type="dxa"/>
          <w:bottom w:w="28" w:type="dxa"/>
          <w:right w:w="28" w:type="dxa"/>
        </w:tblCellMar>
      </w:tblPr>
      <w:tblGrid>
        <w:gridCol w:w="385"/>
        <w:gridCol w:w="338"/>
        <w:gridCol w:w="341"/>
        <w:gridCol w:w="2671"/>
        <w:gridCol w:w="2671"/>
        <w:gridCol w:w="3778"/>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8"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9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iXBRL tags are embedded within the Inline XBRL document)</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5774" w:type="dxa"/>
        <w:jc w:val="left"/>
        <w:tblInd w:w="0" w:type="dxa"/>
        <w:tblLayout w:type="fixed"/>
        <w:tblCellMar>
          <w:top w:w="28" w:type="dxa"/>
          <w:left w:w="28" w:type="dxa"/>
          <w:bottom w:w="28" w:type="dxa"/>
          <w:right w:w="28" w:type="dxa"/>
        </w:tblCellMar>
      </w:tblPr>
      <w:tblGrid>
        <w:gridCol w:w="726"/>
        <w:gridCol w:w="640"/>
        <w:gridCol w:w="643"/>
        <w:gridCol w:w="305"/>
        <w:gridCol w:w="305"/>
        <w:gridCol w:w="305"/>
        <w:gridCol w:w="830"/>
        <w:gridCol w:w="830"/>
        <w:gridCol w:w="1190"/>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23, 2025</w:t>
            </w:r>
          </w:p>
        </w:tc>
        <w:tc>
          <w:tcPr>
            <w:tcW w:w="37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BellRing Brands, Inc.</w:t>
            </w:r>
          </w:p>
        </w:tc>
      </w:tr>
      <w:tr>
        <w:trPr/>
        <w:tc>
          <w:tcPr>
            <w:tcW w:w="2009"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37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2009"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915"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2850" w:type="dxa"/>
            <w:gridSpan w:val="3"/>
            <w:tcBorders/>
            <w:tcMar>
              <w:top w:w="0" w:type="dxa"/>
              <w:left w:w="0" w:type="dxa"/>
              <w:bottom w:w="0" w:type="dxa"/>
              <w:right w:w="0" w:type="dxa"/>
            </w:tcMar>
            <w:vAlign w:val="center"/>
          </w:tcPr>
          <w:p>
            <w:pPr>
              <w:pStyle w:val="TableContents"/>
              <w:bidi w:val="0"/>
              <w:spacing w:before="75" w:after="30"/>
              <w:jc w:val="left"/>
              <w:rPr/>
            </w:pPr>
            <w:r>
              <w:rPr/>
            </w:r>
          </w:p>
        </w:tc>
      </w:tr>
      <w:tr>
        <w:trPr/>
        <w:tc>
          <w:tcPr>
            <w:tcW w:w="2009"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Craig L. Rosenthal</w:t>
            </w:r>
          </w:p>
        </w:tc>
      </w:tr>
      <w:tr>
        <w:trPr/>
        <w:tc>
          <w:tcPr>
            <w:tcW w:w="2009"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Craig L. Rosenthal</w:t>
            </w:r>
          </w:p>
        </w:tc>
      </w:tr>
      <w:tr>
        <w:trPr/>
        <w:tc>
          <w:tcPr>
            <w:tcW w:w="2009"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 and Secretary</w:t>
            </w:r>
          </w:p>
        </w:tc>
      </w:tr>
    </w:tbl>
    <w:p>
      <w:pPr>
        <w:pStyle w:val="TextBody"/>
        <w:bidi w:val="0"/>
        <w:spacing w:before="12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833</Words>
  <Characters>4657</Characters>
  <CharactersWithSpaces>5456</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