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3880" w:right="1400" w:hanging="2476"/>
        <w:spacing w:after="0" w:line="284" w:lineRule="auto"/>
        <w:tabs>
          <w:tab w:leader="none" w:pos="1617"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40" w:type="dxa"/>
            <w:vAlign w:val="bottom"/>
            <w:gridSpan w:val="2"/>
          </w:tcPr>
          <w:p>
            <w:pPr>
              <w:jc w:val="right"/>
              <w:ind w:right="1819"/>
              <w:spacing w:after="0"/>
              <w:rPr>
                <w:sz w:val="20"/>
                <w:szCs w:val="20"/>
                <w:color w:val="auto"/>
              </w:rPr>
            </w:pPr>
            <w:r>
              <w:rPr>
                <w:rFonts w:ascii="Arial" w:cs="Arial" w:eastAsia="Arial" w:hAnsi="Arial"/>
                <w:sz w:val="18"/>
                <w:szCs w:val="18"/>
                <w:b w:val="1"/>
                <w:bCs w:val="1"/>
                <w:color w:val="auto"/>
              </w:rPr>
              <w:t>83-4096323</w:t>
            </w:r>
          </w:p>
        </w:tc>
      </w:tr>
      <w:tr>
        <w:trPr>
          <w:trHeight w:val="210"/>
        </w:trPr>
        <w:tc>
          <w:tcPr>
            <w:tcW w:w="6820" w:type="dxa"/>
            <w:vAlign w:val="bottom"/>
            <w:gridSpan w:val="6"/>
          </w:tcPr>
          <w:p>
            <w:pPr>
              <w:jc w:val="center"/>
              <w:ind w:right="140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740" w:type="dxa"/>
            <w:vAlign w:val="bottom"/>
            <w:gridSpan w:val="2"/>
          </w:tcPr>
          <w:p>
            <w:pPr>
              <w:jc w:val="center"/>
              <w:ind w:right="839"/>
              <w:spacing w:after="0"/>
              <w:rPr>
                <w:sz w:val="20"/>
                <w:szCs w:val="20"/>
                <w:color w:val="auto"/>
              </w:rPr>
            </w:pPr>
            <w:r>
              <w:rPr>
                <w:rFonts w:ascii="Arial" w:cs="Arial" w:eastAsia="Arial" w:hAnsi="Arial"/>
                <w:sz w:val="16"/>
                <w:szCs w:val="16"/>
                <w:color w:val="auto"/>
                <w:w w:val="94"/>
              </w:rPr>
              <w:t>(I.R.S. Employer Identification No.)</w:t>
            </w:r>
          </w:p>
        </w:tc>
      </w:tr>
      <w:tr>
        <w:trPr>
          <w:trHeight w:val="263"/>
        </w:trPr>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0" w:type="dxa"/>
            <w:vAlign w:val="bottom"/>
            <w:gridSpan w:val="3"/>
          </w:tcPr>
          <w:p>
            <w:pPr>
              <w:jc w:val="center"/>
              <w:ind w:left="514"/>
              <w:spacing w:after="0"/>
              <w:rPr>
                <w:sz w:val="20"/>
                <w:szCs w:val="20"/>
                <w:color w:val="auto"/>
              </w:rPr>
            </w:pPr>
            <w:r>
              <w:rPr>
                <w:rFonts w:ascii="Arial" w:cs="Arial" w:eastAsia="Arial" w:hAnsi="Arial"/>
                <w:sz w:val="18"/>
                <w:szCs w:val="18"/>
                <w:b w:val="1"/>
                <w:bCs w:val="1"/>
                <w:color w:val="auto"/>
                <w:w w:val="90"/>
              </w:rPr>
              <w:t>2503 S. Hanley Road</w:t>
            </w:r>
          </w:p>
        </w:tc>
        <w:tc>
          <w:tcPr>
            <w:tcW w:w="86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0" w:type="dxa"/>
            <w:vAlign w:val="bottom"/>
            <w:gridSpan w:val="3"/>
          </w:tcPr>
          <w:p>
            <w:pPr>
              <w:jc w:val="center"/>
              <w:ind w:left="534"/>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8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740" w:type="dxa"/>
            <w:vAlign w:val="bottom"/>
            <w:gridSpan w:val="5"/>
          </w:tcPr>
          <w:p>
            <w:pPr>
              <w:jc w:val="center"/>
              <w:ind w:right="305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07"/>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Arial" w:cs="Arial" w:eastAsia="Arial" w:hAnsi="Arial"/>
                <w:sz w:val="18"/>
                <w:szCs w:val="18"/>
                <w:b w:val="1"/>
                <w:bCs w:val="1"/>
                <w:color w:val="auto"/>
                <w:w w:val="90"/>
              </w:rPr>
              <w:t>(314) 644-7600</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740" w:type="dxa"/>
            <w:vAlign w:val="bottom"/>
            <w:gridSpan w:val="5"/>
          </w:tcPr>
          <w:p>
            <w:pPr>
              <w:jc w:val="center"/>
              <w:ind w:right="305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3820" w:type="dxa"/>
            <w:vAlign w:val="bottom"/>
            <w:gridSpan w:val="3"/>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Arial" w:cs="Arial" w:eastAsia="Arial" w:hAnsi="Arial"/>
                <w:sz w:val="16"/>
                <w:szCs w:val="16"/>
                <w:color w:val="auto"/>
                <w:w w:val="90"/>
              </w:rPr>
              <w:t>Title of each class</w:t>
            </w:r>
          </w:p>
        </w:tc>
        <w:tc>
          <w:tcPr>
            <w:tcW w:w="1180" w:type="dxa"/>
            <w:vAlign w:val="bottom"/>
          </w:tcPr>
          <w:p>
            <w:pPr>
              <w:spacing w:after="0"/>
              <w:rPr>
                <w:sz w:val="16"/>
                <w:szCs w:val="16"/>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6"/>
                <w:szCs w:val="16"/>
                <w:color w:val="auto"/>
                <w:w w:val="93"/>
              </w:rPr>
              <w:t>Trading Symbol(s)</w:t>
            </w:r>
          </w:p>
        </w:tc>
        <w:tc>
          <w:tcPr>
            <w:tcW w:w="86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0"/>
              </w:rPr>
              <w:t>Class A Common Stock, $0.01 par value</w:t>
            </w:r>
          </w:p>
        </w:tc>
        <w:tc>
          <w:tcPr>
            <w:tcW w:w="1180" w:type="dxa"/>
            <w:vAlign w:val="bottom"/>
          </w:tcPr>
          <w:p>
            <w:pPr>
              <w:spacing w:after="0"/>
              <w:rPr>
                <w:sz w:val="20"/>
                <w:szCs w:val="20"/>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5"/>
              </w:rPr>
              <w:t>BRBR</w:t>
            </w:r>
          </w:p>
        </w:tc>
        <w:tc>
          <w:tcPr>
            <w:tcW w:w="86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0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 39,509,247 shares as of February 1,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- 1 share as of February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rFonts w:ascii="Arial" w:cs="Arial" w:eastAsia="Arial" w:hAnsi="Arial"/>
                <w:sz w:val="18"/>
                <w:szCs w:val="18"/>
                <w:u w:val="single" w:color="auto"/>
                <w:color w:val="0000FF"/>
                <w:w w:val="97"/>
              </w:rPr>
            </w:pPr>
            <w:hyperlink w:anchor="page1">
              <w:r>
                <w:rPr>
                  <w:rFonts w:ascii="Arial" w:cs="Arial" w:eastAsia="Arial" w:hAnsi="Arial"/>
                  <w:sz w:val="18"/>
                  <w:szCs w:val="18"/>
                  <w:u w:val="single" w:color="auto"/>
                  <w:color w:val="0000FF"/>
                  <w:w w:val="97"/>
                </w:rPr>
                <w:t>Table of Contents</w:t>
              </w:r>
            </w:hyperlink>
          </w:p>
        </w:tc>
        <w:tc>
          <w:tcPr>
            <w:tcW w:w="7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92"/>
        </w:trPr>
        <w:tc>
          <w:tcPr>
            <w:tcW w:w="1400" w:type="dxa"/>
            <w:vAlign w:val="bottom"/>
          </w:tcPr>
          <w:p>
            <w:pPr>
              <w:spacing w:after="0"/>
              <w:rPr>
                <w:sz w:val="24"/>
                <w:szCs w:val="24"/>
                <w:color w:val="auto"/>
              </w:rPr>
            </w:pPr>
          </w:p>
        </w:tc>
        <w:tc>
          <w:tcPr>
            <w:tcW w:w="79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BELLRING BRANDS, INC.</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9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QUARTERLY REPORT ON FORM 10-Q</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400" w:type="dxa"/>
            <w:vAlign w:val="bottom"/>
          </w:tcPr>
          <w:p>
            <w:pPr>
              <w:spacing w:after="0"/>
              <w:rPr>
                <w:sz w:val="20"/>
                <w:szCs w:val="20"/>
                <w:color w:val="auto"/>
              </w:rPr>
            </w:pPr>
          </w:p>
        </w:tc>
        <w:tc>
          <w:tcPr>
            <w:tcW w:w="796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7"/>
        </w:trPr>
        <w:tc>
          <w:tcPr>
            <w:tcW w:w="1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140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360"/>
              <w:spacing w:after="0" w:line="189" w:lineRule="exact"/>
              <w:rPr>
                <w:sz w:val="20"/>
                <w:szCs w:val="20"/>
                <w:color w:val="auto"/>
              </w:rPr>
            </w:pPr>
            <w:r>
              <w:rPr>
                <w:rFonts w:ascii="Arial" w:cs="Arial" w:eastAsia="Arial" w:hAnsi="Arial"/>
                <w:sz w:val="18"/>
                <w:szCs w:val="18"/>
                <w:b w:val="1"/>
                <w:bCs w:val="1"/>
                <w:color w:val="auto"/>
              </w:rPr>
              <w:t>Page</w:t>
            </w:r>
          </w:p>
        </w:tc>
      </w:tr>
      <w:tr>
        <w:trPr>
          <w:trHeight w:val="229"/>
        </w:trPr>
        <w:tc>
          <w:tcPr>
            <w:tcW w:w="14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PART I.</w:t>
            </w:r>
          </w:p>
        </w:tc>
        <w:tc>
          <w:tcPr>
            <w:tcW w:w="7960" w:type="dxa"/>
            <w:vAlign w:val="bottom"/>
            <w:tcBorders>
              <w:top w:val="single" w:sz="8" w:color="CCEEFF"/>
            </w:tcBorders>
          </w:tcPr>
          <w:p>
            <w:pPr>
              <w:ind w:left="1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136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1.</w:t>
            </w:r>
          </w:p>
        </w:tc>
        <w:tc>
          <w:tcPr>
            <w:tcW w:w="7960" w:type="dxa"/>
            <w:vAlign w:val="bottom"/>
          </w:tcPr>
          <w:p>
            <w:pPr>
              <w:ind w:left="1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 (Unaudited).</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1</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(Unaudited)</w:t>
              </w:r>
              <w:r>
                <w:rPr>
                  <w:rFonts w:ascii="Arial" w:cs="Arial" w:eastAsia="Arial" w:hAnsi="Arial"/>
                  <w:sz w:val="18"/>
                  <w:szCs w:val="18"/>
                  <w:color w:val="0000FF"/>
                </w:rPr>
                <w:t>.</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(Unaudited).</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c>
          <w:tcPr>
            <w:tcW w:w="120" w:type="dxa"/>
            <w:vAlign w:val="bottom"/>
          </w:tcPr>
          <w:p>
            <w:pPr>
              <w:spacing w:after="0"/>
              <w:rPr>
                <w:sz w:val="19"/>
                <w:szCs w:val="19"/>
                <w:color w:val="auto"/>
              </w:rPr>
            </w:pPr>
          </w:p>
        </w:tc>
      </w:tr>
      <w:tr>
        <w:trPr>
          <w:trHeight w:val="256"/>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Cash Flows (Unaudited)</w:t>
              </w:r>
              <w:r>
                <w:rPr>
                  <w:rFonts w:ascii="Arial" w:cs="Arial" w:eastAsia="Arial" w:hAnsi="Arial"/>
                  <w:sz w:val="18"/>
                  <w:szCs w:val="18"/>
                  <w:color w:val="0000FF"/>
                </w:rPr>
                <w:t>.</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spacing w:after="0"/>
              <w:rPr>
                <w:sz w:val="19"/>
                <w:szCs w:val="19"/>
                <w:color w:val="auto"/>
              </w:rPr>
            </w:pPr>
          </w:p>
        </w:tc>
        <w:tc>
          <w:tcPr>
            <w:tcW w:w="7960" w:type="dxa"/>
            <w:vAlign w:val="bottom"/>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6</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2.</w:t>
            </w:r>
          </w:p>
        </w:tc>
        <w:tc>
          <w:tcPr>
            <w:tcW w:w="7960" w:type="dxa"/>
            <w:vAlign w:val="bottom"/>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Management’s Discussion and Analysis of Financial Condition and Results of Operations.</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15</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3.</w:t>
            </w:r>
          </w:p>
        </w:tc>
        <w:tc>
          <w:tcPr>
            <w:tcW w:w="7960" w:type="dxa"/>
            <w:vAlign w:val="bottom"/>
          </w:tcPr>
          <w:p>
            <w:pPr>
              <w:ind w:left="120"/>
              <w:spacing w:after="0"/>
              <w:rPr>
                <w:rFonts w:ascii="Arial" w:cs="Arial" w:eastAsia="Arial" w:hAnsi="Arial"/>
                <w:sz w:val="18"/>
                <w:szCs w:val="18"/>
                <w:color w:val="0000FF"/>
              </w:rPr>
            </w:pPr>
            <w:hyperlink w:anchor="page22">
              <w:r>
                <w:rPr>
                  <w:rFonts w:ascii="Arial" w:cs="Arial" w:eastAsia="Arial" w:hAnsi="Arial"/>
                  <w:sz w:val="18"/>
                  <w:szCs w:val="18"/>
                  <w:u w:val="single" w:color="auto"/>
                  <w:color w:val="0000FF"/>
                </w:rPr>
                <w:t>Quantitative and Qualitative Disclosures About Market Risk</w:t>
              </w:r>
              <w:r>
                <w:rPr>
                  <w:rFonts w:ascii="Arial" w:cs="Arial" w:eastAsia="Arial" w:hAnsi="Arial"/>
                  <w:sz w:val="18"/>
                  <w:szCs w:val="18"/>
                  <w:color w:val="0000FF"/>
                </w:rPr>
                <w:t>.</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20</w:t>
              </w:r>
            </w:hyperlink>
          </w:p>
        </w:tc>
        <w:tc>
          <w:tcPr>
            <w:tcW w:w="120" w:type="dxa"/>
            <w:vAlign w:val="bottom"/>
          </w:tcPr>
          <w:p>
            <w:pPr>
              <w:spacing w:after="0"/>
              <w:rPr>
                <w:sz w:val="19"/>
                <w:szCs w:val="19"/>
                <w:color w:val="auto"/>
              </w:rPr>
            </w:pPr>
          </w:p>
        </w:tc>
      </w:tr>
      <w:tr>
        <w:trPr>
          <w:trHeight w:val="256"/>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4.</w:t>
            </w:r>
          </w:p>
        </w:tc>
        <w:tc>
          <w:tcPr>
            <w:tcW w:w="7960" w:type="dxa"/>
            <w:vAlign w:val="bottom"/>
          </w:tcPr>
          <w:p>
            <w:pPr>
              <w:ind w:left="1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Controls and Procedures.</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21</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960" w:type="dxa"/>
            <w:vAlign w:val="bottom"/>
          </w:tcPr>
          <w:p>
            <w:pPr>
              <w:ind w:left="120"/>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u w:val="single" w:color="auto"/>
                  <w:color w:val="0000FF"/>
                </w:rPr>
                <w:t>OTHER INFORMATION</w:t>
              </w:r>
              <w:r>
                <w:rPr>
                  <w:rFonts w:ascii="Arial" w:cs="Arial" w:eastAsia="Arial" w:hAnsi="Arial"/>
                  <w:sz w:val="18"/>
                  <w:szCs w:val="18"/>
                  <w:b w:val="1"/>
                  <w:bCs w:val="1"/>
                  <w:color w:val="0000FF"/>
                </w:rPr>
                <w:t>.</w:t>
              </w:r>
            </w:hyperlink>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w:t>
            </w:r>
          </w:p>
        </w:tc>
        <w:tc>
          <w:tcPr>
            <w:tcW w:w="7960" w:type="dxa"/>
            <w:vAlign w:val="bottom"/>
          </w:tcPr>
          <w:p>
            <w:pPr>
              <w:ind w:left="120"/>
              <w:spacing w:after="0"/>
              <w:rPr>
                <w:rFonts w:ascii="Arial" w:cs="Arial" w:eastAsia="Arial" w:hAnsi="Arial"/>
                <w:sz w:val="18"/>
                <w:szCs w:val="18"/>
                <w:color w:val="0000FF"/>
              </w:rPr>
            </w:pPr>
            <w:hyperlink w:anchor="page23">
              <w:r>
                <w:rPr>
                  <w:rFonts w:ascii="Arial" w:cs="Arial" w:eastAsia="Arial" w:hAnsi="Arial"/>
                  <w:sz w:val="18"/>
                  <w:szCs w:val="18"/>
                  <w:u w:val="single" w:color="auto"/>
                  <w:color w:val="0000FF"/>
                </w:rPr>
                <w:t>Legal Proceedings</w:t>
              </w:r>
              <w:r>
                <w:rPr>
                  <w:rFonts w:ascii="Arial" w:cs="Arial" w:eastAsia="Arial" w:hAnsi="Arial"/>
                  <w:sz w:val="18"/>
                  <w:szCs w:val="18"/>
                  <w:color w:val="0000FF"/>
                </w:rPr>
                <w:t>.</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21</w:t>
              </w:r>
            </w:hyperlink>
          </w:p>
        </w:tc>
        <w:tc>
          <w:tcPr>
            <w:tcW w:w="120" w:type="dxa"/>
            <w:vAlign w:val="bottom"/>
          </w:tcPr>
          <w:p>
            <w:pPr>
              <w:spacing w:after="0"/>
              <w:rPr>
                <w:sz w:val="19"/>
                <w:szCs w:val="19"/>
                <w:color w:val="auto"/>
              </w:rPr>
            </w:pPr>
          </w:p>
        </w:tc>
      </w:tr>
      <w:tr>
        <w:trPr>
          <w:trHeight w:val="256"/>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1A.</w:t>
            </w:r>
          </w:p>
        </w:tc>
        <w:tc>
          <w:tcPr>
            <w:tcW w:w="7960" w:type="dxa"/>
            <w:vAlign w:val="bottom"/>
          </w:tcPr>
          <w:p>
            <w:pPr>
              <w:ind w:left="1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Risk Factors.</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21</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6.</w:t>
            </w:r>
          </w:p>
        </w:tc>
        <w:tc>
          <w:tcPr>
            <w:tcW w:w="7960" w:type="dxa"/>
            <w:vAlign w:val="bottom"/>
          </w:tcPr>
          <w:p>
            <w:pPr>
              <w:ind w:left="1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Exhibits.</w:t>
              </w:r>
            </w:hyperlink>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22</w:t>
              </w:r>
            </w:hyperlink>
          </w:p>
        </w:tc>
        <w:tc>
          <w:tcPr>
            <w:tcW w:w="120" w:type="dxa"/>
            <w:vAlign w:val="bottom"/>
          </w:tcPr>
          <w:p>
            <w:pPr>
              <w:spacing w:after="0"/>
              <w:rPr>
                <w:sz w:val="19"/>
                <w:szCs w:val="19"/>
                <w:color w:val="auto"/>
              </w:rPr>
            </w:pPr>
          </w:p>
        </w:tc>
      </w:tr>
      <w:tr>
        <w:trPr>
          <w:trHeight w:val="257"/>
        </w:trPr>
        <w:tc>
          <w:tcPr>
            <w:tcW w:w="1400" w:type="dxa"/>
            <w:vAlign w:val="bottom"/>
            <w:shd w:val="clear" w:color="auto" w:fill="CCEEFF"/>
          </w:tcPr>
          <w:p>
            <w:pPr>
              <w:spacing w:after="0"/>
              <w:rPr>
                <w:sz w:val="22"/>
                <w:szCs w:val="22"/>
                <w:color w:val="auto"/>
              </w:rPr>
            </w:pPr>
          </w:p>
        </w:tc>
        <w:tc>
          <w:tcPr>
            <w:tcW w:w="79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0"/>
        </w:trPr>
        <w:tc>
          <w:tcPr>
            <w:tcW w:w="1400" w:type="dxa"/>
            <w:vAlign w:val="bottom"/>
          </w:tcPr>
          <w:p>
            <w:pPr>
              <w:spacing w:after="0"/>
              <w:rPr>
                <w:sz w:val="20"/>
                <w:szCs w:val="20"/>
                <w:color w:val="auto"/>
              </w:rPr>
            </w:pPr>
          </w:p>
        </w:tc>
        <w:tc>
          <w:tcPr>
            <w:tcW w:w="7960" w:type="dxa"/>
            <w:vAlign w:val="bottom"/>
          </w:tcPr>
          <w:p>
            <w:pPr>
              <w:ind w:left="120"/>
              <w:spacing w:after="0"/>
              <w:rPr>
                <w:rFonts w:ascii="Arial" w:cs="Arial" w:eastAsia="Arial" w:hAnsi="Arial"/>
                <w:sz w:val="18"/>
                <w:szCs w:val="18"/>
                <w:color w:val="0000FF"/>
              </w:rPr>
            </w:pPr>
            <w:hyperlink w:anchor="page24">
              <w:r>
                <w:rPr>
                  <w:rFonts w:ascii="Arial" w:cs="Arial" w:eastAsia="Arial" w:hAnsi="Arial"/>
                  <w:sz w:val="18"/>
                  <w:szCs w:val="18"/>
                  <w:u w:val="single" w:color="auto"/>
                  <w:color w:val="0000FF"/>
                </w:rPr>
                <w:t>SIGNATURES</w:t>
              </w:r>
            </w:hyperlink>
            <w:r>
              <w:rPr>
                <w:rFonts w:ascii="Arial" w:cs="Arial" w:eastAsia="Arial" w:hAnsi="Arial"/>
                <w:sz w:val="18"/>
                <w:szCs w:val="18"/>
                <w:color w:val="000000"/>
              </w:rPr>
              <w:t>.</w:t>
            </w:r>
          </w:p>
        </w:tc>
        <w:tc>
          <w:tcPr>
            <w:tcW w:w="1740" w:type="dxa"/>
            <w:vAlign w:val="bottom"/>
            <w:gridSpan w:val="2"/>
          </w:tcPr>
          <w:p>
            <w:pPr>
              <w:jc w:val="center"/>
              <w:ind w:left="1270"/>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23</w:t>
              </w:r>
            </w:hyperlink>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48"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income,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70"/>
        </w:trPr>
        <w:tc>
          <w:tcPr>
            <w:tcW w:w="8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on derivatives</w:t>
            </w: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900" w:type="dxa"/>
            <w:vAlign w:val="bottom"/>
          </w:tcPr>
          <w:p>
            <w:pPr>
              <w:ind w:left="240"/>
              <w:spacing w:after="0"/>
              <w:rPr>
                <w:sz w:val="20"/>
                <w:szCs w:val="20"/>
                <w:color w:val="auto"/>
              </w:rPr>
            </w:pPr>
            <w:r>
              <w:rPr>
                <w:rFonts w:ascii="Arial" w:cs="Arial" w:eastAsia="Arial" w:hAnsi="Arial"/>
                <w:sz w:val="18"/>
                <w:szCs w:val="18"/>
                <w:color w:val="auto"/>
              </w:rPr>
              <w:t>Reclassifications to net earnings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foreign currency translation adjustments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 Including Redeemable Noncontrolling Interest</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26.1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Adjustments to reconcile net earnings including redeemable noncontrolling interest to net cash provided by (used</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Increase in receivables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Increase in 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other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non-current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9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9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02"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As Of and For The</w:t>
      </w:r>
    </w:p>
    <w:p>
      <w:pPr>
        <w:ind w:left="9300"/>
        <w:spacing w:after="0" w:line="211" w:lineRule="auto"/>
        <w:rPr>
          <w:sz w:val="20"/>
          <w:szCs w:val="20"/>
          <w:color w:val="auto"/>
        </w:rPr>
      </w:pPr>
      <w:r>
        <w:rPr>
          <w:rFonts w:ascii="Arial" w:cs="Arial" w:eastAsia="Arial" w:hAnsi="Arial"/>
          <w:sz w:val="16"/>
          <w:szCs w:val="16"/>
          <w:b w:val="1"/>
          <w:bCs w:val="1"/>
          <w:color w:val="auto"/>
        </w:rPr>
        <w:t>Three Months Ended</w:t>
      </w: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2019</w:t>
            </w:r>
          </w:p>
        </w:tc>
      </w:tr>
      <w:tr>
        <w:trPr>
          <w:trHeight w:val="212"/>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Distribution to Post Holdings, Inc.</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(2,117.1)</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29"/>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(2,276.9)</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Net earnings attributable to Post Holdings, Inc.</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hedges,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millions, except per share information and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subsidiary of BellRing Inc.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The members of BellRing LLC are Post and BellRing Inc.</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Post held 97.5 million BellRing LLC units, equal to 71.2% of the economic interest in BellRing LLC, and one share of Class B common stock of BellRing Inc., $0.01 par value per share (the “Class B Common Stock”), which represented 67% of the combined voting power of the common stock of BellRing Inc. The Class B Common Stock has no dividend or other economic rights.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 public stockholders of BellRing Inc. (i) owned 39.5 million shares of Class A Common Stock, which represented 33% of the combined voting power of BellRing Inc. common stock and 100% of the economic interest in BellRing Inc., and (ii) through BellRing Inc.’s ownership of BellRing LLC units, indirectly held 28.8% of the economic interest in BellRing LLC.</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BellRing Inc. and BellRing LLC will at all times maintain, subject to certain exceptions, a one-to-one ratio between the number of shares of Class A Common Stock issued by BellRing Inc. and the number of BellRing LLC units owned by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results of BellRing LLC and its subsidiaries are consolidated with BellRing Inc., and a portion of the consolidated net earnings of BellRing LLC are allocated to the redeemable noncontrolling interest (the “NCI”). The calculation of the NCI is based on Post’s ownership percentage of BellRing LLC units during each period, and reflects the entitlement of Post to a portion of the consolidated net earnings of BellRing LLC.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unaudited condensed consolidated financial statements have been prepared in accordance with accounting principles generally accepted in the United States of America (“GAAP”), under the rules and regulations of the United States Securities and Exchange Commission (the “SEC”), and on a basis substantially consistent with the audited consolidated financial statements of the Company as of and for the year ended September 30, 2020. These unaudited condensed consolidated financial statements should be read in conjunction with such audited consolidated financial statements, which are included in the Company’s Annual Report on Form 10-K for the fiscal year ended September 30, 2020, filed with the SEC on November 20, 2020.</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 prior to the IPO included in the three months ended December 31, 2019, these unaudited condensed consolidated financial statements present the combined results of operations, comprehensive income, financial position, cash flows and stockholders’ equity of the active nutrition business of Post, including allocations of certain Post corporate expenses related to various services that were provided to the Company by Post. All intercompany balances and transactions have been eliminated. Transactions between the Company and Post are included in these financial statements. See Note 5 for further information on transactions with Post.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December 31, 2020 and 2019, $25.1 and $25.8 of the consolidated net earnings of BellRing LLC were allocated to the NCI, respectively, of which zero and $5.5 reflect the entitlement of Post to 100% of the consolidated net earnings of BellRing LLC prior to the IPO, respectively, and $25.1 and $20.3 reflect the entitlement of Post to 71.2% of the consolidated net earnings of BellRing LLC subsequent to the IPO,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Accounting Standards Update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provides guidance on the measurement of credit losses for most financial assets and certain other instruments. This ASU replaced the prior incurred loss impairment approach with a methodology to reflect expected credit losses and requires consideration of a broader range of reasonable and supportable information to explain credit loss estimates. The Company adopted this ASU on October 1, 2020. In conjunction with the adoption of this ASU, the Company updated its methodology for calculating its allowance for doubtful accounts. The adoption of this ASU did not have a material impact on the Company’s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54"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RESTRUCTURING</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October 2020, the Company announced its plan to strategically realign its business, resulting in the closing of its Dallas, Texas office and the downsizing of its Munich, Germany location. These actions are expected to be completed by the end of the third quarter of fiscal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0"/>
        </w:trPr>
        <w:tc>
          <w:tcPr>
            <w:tcW w:w="9740" w:type="dxa"/>
            <w:vAlign w:val="bottom"/>
          </w:tcPr>
          <w:p>
            <w:pPr>
              <w:ind w:left="340"/>
              <w:spacing w:after="0"/>
              <w:rPr>
                <w:sz w:val="20"/>
                <w:szCs w:val="20"/>
                <w:color w:val="auto"/>
              </w:rPr>
            </w:pPr>
            <w:r>
              <w:rPr>
                <w:rFonts w:ascii="Arial" w:cs="Arial" w:eastAsia="Arial" w:hAnsi="Arial"/>
                <w:sz w:val="18"/>
                <w:szCs w:val="18"/>
                <w:color w:val="auto"/>
              </w:rPr>
              <w:t>Restructuring charges and the associated liabilities for employee-related costs are shown in the following table.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9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40" w:type="dxa"/>
            <w:vAlign w:val="bottom"/>
          </w:tcPr>
          <w:p>
            <w:pPr>
              <w:ind w:left="140"/>
              <w:spacing w:after="0"/>
              <w:rPr>
                <w:sz w:val="20"/>
                <w:szCs w:val="20"/>
                <w:color w:val="auto"/>
              </w:rPr>
            </w:pPr>
            <w:r>
              <w:rPr>
                <w:rFonts w:ascii="Arial" w:cs="Arial" w:eastAsia="Arial" w:hAnsi="Arial"/>
                <w:sz w:val="18"/>
                <w:szCs w:val="18"/>
                <w:color w:val="auto"/>
              </w:rPr>
              <w:t>Charge to expense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charges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restructuring charges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restructuring charges incurred to date</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expected restructuring charges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restructuring charges were incurred during the three months ended December 31, 2019. Restructuring charges were included in “Selling, general and administrative expenses” in the Condensed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uses certain functions and services performed by Post. These functions and services include legal, finance, internal audit, treasury, information technology support, insurance and tax matters, the use of office and/or data center space, payroll processing services and tax compliance services. These functions and services are provided by Post under a master services agreement (“MSA”). In addition to charges for these services, the Company also incurs certain pass-through charges from Post, primarily relating to stock-based compensation for employees participating in Post’s stock-based compensation plans. MSA fees were $0.6 and $0.5 for the three months ended December 31, 2020 and 2019, respectively, and stock-based compensation expense related to Post’s stock-based compensation plans was $0.8 and $1.1 for the three months ended December 31, 2020 and 2019, respectively. MSA fees and stock-based compensation expense were reported in “Selling, general and administrative expenses” in the Condensed Consolidated Statements of Operations.</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sells certain products to and licenses certain intellectual property from Post and its subsidiaries based upon pricing governed by agreements between the Company and Post and its subsidiaries, consistent with pricing of similar arm's-length transactions. During each of the three months ended December 31, 2020 and 2019, net sales to, purchases from and royalties paid to Post and its subsidiaries were immaterial.</w:t>
      </w:r>
    </w:p>
    <w:p>
      <w:pPr>
        <w:spacing w:after="0" w:line="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 series of agreements with Post which govern the ongoing relationship between the Company and Post. These agreements include the amended and restated limited liability company agreement of BellRing LLC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with Post at both December 31, 2020 and September 30, 2020 related to sales with Post and its subsidiaries. The Company had $0.8 and $1.3 of payables with Post at December 31, 2020 and September 30, 2020, respectively, related to MSA fees and pass-through charges owed by the Company to Post, as well as related party purchases. The receivables and payables were included in “Receivables, net” and “Accounts payable,” respectively, on the Condensed Consolidated Balance Sheets. During the three months ended December 31, 2020, BellRing LLC paid $3.2 to Post related to quarterly tax distributions from BellRing LLC to Post made pursuant to the terms of the LLC Agreement and $0.4 for state corporate tax withholdings on behalf of Post. BellRing LLC made no payments related to quarterly tax distributions to Post or state corporate tax withholdings on behalf of Post during the three months ended December 31, 2019.</w:t>
      </w:r>
    </w:p>
    <w:p>
      <w:pPr>
        <w:spacing w:after="0" w:line="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Based on the provisions of the tax receivable agreement, BellRing Inc. must pay to Post (or certain of its transferees or other assignees) 85% of the amount of cash savings, if any, in United States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were $10.9 at both December 31, 2020 and September 30, 2020 and were recorded in “Other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December 31, 2020 and September 30, 2020, Post held 97.5 million BellRing LLC units, equal to 71.2% of the economic interest in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Post’s ownership of BellRing LLC units represents a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(“OCI”) or loss and distributions or dividends or (ii) the redemption value. As of December 31, 2020 and September 30, 2020, the carrying amount of the NCI was recorded at its redemption value of $2,369.6 and $2,021.6, respectively. Changes in the redemption value of the NCI are recorded to additional paid-in capital, to the extent available, and “Accumulated deficit” on the Condensed Consolidated Balance Sheets.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both December 31, 2020 and September 30, 2020, BellRing Inc. owned 28.8% of the outstanding BellRing LLC units. For the three months ended December 31, 2020 and 2019, the financial results of BellRing LLC and its subsidiaries were consolidated with BellRing Inc., and 71.2% of the consolidated net earnings of BellRing LLC subsequent to the IPO were allocated to the NCI to reflect the entitlement of Post to a portion of the consolidated net earnings during each period.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as of and for the three months ended December 31, 2019 represents the period beginning October 21, 2019, the effective date of the IPO, and ending December 31, 2019 (see Note 1).</w:t>
      </w:r>
    </w:p>
    <w:p>
      <w:pPr>
        <w:spacing w:after="0" w:line="99"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As Of and For The</w:t>
      </w:r>
    </w:p>
    <w:p>
      <w:pPr>
        <w:jc w:val="center"/>
        <w:ind w:left="8880"/>
        <w:spacing w:after="0" w:line="211" w:lineRule="auto"/>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Net earnings attributable to NCI after IPO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summarizes the effects of changes in ownership in BellRing LLC on BellRing Inc.’s equity. The period for the three months ended December 31, 2019 represents the period beginning October 21, 2019, the effective date of the IPO, and ending December 31, 2019 (see Note 1).</w:t>
      </w:r>
    </w:p>
    <w:p>
      <w:pPr>
        <w:spacing w:after="0" w:line="53"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90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initial public offering</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both December 31, 2020 and 2019, BellRing Inc. held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effective income tax rate was 6.0% for the three months ended December 31, 2020 and 15.6% for the three months ended December 31, 2019. The decrease in the effective income tax rate compared to the prior year period was primarily due to the Company taking into account for U.S. federal, state and local income tax purposes its 28.8% distributive share of the items of income, gain, loss and deduction of BellRing LLC in the periods subsequent to the IPO. Prior to the IPO and formation transactions, the Company reported 100% of the income, gain, loss and deduction of BellRing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each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The period for the three months ended December 31, 2019 represents the period beginning October 21, 2019, the effective date of the IPO, and ending December 31, 2019 (see Note 1).</w:t>
      </w:r>
    </w:p>
    <w:p>
      <w:pPr>
        <w:spacing w:after="0" w:line="99"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7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70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for basic earnings per share (in millions)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 (in millions)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for diluted earnings per share (in millions)</w:t>
            </w: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5"/>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700" w:type="dxa"/>
            <w:vAlign w:val="bottom"/>
            <w:tcBorders>
              <w:bottom w:val="single" w:sz="8" w:color="auto"/>
            </w:tcBorders>
          </w:tcPr>
          <w:p>
            <w:pPr>
              <w:jc w:val="right"/>
              <w:ind w:right="512"/>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0.20</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r>
      <w:tr>
        <w:trPr>
          <w:trHeight w:val="20"/>
        </w:trPr>
        <w:tc>
          <w:tcPr>
            <w:tcW w:w="8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 average shares for diluted earnings per share excluded 0.3 million and 0.1 million of equity awards for the three months ended December 31, 2020 and 2019, respectively, as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NOTE 10 — PROPERTY, NET</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80" w:type="dxa"/>
            <w:vAlign w:val="bottom"/>
          </w:tcPr>
          <w:p>
            <w:pPr>
              <w:spacing w:after="0"/>
              <w:rPr>
                <w:sz w:val="24"/>
                <w:szCs w:val="24"/>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December 31, 2020 and September 30, 2020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12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Arial" w:cs="Arial" w:eastAsia="Arial" w:hAnsi="Arial"/>
                <w:sz w:val="18"/>
                <w:szCs w:val="18"/>
                <w:color w:val="auto"/>
              </w:rPr>
              <w:t>Total intangible assets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8"/>
              </w:rPr>
              <w:t>December 31, 2020</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December 2020, the Company finalized its plan to discontinue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and related sales of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products. In connection with the discontinuance, the Company updated the useful lives of the customer relationships and trademarks associated with the </w:t>
      </w:r>
      <w:r>
        <w:rPr>
          <w:rFonts w:ascii="Arial" w:cs="Arial" w:eastAsia="Arial" w:hAnsi="Arial"/>
          <w:sz w:val="17"/>
          <w:szCs w:val="17"/>
          <w:i w:val="1"/>
          <w:iCs w:val="1"/>
          <w:color w:val="auto"/>
        </w:rPr>
        <w:t>Supreme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brand to reflect the remaining period in which the Company expects to continue to sell existing</w:t>
      </w:r>
      <w:r>
        <w:rPr>
          <w:rFonts w:ascii="Arial" w:cs="Arial" w:eastAsia="Arial" w:hAnsi="Arial"/>
          <w:sz w:val="17"/>
          <w:szCs w:val="17"/>
          <w:i w:val="1"/>
          <w:iCs w:val="1"/>
          <w:color w:val="auto"/>
        </w:rPr>
        <w:t xml:space="preserve"> Supreme Protein </w:t>
      </w:r>
      <w:r>
        <w:rPr>
          <w:rFonts w:ascii="Arial" w:cs="Arial" w:eastAsia="Arial" w:hAnsi="Arial"/>
          <w:sz w:val="17"/>
          <w:szCs w:val="17"/>
          <w:color w:val="auto"/>
        </w:rPr>
        <w:t>product inventory.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carrying values of the customer relationships and trademarks associated with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were $18.7 and $11.8 as of December 31, 2020, respectively, which are expected to be fully amortized by June 1, 2021 as a result of their updated useful lives.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6 years and most leases provide the Company with the option to exercise one or more renewal terms.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lease expense is recognized on a straight-line basis over the lease term and is included in “Selling, general and administrative expenses” in the Condensed Consolidated Statements of Operations. Costs associated with finance leases and lease income do not have a material impact on the Company’s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8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maturities of the Company’s operating lease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9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9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Implied interest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lease expense for the three months ended December 31, 2020 and 2019 was $1.0 and $1.1, respectively, which included immaterial variable lease costs and short-term lease costs in both periods. Operating cash flows for amounts included in the measurement of the Company’s operating lease liabilities were $0.9 for both the three months ended December 31, 2020 and 2019. ROU assets obtained in exchange for operating lease liabilities during the three months ended December 31, 2020 and 2019 were immaterial.</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weighted average remaining lease term of the Company’s operating leases was approximately 5 years and 6 years as of December 31, 2020 and September 30, 2020, respectively. The weighted average incremental borrowing rate was 4.2% at both December 31, 2020 and September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both December 31, 2020 and September 30, 2020, the Company had pay-fixed, receive-variable interest rate swaps with a notional amount of $350.0. The interest rate swaps mature in December 2022 and require monthly settlements, which began on January 31, 2020, and are used to hedge forecasted interest payments on the Company’s variable rate debt (see Note 16).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December 31, 2020, accumulated OCI, including amounts reported as NCI, included an $8.9 net hedging loss before taxes ($8.3 after taxes). At September 30, 2020, accumulated OCI, including amounts reported as NCI, included a $9.4 net hedging loss before taxes ($8.8 after taxes). Approximately $2.3 of the net hedging loss reported in accumulated OCI at December 31, 2020 is expected to be reclassified into earnings within the next 12 months.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Condensed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presents the components of the Company’s net hedging losses on interest rate swaps which were included in “Interest expense, net” in the Condensed Consolidated Statement of Operations during the three months ended December 31, 2020. There were no net hedging losses included in the Condensed Consolidated Statement of Operations during the three months ended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(1.2)</w:t>
            </w:r>
          </w:p>
        </w:tc>
      </w:tr>
      <w:tr>
        <w:trPr>
          <w:trHeight w:val="230"/>
        </w:trPr>
        <w:tc>
          <w:tcPr>
            <w:tcW w:w="10140" w:type="dxa"/>
            <w:vAlign w:val="bottom"/>
          </w:tcPr>
          <w:p>
            <w:pPr>
              <w:ind w:left="20"/>
              <w:spacing w:after="0"/>
              <w:rPr>
                <w:sz w:val="20"/>
                <w:szCs w:val="20"/>
                <w:color w:val="auto"/>
              </w:rPr>
            </w:pPr>
            <w:r>
              <w:rPr>
                <w:rFonts w:ascii="Arial" w:cs="Arial" w:eastAsia="Arial" w:hAnsi="Arial"/>
                <w:sz w:val="18"/>
                <w:szCs w:val="18"/>
                <w:color w:val="auto"/>
              </w:rPr>
              <w:t>Cash settlements paid, net</w:t>
            </w:r>
          </w:p>
        </w:tc>
        <w:tc>
          <w:tcPr>
            <w:tcW w:w="42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1.2</w:t>
            </w:r>
          </w:p>
        </w:tc>
      </w:tr>
      <w:tr>
        <w:trPr>
          <w:trHeight w:val="229"/>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0.5</w:t>
            </w:r>
          </w:p>
        </w:tc>
      </w:tr>
      <w:tr>
        <w:trPr>
          <w:trHeight w:val="223"/>
        </w:trPr>
        <w:tc>
          <w:tcPr>
            <w:tcW w:w="10140" w:type="dxa"/>
            <w:vAlign w:val="bottom"/>
          </w:tcPr>
          <w:p>
            <w:pPr>
              <w:ind w:left="140"/>
              <w:spacing w:after="0"/>
              <w:rPr>
                <w:sz w:val="20"/>
                <w:szCs w:val="20"/>
                <w:color w:val="auto"/>
              </w:rPr>
            </w:pPr>
            <w:r>
              <w:rPr>
                <w:rFonts w:ascii="Arial" w:cs="Arial" w:eastAsia="Arial" w:hAnsi="Arial"/>
                <w:sz w:val="18"/>
                <w:szCs w:val="18"/>
                <w:color w:val="auto"/>
              </w:rPr>
              <w:t>Total net hedging losses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0.5</w:t>
            </w:r>
          </w:p>
        </w:tc>
      </w:tr>
      <w:tr>
        <w:trPr>
          <w:trHeight w:val="20"/>
        </w:trPr>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liabilities and NCI measured at fair value on a recurring basis and the basis for that measurement according to the levels in the fair value hierarchy in ASC Topic 820, “Fair Value Measurement.”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6"/>
                <w:szCs w:val="16"/>
                <w:b w:val="1"/>
                <w:bCs w:val="1"/>
                <w:color w:val="auto"/>
              </w:rPr>
              <w:t>Level 2</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 fair value of the NCI is calculated as its redemption value based on the Class A Common Stock price and number of BellRing LLC units owned by Post as of the end of each period (see Note 6).</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outstanding borrowings under the Revolving Credit Facility (as defined in Note 16) as of December 31, 2020 and September 30, 2020 approximated their carrying values. Based on current market rates, the fair value (Level 2) of the Term B Facility (as defined in Note 16) was $638.5 as of December 31, 2020 and $674.0 as of September 30, 2020.</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“Long-term debt” on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principal amount of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Unamortized discount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December 31, 2020 and 2019, BellRing LLC borrowed $20.0 and $120.0 under the Revolving Credit Facility, respectively, and repaid zero and $40.0 on the Revolving Credit Facility, respectively. The available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 capacity under the Revolving Credit Facility was $150.0 and $170.0 as of December 31, 2020 and September 30, 2020, respectively. There were no outstanding letters of credit as of December 31, 2020 or September 30, 2020.</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Borrowings under the Term B Facility bear interest, at the option of BellRing LLC, at an annual rate equal to either (a) the Eurodollar rate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The Term B Facility requires quarterly scheduled amortization payments of $8.75 which began on March 31, 2020, with the balance to be paid at maturity on October 21, 2024. Interest was paid on each Interest Payment Date (as defined in the Credit Agreement) during each of the three months ended December 31, 2020 and 2019. The Term B Facility contains customary mandatory prepayment provisions, including provisions for mandatory prepayment (a) from the net cash proceeds of certain asset sales and (b) of 75% of consolidated excess cash flow (as defined in the Credit Agreement) (which percentage will be reduced to 50% if the secured net leverage ratio (as defined in the Credit Agreement) is less than or equal to 3.35:1.00 as of a fiscal year end). During the three months ended December 31, 2020, the Company repaid $28.8 on its Term B Facility as a mandatory prepayment from excess cash flow which was in addition to the scheduled amortization payment. The Company may prepay the Term B Facility at its option without penalty or premium. The interest rate on the Term B Facility was 6.00% as of both December 31, 2020 and September 30, 2020.</w:t>
      </w:r>
    </w:p>
    <w:p>
      <w:pPr>
        <w:spacing w:after="0" w:line="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Borrowings under the Revolving Credit Facility bear interest, at the option of BellRing LLC, at an annual rate equal to either the Eurodollar rate or the base rate (determined as described above) plus a margin, which initially was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were initially accrued at the rate of 0.50% per annum and thereafter, depending on BellRing LLC’s secured net leverage ratio, will accrue at rates ranging from 0.25% to 0.50% per annum. The interest rate on the drawn portion of the Revolving Credit Facility was 5.25% as of both December 31, 2020 and September 30, 2020.</w:t>
      </w:r>
    </w:p>
    <w:p>
      <w:pPr>
        <w:spacing w:after="0" w:line="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not to exceed 6.00 to 1.00, measured as of the last day of each fiscal quarter. The total net leverage ratio of BellRing LLC did not exceed this threshold as of December 31, 2020.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California-only class of consumers in this lawsuit (this lawsuit is hereinafter referred to as the “California Federal Class Lawsuit”).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months ended December 31, 2020 or 2019. At both December 31, 2020 and September 30, 2020,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Annual Report on Form 10-K for the fiscal year ended September 30, 2020 and the “Cautionary Statement on Forward-Looking Statements” section included below. The terms “our,” “we,” “us,” “Company” and “BellRing” as used herein refer to BellRing Brands, Inc. and its consolidated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We are a consumer products holding company operating in the global convenient nutrition category and a provider of ready-to-drink (“RTD”) protein shakes, other RTD beverages, powders, nutrition bars and nutritional supplements. Our primary brands are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BellRing Inc.’s subsidiary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both December 31, 2020 and September 30, 2020, BellRing Inc. owned 28.8% of the outstanding BellRing LLC units. For the three months ended December 31, 2020 and 2019, $25.1 million and $25.8 million of the consolidated net earnings of BellRing LLC were allocated to the redeemable noncontrolling interest (“NCI”), respectively, of which zero and $5.5 million reflects the entitlement of Post to 100% of the consolidated net earnings of BellRing LLC prior to the IPO, respectively, and $25.1 million and $20.3 million reflects the entitlement of Post to 71.2% of the consolidated net earnings of BellRing LLC subsequent to the IPO,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COVID-19 pandemic has created, and continues to create, economic disruption and uncertainty both globally and in our business during the three months ended December 31, 2020. We continue to closely monitor the impact of the COVID-19 pandemic and developments related thereto, including the rising number of cases in the United States (“U.S”), and are taking necessary actions to safeguard the health of our employees, including their economic health, maintain the continuity of our supply chain to serve customers and consumers and preserve our financial liquidity to navigate the uncertainty caused by the pandemic. Examples of actions we have taken in response to the pandemic include enhancing facility safety measures, encouraging hygiene practices advised by health authorities, mandating face-coverings, restricting business travel and site visitors and implementing remote working for certain office employees. We continue to monitor our practices to remain aligned with federal, state, local and international laws, regulations and guidelines.</w:t>
      </w:r>
    </w:p>
    <w:p>
      <w:pPr>
        <w:spacing w:after="0" w:line="5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effects of the COVID-19 pandemic, including the actions of public health and other governmental officials in response to the pandemic, began to impact the global convenient nutrition category during the second quarter of fiscal 2020, causing volatility in our product sales in the prior fiscal year. As of December 31, 2020, however, the liquid and powders sub-categories have returned to growth relatively in line with pre-COVID-19 pandemic growth rates, but the bar sub-category continues to experience declines. For additional discussion, refer to “Liquidity and Capital Resources” and “Cautionary Statement on Forward-Looking Statements” within this section, as well as “Risk Factors” in Part II of this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2020, we announced our plan to strategically realign our business, resulting in the closing of our Dallas, Texas office and the downsizing of our Munich, Germany location. These actions are expected to be completed by the end of the third quarter of fiscal 2021. For additional information on restructuring costs, refer to Note 4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5"/>
              </w:rPr>
              <w:t>Three Months Ended December 31,</w:t>
            </w:r>
          </w:p>
        </w:tc>
        <w:tc>
          <w:tcPr>
            <w:tcW w:w="1120" w:type="dxa"/>
            <w:vAlign w:val="bottom"/>
            <w:tcBorders>
              <w:bottom w:val="single" w:sz="8" w:color="auto"/>
            </w:tcBorders>
          </w:tcPr>
          <w:p>
            <w:pPr>
              <w:spacing w:after="0"/>
              <w:rPr>
                <w:sz w:val="18"/>
                <w:szCs w:val="18"/>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favorable/(unfavorable)</w:t>
            </w:r>
          </w:p>
        </w:tc>
      </w:tr>
      <w:tr>
        <w:trPr>
          <w:trHeight w:val="216"/>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2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57"/>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2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earnings attributable to NCI</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Net sales increased $38.4 million, or 16%, during the three months ended December 31, 2020, compared to the corresponding prior year period.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$35.4 million, or 17%, with volume up 22%. Volume increases were driven by higher RTD protein shake product volumes which primarily related to distribution gains, new product introductions and increased promotional activity. Average net selling prices decreased in the three months ended December 31, 2020 due to increased promotional spending.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up $4.4 million, or 16%, with volume up 10%. Volumes increased primarily due to higher club, eCommerce and mass channel volumes, partially offset by lower international volumes. Average net selling prices increased in the three months ended December 31, 2020 due to a favorable product mix. Sales of all other products were down $1.4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profit decreased $1.5 million, or 3%, during the three months ended December 31, 2020, when compared to the prior year period. This decrease was primarily driven by higher net product costs of $6.0 million, as unfavorable raw materials and freight costs were partially offset by lower manufacturing costs. Operating profit was also negatively impacted by restructuring and facility closure costs of $4.7 million. These negative impacts were partially offset by higher net sales, as previously discussed, and lower costs related to the separation from Post of $1.5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net was $12.8 million during the three months ended December 31, 2020 compared to $11.6 million during the three months ended December 31, 2019. The increase in interest expense was due to the issuance of debt in the first quarter of fiscal 2020 and incremental net hedging losses of $0.5 million on interest rate swaps recognized during the three months ended December 31, 2020. See Note 16 and Note 14 within “Notes to Condensed Consolidated Financial Statements” for additional information on our debt and interest rate swaps,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effective income tax rate was 6.0% for the three months ended December 31, 2020 and 15.6% for the three months ended December 31, 2019. The decrease in the effective income tax rate compared to the prior year period was primarily due to us taking into account for U.S. federal, state and local income tax purposes our 28.8% distributive share of the items of income, gain, loss and deduction of BellRing LLC in the periods subsequent to the IPO. Prior to the IPO and formation transactions, we reported 100% of the income, gain, loss and deduction of BellRing LLC.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2021. Our ability to generate positive cash flows from operations is dependent on general economic conditions, competitive pressures and other business risk factors. As a result of uncertainties in the near-term outlook for our business caused by the COVID-19 pandemic, we have taken steps to limit spending on travel and other operating expenses, and we continue to focus on cash flow generation. If we are unable to generate sufficient cash flows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or otherwise to comply with the terms of BellRing LLC’s credit facilities, we may be required to seek additional financing alternatives.</w:t>
      </w:r>
    </w:p>
    <w:p>
      <w:pPr>
        <w:sectPr>
          <w:pgSz w:w="11900" w:h="16838" w:orient="portrait"/>
          <w:cols w:equalWidth="0" w:num="1">
            <w:col w:w="11240"/>
          </w:cols>
          <w:pgMar w:left="320" w:top="125" w:right="339" w:bottom="1440" w:gutter="0" w:footer="0" w:header="0"/>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increase in cash and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91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 w:lineRule="exact"/>
        <w:rPr>
          <w:sz w:val="20"/>
          <w:szCs w:val="20"/>
          <w:color w:val="auto"/>
        </w:rPr>
      </w:pPr>
    </w:p>
    <w:p>
      <w:pPr>
        <w:ind w:left="380"/>
        <w:spacing w:after="0"/>
        <w:tabs>
          <w:tab w:leader="none" w:pos="16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8180" w:space="720"/>
            <w:col w:w="2340"/>
          </w:cols>
          <w:pgMar w:left="320" w:top="125" w:right="339" w:bottom="1440" w:gutter="0" w:footer="0" w:header="0"/>
          <w:type w:val="continuous"/>
        </w:sectPr>
      </w:pPr>
    </w:p>
    <w:p>
      <w:pPr>
        <w:jc w:val="both"/>
        <w:ind w:firstLine="324"/>
        <w:spacing w:after="0" w:line="275" w:lineRule="auto"/>
        <w:rPr>
          <w:sz w:val="20"/>
          <w:szCs w:val="20"/>
          <w:color w:val="auto"/>
        </w:rPr>
      </w:pPr>
      <w:r>
        <w:rPr>
          <w:rFonts w:ascii="Arial" w:cs="Arial" w:eastAsia="Arial" w:hAnsi="Arial"/>
          <w:sz w:val="17"/>
          <w:szCs w:val="17"/>
          <w:color w:val="auto"/>
        </w:rPr>
        <w:t>Cash provided by operating activities for the three months ended December 31, 2020 was $23.3 million compared to cash used in operating activities of $24.9 million for the three months ended December 31, 2019. The increase was primarily driven by favorable working capital changes of $46.2 million, which were primarily due to fluctuations in the timing of purchases and payments of trade payables and the build up of inventory in the prior year period related to short-term supply constraints, partially offset by fluctuations in the timing of sales and collections of trade receivables. This positive impact was partially offset by increased tax and interest payments of $2.0 million and $0.6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three months ended December 31, 2020 decreased $0.7 million compared to the prior year period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2020</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used in financing activities for the three months ended December 31, 2020 was $22.0 million. BellRing LLC drew an aggregate of $20.0 million under the revolving credit facility in an aggregate principal amount of $200.0 (the “Revolving Credit Facility”) and repaid $37.5 million on the principal balance of the term B loan facility in an aggregate principal amount of $700.0 (the “Term B Facility”) during the period. In addition, BellRing LLC had net cash transfers of $3.6 million to Post which included tax distributions to Post pursuant to BellRing LLC’s amended and restated limited liability company agreement and state tax withholdings payments on behalf of Post.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2019</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Cash provided by financing activities for the three months ended December 31, 2019 was $49.9 million. BellRing LLC received proceeds of $686.0 million, net of discount, related to the issuance of the Term B Facility and drew an aggregate of $120.0 million on the Revolving Credit Facility. In addition, BellRing Inc. received $524.4 million from the issuance of its Class A Common Stock in conjunction with the IPO and had net cash transfers of $5.9 million from Post to fund our operations prior to the IPO. BellRing LLC repaid the $1,225.0 million outstanding principal balance of the bridge loan assumed from Post in conjunction with the IPO and repaid $40.0 million of outstanding borrowings on the Revolving Credit Facility. In connection with the issuance of BellRing LLC’s long-term debt, BellRing LLC paid $9.6 million in debt issuance costs and deferred financing fees.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credit agreement entered into by BellRing LLC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December 31, 2020, and we do not believe non-compliance is reasonably likely in the foreseeable future.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BellRing LLC to incur other secured or unsecured debt, in all cases subject to conditions and limitations on the amount as defined and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2020, as filed with the Securities and Exchange Commission (“SEC”) on November 20, 2020. There have been no significant changes to our critical accounting policies and estimates since September 30, 2020.</w:t>
      </w:r>
    </w:p>
    <w:p>
      <w:pPr>
        <w:spacing w:after="0" w:line="18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0" w:lineRule="exact"/>
        <w:rPr>
          <w:sz w:val="20"/>
          <w:szCs w:val="20"/>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significant volatility in the cost or availability of inputs to our business (including freight, raw materials, packaging, energy and other supplies);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fires and evacuations related thereto, changes in weather conditions, natural disasters, agricultural diseases and pests and other events beyond our control;</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and labeling;</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control the direction of our business, conflicts of interest or disputes that may arise between Post and us and our obligations under various agreements with Post, including under the tax receivable agreement;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the additional expenses we will continue to incur to create and maintain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our guidance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2020, filed with the SEC on November 20, 2020.</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within Item 2 of Part I of this report, as well as “Risk Factors” in Part II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and September 30, 2020, BellRing LLC had aggregate principal amounts of $636.2 million and $673.7 million outstanding on its Term B Facility, respectively, and aggregate principal amounts of $50.0 million and $30.0 million outstanding under its Revolving Credit Facility, respectively. Borrowings under the Term B Facility and the Revolving Credit Facility bear interest at variable rates. Including the impact of interest rate swaps, a hypothetical 10% increase in interest rates would have an immaterial impact on both interest expense and interest paid during each of the three months ended December 31, 2020 and 2019. For additional information regarding BellRing LLC’s debt, see Note 16 within “Notes to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both December 31, 2020 and September 30, 2020, the Company had interest rate swaps with a notional value of $350.0 million. A hypothetical 10% adverse change in interest rates would have an immaterial impact on the fair value of the interest rate swaps as of both December 31, 2020 and September 30, 2020. For additional information regarding the Company’s interest rate swap contracts, see Note 14 within “Notes to Condensed Consolidated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December 31, 2020,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80" w:firstLine="324"/>
        <w:spacing w:after="0" w:line="262" w:lineRule="auto"/>
        <w:rPr>
          <w:sz w:val="20"/>
          <w:szCs w:val="20"/>
          <w:color w:val="auto"/>
        </w:rPr>
      </w:pPr>
      <w:r>
        <w:rPr>
          <w:rFonts w:ascii="Arial" w:cs="Arial" w:eastAsia="Arial" w:hAnsi="Arial"/>
          <w:sz w:val="17"/>
          <w:szCs w:val="17"/>
          <w:color w:val="auto"/>
        </w:rPr>
        <w:t>The information required under this Item 1 is set forth in Note 17 within “Notes to Condensed Consolidated Financial Statements (Unaudited)”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information set forth elsewhere in this Quarterly Report on Form 10-Q, you should carefully consider the risk factors we previously disclosed in our Annual Report on Form 10-K, filed with the United States Securities and Exchange Commission on November 20, 2020, as of and for the year ended September 30, 2020.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7585" cy="26606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41">
        <w:r>
          <w:rPr>
            <w:rFonts w:ascii="Arial" w:cs="Arial" w:eastAsia="Arial" w:hAnsi="Arial"/>
            <w:sz w:val="16"/>
            <w:szCs w:val="16"/>
            <w:u w:val="single" w:color="auto"/>
            <w:color w:val="0000FF"/>
          </w:rPr>
          <w:t>Amended and Restated Certificate of Incorporation of BellRing Brands, Inc. (Incorporated by reference to Exhibit</w:t>
        </w:r>
      </w:hyperlink>
    </w:p>
    <w:p>
      <w:pPr>
        <w:ind w:left="126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3.1 to the Company’s Form 8-K filed on October 21, 2019)</w:t>
        </w:r>
      </w:hyperlink>
    </w:p>
    <w:p>
      <w:pPr>
        <w:spacing w:after="0" w:line="7" w:lineRule="exact"/>
        <w:rPr>
          <w:sz w:val="20"/>
          <w:szCs w:val="20"/>
          <w:color w:val="auto"/>
        </w:rPr>
      </w:pP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2">
        <w:r>
          <w:rPr>
            <w:rFonts w:ascii="Arial" w:cs="Arial" w:eastAsia="Arial" w:hAnsi="Arial"/>
            <w:sz w:val="18"/>
            <w:szCs w:val="18"/>
            <w:u w:val="single" w:color="auto"/>
            <w:color w:val="0000FF"/>
          </w:rPr>
          <w:t>Amended and Restated Bylaws of BellRing Brands, Inc. (Incorporated by reference to Exhibit 3.1 to the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Company’s Form 8-K filed on January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44">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the Company’s Form S-1 filed on September 20, 2019)</w:t>
        </w:r>
      </w:hyperlink>
    </w:p>
    <w:p>
      <w:pPr>
        <w:spacing w:after="0" w:line="1" w:lineRule="exact"/>
        <w:rPr>
          <w:sz w:val="20"/>
          <w:szCs w:val="20"/>
          <w:color w:val="auto"/>
        </w:rPr>
      </w:pPr>
    </w:p>
    <w:p>
      <w:pPr>
        <w:ind w:left="1260" w:right="7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6">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26">
        <w:r>
          <w:rPr>
            <w:rFonts w:ascii="Arial" w:cs="Arial" w:eastAsia="Arial" w:hAnsi="Arial"/>
            <w:sz w:val="18"/>
            <w:szCs w:val="18"/>
            <w:u w:val="single" w:color="auto"/>
            <w:color w:val="0000FF"/>
          </w:rPr>
          <w:t>Oxley Act of 2002, dated February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7">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27">
        <w:r>
          <w:rPr>
            <w:rFonts w:ascii="Arial" w:cs="Arial" w:eastAsia="Arial" w:hAnsi="Arial"/>
            <w:sz w:val="18"/>
            <w:szCs w:val="18"/>
            <w:u w:val="single" w:color="auto"/>
            <w:color w:val="0000FF"/>
          </w:rPr>
          <w:t>Sarbanes-Oxley Act of 2002, dated February 5, 2021</w:t>
        </w:r>
      </w:hyperlink>
    </w:p>
    <w:p>
      <w:pPr>
        <w:spacing w:after="0" w:line="1" w:lineRule="exact"/>
        <w:rPr>
          <w:sz w:val="20"/>
          <w:szCs w:val="20"/>
          <w:color w:val="auto"/>
        </w:rPr>
      </w:pPr>
    </w:p>
    <w:p>
      <w:pPr>
        <w:ind w:left="1260" w:right="97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hyperlink w:anchor="page28">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28">
        <w:r>
          <w:rPr>
            <w:rFonts w:ascii="Arial" w:cs="Arial" w:eastAsia="Arial" w:hAnsi="Arial"/>
            <w:sz w:val="18"/>
            <w:szCs w:val="18"/>
            <w:u w:val="single" w:color="auto"/>
            <w:color w:val="0000FF"/>
          </w:rPr>
          <w:t>Oxley Act of 2002, dated February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99"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9">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adopted pursuant to Section 906 of the Sarbanes-Oxley Act of 2002, dated February 5, 2021</w:t>
        </w:r>
      </w:hyperlink>
    </w:p>
    <w:p>
      <w:pPr>
        <w:spacing w:after="0" w:line="1" w:lineRule="exact"/>
        <w:rPr>
          <w:sz w:val="20"/>
          <w:szCs w:val="20"/>
          <w:color w:val="auto"/>
        </w:rPr>
      </w:pPr>
    </w:p>
    <w:p>
      <w:pPr>
        <w:ind w:left="1260" w:right="719" w:hanging="874"/>
        <w:spacing w:after="0" w:line="224"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December 31, 2020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779" w:hanging="874"/>
        <w:spacing w:after="0" w:line="234"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December 31, 2020, formatted in iXBRL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0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2021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25" w:right="3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February 5, 2021</w:t>
            </w:r>
          </w:p>
        </w:tc>
        <w:tc>
          <w:tcPr>
            <w:tcW w:w="4340" w:type="dxa"/>
            <w:vAlign w:val="bottom"/>
            <w:gridSpan w:val="2"/>
          </w:tcPr>
          <w:p>
            <w:pPr>
              <w:ind w:left="1060"/>
              <w:spacing w:after="0"/>
              <w:rPr>
                <w:sz w:val="20"/>
                <w:szCs w:val="20"/>
                <w:color w:val="auto"/>
              </w:rPr>
            </w:pPr>
            <w:r>
              <w:rPr>
                <w:rFonts w:ascii="Arial" w:cs="Arial" w:eastAsia="Arial" w:hAnsi="Arial"/>
                <w:sz w:val="18"/>
                <w:szCs w:val="18"/>
                <w:color w:val="auto"/>
              </w:rPr>
              <w:t>By:  /s/ Robert V. Vitale</w:t>
            </w:r>
          </w:p>
        </w:tc>
      </w:tr>
      <w:tr>
        <w:trPr>
          <w:trHeight w:val="222"/>
        </w:trPr>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ectPr>
          <w:pgSz w:w="11900" w:h="16838" w:orient="portrait"/>
          <w:cols w:equalWidth="0" w:num="1">
            <w:col w:w="11240"/>
          </w:cols>
          <w:pgMar w:left="320" w:top="89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February 5, 2021</w:t>
            </w:r>
          </w:p>
        </w:tc>
        <w:tc>
          <w:tcPr>
            <w:tcW w:w="4340" w:type="dxa"/>
            <w:vAlign w:val="bottom"/>
            <w:gridSpan w:val="2"/>
          </w:tcPr>
          <w:p>
            <w:pPr>
              <w:ind w:left="1060"/>
              <w:spacing w:after="0"/>
              <w:rPr>
                <w:sz w:val="20"/>
                <w:szCs w:val="20"/>
                <w:color w:val="auto"/>
              </w:rPr>
            </w:pPr>
            <w:r>
              <w:rPr>
                <w:rFonts w:ascii="Arial" w:cs="Arial" w:eastAsia="Arial" w:hAnsi="Arial"/>
                <w:sz w:val="18"/>
                <w:szCs w:val="18"/>
                <w:color w:val="auto"/>
              </w:rPr>
              <w:t>By:  /s/ Darcy H. Davenport</w:t>
            </w:r>
          </w:p>
        </w:tc>
      </w:tr>
      <w:tr>
        <w:trPr>
          <w:trHeight w:val="222"/>
        </w:trPr>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5"/>
              </w:rPr>
              <w:t>President and Chief Executive Officer</w:t>
            </w:r>
          </w:p>
        </w:tc>
      </w:tr>
    </w:tbl>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February 5, 2021</w:t>
            </w:r>
          </w:p>
        </w:tc>
        <w:tc>
          <w:tcPr>
            <w:tcW w:w="4340" w:type="dxa"/>
            <w:vAlign w:val="bottom"/>
            <w:gridSpan w:val="2"/>
          </w:tcPr>
          <w:p>
            <w:pPr>
              <w:ind w:left="1060"/>
              <w:spacing w:after="0"/>
              <w:rPr>
                <w:sz w:val="20"/>
                <w:szCs w:val="20"/>
                <w:color w:val="auto"/>
              </w:rPr>
            </w:pPr>
            <w:r>
              <w:rPr>
                <w:rFonts w:ascii="Arial" w:cs="Arial" w:eastAsia="Arial" w:hAnsi="Arial"/>
                <w:sz w:val="18"/>
                <w:szCs w:val="18"/>
                <w:color w:val="auto"/>
              </w:rPr>
              <w:t>By:  /s/ Paul A. Rode</w:t>
            </w:r>
          </w:p>
        </w:tc>
      </w:tr>
      <w:tr>
        <w:trPr>
          <w:trHeight w:val="222"/>
        </w:trPr>
        <w:tc>
          <w:tcPr>
            <w:tcW w:w="2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3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1500" w:hanging="652"/>
        <w:spacing w:after="0" w:line="277"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40"/>
              <w:spacing w:after="0"/>
              <w:rPr>
                <w:sz w:val="20"/>
                <w:szCs w:val="20"/>
                <w:color w:val="auto"/>
              </w:rPr>
            </w:pPr>
            <w:r>
              <w:rPr>
                <w:rFonts w:ascii="Arial" w:cs="Arial" w:eastAsia="Arial" w:hAnsi="Arial"/>
                <w:sz w:val="18"/>
                <w:szCs w:val="18"/>
                <w:color w:val="auto"/>
              </w:rPr>
              <w:t>February 5, 2021</w:t>
            </w:r>
          </w:p>
        </w:tc>
        <w:tc>
          <w:tcPr>
            <w:tcW w:w="4380" w:type="dxa"/>
            <w:vAlign w:val="bottom"/>
            <w:gridSpan w:val="2"/>
          </w:tcPr>
          <w:p>
            <w:pPr>
              <w:ind w:left="1020"/>
              <w:spacing w:after="0"/>
              <w:rPr>
                <w:sz w:val="20"/>
                <w:szCs w:val="20"/>
                <w:color w:val="auto"/>
              </w:rPr>
            </w:pPr>
            <w:r>
              <w:rPr>
                <w:rFonts w:ascii="Arial" w:cs="Arial" w:eastAsia="Arial" w:hAnsi="Arial"/>
                <w:sz w:val="18"/>
                <w:szCs w:val="18"/>
                <w:color w:val="auto"/>
              </w:rPr>
              <w:t>By:  /s/ Robert V. Vitale</w:t>
            </w:r>
          </w:p>
        </w:tc>
      </w:tr>
      <w:tr>
        <w:trPr>
          <w:trHeight w:val="222"/>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pacing w:after="0" w:line="3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29" w:name="page30"/>
    <w:bookmarkEnd w:id="29"/>
    <w:p>
      <w:pPr>
        <w:spacing w:after="0" w:line="200" w:lineRule="exact"/>
        <w:rPr>
          <w:sz w:val="20"/>
          <w:szCs w:val="20"/>
          <w:color w:val="auto"/>
        </w:rPr>
      </w:pPr>
    </w:p>
    <w:p>
      <w:pPr>
        <w:spacing w:after="0" w:line="227"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40"/>
              <w:spacing w:after="0"/>
              <w:rPr>
                <w:sz w:val="20"/>
                <w:szCs w:val="20"/>
                <w:color w:val="auto"/>
              </w:rPr>
            </w:pPr>
            <w:r>
              <w:rPr>
                <w:rFonts w:ascii="Arial" w:cs="Arial" w:eastAsia="Arial" w:hAnsi="Arial"/>
                <w:sz w:val="18"/>
                <w:szCs w:val="18"/>
                <w:color w:val="auto"/>
              </w:rPr>
              <w:t>February 5, 2021</w:t>
            </w:r>
          </w:p>
        </w:tc>
        <w:tc>
          <w:tcPr>
            <w:tcW w:w="4380" w:type="dxa"/>
            <w:vAlign w:val="bottom"/>
            <w:gridSpan w:val="2"/>
          </w:tcPr>
          <w:p>
            <w:pPr>
              <w:ind w:left="1020"/>
              <w:spacing w:after="0"/>
              <w:rPr>
                <w:sz w:val="20"/>
                <w:szCs w:val="20"/>
                <w:color w:val="auto"/>
              </w:rPr>
            </w:pPr>
            <w:r>
              <w:rPr>
                <w:rFonts w:ascii="Arial" w:cs="Arial" w:eastAsia="Arial" w:hAnsi="Arial"/>
                <w:sz w:val="18"/>
                <w:szCs w:val="18"/>
                <w:color w:val="auto"/>
              </w:rPr>
              <w:t>By:  /s/ Darcy H. Davenport</w:t>
            </w:r>
          </w:p>
        </w:tc>
      </w:tr>
      <w:tr>
        <w:trPr>
          <w:trHeight w:val="222"/>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0" w:name="page31"/>
    <w:bookmarkEnd w:id="30"/>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2020,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40"/>
              <w:spacing w:after="0"/>
              <w:rPr>
                <w:sz w:val="20"/>
                <w:szCs w:val="20"/>
                <w:color w:val="auto"/>
              </w:rPr>
            </w:pPr>
            <w:r>
              <w:rPr>
                <w:rFonts w:ascii="Arial" w:cs="Arial" w:eastAsia="Arial" w:hAnsi="Arial"/>
                <w:sz w:val="18"/>
                <w:szCs w:val="18"/>
                <w:color w:val="auto"/>
              </w:rPr>
              <w:t>February 5, 2021</w:t>
            </w:r>
          </w:p>
        </w:tc>
        <w:tc>
          <w:tcPr>
            <w:tcW w:w="4380" w:type="dxa"/>
            <w:vAlign w:val="bottom"/>
            <w:gridSpan w:val="2"/>
          </w:tcPr>
          <w:p>
            <w:pPr>
              <w:ind w:left="1020"/>
              <w:spacing w:after="0"/>
              <w:rPr>
                <w:sz w:val="20"/>
                <w:szCs w:val="20"/>
                <w:color w:val="auto"/>
              </w:rPr>
            </w:pPr>
            <w:r>
              <w:rPr>
                <w:rFonts w:ascii="Arial" w:cs="Arial" w:eastAsia="Arial" w:hAnsi="Arial"/>
                <w:sz w:val="18"/>
                <w:szCs w:val="18"/>
                <w:color w:val="auto"/>
              </w:rPr>
              <w:t>By:  /s/ Paul A. Rode</w:t>
            </w:r>
          </w:p>
        </w:tc>
      </w:tr>
      <w:tr>
        <w:trPr>
          <w:trHeight w:val="222"/>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01"/>
    </w:lvl>
  </w:abstractNum>
  <w:abstractNum w:abstractNumId="5">
    <w:nsid w:val="5BD062C2"/>
    <w:multiLevelType w:val="hybridMultilevel"/>
    <w:lvl w:ilvl="0">
      <w:lvlJc w:val="left"/>
      <w:lvlText w:val="%1"/>
      <w:numFmt w:val="decimal"/>
      <w:start w:val="104"/>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1" Type="http://schemas.openxmlformats.org/officeDocument/2006/relationships/hyperlink" Target="http://www.sec.gov/Archives/edgar/data/1772016/000119312519270862/d812149dex31.htm" TargetMode="External"/><Relationship Id="rId42" Type="http://schemas.openxmlformats.org/officeDocument/2006/relationships/hyperlink" Target="http://www.sec.gov/Archives/edgar/data/1772016/000177201621000006/exhib31amendedrestatedby.htm" TargetMode="External"/><Relationship Id="rId44" Type="http://schemas.openxmlformats.org/officeDocument/2006/relationships/hyperlink" Target="http://www.sec.gov/Archives/edgar/data/1772016/000119312519250692/d727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2021-02-05T15:41:52Z</dcterms:created>
  <dcterms:modified xsi:type="dcterms:W3CDTF">2021-02-05T15:41:52Z</dcterms:modified>
</cp:coreProperties>
</file>