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February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10"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0"/>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83-4096323</w:t>
            </w:r>
          </w:p>
        </w:tc>
      </w:tr>
      <w:tr>
        <w:trPr>
          <w:trHeight w:val="153"/>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7"/>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53"/>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0"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sz w:val="24"/>
          <w:szCs w:val="24"/>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380" w:type="dxa"/>
            <w:vAlign w:val="bottom"/>
            <w:gridSpan w:val="2"/>
          </w:tcPr>
          <w:p>
            <w:pPr>
              <w:jc w:val="center"/>
              <w:ind w:right="1520"/>
              <w:spacing w:after="0"/>
              <w:rPr>
                <w:sz w:val="20"/>
                <w:szCs w:val="20"/>
                <w:color w:val="auto"/>
              </w:rPr>
            </w:pPr>
            <w:r>
              <w:rPr>
                <w:rFonts w:ascii="Arial" w:cs="Arial" w:eastAsia="Arial" w:hAnsi="Arial"/>
                <w:sz w:val="12"/>
                <w:szCs w:val="12"/>
                <w:color w:val="auto"/>
                <w:w w:val="89"/>
              </w:rPr>
              <w:t>Title of each class</w:t>
            </w:r>
          </w:p>
        </w:tc>
        <w:tc>
          <w:tcPr>
            <w:tcW w:w="238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Class A Common Stock, $0.01 par value per share</w:t>
            </w:r>
          </w:p>
        </w:tc>
        <w:tc>
          <w:tcPr>
            <w:tcW w:w="6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26"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1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jc w:val="both"/>
        <w:ind w:right="300"/>
        <w:spacing w:after="0" w:line="298" w:lineRule="auto"/>
        <w:rPr>
          <w:sz w:val="20"/>
          <w:szCs w:val="20"/>
          <w:color w:val="auto"/>
        </w:rPr>
      </w:pPr>
      <w:r>
        <w:rPr>
          <w:rFonts w:ascii="Arial" w:cs="Arial" w:eastAsia="Arial" w:hAnsi="Arial"/>
          <w:sz w:val="11"/>
          <w:szCs w:val="11"/>
          <w:color w:val="auto"/>
        </w:rPr>
        <w:t>On February 3, 2022, BellRing Brands, Inc. (the "Company") issued a press release announcing results for its first fiscal quarter ended December 31, 2021 and providing a financial outlook for fiscal year 2022. A copy of the press release is attached hereto as Exhibit 99.1 and incorporated herein by reference. In addition, on February 3, 2022, the Company published to the "Investor Relations" section of its website, www.bellringbrands.com, a supplemental presentation related to results for its first fiscal quarter ended December 31, 2021. A copy of the presentation is attached hereto as Exhibit 99.2 and incorporated herein by reference.</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5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4"/>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1800" w:type="dxa"/>
            <w:vAlign w:val="bottom"/>
            <w:tcBorders>
              <w:bottom w:val="single" w:sz="8" w:color="0000FF"/>
            </w:tcBorders>
            <w:gridSpan w:val="2"/>
          </w:tcPr>
          <w:p>
            <w:pPr>
              <w:spacing w:after="0"/>
              <w:rPr>
                <w:rFonts w:ascii="Arial" w:cs="Arial" w:eastAsia="Arial" w:hAnsi="Arial"/>
                <w:sz w:val="12"/>
                <w:szCs w:val="12"/>
                <w:color w:val="0000FF"/>
                <w:w w:val="86"/>
              </w:rPr>
            </w:pPr>
            <w:hyperlink w:anchor="page4">
              <w:r>
                <w:rPr>
                  <w:rFonts w:ascii="Arial" w:cs="Arial" w:eastAsia="Arial" w:hAnsi="Arial"/>
                  <w:sz w:val="12"/>
                  <w:szCs w:val="12"/>
                  <w:color w:val="0000FF"/>
                  <w:w w:val="86"/>
                </w:rPr>
                <w:t>Press Release dated February 3, 2022</w:t>
              </w:r>
            </w:hyperlink>
          </w:p>
        </w:tc>
        <w:tc>
          <w:tcPr>
            <w:tcW w:w="724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rFonts w:ascii="Arial" w:cs="Arial" w:eastAsia="Arial" w:hAnsi="Arial"/>
                <w:sz w:val="12"/>
                <w:szCs w:val="12"/>
                <w:color w:val="0000FF"/>
              </w:rPr>
            </w:pPr>
            <w:hyperlink w:anchor="page15">
              <w:r>
                <w:rPr>
                  <w:rFonts w:ascii="Arial" w:cs="Arial" w:eastAsia="Arial" w:hAnsi="Arial"/>
                  <w:sz w:val="12"/>
                  <w:szCs w:val="12"/>
                  <w:color w:val="0000FF"/>
                </w:rPr>
                <w:t>First Fiscal Quarter Ended December 31, 2022 Supplemental Presentation</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20"/>
                <w:szCs w:val="20"/>
                <w:color w:val="auto"/>
              </w:rPr>
            </w:pPr>
            <w:r>
              <w:rPr>
                <w:rFonts w:ascii="Arial" w:cs="Arial" w:eastAsia="Arial" w:hAnsi="Arial"/>
                <w:sz w:val="12"/>
                <w:szCs w:val="12"/>
                <w:color w:val="auto"/>
              </w:rPr>
              <w:t>Date: February 3, 2022</w:t>
            </w:r>
          </w:p>
        </w:tc>
        <w:tc>
          <w:tcPr>
            <w:tcW w:w="7760" w:type="dxa"/>
            <w:vAlign w:val="bottom"/>
            <w:gridSpan w:val="2"/>
          </w:tcPr>
          <w:p>
            <w:pPr>
              <w:ind w:left="222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320" w:type="dxa"/>
            <w:vAlign w:val="bottom"/>
          </w:tcPr>
          <w:p>
            <w:pPr>
              <w:spacing w:after="0"/>
              <w:rPr>
                <w:sz w:val="19"/>
                <w:szCs w:val="19"/>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320" w:type="dxa"/>
            <w:vAlign w:val="bottom"/>
          </w:tcPr>
          <w:p>
            <w:pPr>
              <w:spacing w:after="0"/>
              <w:rPr>
                <w:sz w:val="24"/>
                <w:szCs w:val="24"/>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320" w:type="dxa"/>
            <w:vAlign w:val="bottom"/>
          </w:tcPr>
          <w:p>
            <w:pPr>
              <w:spacing w:after="0"/>
              <w:rPr>
                <w:sz w:val="17"/>
                <w:szCs w:val="17"/>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320" w:type="dxa"/>
            <w:vAlign w:val="bottom"/>
          </w:tcPr>
          <w:p>
            <w:pPr>
              <w:spacing w:after="0"/>
              <w:rPr>
                <w:sz w:val="13"/>
                <w:szCs w:val="13"/>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First Quarter of Fiscal Year 2022</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St. Louis - February 3, 2022 </w:t>
      </w:r>
      <w:r>
        <w:rPr>
          <w:rFonts w:ascii="Arial" w:cs="Arial" w:eastAsia="Arial" w:hAnsi="Arial"/>
          <w:sz w:val="11"/>
          <w:szCs w:val="11"/>
          <w:color w:val="auto"/>
        </w:rPr>
        <w:t>- BellRing Brands, Inc. (NYSE:BRBR) (“BellRing”), a holding company operating in the global convenient nutrition category, today reported results for the first fiscal quarter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Net sales of $306.5 million</w:t>
      </w:r>
    </w:p>
    <w:p>
      <w:pPr>
        <w:spacing w:after="0" w:line="18"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profit of $50.6 million; net earnings available to Class A common stockholders of $8.2 million and Adjusted EBITDA of $59.8 million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Reaffirmed fiscal year 2022 net sales guidance of $1.36-$1.41 billion and Adjusted EBITDA (non-GAAP) guidance of $255-$265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Operating Results</w:t>
      </w:r>
    </w:p>
    <w:p>
      <w:pPr>
        <w:spacing w:after="0" w:line="118"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 xml:space="preserve">Net sales were $306.5 million, an increase of 8.5%, or $24.1 million, compared to the prior year period.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net sales increased 4.5% and volumes declined 5.6%;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ready-to-drink (“RTD”) shake net sales increased 4.5% and volumes declined 6.2%.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net sales benefited from higher average net selling prices driven by reduced promotional activity and price increases. As discussed in previous earnings releases, capacity constraints across the broader shake contract manufacturer network have resulted in certain products placed on allocation and reduced demand-driving promotional activity which caused an expected reduction in volumes sold when compared to the prior year. </w:t>
      </w:r>
      <w:r>
        <w:rPr>
          <w:rFonts w:ascii="Arial" w:cs="Arial" w:eastAsia="Arial" w:hAnsi="Arial"/>
          <w:sz w:val="11"/>
          <w:szCs w:val="11"/>
          <w:i w:val="1"/>
          <w:iCs w:val="1"/>
          <w:color w:val="auto"/>
        </w:rPr>
        <w:t>Dymatize</w:t>
      </w:r>
      <w:r>
        <w:rPr>
          <w:rFonts w:ascii="Arial" w:cs="Arial" w:eastAsia="Arial" w:hAnsi="Arial"/>
          <w:sz w:val="11"/>
          <w:szCs w:val="11"/>
          <w:color w:val="auto"/>
        </w:rPr>
        <w:t xml:space="preserve"> net sales increased 40.6%, with volumes up 8.1%, and benefited from (i) higher average net selling prices (driven by price increases and a favorable product mix), (ii) strong velocities driven in part by continued category momentum and (iii) distribution gains for both existing and new products. Net sales of all other products increased 3.2%.</w:t>
      </w:r>
    </w:p>
    <w:p>
      <w:pPr>
        <w:spacing w:after="0" w:line="77"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 xml:space="preserve">Dollar consumption of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RTD shakes and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United States (“U.S.”) powder products increased 10.4% and 47.6%, respectively, in the 13-week period ended January 1, 2022, as compared to the same period in 2021 (inclusive of NielsenIQ Total US xAOC including Convenience and management estimates of untracked channels).</w:t>
      </w:r>
    </w:p>
    <w:p>
      <w:pPr>
        <w:spacing w:after="0" w:line="79"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Gross profit was $92.3 million, or 30.1% of net sales, an increase of 0.4%, or $0.4 million, compared to $91.9 million, or 32.5% of net sales, in the prior year period. The lower gross profit margin was driven by higher raw material costs (predominantly whey-based and milk-based proteins) and freight.</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Selling, general and administrative (“SG&amp;A”) expenses were $36.8 million, or 12.0% of net sales, a decrease of $1.5 million compared to $38.3 million, or 13.6% of net sales, in the prior year period. SG&amp;A expenses in the first quarter of 2022 included $2.0 million of separation costs. SG&amp;A expenses in the first quarter of 2021 included $4.6 million of restructuring and facility closure costs. Separation costs and restructuring and facility closure costs were treated as adjustments for non-GAAP measures.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was $50.6 million, an increase of 5.9%, or $2.8 million, compared to $47.8 million in the prior year period.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$8.4 million, compared to $12.8 million in the prior year period, with the decrease primarily driven by a reduction in the aggregate principal amount of debt outstanding.</w:t>
      </w:r>
    </w:p>
    <w:p>
      <w:pPr>
        <w:spacing w:after="0" w:line="11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Income tax expense was $2.9 million, an effective income tax rate of 6.9%, compared to $2.1 million, an effective income tax rate of 6.0% in the prior year period. In both periods, the effective income tax rate differed significantly from the statutory rate primarily as a result of taking into account for U.S. federal, state and local income tax purposes its distributive share of the items of income, gain, loss and deduction of BellRing Brands, LLC (“BellRing LLC”).</w:t>
      </w: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Net earnings available to Class A common stockholders were $8.2 million, an increase of 5.1%, or $0.4 million, compared to $7.8 million in the prior year period. Net earnings available to Class A common stockholders excluded $31.1 million of net earnings attributable to the Company’s redeemable noncontrolling interest (“NCI”), compared to $25.1 million excluded in the prior year period. Net earnings per diluted share of Class A common stock were $0.21, compared to $0.20 in the prior year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ind w:right="200"/>
        <w:spacing w:after="0" w:line="276" w:lineRule="auto"/>
        <w:rPr>
          <w:sz w:val="20"/>
          <w:szCs w:val="20"/>
          <w:color w:val="auto"/>
        </w:rPr>
      </w:pPr>
      <w:r>
        <w:rPr>
          <w:rFonts w:ascii="Arial" w:cs="Arial" w:eastAsia="Arial" w:hAnsi="Arial"/>
          <w:sz w:val="12"/>
          <w:szCs w:val="12"/>
          <w:color w:val="auto"/>
        </w:rPr>
        <w:t>period. Adjusted net earnings available to Class A common stockholders were $9.8 million, or $0.25 per diluted share of Class A common stock, compared to $8.9 million, or $0.22 per diluted share of Class A common stock, in the prior year period.</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Adjusted EBITDA was $59.8 million, a decrease of 1.5%, or $0.9 million, compared to $60.7 million in the prior year period.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Effective October 21, 2019, BellRing allocates a portion of the consolidated net earnings of BellRing LLC to NCI, reflecting the entitlement of Post Holdings, Inc. (“Post”) to a portion of the consolidated net earnings. As of December 31, 2021, Post held 71.5% of the economic interest of BellRing LLC.</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Repurchases and New Share Repurchase Authorization</w:t>
      </w:r>
    </w:p>
    <w:p>
      <w:pPr>
        <w:spacing w:after="0" w:line="118"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During the first quarter of 2022, BellRing repurchased 0.8 million shares of its Class A common stock for $18.1 million at an average price of $23.34 per share. At the end of the first quarter of 2022, BellRing had $41.9 million remaining under its share repurchase authorization.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Post’s Plan to Distribute Its Interest in BellRing to Post Shareholders</w:t>
      </w:r>
    </w:p>
    <w:p>
      <w:pPr>
        <w:spacing w:after="0" w:line="118"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On October 27, 2021, Post and BellRing announced the signing of a transaction agreement related to Post’s previously announced plan to distribute a significant portion of its interest in BellRing to Post’s shareholders. Post intends to distribute 80.1% of its ownership interest in BellRing to Post shareholders via a pro-rata spin-off. Post’s wholly-owned subsidiary, BellRing Distribution, LLC (“New BellRing”) has filed registration statements with the Securities and Exchange Commission (the “SEC”) which went effective earlier today on February 3, 2022. BellRing has scheduled a special meeting of its stockholders on March 8, 2022 to vote on the proposed transaction, and BellRing expects that Post will announce additional details about the spin-off, including the record date and distribution ratio, in the coming weeks. As discussed in more detail in BellRing’s proxy statement, in the transaction, BellRing stockholders will receive equity in New BellRing and BellRing stockholders and Post will receive their pro rata share of an amount of cash that Post and BellRing currently anticipate to be approximately $400 million. The parties expect the distribution to be completed in the first calendar quarter of 2022, subject to certain customary conditions, including the receipt of certain tax opinions and the approval of BellRing’s stockholders (including the approval of BellRing’s stockholders other than Post). There can be no assurance that the proposed transaction will be completed as anticipated or at all.</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Commentary</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BellRing continues to closely monitor the impact of the COVID-19 pandemic on its business and remains focused on ensuring the health and safety of its employees and serving customers and consumers. BellRing’s primary categories returned to growth rates in line with their pre-pandemic levels during the fourth quarter of fiscal year 2020 and have remained strong in subsequent periods.</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As the overall economy continues to recover from the impact of the COVID-19 pandemic, input and freight inflation and labor and input availability are pressuring BellRing’s supply chain. Lower than anticipated production and delays in capacity expansion across the broader third party shake contract manufacturer network have resulted in low inventories and missed sales. Service levels and fill rates remain below normal levels, and certain products have been placed on allocation. These factors are expected to improve but persist throughout fiscal year 2022 and are dependent upon BellRing’s contract manufacturer partners’ ability to deliver committed volumes, add capacity on expected timelines, retain manufacturing staff and rebuild inventory levels. Raw material, packaging and freight inflation has been widespread, rapid and significant, and has put downward pressure on profit margins. As a result, BellRing has taken pricing actions on nearly all products.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For fiscal year 2022, BellRing management continues to expect net sales and Adjusted EBITDA each to grow 9%-13% over fiscal year 2021 (resulting in a net sales range of $1.36-$1.41 billion and an Adjusted EBITDA range of $255-$265 million) and capital expenditures of approximately $4 million.</w:t>
      </w:r>
    </w:p>
    <w:p>
      <w:pPr>
        <w:spacing w:after="0" w:line="79"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restructuring and facility closures costs, separation costs, net earnings attributable to redeemable NCI and other charges reflected in BellRing’s reconciliation of historical numbers, the amounts of which, based on historical experience,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80"/>
          </w:cols>
          <w:pgMar w:left="300" w:top="644" w:right="319" w:bottom="1440" w:gutter="0" w:footer="0" w:header="0"/>
        </w:sectPr>
      </w:pPr>
    </w:p>
    <w:bookmarkStart w:id="5" w:name="page6"/>
    <w:bookmarkEnd w:id="5"/>
    <w:p>
      <w:pPr>
        <w:ind w:right="3180"/>
        <w:spacing w:after="0" w:line="438" w:lineRule="auto"/>
        <w:rPr>
          <w:sz w:val="20"/>
          <w:szCs w:val="20"/>
          <w:color w:val="auto"/>
        </w:rPr>
      </w:pPr>
      <w:r>
        <w:rPr>
          <w:rFonts w:ascii="Arial" w:cs="Arial" w:eastAsia="Arial" w:hAnsi="Arial"/>
          <w:sz w:val="12"/>
          <w:szCs w:val="12"/>
          <w:color w:val="auto"/>
        </w:rPr>
        <w:t xml:space="preserve">could be significant. For additional information regarding BellRing’s non-GAAP measures, see the related explanations presented under “Use of Non-GAAP Measures.” </w:t>
      </w:r>
      <w:r>
        <w:rPr>
          <w:rFonts w:ascii="Arial" w:cs="Arial" w:eastAsia="Arial" w:hAnsi="Arial"/>
          <w:sz w:val="12"/>
          <w:szCs w:val="12"/>
          <w:b w:val="1"/>
          <w:bCs w:val="1"/>
          <w:color w:val="auto"/>
        </w:rPr>
        <w:t>Use of Non-GAAP Measures</w:t>
      </w:r>
    </w:p>
    <w:p>
      <w:pPr>
        <w:ind w:right="140"/>
        <w:spacing w:after="0" w:line="263"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later in this release under “Explanation and Reconciliation of Non-GAAP Measures.”</w:t>
      </w:r>
    </w:p>
    <w:p>
      <w:pPr>
        <w:spacing w:after="0" w:line="86"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BellRing Conference Call to Discuss Earnings Results and Outlook</w:t>
      </w:r>
    </w:p>
    <w:p>
      <w:pPr>
        <w:spacing w:after="0" w:line="11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BellRing will host a conference call on Friday, February 4, 2022 at 10:30 a.m. EST to discuss financial results for the first quarter of fiscal year 2022 and fiscal year 2022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Interested parties may join the conference call by dialing (866) 518-6930 in the United States and (203) 518-9822 from outside of the United States. The conference identification number is BRBRQ122.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6"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A replay of the conference call will be available through Friday, February 18, 2022 by dialing (800) 839-8318 in the United States and (402) 220-6071 from outside of the United States.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20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Regarding the Proposed Distribution of Post’s Interest in BellRing and Where to Find It</w:t>
      </w:r>
    </w:p>
    <w:p>
      <w:pPr>
        <w:spacing w:after="0" w:line="118" w:lineRule="exact"/>
        <w:rPr>
          <w:sz w:val="20"/>
          <w:szCs w:val="20"/>
          <w:color w:val="auto"/>
        </w:rPr>
      </w:pPr>
    </w:p>
    <w:p>
      <w:pPr>
        <w:spacing w:after="0" w:line="305" w:lineRule="auto"/>
        <w:rPr>
          <w:sz w:val="20"/>
          <w:szCs w:val="20"/>
          <w:color w:val="auto"/>
        </w:rPr>
      </w:pPr>
      <w:r>
        <w:rPr>
          <w:rFonts w:ascii="Arial" w:cs="Arial" w:eastAsia="Arial" w:hAnsi="Arial"/>
          <w:sz w:val="10"/>
          <w:szCs w:val="10"/>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January 31,</w:t>
      </w:r>
    </w:p>
    <w:p>
      <w:pPr>
        <w:ind w:right="260"/>
        <w:spacing w:after="0" w:line="255" w:lineRule="auto"/>
        <w:rPr>
          <w:sz w:val="20"/>
          <w:szCs w:val="20"/>
          <w:color w:val="auto"/>
        </w:rPr>
      </w:pPr>
      <w:r>
        <w:rPr>
          <w:rFonts w:ascii="Arial" w:cs="Arial" w:eastAsia="Arial" w:hAnsi="Arial"/>
          <w:sz w:val="12"/>
          <w:szCs w:val="12"/>
          <w:color w:val="auto"/>
        </w:rPr>
        <w:t>2022. INVESTORS AND SECURITYHOLDERS ARE URGED TO READ THE REGISTRATION STATEMENTS/ PROSPECTUSES, PROXY STATEMENT AND ANY DOCUMENTS INCORPORATED BY REFERENCE THEREIN, ANY AMENDMENTS TO THESE FILINGS, AND ANY OTHER RELEVANT DOCUMENTS WHEN THEY BECOME AVAILABLE BECAUSE THEY WILL CONTAIN IMPORTANT INFORMATION ABOUT NEW BELLRING, BELLRING AND THE PROPOSED TRANSACTION. The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644" w:right="319" w:bottom="1440" w:gutter="0" w:footer="0" w:header="0"/>
        </w:sectPr>
      </w:pPr>
    </w:p>
    <w:bookmarkStart w:id="6" w:name="page7"/>
    <w:bookmarkEnd w:id="6"/>
    <w:p>
      <w:pPr>
        <w:ind w:right="40"/>
        <w:spacing w:after="0" w:line="263" w:lineRule="auto"/>
        <w:rPr>
          <w:sz w:val="20"/>
          <w:szCs w:val="20"/>
          <w:color w:val="auto"/>
        </w:rPr>
      </w:pPr>
      <w:r>
        <w:rPr>
          <w:rFonts w:ascii="Arial" w:cs="Arial" w:eastAsia="Arial" w:hAnsi="Arial"/>
          <w:sz w:val="12"/>
          <w:szCs w:val="12"/>
          <w:color w:val="auto"/>
        </w:rPr>
        <w:t>registration statements were declared effective by the SEC on February 3, 2022, and a definitive proxy statement/prospectus will be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8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a Solicitation</w:t>
      </w:r>
    </w:p>
    <w:p>
      <w:pPr>
        <w:spacing w:after="0" w:line="109"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Certain matters discussed in this release and on BellRing’s conference call are forward-looking statements, including BellRing’s net sales, Adjusted EBITDA and capital expenditures outlook for fiscal year 2022, the effect of the COVID-19 pandemic on BellRing’s business, BellRing’s continuing response to the COVID-19 pandemic and the proposed transaction between Post and BellRing for the distribution of a significant portion of Post’s interest in BellRing to Post’s shareholders, including the amount of BellRing equity Post intends to distribute, the form of the distribution, the amount of cash Post and BellRing currently anticipate to be distributed to BellRing stockholders and Post and the expected timing of the completion of the proposed transaction.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3" w:lineRule="exact"/>
        <w:rPr>
          <w:sz w:val="20"/>
          <w:szCs w:val="20"/>
          <w:color w:val="auto"/>
        </w:rPr>
      </w:pPr>
    </w:p>
    <w:p>
      <w:pPr>
        <w:ind w:left="420" w:right="10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jc w:val="both"/>
        <w:ind w:left="420" w:right="6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labor and other supplies);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644" w:right="319" w:bottom="1440" w:gutter="0" w:footer="0" w:header="0"/>
        </w:sectPr>
      </w:pPr>
    </w:p>
    <w:bookmarkStart w:id="7" w:name="page8"/>
    <w:bookmarkEnd w:id="7"/>
    <w:p>
      <w:pPr>
        <w:ind w:left="420" w:right="40" w:hanging="212"/>
        <w:spacing w:after="0" w:line="258"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maintain the net selling prices of its products and manage promotional activities with respect to its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changes in economic conditions, disruptions in the U.S. and global capital and credit markets, changes in interest rates, volatility in the market value of derivatives and fluctuations in foreign currency exchange rates;</w:t>
      </w:r>
    </w:p>
    <w:p>
      <w:pPr>
        <w:spacing w:after="0" w:line="17" w:lineRule="exact"/>
        <w:rPr>
          <w:rFonts w:ascii="Arial" w:cs="Arial" w:eastAsia="Arial" w:hAnsi="Arial"/>
          <w:sz w:val="11"/>
          <w:szCs w:val="11"/>
          <w:color w:val="auto"/>
        </w:rPr>
      </w:pPr>
    </w:p>
    <w:p>
      <w:pPr>
        <w:ind w:left="420" w:right="200" w:hanging="212"/>
        <w:spacing w:after="0" w:line="250"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conflicting interests or the appearance of conflicting interests resulting from certain of BellRing’s directors also serving as officers or directors of Post;</w:t>
      </w:r>
    </w:p>
    <w:p>
      <w:pPr>
        <w:spacing w:after="0" w:line="6" w:lineRule="exact"/>
        <w:rPr>
          <w:rFonts w:ascii="Arial" w:cs="Arial" w:eastAsia="Arial" w:hAnsi="Arial"/>
          <w:sz w:val="12"/>
          <w:szCs w:val="12"/>
          <w:color w:val="auto"/>
        </w:rPr>
      </w:pPr>
    </w:p>
    <w:p>
      <w:pPr>
        <w:ind w:left="420" w:right="180" w:hanging="212"/>
        <w:spacing w:after="0" w:line="273" w:lineRule="auto"/>
        <w:tabs>
          <w:tab w:leader="none" w:pos="417" w:val="left"/>
        </w:tabs>
        <w:numPr>
          <w:ilvl w:val="0"/>
          <w:numId w:val="5"/>
        </w:numPr>
        <w:rPr>
          <w:rFonts w:ascii="Arial" w:cs="Arial" w:eastAsia="Arial" w:hAnsi="Arial"/>
          <w:sz w:val="11"/>
          <w:szCs w:val="11"/>
          <w:color w:val="auto"/>
        </w:rPr>
      </w:pPr>
      <w:r>
        <w:rPr>
          <w:rFonts w:ascii="Arial" w:cs="Arial" w:eastAsia="Arial" w:hAnsi="Arial"/>
          <w:sz w:val="11"/>
          <w:szCs w:val="11"/>
          <w:color w:val="auto"/>
        </w:rPr>
        <w:t>risks related to the proposed distribution by Post of a significant portion of its ownership interest in BellRing, including that it is subject to various conditions and may not occur, BellRing’s inability to take certain actions because such actions could jeopardize the tax-free status of the proposed distribution and BellRing’s possible responsibility for U.S. federal tax liabilities related to the proposed distribution;</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offering ready-to-drink shake and powder protein products.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160"/>
          </w:cols>
          <w:pgMar w:left="300" w:top="644"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 xml:space="preserve">CONDENSED 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2"/>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3"/>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2020</w:t>
            </w:r>
          </w:p>
        </w:tc>
      </w:tr>
      <w:tr>
        <w:trPr>
          <w:trHeight w:val="144"/>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1140" w:type="dxa"/>
            <w:vAlign w:val="bottom"/>
            <w:shd w:val="clear" w:color="auto" w:fill="CCEEFF"/>
          </w:tcPr>
          <w:p>
            <w:pPr>
              <w:jc w:val="right"/>
              <w:ind w:right="100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306.5</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282.4</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214.2</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190.5</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92.3</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w:t>
            </w: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36.8</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38.3</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42"/>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1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w:t>
            </w: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Interest expense, net</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12.8</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before Income Taxes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w:t>
            </w:r>
          </w:p>
        </w:tc>
      </w:tr>
      <w:tr>
        <w:trPr>
          <w:trHeight w:val="158"/>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14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3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7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share of Class A Common Stock:</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Basic</w:t>
            </w:r>
          </w:p>
        </w:tc>
        <w:tc>
          <w:tcPr>
            <w:tcW w:w="1140" w:type="dxa"/>
            <w:vAlign w:val="bottom"/>
          </w:tcPr>
          <w:p>
            <w:pPr>
              <w:jc w:val="right"/>
              <w:ind w:right="1001"/>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0.21</w:t>
            </w:r>
          </w:p>
        </w:tc>
        <w:tc>
          <w:tcPr>
            <w:tcW w:w="34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0.20</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140" w:type="dxa"/>
            <w:vAlign w:val="bottom"/>
            <w:shd w:val="clear" w:color="auto" w:fill="CCEEFF"/>
          </w:tcPr>
          <w:p>
            <w:pPr>
              <w:jc w:val="right"/>
              <w:ind w:right="100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0.20</w:t>
            </w:r>
          </w:p>
        </w:tc>
      </w:tr>
      <w:tr>
        <w:trPr>
          <w:trHeight w:val="171"/>
        </w:trPr>
        <w:tc>
          <w:tcPr>
            <w:tcW w:w="7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shares of Class A Common Stock Outstanding:</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Basic</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39.4</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39.5</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20"/>
          </w:cols>
          <w:pgMar w:left="340" w:top="64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2021</w:t>
            </w: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September 30, 2021</w:t>
            </w: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20" w:type="dxa"/>
            <w:vAlign w:val="bottom"/>
            <w:gridSpan w:val="2"/>
            <w:shd w:val="clear" w:color="auto" w:fill="CCEEFF"/>
          </w:tcPr>
          <w:p>
            <w:pPr>
              <w:jc w:val="center"/>
              <w:ind w:right="466"/>
              <w:spacing w:after="0"/>
              <w:rPr>
                <w:sz w:val="20"/>
                <w:szCs w:val="20"/>
                <w:color w:val="auto"/>
              </w:rPr>
            </w:pPr>
            <w:r>
              <w:rPr>
                <w:rFonts w:ascii="Arial" w:cs="Arial" w:eastAsia="Arial" w:hAnsi="Arial"/>
                <w:sz w:val="11"/>
                <w:szCs w:val="11"/>
                <w:b w:val="1"/>
                <w:bCs w:val="1"/>
                <w:color w:val="auto"/>
                <w:w w:val="90"/>
              </w:rPr>
              <w:t>ASSETS</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20" w:type="dxa"/>
            <w:vAlign w:val="bottom"/>
            <w:gridSpan w:val="2"/>
            <w:shd w:val="clear" w:color="auto" w:fill="CCEEFF"/>
          </w:tcPr>
          <w:p>
            <w:pPr>
              <w:jc w:val="right"/>
              <w:ind w:right="124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26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118.2</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103.9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130.2</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3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297.6</w:t>
            </w: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388.1</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218.2</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w:t>
            </w:r>
          </w:p>
        </w:tc>
        <w:tc>
          <w:tcPr>
            <w:tcW w:w="3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320" w:type="dxa"/>
            <w:vAlign w:val="bottom"/>
            <w:gridSpan w:val="2"/>
            <w:shd w:val="clear" w:color="auto" w:fill="CCEEFF"/>
          </w:tcPr>
          <w:p>
            <w:pPr>
              <w:jc w:val="right"/>
              <w:ind w:right="124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600.6</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26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jc w:val="center"/>
              <w:ind w:right="466"/>
              <w:spacing w:after="0"/>
              <w:rPr>
                <w:sz w:val="20"/>
                <w:szCs w:val="20"/>
                <w:color w:val="auto"/>
              </w:rPr>
            </w:pPr>
            <w:r>
              <w:rPr>
                <w:rFonts w:ascii="Arial" w:cs="Arial" w:eastAsia="Arial" w:hAnsi="Arial"/>
                <w:sz w:val="11"/>
                <w:szCs w:val="11"/>
                <w:b w:val="1"/>
                <w:bCs w:val="1"/>
                <w:color w:val="auto"/>
              </w:rPr>
              <w:t>LIABILITIES AND STOCKHOLDERS’ DEFICIT</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320" w:type="dxa"/>
            <w:vAlign w:val="bottom"/>
            <w:gridSpan w:val="2"/>
            <w:shd w:val="clear" w:color="auto" w:fill="CCEEFF"/>
          </w:tcPr>
          <w:p>
            <w:pPr>
              <w:jc w:val="right"/>
              <w:ind w:right="1246"/>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26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72.5</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91.9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w:t>
            </w:r>
          </w:p>
        </w:tc>
        <w:tc>
          <w:tcPr>
            <w:tcW w:w="3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145.7</w:t>
            </w: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251.3</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473.4</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481.2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3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647.5</w:t>
            </w: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762.0</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2,780.9</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2,997.3</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1"/>
              </w:rPr>
              <w:t>(2,806.6)</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1"/>
              </w:rPr>
              <w:t>(3,059.7)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Treasury stock, at cost</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w:t>
            </w:r>
          </w:p>
        </w:tc>
        <w:tc>
          <w:tcPr>
            <w:tcW w:w="34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Stockholders’ Deficit</w:t>
            </w:r>
          </w:p>
        </w:tc>
        <w:tc>
          <w:tcPr>
            <w:tcW w:w="394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(2,827.8)</w:t>
            </w:r>
          </w:p>
        </w:tc>
        <w:tc>
          <w:tcPr>
            <w:tcW w:w="34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1"/>
              </w:rPr>
              <w:t>(3,062.8)</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Liabilities and Stockholders’ Deficit</w:t>
            </w:r>
          </w:p>
        </w:tc>
        <w:tc>
          <w:tcPr>
            <w:tcW w:w="5320" w:type="dxa"/>
            <w:vAlign w:val="bottom"/>
            <w:gridSpan w:val="2"/>
          </w:tcPr>
          <w:p>
            <w:pPr>
              <w:jc w:val="right"/>
              <w:ind w:right="1246"/>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600.6</w:t>
            </w:r>
          </w:p>
        </w:tc>
        <w:tc>
          <w:tcPr>
            <w:tcW w:w="340" w:type="dxa"/>
            <w:vAlign w:val="bottom"/>
          </w:tcPr>
          <w:p>
            <w:pPr>
              <w:spacing w:after="0"/>
              <w:rPr>
                <w:sz w:val="12"/>
                <w:szCs w:val="12"/>
                <w:color w:val="auto"/>
              </w:rPr>
            </w:pPr>
          </w:p>
        </w:tc>
        <w:tc>
          <w:tcPr>
            <w:tcW w:w="1400" w:type="dxa"/>
            <w:vAlign w:val="bottom"/>
          </w:tcPr>
          <w:p>
            <w:pPr>
              <w:jc w:val="right"/>
              <w:ind w:right="126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696.5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00" w:type="dxa"/>
            <w:vAlign w:val="bottom"/>
          </w:tcPr>
          <w:p>
            <w:pPr>
              <w:spacing w:after="0"/>
              <w:rPr>
                <w:sz w:val="24"/>
                <w:szCs w:val="24"/>
                <w:color w:val="auto"/>
              </w:rPr>
            </w:pPr>
          </w:p>
        </w:tc>
        <w:tc>
          <w:tcPr>
            <w:tcW w:w="5320" w:type="dxa"/>
            <w:vAlign w:val="bottom"/>
            <w:gridSpan w:val="2"/>
          </w:tcPr>
          <w:p>
            <w:pPr>
              <w:jc w:val="center"/>
              <w:ind w:right="466"/>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320" w:type="dxa"/>
            <w:vAlign w:val="bottom"/>
            <w:gridSpan w:val="2"/>
          </w:tcPr>
          <w:p>
            <w:pPr>
              <w:jc w:val="center"/>
              <w:ind w:right="466"/>
              <w:spacing w:after="0"/>
              <w:rPr>
                <w:sz w:val="20"/>
                <w:szCs w:val="20"/>
                <w:color w:val="auto"/>
              </w:rPr>
            </w:pPr>
            <w:r>
              <w:rPr>
                <w:rFonts w:ascii="Arial" w:cs="Arial" w:eastAsia="Arial" w:hAnsi="Arial"/>
                <w:sz w:val="11"/>
                <w:szCs w:val="11"/>
                <w:b w:val="1"/>
                <w:bCs w:val="1"/>
                <w:color w:val="auto"/>
                <w:w w:val="90"/>
              </w:rPr>
              <w:t>(in millions)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1"/>
                <w:szCs w:val="11"/>
                <w:b w:val="1"/>
                <w:bCs w:val="1"/>
                <w:color w:val="auto"/>
              </w:rPr>
              <w:t>Three Months Ended December 31,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(used in) provided by:</w:t>
            </w:r>
          </w:p>
        </w:tc>
        <w:tc>
          <w:tcPr>
            <w:tcW w:w="39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20" w:type="dxa"/>
            <w:vAlign w:val="bottom"/>
            <w:gridSpan w:val="2"/>
          </w:tcPr>
          <w:p>
            <w:pPr>
              <w:jc w:val="right"/>
              <w:ind w:right="1246"/>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(9.1)</w:t>
            </w:r>
          </w:p>
        </w:tc>
        <w:tc>
          <w:tcPr>
            <w:tcW w:w="340" w:type="dxa"/>
            <w:vAlign w:val="bottom"/>
          </w:tcPr>
          <w:p>
            <w:pPr>
              <w:spacing w:after="0"/>
              <w:rPr>
                <w:sz w:val="13"/>
                <w:szCs w:val="13"/>
                <w:color w:val="auto"/>
              </w:rPr>
            </w:pPr>
          </w:p>
        </w:tc>
        <w:tc>
          <w:tcPr>
            <w:tcW w:w="1400" w:type="dxa"/>
            <w:vAlign w:val="bottom"/>
          </w:tcPr>
          <w:p>
            <w:pPr>
              <w:jc w:val="right"/>
              <w:ind w:right="126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(112.5)</w:t>
            </w: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5320" w:type="dxa"/>
            <w:vAlign w:val="bottom"/>
            <w:gridSpan w:val="2"/>
          </w:tcPr>
          <w:p>
            <w:pPr>
              <w:jc w:val="right"/>
              <w:ind w:right="1246"/>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(122.2)</w:t>
            </w:r>
          </w:p>
        </w:tc>
        <w:tc>
          <w:tcPr>
            <w:tcW w:w="340" w:type="dxa"/>
            <w:vAlign w:val="bottom"/>
          </w:tcPr>
          <w:p>
            <w:pPr>
              <w:spacing w:after="0"/>
              <w:rPr>
                <w:sz w:val="12"/>
                <w:szCs w:val="12"/>
                <w:color w:val="auto"/>
              </w:rPr>
            </w:pPr>
          </w:p>
        </w:tc>
        <w:tc>
          <w:tcPr>
            <w:tcW w:w="1400" w:type="dxa"/>
            <w:vAlign w:val="bottom"/>
          </w:tcPr>
          <w:p>
            <w:pPr>
              <w:jc w:val="right"/>
              <w:ind w:right="1262"/>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Class A common stockholders and Adjusted diluted earnings per share of Class A common stock</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Class A common stockholders and Adjusted diluted earnings per share of Class A common stock are adjusted for the following items:</w:t>
      </w:r>
    </w:p>
    <w:p>
      <w:pPr>
        <w:spacing w:after="0" w:line="15" w:lineRule="exact"/>
        <w:rPr>
          <w:sz w:val="20"/>
          <w:szCs w:val="20"/>
          <w:color w:val="auto"/>
        </w:rPr>
      </w:pPr>
    </w:p>
    <w:p>
      <w:pPr>
        <w:jc w:val="both"/>
        <w:ind w:left="420" w:right="180" w:hanging="212"/>
        <w:spacing w:after="0" w:line="250" w:lineRule="auto"/>
        <w:tabs>
          <w:tab w:leader="none" w:pos="413"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the discontinuation of certain brands as the amount and frequency of such charges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340" w:hanging="212"/>
        <w:spacing w:after="0" w:line="250"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60" w:hanging="212"/>
        <w:spacing w:after="0" w:line="250" w:lineRule="auto"/>
        <w:tabs>
          <w:tab w:leader="none" w:pos="413"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(i) to effect its separation from Post, (ii) in connection with Post’s plan to distribute Post’s interest in BellRing and (iii) to support its transition into a separate</w:t>
      </w:r>
      <w:r>
        <w:rPr>
          <w:rFonts w:ascii="Arial" w:cs="Arial" w:eastAsia="Arial" w:hAnsi="Arial"/>
          <w:sz w:val="12"/>
          <w:szCs w:val="12"/>
          <w:i w:val="1"/>
          <w:iCs w:val="1"/>
          <w:color w:val="auto"/>
        </w:rPr>
        <w:t xml:space="preserve"> </w:t>
      </w:r>
      <w:r>
        <w:rPr>
          <w:rFonts w:ascii="Arial" w:cs="Arial" w:eastAsia="Arial" w:hAnsi="Arial"/>
          <w:sz w:val="12"/>
          <w:szCs w:val="12"/>
          <w:color w:val="auto"/>
        </w:rPr>
        <w:t>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60" w:hanging="212"/>
        <w:spacing w:after="0" w:line="250"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40" w:hanging="212"/>
        <w:spacing w:after="0" w:line="273" w:lineRule="auto"/>
        <w:tabs>
          <w:tab w:leader="none" w:pos="413"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Mark-to-market adjustments on commodity hedges</w:t>
      </w:r>
      <w:r>
        <w:rPr>
          <w:rFonts w:ascii="Arial" w:cs="Arial" w:eastAsia="Arial" w:hAnsi="Arial"/>
          <w:sz w:val="11"/>
          <w:szCs w:val="11"/>
          <w:color w:val="auto"/>
        </w:rPr>
        <w:t>: BellRing has excluded the impact of mark-to-market adjustments on commodity hedges due to the inherent uncertainty and volatility associated with such amounts based on</w:t>
      </w:r>
      <w:r>
        <w:rPr>
          <w:rFonts w:ascii="Arial" w:cs="Arial" w:eastAsia="Arial" w:hAnsi="Arial"/>
          <w:sz w:val="11"/>
          <w:szCs w:val="11"/>
          <w:i w:val="1"/>
          <w:iCs w:val="1"/>
          <w:color w:val="auto"/>
        </w:rPr>
        <w:t xml:space="preserve"> </w:t>
      </w:r>
      <w:r>
        <w:rPr>
          <w:rFonts w:ascii="Arial" w:cs="Arial" w:eastAsia="Arial" w:hAnsi="Arial"/>
          <w:sz w:val="11"/>
          <w:szCs w:val="11"/>
          <w:color w:val="auto"/>
        </w:rPr>
        <w:t>changes in assumptions with respect to fair value estimates. Additionally, these adjustments are primarily non-cash items and the amount and frequency of such adjustments are not consistent.</w:t>
      </w:r>
    </w:p>
    <w:p>
      <w:pPr>
        <w:ind w:left="420" w:right="360" w:hanging="212"/>
        <w:spacing w:after="0" w:line="250" w:lineRule="auto"/>
        <w:tabs>
          <w:tab w:leader="none" w:pos="418"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redeemable NCI in the calculation of Adjusted net earnings available to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and Adjusted diluted earnings per share of Class A common stock.</w:t>
      </w:r>
    </w:p>
    <w:p>
      <w:pPr>
        <w:ind w:left="420" w:right="160" w:hanging="212"/>
        <w:spacing w:after="0" w:line="260"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and to forecast future results.</w:t>
      </w:r>
    </w:p>
    <w:p>
      <w:pPr>
        <w:spacing w:after="0" w:line="7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Adjusted EBITDA reflects adjustments for income tax expense, interest expense, net and depreciation and amortization including accelerated depreciation and amortization and the adjustments for restructuring and facility closure costs excluding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60"/>
          </w:cols>
          <w:pgMar w:left="300" w:top="643" w:right="339" w:bottom="1440" w:gutter="0" w:footer="0" w:header="0"/>
        </w:sectPr>
      </w:pPr>
    </w:p>
    <w:bookmarkStart w:id="11" w:name="page12"/>
    <w:bookmarkEnd w:id="11"/>
    <w:p>
      <w:pPr>
        <w:ind w:right="260"/>
        <w:spacing w:after="0" w:line="258" w:lineRule="auto"/>
        <w:rPr>
          <w:sz w:val="20"/>
          <w:szCs w:val="20"/>
          <w:color w:val="auto"/>
        </w:rPr>
      </w:pPr>
      <w:r>
        <w:rPr>
          <w:rFonts w:ascii="Arial" w:cs="Arial" w:eastAsia="Arial" w:hAnsi="Arial"/>
          <w:sz w:val="12"/>
          <w:szCs w:val="12"/>
          <w:color w:val="auto"/>
        </w:rPr>
        <w:t>accelerated depreciation, separation costs, foreign currency gain/loss on intercompany loans and mark-to-market adjustments on commodity hedges, as discussed above. Additionally, Adjusted EBITDA reflects adjustments for the following items:</w:t>
      </w:r>
    </w:p>
    <w:p>
      <w:pPr>
        <w:ind w:left="420" w:hanging="212"/>
        <w:spacing w:after="0" w:line="273" w:lineRule="auto"/>
        <w:tabs>
          <w:tab w:leader="none" w:pos="444"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Stock-based compensation</w:t>
      </w:r>
      <w:r>
        <w:rPr>
          <w:rFonts w:ascii="Arial" w:cs="Arial" w:eastAsia="Arial" w:hAnsi="Arial"/>
          <w:sz w:val="11"/>
          <w:szCs w:val="11"/>
          <w:color w:val="auto"/>
        </w:rPr>
        <w:t>: BellRing’s compensation strategy after the initial public offering (the “IPO”) includes the use of BellRing stock-based compensation to attract and retain executives and employees by aligning their</w:t>
      </w:r>
      <w:r>
        <w:rPr>
          <w:rFonts w:ascii="Arial" w:cs="Arial" w:eastAsia="Arial" w:hAnsi="Arial"/>
          <w:sz w:val="11"/>
          <w:szCs w:val="11"/>
          <w:i w:val="1"/>
          <w:iCs w:val="1"/>
          <w:color w:val="auto"/>
        </w:rPr>
        <w:t xml:space="preserve"> </w:t>
      </w:r>
      <w:r>
        <w:rPr>
          <w:rFonts w:ascii="Arial" w:cs="Arial" w:eastAsia="Arial" w:hAnsi="Arial"/>
          <w:sz w:val="11"/>
          <w:szCs w:val="11"/>
          <w:color w:val="auto"/>
        </w:rPr>
        <w:t>long-term compensation 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ind w:left="420" w:right="380" w:hanging="212"/>
        <w:spacing w:after="0" w:line="26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Net earnings attributable to redeemable noncontrolling interest</w:t>
      </w:r>
      <w:r>
        <w:rPr>
          <w:rFonts w:ascii="Arial" w:cs="Arial" w:eastAsia="Arial" w:hAnsi="Arial"/>
          <w:sz w:val="12"/>
          <w:szCs w:val="12"/>
          <w:color w:val="auto"/>
        </w:rPr>
        <w:t>: BellRing has included adjustments for the portion of its consolidated net earnings which was allocated to redeemable NCI, allowing for the calculation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to include 100% of BellRing as BellRing’s management evaluates BellRing’s operating performance on a basis that includes 100% of BellRing.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80"/>
          </w:cols>
          <w:pgMar w:left="300" w:top="644"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CLASS A COMMON STOCKHOLDERS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2"/>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3"/>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2020</w:t>
            </w:r>
          </w:p>
        </w:tc>
      </w:tr>
      <w:tr>
        <w:trPr>
          <w:trHeight w:val="144"/>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140" w:type="dxa"/>
            <w:vAlign w:val="bottom"/>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impact of net earnings attributable to NCI</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 for Diluted Earnings per Share</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71"/>
        </w:trPr>
        <w:tc>
          <w:tcPr>
            <w:tcW w:w="7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53"/>
        </w:trPr>
        <w:tc>
          <w:tcPr>
            <w:tcW w:w="7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r>
      <w:tr>
        <w:trPr>
          <w:trHeight w:val="153"/>
        </w:trPr>
        <w:tc>
          <w:tcPr>
            <w:tcW w:w="7140" w:type="dxa"/>
            <w:vAlign w:val="bottom"/>
          </w:tcPr>
          <w:p>
            <w:pPr>
              <w:ind w:left="160"/>
              <w:spacing w:after="0"/>
              <w:rPr>
                <w:sz w:val="20"/>
                <w:szCs w:val="20"/>
                <w:color w:val="auto"/>
              </w:rPr>
            </w:pPr>
            <w:r>
              <w:rPr>
                <w:rFonts w:ascii="Arial" w:cs="Arial" w:eastAsia="Arial" w:hAnsi="Arial"/>
                <w:sz w:val="12"/>
                <w:szCs w:val="12"/>
                <w:color w:val="auto"/>
              </w:rPr>
              <w:t>Separation costs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loss (gain) on intercompany loans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53"/>
        </w:trPr>
        <w:tc>
          <w:tcPr>
            <w:tcW w:w="714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42"/>
        </w:trPr>
        <w:tc>
          <w:tcPr>
            <w:tcW w:w="714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7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42"/>
        </w:trPr>
        <w:tc>
          <w:tcPr>
            <w:tcW w:w="7140" w:type="dxa"/>
            <w:vAlign w:val="bottom"/>
          </w:tcPr>
          <w:p>
            <w:pPr>
              <w:spacing w:after="0"/>
              <w:rPr>
                <w:sz w:val="20"/>
                <w:szCs w:val="20"/>
                <w:color w:val="auto"/>
              </w:rPr>
            </w:pPr>
            <w:r>
              <w:rPr>
                <w:rFonts w:ascii="Arial" w:cs="Arial" w:eastAsia="Arial" w:hAnsi="Arial"/>
                <w:sz w:val="12"/>
                <w:szCs w:val="12"/>
                <w:b w:val="1"/>
                <w:bCs w:val="1"/>
                <w:color w:val="auto"/>
              </w:rPr>
              <w:t>Adjusted Net Earnings Available to Class A Common Stockholders</w:t>
            </w:r>
          </w:p>
        </w:tc>
        <w:tc>
          <w:tcPr>
            <w:tcW w:w="1140" w:type="dxa"/>
            <w:vAlign w:val="bottom"/>
            <w:tcBorders>
              <w:bottom w:val="single" w:sz="8" w:color="auto"/>
            </w:tcBorders>
          </w:tcPr>
          <w:p>
            <w:pPr>
              <w:jc w:val="right"/>
              <w:ind w:right="100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w:t>
            </w:r>
          </w:p>
        </w:tc>
        <w:tc>
          <w:tcPr>
            <w:tcW w:w="340" w:type="dxa"/>
            <w:vAlign w:val="bottom"/>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w:t>
            </w:r>
          </w:p>
        </w:tc>
      </w:tr>
      <w:tr>
        <w:trPr>
          <w:trHeight w:val="20"/>
        </w:trPr>
        <w:tc>
          <w:tcPr>
            <w:tcW w:w="7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60" w:firstLine="9"/>
        <w:spacing w:after="0" w:line="288" w:lineRule="auto"/>
        <w:tabs>
          <w:tab w:leader="none" w:pos="121" w:val="left"/>
        </w:tabs>
        <w:numPr>
          <w:ilvl w:val="0"/>
          <w:numId w:val="8"/>
        </w:numPr>
        <w:rPr>
          <w:rFonts w:ascii="Arial" w:cs="Arial" w:eastAsia="Arial" w:hAnsi="Arial"/>
          <w:sz w:val="13"/>
          <w:szCs w:val="13"/>
          <w:color w:val="auto"/>
          <w:vertAlign w:val="superscript"/>
        </w:rPr>
      </w:pPr>
      <w:r>
        <w:rPr>
          <w:rFonts w:ascii="Arial" w:cs="Arial" w:eastAsia="Arial" w:hAnsi="Arial"/>
          <w:sz w:val="10"/>
          <w:szCs w:val="10"/>
          <w:color w:val="auto"/>
        </w:rPr>
        <w:t>For all periods, income tax effect on adjustments was calculated on all items, except for separation costs and NCI adjustment, using a rate of 7.0%, which represents the effective income tax rate on BellRing’s distributive share from BellRing LLC. For all periods, NCI adjustment was calculated using a rate of 0.0%. For the three months ended December 31, 2021, income tax effect for separation costs was calculated using a rate of 24.0%.</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CLASS A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CLASS A COMMON STOCK (Unaudited)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2"/>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3"/>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Arial" w:cs="Arial" w:eastAsia="Arial" w:hAnsi="Arial"/>
                <w:sz w:val="11"/>
                <w:szCs w:val="11"/>
                <w:b w:val="1"/>
                <w:bCs w:val="1"/>
                <w:color w:val="auto"/>
              </w:rPr>
              <w:t>2020</w:t>
            </w:r>
          </w:p>
        </w:tc>
      </w:tr>
      <w:tr>
        <w:trPr>
          <w:trHeight w:val="144"/>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Class A Common Stock</w:t>
            </w:r>
          </w:p>
        </w:tc>
        <w:tc>
          <w:tcPr>
            <w:tcW w:w="1140" w:type="dxa"/>
            <w:vAlign w:val="bottom"/>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0.20</w:t>
            </w:r>
          </w:p>
        </w:tc>
      </w:tr>
      <w:tr>
        <w:trPr>
          <w:trHeight w:val="171"/>
        </w:trPr>
        <w:tc>
          <w:tcPr>
            <w:tcW w:w="7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0.01</w:t>
            </w:r>
          </w:p>
        </w:tc>
      </w:tr>
      <w:tr>
        <w:trPr>
          <w:trHeight w:val="153"/>
        </w:trPr>
        <w:tc>
          <w:tcPr>
            <w:tcW w:w="7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0.12</w:t>
            </w:r>
          </w:p>
        </w:tc>
      </w:tr>
      <w:tr>
        <w:trPr>
          <w:trHeight w:val="153"/>
        </w:trPr>
        <w:tc>
          <w:tcPr>
            <w:tcW w:w="7140" w:type="dxa"/>
            <w:vAlign w:val="bottom"/>
          </w:tcPr>
          <w:p>
            <w:pPr>
              <w:ind w:left="160"/>
              <w:spacing w:after="0"/>
              <w:rPr>
                <w:sz w:val="20"/>
                <w:szCs w:val="20"/>
                <w:color w:val="auto"/>
              </w:rPr>
            </w:pPr>
            <w:r>
              <w:rPr>
                <w:rFonts w:ascii="Arial" w:cs="Arial" w:eastAsia="Arial" w:hAnsi="Arial"/>
                <w:sz w:val="12"/>
                <w:szCs w:val="12"/>
                <w:color w:val="auto"/>
              </w:rPr>
              <w:t>Separation costs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0.05</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7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loss (gain) on intercompany loans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53"/>
        </w:trPr>
        <w:tc>
          <w:tcPr>
            <w:tcW w:w="7140" w:type="dxa"/>
            <w:vAlign w:val="bottom"/>
          </w:tcPr>
          <w:p>
            <w:pPr>
              <w:ind w:left="160"/>
              <w:spacing w:after="0"/>
              <w:rPr>
                <w:sz w:val="20"/>
                <w:szCs w:val="20"/>
                <w:color w:val="auto"/>
              </w:rPr>
            </w:pPr>
            <w:r>
              <w:rPr>
                <w:rFonts w:ascii="Arial" w:cs="Arial" w:eastAsia="Arial" w:hAnsi="Arial"/>
                <w:sz w:val="12"/>
                <w:szCs w:val="12"/>
                <w:color w:val="auto"/>
              </w:rPr>
              <w:t>Mark-to-market adjustments on commodity hedges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(0.01)</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7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r>
      <w:tr>
        <w:trPr>
          <w:trHeight w:val="142"/>
        </w:trPr>
        <w:tc>
          <w:tcPr>
            <w:tcW w:w="714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0.05</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0.03</w:t>
            </w:r>
          </w:p>
        </w:tc>
      </w:tr>
      <w:tr>
        <w:trPr>
          <w:trHeight w:val="153"/>
        </w:trPr>
        <w:tc>
          <w:tcPr>
            <w:tcW w:w="7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r>
      <w:tr>
        <w:trPr>
          <w:trHeight w:val="124"/>
        </w:trPr>
        <w:tc>
          <w:tcPr>
            <w:tcW w:w="7140" w:type="dxa"/>
            <w:vAlign w:val="bottom"/>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Class A Common Stock</w:t>
            </w:r>
          </w:p>
        </w:tc>
        <w:tc>
          <w:tcPr>
            <w:tcW w:w="1140" w:type="dxa"/>
            <w:vAlign w:val="bottom"/>
            <w:tcBorders>
              <w:bottom w:val="single" w:sz="8" w:color="auto"/>
            </w:tcBorders>
          </w:tcPr>
          <w:p>
            <w:pPr>
              <w:jc w:val="right"/>
              <w:ind w:right="1002"/>
              <w:spacing w:after="0" w:line="124" w:lineRule="exact"/>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0.25</w:t>
            </w:r>
          </w:p>
        </w:tc>
        <w:tc>
          <w:tcPr>
            <w:tcW w:w="340" w:type="dxa"/>
            <w:vAlign w:val="bottom"/>
          </w:tcPr>
          <w:p>
            <w:pPr>
              <w:spacing w:after="0"/>
              <w:rPr>
                <w:sz w:val="10"/>
                <w:szCs w:val="10"/>
                <w:color w:val="auto"/>
              </w:rPr>
            </w:pPr>
          </w:p>
        </w:tc>
        <w:tc>
          <w:tcPr>
            <w:tcW w:w="740" w:type="dxa"/>
            <w:vAlign w:val="bottom"/>
            <w:tcBorders>
              <w:bottom w:val="single" w:sz="8" w:color="auto"/>
            </w:tcBorders>
          </w:tcPr>
          <w:p>
            <w:pPr>
              <w:jc w:val="right"/>
              <w:ind w:right="600"/>
              <w:spacing w:after="0" w:line="124"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0.22</w:t>
            </w:r>
          </w:p>
        </w:tc>
      </w:tr>
      <w:tr>
        <w:trPr>
          <w:trHeight w:val="20"/>
        </w:trPr>
        <w:tc>
          <w:tcPr>
            <w:tcW w:w="7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260" w:firstLine="9"/>
        <w:spacing w:after="0" w:line="288" w:lineRule="auto"/>
        <w:tabs>
          <w:tab w:leader="none" w:pos="121"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For all periods, income tax effect on adjustments was calculated on all items, except for separation costs and NCI adjustment, using a rate of 7.0%, which represents the effective income tax rate on BellRing’s distributive share from BellRing LLC. For all periods, NCI adjustment was calculated using a rate of 0.0%. For the three months ended December 31, 2021, income tax effect for separation costs was calculated using a rate of 24.0%.</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20"/>
          </w:cols>
          <w:pgMar w:left="340" w:top="643"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1"/>
                <w:szCs w:val="11"/>
                <w:b w:val="1"/>
                <w:bCs w:val="1"/>
                <w:color w:val="auto"/>
                <w:w w:val="93"/>
              </w:rPr>
              <w:t>Three Months Ended December 31,</w:t>
            </w:r>
          </w:p>
        </w:tc>
        <w:tc>
          <w:tcPr>
            <w:tcW w:w="1200" w:type="dxa"/>
            <w:vAlign w:val="bottom"/>
            <w:tcBorders>
              <w:bottom w:val="single" w:sz="8" w:color="auto"/>
            </w:tcBorders>
          </w:tcPr>
          <w:p>
            <w:pPr>
              <w:spacing w:after="0"/>
              <w:rPr>
                <w:sz w:val="12"/>
                <w:szCs w:val="12"/>
                <w:color w:val="auto"/>
              </w:rPr>
            </w:pPr>
          </w:p>
        </w:tc>
      </w:tr>
      <w:tr>
        <w:trPr>
          <w:trHeight w:val="133"/>
        </w:trPr>
        <w:tc>
          <w:tcPr>
            <w:tcW w:w="70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rPr>
              <w:t>2021</w:t>
            </w: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00"/>
              <w:spacing w:after="0"/>
              <w:rPr>
                <w:sz w:val="20"/>
                <w:szCs w:val="20"/>
                <w:color w:val="auto"/>
              </w:rPr>
            </w:pPr>
            <w:r>
              <w:rPr>
                <w:rFonts w:ascii="Arial" w:cs="Arial" w:eastAsia="Arial" w:hAnsi="Arial"/>
                <w:sz w:val="11"/>
                <w:szCs w:val="11"/>
                <w:b w:val="1"/>
                <w:bCs w:val="1"/>
                <w:color w:val="auto"/>
              </w:rPr>
              <w:t>2020</w:t>
            </w:r>
          </w:p>
        </w:tc>
      </w:tr>
      <w:tr>
        <w:trPr>
          <w:trHeight w:val="144"/>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180" w:type="dxa"/>
            <w:vAlign w:val="bottom"/>
            <w:shd w:val="clear" w:color="auto" w:fill="CCEEFF"/>
          </w:tcPr>
          <w:p>
            <w:pPr>
              <w:jc w:val="right"/>
              <w:ind w:right="1042"/>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8.2</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Income tax expense</w:t>
            </w:r>
          </w:p>
        </w:tc>
        <w:tc>
          <w:tcPr>
            <w:tcW w:w="1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2.9</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2.1</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8.4</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12.8</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1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5.3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6.7</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1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4.6</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2.0</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Arial" w:cs="Arial" w:eastAsia="Arial" w:hAnsi="Arial"/>
                <w:sz w:val="12"/>
                <w:szCs w:val="12"/>
                <w:color w:val="auto"/>
              </w:rPr>
              <w:t>1.9</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Separation costs</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Foreign currency loss (gain) on intercompany loans</w:t>
            </w:r>
          </w:p>
        </w:tc>
        <w:tc>
          <w:tcPr>
            <w:tcW w:w="1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0.2</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(0.3)</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Mark-to-market adjustments on commodity hedges</w:t>
            </w: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earnings attributable to redeemable noncontrolling interest</w:t>
            </w:r>
          </w:p>
        </w:tc>
        <w:tc>
          <w:tcPr>
            <w:tcW w:w="1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31.1</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25.1</w:t>
            </w:r>
          </w:p>
        </w:tc>
      </w:tr>
      <w:tr>
        <w:trPr>
          <w:trHeight w:val="15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w:t>
            </w:r>
          </w:p>
        </w:tc>
        <w:tc>
          <w:tcPr>
            <w:tcW w:w="118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59.8</w:t>
            </w:r>
          </w:p>
        </w:tc>
        <w:tc>
          <w:tcPr>
            <w:tcW w:w="3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60.7</w:t>
            </w:r>
          </w:p>
        </w:tc>
      </w:tr>
      <w:tr>
        <w:trPr>
          <w:trHeight w:val="153"/>
        </w:trPr>
        <w:tc>
          <w:tcPr>
            <w:tcW w:w="7000" w:type="dxa"/>
            <w:vAlign w:val="bottom"/>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1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19.5 %</w:t>
            </w:r>
          </w:p>
        </w:tc>
        <w:tc>
          <w:tcPr>
            <w:tcW w:w="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21.5 %</w:t>
            </w:r>
          </w:p>
        </w:tc>
      </w:tr>
      <w:tr>
        <w:trPr>
          <w:trHeight w:val="20"/>
        </w:trPr>
        <w:tc>
          <w:tcPr>
            <w:tcW w:w="7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20"/>
          </w:cols>
          <w:pgMar w:left="340" w:top="751" w:right="33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8"/>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2022-02-04T05:25:58Z</dcterms:created>
  <dcterms:modified xsi:type="dcterms:W3CDTF">2022-02-04T05:25:58Z</dcterms:modified>
</cp:coreProperties>
</file>