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422275</wp:posOffset>
            </wp:positionV>
            <wp:extent cx="1165860"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586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BellRing Brands,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420" w:type="dxa"/>
        <w:tblCellMar>
          <w:top w:w="0" w:type="dxa"/>
          <w:left w:w="0" w:type="dxa"/>
          <w:bottom w:w="0" w:type="dxa"/>
          <w:right w:w="0" w:type="dxa"/>
        </w:tblCellMar>
      </w:tblPr>
      <w:tr>
        <w:trPr>
          <w:trHeight w:val="212"/>
        </w:trPr>
        <w:tc>
          <w:tcPr>
            <w:tcW w:w="2140" w:type="dxa"/>
            <w:vAlign w:val="bottom"/>
          </w:tcPr>
          <w:p>
            <w:pPr>
              <w:jc w:val="center"/>
              <w:ind w:right="279"/>
              <w:spacing w:after="0"/>
              <w:rPr>
                <w:sz w:val="20"/>
                <w:szCs w:val="20"/>
                <w:color w:val="auto"/>
              </w:rPr>
            </w:pPr>
            <w:r>
              <w:rPr>
                <w:rFonts w:ascii="Arial" w:cs="Arial" w:eastAsia="Arial" w:hAnsi="Arial"/>
                <w:sz w:val="18"/>
                <w:szCs w:val="18"/>
                <w:b w:val="1"/>
                <w:bCs w:val="1"/>
                <w:color w:val="auto"/>
                <w:w w:val="93"/>
              </w:rPr>
              <w:t>Delaware</w:t>
            </w:r>
          </w:p>
        </w:tc>
        <w:tc>
          <w:tcPr>
            <w:tcW w:w="3680" w:type="dxa"/>
            <w:vAlign w:val="bottom"/>
          </w:tcPr>
          <w:p>
            <w:pPr>
              <w:ind w:left="2580"/>
              <w:spacing w:after="0"/>
              <w:rPr>
                <w:sz w:val="20"/>
                <w:szCs w:val="20"/>
                <w:color w:val="auto"/>
              </w:rPr>
            </w:pPr>
            <w:r>
              <w:rPr>
                <w:rFonts w:ascii="Arial" w:cs="Arial" w:eastAsia="Arial" w:hAnsi="Arial"/>
                <w:sz w:val="18"/>
                <w:szCs w:val="18"/>
                <w:b w:val="1"/>
                <w:bCs w:val="1"/>
                <w:color w:val="auto"/>
              </w:rPr>
              <w:t>001-39093</w:t>
            </w:r>
          </w:p>
        </w:tc>
        <w:tc>
          <w:tcPr>
            <w:tcW w:w="1940" w:type="dxa"/>
            <w:vAlign w:val="bottom"/>
          </w:tcPr>
          <w:p>
            <w:pPr>
              <w:spacing w:after="0"/>
              <w:rPr>
                <w:sz w:val="18"/>
                <w:szCs w:val="18"/>
                <w:color w:val="auto"/>
              </w:rPr>
            </w:pPr>
          </w:p>
        </w:tc>
        <w:tc>
          <w:tcPr>
            <w:tcW w:w="2080" w:type="dxa"/>
            <w:vAlign w:val="bottom"/>
          </w:tcPr>
          <w:p>
            <w:pPr>
              <w:jc w:val="right"/>
              <w:ind w:right="41"/>
              <w:spacing w:after="0"/>
              <w:rPr>
                <w:sz w:val="20"/>
                <w:szCs w:val="20"/>
                <w:color w:val="auto"/>
              </w:rPr>
            </w:pPr>
            <w:r>
              <w:rPr>
                <w:rFonts w:ascii="Arial" w:cs="Arial" w:eastAsia="Arial" w:hAnsi="Arial"/>
                <w:sz w:val="18"/>
                <w:szCs w:val="18"/>
                <w:b w:val="1"/>
                <w:bCs w:val="1"/>
                <w:color w:val="auto"/>
              </w:rPr>
              <w:t>83-4096323</w:t>
            </w:r>
          </w:p>
        </w:tc>
      </w:tr>
      <w:tr>
        <w:trPr>
          <w:trHeight w:val="149"/>
        </w:trPr>
        <w:tc>
          <w:tcPr>
            <w:tcW w:w="2140" w:type="dxa"/>
            <w:vAlign w:val="bottom"/>
          </w:tcPr>
          <w:p>
            <w:pPr>
              <w:jc w:val="center"/>
              <w:ind w:right="2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680" w:type="dxa"/>
            <w:vAlign w:val="bottom"/>
          </w:tcPr>
          <w:p>
            <w:pPr>
              <w:ind w:left="2560"/>
              <w:spacing w:after="0" w:line="149" w:lineRule="exact"/>
              <w:rPr>
                <w:sz w:val="20"/>
                <w:szCs w:val="20"/>
                <w:color w:val="auto"/>
              </w:rPr>
            </w:pPr>
            <w:r>
              <w:rPr>
                <w:rFonts w:ascii="Arial" w:cs="Arial" w:eastAsia="Arial" w:hAnsi="Arial"/>
                <w:sz w:val="14"/>
                <w:szCs w:val="14"/>
                <w:b w:val="1"/>
                <w:bCs w:val="1"/>
                <w:color w:val="auto"/>
              </w:rPr>
              <w:t>(Commission</w:t>
            </w:r>
          </w:p>
        </w:tc>
        <w:tc>
          <w:tcPr>
            <w:tcW w:w="1940" w:type="dxa"/>
            <w:vAlign w:val="bottom"/>
          </w:tcPr>
          <w:p>
            <w:pPr>
              <w:spacing w:after="0"/>
              <w:rPr>
                <w:sz w:val="12"/>
                <w:szCs w:val="12"/>
                <w:color w:val="auto"/>
              </w:rPr>
            </w:pPr>
          </w:p>
        </w:tc>
        <w:tc>
          <w:tcPr>
            <w:tcW w:w="2080" w:type="dxa"/>
            <w:vAlign w:val="bottom"/>
          </w:tcPr>
          <w:p>
            <w:pPr>
              <w:jc w:val="center"/>
              <w:ind w:left="8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140" w:type="dxa"/>
            <w:vAlign w:val="bottom"/>
          </w:tcPr>
          <w:p>
            <w:pPr>
              <w:jc w:val="center"/>
              <w:ind w:right="279"/>
              <w:spacing w:after="0"/>
              <w:rPr>
                <w:sz w:val="20"/>
                <w:szCs w:val="20"/>
                <w:color w:val="auto"/>
              </w:rPr>
            </w:pPr>
            <w:r>
              <w:rPr>
                <w:rFonts w:ascii="Arial" w:cs="Arial" w:eastAsia="Arial" w:hAnsi="Arial"/>
                <w:sz w:val="14"/>
                <w:szCs w:val="14"/>
                <w:b w:val="1"/>
                <w:bCs w:val="1"/>
                <w:color w:val="auto"/>
                <w:w w:val="94"/>
              </w:rPr>
              <w:t>incorporation)</w:t>
            </w:r>
          </w:p>
        </w:tc>
        <w:tc>
          <w:tcPr>
            <w:tcW w:w="3680" w:type="dxa"/>
            <w:vAlign w:val="bottom"/>
          </w:tcPr>
          <w:p>
            <w:pPr>
              <w:ind w:left="2560"/>
              <w:spacing w:after="0"/>
              <w:rPr>
                <w:sz w:val="20"/>
                <w:szCs w:val="20"/>
                <w:color w:val="auto"/>
              </w:rPr>
            </w:pPr>
            <w:r>
              <w:rPr>
                <w:rFonts w:ascii="Arial" w:cs="Arial" w:eastAsia="Arial" w:hAnsi="Arial"/>
                <w:sz w:val="14"/>
                <w:szCs w:val="14"/>
                <w:b w:val="1"/>
                <w:bCs w:val="1"/>
                <w:color w:val="auto"/>
              </w:rPr>
              <w:t>File Number)</w:t>
            </w:r>
          </w:p>
        </w:tc>
        <w:tc>
          <w:tcPr>
            <w:tcW w:w="1940" w:type="dxa"/>
            <w:vAlign w:val="bottom"/>
          </w:tcPr>
          <w:p>
            <w:pPr>
              <w:spacing w:after="0"/>
              <w:rPr>
                <w:sz w:val="16"/>
                <w:szCs w:val="16"/>
                <w:color w:val="auto"/>
              </w:rPr>
            </w:pPr>
          </w:p>
        </w:tc>
        <w:tc>
          <w:tcPr>
            <w:tcW w:w="2080" w:type="dxa"/>
            <w:vAlign w:val="bottom"/>
          </w:tcPr>
          <w:p>
            <w:pPr>
              <w:jc w:val="center"/>
              <w:ind w:left="881"/>
              <w:spacing w:after="0"/>
              <w:rPr>
                <w:sz w:val="20"/>
                <w:szCs w:val="20"/>
                <w:color w:val="auto"/>
              </w:rPr>
            </w:pPr>
            <w:r>
              <w:rPr>
                <w:rFonts w:ascii="Arial" w:cs="Arial" w:eastAsia="Arial" w:hAnsi="Arial"/>
                <w:sz w:val="14"/>
                <w:szCs w:val="14"/>
                <w:b w:val="1"/>
                <w:bCs w:val="1"/>
                <w:color w:val="auto"/>
                <w:w w:val="94"/>
              </w:rPr>
              <w:t>Identification No.)</w:t>
            </w:r>
          </w:p>
        </w:tc>
      </w:tr>
      <w:tr>
        <w:trPr>
          <w:trHeight w:val="435"/>
        </w:trPr>
        <w:tc>
          <w:tcPr>
            <w:tcW w:w="2140" w:type="dxa"/>
            <w:vAlign w:val="bottom"/>
          </w:tcPr>
          <w:p>
            <w:pPr>
              <w:jc w:val="center"/>
              <w:ind w:right="259"/>
              <w:spacing w:after="0"/>
              <w:rPr>
                <w:sz w:val="20"/>
                <w:szCs w:val="20"/>
                <w:color w:val="auto"/>
              </w:rPr>
            </w:pPr>
            <w:r>
              <w:rPr>
                <w:rFonts w:ascii="Arial" w:cs="Arial" w:eastAsia="Arial" w:hAnsi="Arial"/>
                <w:sz w:val="18"/>
                <w:szCs w:val="18"/>
                <w:b w:val="1"/>
                <w:bCs w:val="1"/>
                <w:color w:val="auto"/>
                <w:w w:val="90"/>
              </w:rPr>
              <w:t>2503 S. Hanley Road</w:t>
            </w:r>
          </w:p>
        </w:tc>
        <w:tc>
          <w:tcPr>
            <w:tcW w:w="3680" w:type="dxa"/>
            <w:vAlign w:val="bottom"/>
          </w:tcPr>
          <w:p>
            <w:pPr>
              <w:ind w:left="1200"/>
              <w:spacing w:after="0"/>
              <w:rPr>
                <w:sz w:val="20"/>
                <w:szCs w:val="20"/>
                <w:color w:val="auto"/>
              </w:rPr>
            </w:pPr>
            <w:r>
              <w:rPr>
                <w:rFonts w:ascii="Arial" w:cs="Arial" w:eastAsia="Arial" w:hAnsi="Arial"/>
                <w:sz w:val="18"/>
                <w:szCs w:val="18"/>
                <w:b w:val="1"/>
                <w:bCs w:val="1"/>
                <w:color w:val="auto"/>
              </w:rPr>
              <w:t>St. Louis</w:t>
            </w:r>
          </w:p>
        </w:tc>
        <w:tc>
          <w:tcPr>
            <w:tcW w:w="1940" w:type="dxa"/>
            <w:vAlign w:val="bottom"/>
          </w:tcPr>
          <w:p>
            <w:pPr>
              <w:ind w:left="320"/>
              <w:spacing w:after="0"/>
              <w:rPr>
                <w:sz w:val="20"/>
                <w:szCs w:val="20"/>
                <w:color w:val="auto"/>
              </w:rPr>
            </w:pPr>
            <w:r>
              <w:rPr>
                <w:rFonts w:ascii="Arial" w:cs="Arial" w:eastAsia="Arial" w:hAnsi="Arial"/>
                <w:sz w:val="18"/>
                <w:szCs w:val="18"/>
                <w:b w:val="1"/>
                <w:bCs w:val="1"/>
                <w:color w:val="auto"/>
              </w:rPr>
              <w:t>Missouri</w:t>
            </w:r>
          </w:p>
        </w:tc>
        <w:tc>
          <w:tcPr>
            <w:tcW w:w="2080" w:type="dxa"/>
            <w:vAlign w:val="bottom"/>
          </w:tcPr>
          <w:p>
            <w:pPr>
              <w:jc w:val="right"/>
              <w:ind w:right="261"/>
              <w:spacing w:after="0"/>
              <w:rPr>
                <w:sz w:val="20"/>
                <w:szCs w:val="20"/>
                <w:color w:val="auto"/>
              </w:rPr>
            </w:pPr>
            <w:r>
              <w:rPr>
                <w:rFonts w:ascii="Arial" w:cs="Arial" w:eastAsia="Arial" w:hAnsi="Arial"/>
                <w:sz w:val="18"/>
                <w:szCs w:val="18"/>
                <w:b w:val="1"/>
                <w:bCs w:val="1"/>
                <w:color w:val="auto"/>
              </w:rPr>
              <w:t>63144</w:t>
            </w:r>
          </w:p>
        </w:tc>
      </w:tr>
      <w:tr>
        <w:trPr>
          <w:trHeight w:val="186"/>
        </w:trPr>
        <w:tc>
          <w:tcPr>
            <w:tcW w:w="2140" w:type="dxa"/>
            <w:vAlign w:val="bottom"/>
          </w:tcPr>
          <w:p>
            <w:pPr>
              <w:spacing w:after="0"/>
              <w:rPr>
                <w:sz w:val="16"/>
                <w:szCs w:val="16"/>
                <w:color w:val="auto"/>
              </w:rPr>
            </w:pPr>
          </w:p>
        </w:tc>
        <w:tc>
          <w:tcPr>
            <w:tcW w:w="3680" w:type="dxa"/>
            <w:vAlign w:val="bottom"/>
          </w:tcPr>
          <w:p>
            <w:pPr>
              <w:ind w:left="340"/>
              <w:spacing w:after="0"/>
              <w:rPr>
                <w:sz w:val="20"/>
                <w:szCs w:val="20"/>
                <w:color w:val="auto"/>
              </w:rPr>
            </w:pPr>
            <w:r>
              <w:rPr>
                <w:rFonts w:ascii="Arial" w:cs="Arial" w:eastAsia="Arial" w:hAnsi="Arial"/>
                <w:sz w:val="14"/>
                <w:szCs w:val="14"/>
                <w:b w:val="1"/>
                <w:bCs w:val="1"/>
                <w:color w:val="auto"/>
              </w:rPr>
              <w:t>(Address of Principal Executive Offices)</w:t>
            </w:r>
          </w:p>
        </w:tc>
        <w:tc>
          <w:tcPr>
            <w:tcW w:w="1940" w:type="dxa"/>
            <w:vAlign w:val="bottom"/>
          </w:tcPr>
          <w:p>
            <w:pPr>
              <w:spacing w:after="0"/>
              <w:rPr>
                <w:sz w:val="16"/>
                <w:szCs w:val="16"/>
                <w:color w:val="auto"/>
              </w:rPr>
            </w:pPr>
          </w:p>
        </w:tc>
        <w:tc>
          <w:tcPr>
            <w:tcW w:w="2080" w:type="dxa"/>
            <w:vAlign w:val="bottom"/>
          </w:tcPr>
          <w:p>
            <w:pPr>
              <w:jc w:val="center"/>
              <w:ind w:left="86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As previously announced, on October 26, 2021, BellRing Brands, Inc. (“BellRing”) entered into a Transaction Agreement and Plan of Merger (the “Transaction Agreement”) with Post Holdings, Inc. (“Post”), BellRing Distribution, LLC, a wholly-owned subsidiary of Post (“New BellRing”), and BellRing Merger Sub Corporation, a wholly-owned subsidiary of New BellRing (“Merger Sub”). Pursuant to the Transaction Agreement and subject to certain conditions, among other things, (i) Post will contribute its share of BellRing Class B common stock, all of its membership interests of BellRing Brands, LLC and cash to New BellRing in exchange for all of the then-outstanding equity of New BellRing and debt securities of New BellRing (“New BellRing notes”), (ii) New BellRing will convert into a Delaware corporation, (iii) following such conversion, Post will then distribute at least 80.1% of its shares of New BellRing common stock to Post shareholders in a pro-rata distribution and (iv) upon completion of such distribution, Merger Sub will merge with and into BellRing, with BellRing as the surviving corporation and a wholly-owned subsidiary of New BellRing (the “merger”). The Transaction Agreement also provides that the New BellRing notes will have a term of ten years.</w:t>
      </w:r>
    </w:p>
    <w:p>
      <w:pPr>
        <w:spacing w:after="0" w:line="181" w:lineRule="exact"/>
        <w:rPr>
          <w:sz w:val="20"/>
          <w:szCs w:val="20"/>
          <w:color w:val="auto"/>
        </w:rPr>
      </w:pPr>
    </w:p>
    <w:p>
      <w:pPr>
        <w:ind w:right="260" w:firstLine="440"/>
        <w:spacing w:after="0" w:line="311" w:lineRule="auto"/>
        <w:rPr>
          <w:sz w:val="20"/>
          <w:szCs w:val="20"/>
          <w:color w:val="auto"/>
        </w:rPr>
      </w:pPr>
      <w:r>
        <w:rPr>
          <w:rFonts w:ascii="Arial" w:cs="Arial" w:eastAsia="Arial" w:hAnsi="Arial"/>
          <w:sz w:val="16"/>
          <w:szCs w:val="16"/>
          <w:color w:val="auto"/>
        </w:rPr>
        <w:t>On February 28, 2022, BellRing, Post, New BellRing and Merger Sub entered into an Amendment No. 1 to Transaction Agreement and Plan of Merger (“Amendment No. 1 to the Transaction Agreement”), pursuant to which the Transaction Agreement was amended to provide that, unless otherwise agreed by the parties thereto in writing, the New BellRing notes will have a term of no less than eight years but no greater than ten years.</w:t>
      </w:r>
    </w:p>
    <w:p>
      <w:pPr>
        <w:spacing w:after="0" w:line="149"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foregoing summary description of Amendment No. 1 to the Transaction Agreement and the transactions contemplated thereby does not purport to be complete and is subject to and qualified in its entirety by reference to Amendment No. 1 to the Transaction Agreement, a copy of which is attached hereto as Exhibit 2.1 and the terms of which are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the proposed transaction among Post, BellRing, New BellRing and Merger Sub. There is no assurance that the proposed transaction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transaction, the ongoing conflict in Ukraine, the rapidly changing situation related to the COVID-19 pandemic and other risks and uncertainties described in BellRing’s filings with the Securities and Exchange Commission (the “SEC”). These forward-looking statements represent BellRing’s judgment as of the date of this filing. BellRing disclaims, however, any intent or obligation to update these forward-looking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www.bellring.com, or Post’s website, www.postholdings.com.</w:t>
      </w:r>
    </w:p>
    <w:p>
      <w:pPr>
        <w:spacing w:after="0" w:line="182"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ectPr>
          <w:pgSz w:w="11900" w:h="16838" w:orient="portrait"/>
          <w:cols w:equalWidth="0" w:num="1">
            <w:col w:w="11020"/>
          </w:cols>
          <w:pgMar w:left="440" w:top="297"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Participants in the Solicitation</w:t>
      </w:r>
    </w:p>
    <w:p>
      <w:pPr>
        <w:spacing w:after="0" w:line="121"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w:t>
      </w:r>
    </w:p>
    <w:p>
      <w:pPr>
        <w:spacing w:after="0" w:line="3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5"/>
                <w:szCs w:val="15"/>
                <w:color w:val="auto"/>
              </w:rPr>
            </w:pPr>
          </w:p>
        </w:tc>
        <w:tc>
          <w:tcPr>
            <w:tcW w:w="6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c>
          <w:tcPr>
            <w:tcW w:w="3040" w:type="dxa"/>
            <w:vAlign w:val="bottom"/>
          </w:tcPr>
          <w:p>
            <w:pPr>
              <w:spacing w:after="0"/>
              <w:rPr>
                <w:sz w:val="15"/>
                <w:szCs w:val="15"/>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3"/>
                <w:szCs w:val="23"/>
                <w:color w:val="auto"/>
              </w:rPr>
            </w:pPr>
          </w:p>
        </w:tc>
        <w:tc>
          <w:tcPr>
            <w:tcW w:w="95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Amendment No. 1 to Transaction Agreement and Plan of Merger, dated as of February 28, 2022, by and among Post Holdings, Inc.,</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BellRing Brands, Inc., BellRing Distribution, LLC and BellRing Merger Sub Corporation</w:t>
              </w:r>
            </w:hyperlink>
          </w:p>
        </w:tc>
        <w:tc>
          <w:tcPr>
            <w:tcW w:w="3040" w:type="dxa"/>
            <w:vAlign w:val="bottom"/>
          </w:tcPr>
          <w:p>
            <w:pPr>
              <w:spacing w:after="0"/>
              <w:rPr>
                <w:sz w:val="17"/>
                <w:szCs w:val="17"/>
                <w:color w:val="auto"/>
              </w:rPr>
            </w:pPr>
          </w:p>
        </w:tc>
      </w:tr>
      <w:tr>
        <w:trPr>
          <w:trHeight w:val="344"/>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9500" w:type="dxa"/>
            <w:vAlign w:val="bottom"/>
            <w:gridSpan w:val="3"/>
          </w:tcPr>
          <w:p>
            <w:pPr>
              <w:spacing w:after="0"/>
              <w:rPr>
                <w:sz w:val="20"/>
                <w:szCs w:val="20"/>
                <w:color w:val="auto"/>
              </w:rPr>
            </w:pPr>
            <w:r>
              <w:rPr>
                <w:rFonts w:ascii="Arial" w:cs="Arial" w:eastAsia="Arial" w:hAnsi="Arial"/>
                <w:sz w:val="18"/>
                <w:szCs w:val="18"/>
                <w:color w:val="auto"/>
              </w:rPr>
              <w:t>Cover Page Interactive Data File (the cover page iXBRL tags are embedded within the Inline XBRL document)</w:t>
            </w:r>
          </w:p>
        </w:tc>
      </w:tr>
    </w:tbl>
    <w:p>
      <w:pPr>
        <w:sectPr>
          <w:pgSz w:w="11900" w:h="16838" w:orient="portrait"/>
          <w:cols w:equalWidth="0" w:num="1">
            <w:col w:w="10960"/>
          </w:cols>
          <w:pgMar w:left="440" w:top="297"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20"/>
                <w:szCs w:val="20"/>
                <w:color w:val="auto"/>
              </w:rPr>
            </w:pPr>
            <w:r>
              <w:rPr>
                <w:rFonts w:ascii="Arial" w:cs="Arial" w:eastAsia="Arial" w:hAnsi="Arial"/>
                <w:sz w:val="18"/>
                <w:szCs w:val="18"/>
                <w:color w:val="auto"/>
              </w:rPr>
              <w:t>Date: February 28, 2022</w:t>
            </w:r>
          </w:p>
        </w:tc>
        <w:tc>
          <w:tcPr>
            <w:tcW w:w="7380" w:type="dxa"/>
            <w:vAlign w:val="bottom"/>
            <w:gridSpan w:val="2"/>
          </w:tcPr>
          <w:p>
            <w:pPr>
              <w:ind w:left="188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Rosenthal</w:t>
            </w:r>
          </w:p>
        </w:tc>
      </w:tr>
      <w:tr>
        <w:trPr>
          <w:trHeight w:val="209"/>
        </w:trPr>
        <w:tc>
          <w:tcPr>
            <w:tcW w:w="364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Rosenthal</w:t>
            </w:r>
          </w:p>
        </w:tc>
      </w:tr>
      <w:tr>
        <w:trPr>
          <w:trHeight w:val="230"/>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&amp; General Counsel</w:t>
            </w: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 AGREEMENT AND PLAN OF MERGER</w:t>
      </w:r>
    </w:p>
    <w:p>
      <w:pPr>
        <w:spacing w:after="0" w:line="211"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This AMENDMENT NO. 1 TO TRANSACTION AGREEMENT AND PLAN OF MERGER, dated as of February 28, 2022 (this “</w:t>
      </w:r>
      <w:r>
        <w:rPr>
          <w:rFonts w:ascii="Arial" w:cs="Arial" w:eastAsia="Arial" w:hAnsi="Arial"/>
          <w:sz w:val="17"/>
          <w:szCs w:val="17"/>
          <w:i w:val="1"/>
          <w:iCs w:val="1"/>
          <w:color w:val="auto"/>
        </w:rPr>
        <w:t>Amendment</w:t>
      </w:r>
      <w:r>
        <w:rPr>
          <w:rFonts w:ascii="Arial" w:cs="Arial" w:eastAsia="Arial" w:hAnsi="Arial"/>
          <w:sz w:val="17"/>
          <w:szCs w:val="17"/>
          <w:color w:val="auto"/>
        </w:rPr>
        <w:t xml:space="preserve"> </w:t>
      </w:r>
      <w:r>
        <w:rPr>
          <w:rFonts w:ascii="Arial" w:cs="Arial" w:eastAsia="Arial" w:hAnsi="Arial"/>
          <w:sz w:val="17"/>
          <w:szCs w:val="17"/>
          <w:i w:val="1"/>
          <w:iCs w:val="1"/>
          <w:color w:val="auto"/>
        </w:rPr>
        <w:t>No. 1</w:t>
      </w:r>
      <w:r>
        <w:rPr>
          <w:rFonts w:ascii="Arial" w:cs="Arial" w:eastAsia="Arial" w:hAnsi="Arial"/>
          <w:sz w:val="17"/>
          <w:szCs w:val="17"/>
          <w:color w:val="auto"/>
        </w:rPr>
        <w:t>”), is by and among BellRing Brands, Inc., a Delaware corporation (“</w:t>
      </w:r>
      <w:r>
        <w:rPr>
          <w:rFonts w:ascii="Arial" w:cs="Arial" w:eastAsia="Arial" w:hAnsi="Arial"/>
          <w:sz w:val="17"/>
          <w:szCs w:val="17"/>
          <w:i w:val="1"/>
          <w:iCs w:val="1"/>
          <w:color w:val="auto"/>
        </w:rPr>
        <w:t>BellRing</w:t>
      </w:r>
      <w:r>
        <w:rPr>
          <w:rFonts w:ascii="Arial" w:cs="Arial" w:eastAsia="Arial" w:hAnsi="Arial"/>
          <w:sz w:val="17"/>
          <w:szCs w:val="17"/>
          <w:color w:val="auto"/>
        </w:rPr>
        <w:t>”), Post Holdings, Inc., a Missouri corporation (“</w:t>
      </w:r>
      <w:r>
        <w:rPr>
          <w:rFonts w:ascii="Arial" w:cs="Arial" w:eastAsia="Arial" w:hAnsi="Arial"/>
          <w:sz w:val="17"/>
          <w:szCs w:val="17"/>
          <w:i w:val="1"/>
          <w:iCs w:val="1"/>
          <w:color w:val="auto"/>
        </w:rPr>
        <w:t>Post</w:t>
      </w:r>
      <w:r>
        <w:rPr>
          <w:rFonts w:ascii="Arial" w:cs="Arial" w:eastAsia="Arial" w:hAnsi="Arial"/>
          <w:sz w:val="17"/>
          <w:szCs w:val="17"/>
          <w:color w:val="auto"/>
        </w:rPr>
        <w:t>”), BellRing</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LLC, a Delaware limited liability company and direct, wholly owned Subsidiary of Post (“</w:t>
      </w:r>
      <w:r>
        <w:rPr>
          <w:rFonts w:ascii="Arial" w:cs="Arial" w:eastAsia="Arial" w:hAnsi="Arial"/>
          <w:sz w:val="17"/>
          <w:szCs w:val="17"/>
          <w:i w:val="1"/>
          <w:iCs w:val="1"/>
          <w:color w:val="auto"/>
        </w:rPr>
        <w:t>SpinCo</w:t>
      </w:r>
      <w:r>
        <w:rPr>
          <w:rFonts w:ascii="Arial" w:cs="Arial" w:eastAsia="Arial" w:hAnsi="Arial"/>
          <w:sz w:val="17"/>
          <w:szCs w:val="17"/>
          <w:color w:val="auto"/>
        </w:rPr>
        <w:t>”), and BellRing Merger Sub Corporation, a Delaware corporation and direct, wholly owned Subsidiary of SpinCo (“</w:t>
      </w:r>
      <w:r>
        <w:rPr>
          <w:rFonts w:ascii="Arial" w:cs="Arial" w:eastAsia="Arial" w:hAnsi="Arial"/>
          <w:sz w:val="17"/>
          <w:szCs w:val="17"/>
          <w:i w:val="1"/>
          <w:iCs w:val="1"/>
          <w:color w:val="auto"/>
        </w:rPr>
        <w:t>Merger Sub</w:t>
      </w:r>
      <w:r>
        <w:rPr>
          <w:rFonts w:ascii="Arial" w:cs="Arial" w:eastAsia="Arial" w:hAnsi="Arial"/>
          <w:sz w:val="17"/>
          <w:szCs w:val="17"/>
          <w:color w:val="auto"/>
        </w:rPr>
        <w:t>”). Capitalized terms used herein but not defined herein have the meanings ascribed thereto in the Transaction Agreement (as defined below).</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BellRing, Post, SpinCo and Merger Sub are parties to that certain Transaction Agreement and Plan of Merger, dated as of</w:t>
      </w:r>
    </w:p>
    <w:p>
      <w:pPr>
        <w:spacing w:after="0" w:line="35"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October 26, 2021 (the “</w:t>
      </w:r>
      <w:r>
        <w:rPr>
          <w:rFonts w:ascii="Arial" w:cs="Arial" w:eastAsia="Arial" w:hAnsi="Arial"/>
          <w:sz w:val="16"/>
          <w:szCs w:val="16"/>
          <w:i w:val="1"/>
          <w:iCs w:val="1"/>
          <w:color w:val="auto"/>
        </w:rPr>
        <w:t>Transaction Agreement</w:t>
      </w:r>
      <w:r>
        <w:rPr>
          <w:rFonts w:ascii="Arial" w:cs="Arial" w:eastAsia="Arial" w:hAnsi="Arial"/>
          <w:sz w:val="16"/>
          <w:szCs w:val="16"/>
          <w:color w:val="auto"/>
        </w:rPr>
        <w:t>”), pursuant to which, among other things, Post will cause SpinCo to issue to Post the SpinCo Notes in an aggregate amount equal to the SpinCo Notes Amount and containing the terms described in Section 8.13(b) of the Transaction Agreement; and</w:t>
      </w:r>
    </w:p>
    <w:p>
      <w:pPr>
        <w:spacing w:after="0" w:line="138"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WHEREAS, BellRing, Post, SpinCo and Merger Sub now desire to amend Section 8.13(b) of the Transaction Agreement to provide that the SpinCo Notes will have a term of no less than eight years and no greater than ten years.</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NOW, THEREFORE, in consideration of the representations, warranties, covenants and agreements contained in this Amendment No. 1, and intending to be legally bound hereby, the parties hereby agree as follows:</w:t>
      </w:r>
    </w:p>
    <w:p>
      <w:pPr>
        <w:spacing w:after="0" w:line="170"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color w:val="auto"/>
        </w:rPr>
        <w:t>Amendment</w:t>
      </w:r>
      <w:r>
        <w:rPr>
          <w:rFonts w:ascii="Arial" w:cs="Arial" w:eastAsia="Arial" w:hAnsi="Arial"/>
          <w:sz w:val="16"/>
          <w:szCs w:val="16"/>
          <w:color w:val="auto"/>
        </w:rPr>
        <w:t>. Section 8.13(b) of the Transaction Agreement shall be amended and restated in its entirety as follows:</w:t>
      </w:r>
    </w:p>
    <w:p>
      <w:pPr>
        <w:spacing w:after="0" w:line="117" w:lineRule="exact"/>
        <w:rPr>
          <w:sz w:val="20"/>
          <w:szCs w:val="20"/>
          <w:color w:val="auto"/>
        </w:rPr>
      </w:pPr>
    </w:p>
    <w:p>
      <w:pPr>
        <w:ind w:left="440" w:right="40"/>
        <w:spacing w:after="0" w:line="268" w:lineRule="auto"/>
        <w:rPr>
          <w:sz w:val="20"/>
          <w:szCs w:val="20"/>
          <w:color w:val="auto"/>
        </w:rPr>
      </w:pPr>
      <w:r>
        <w:rPr>
          <w:rFonts w:ascii="Arial" w:cs="Arial" w:eastAsia="Arial" w:hAnsi="Arial"/>
          <w:sz w:val="17"/>
          <w:szCs w:val="17"/>
          <w:color w:val="auto"/>
        </w:rPr>
        <w:t>“(b) In connection with the borrowing and/or issuance of the SpinCo Debt, the Debt Exchange and any subsequent offering, syndication and/or sale of the SpinCo Notes by the Debt Exchange Parties, (A) Post (in consultation with BellRing) shall manage the negotiations in connection with the consummation of the Debt Exchange and the selection of investment banking advisors with respect thereto and shall keep BellRing reasonably informed of all material developments with respect thereto, (B) Post shall manage the negotiations in connection with the borrowing and/or issuance and offering, syndication and/or sale of the SpinCo Debt in consultation with BellRing; provided that the precedent documentation for the SpinCo Debt and the terms and conditions of the SpinCo Debt, including the guarantee structure, covenants, registration rights and “baskets” shall be subject to prior written approval by BellRing, (C) Post and its financial, legal, accounting and other advisors shall prepare all initial and revised drafts of all documentation relating to the borrowing and/or issuance of the SpinCo Debt and the consummation of the Debt Exchange and any subsequent offering, syndication and/or sale of the SpinCo Notes by the Debt Exchange Parties (based on and consistent with precedent documentation agreed upon by BellRing pursuant to clause (B) above), subject to BellRing and its financial, legal, accounting and other advisors being given a reasonable opportunity to review and comment on all such drafts; provided, however, that Post shall, in consultation with BellRing, designate co-active and passive bookrunning managing placement agents, co-active and passive bookrunning managing initial purchasers, other initial purchasers and co-managers, as applicable, that are reasonably acceptable to Post and BellRing in connection with the borrowing and/or issuance of SpinCo Debt and any subsequent offering, syndication and/or sale of the SpinCo Notes by the Debt Exchange Parties and (D) the financial, legal, accounting and other advisors for Post, SpinCo and BellRing shall be directed to take, or cause to be taken, all actions, and do, or cause to be done, all other things</w:t>
      </w:r>
    </w:p>
    <w:p>
      <w:pPr>
        <w:sectPr>
          <w:pgSz w:w="11900" w:h="16838" w:orient="portrait"/>
          <w:cols w:equalWidth="0" w:num="1">
            <w:col w:w="11020"/>
          </w:cols>
          <w:pgMar w:left="440" w:top="121" w:right="439" w:bottom="1440" w:gutter="0" w:footer="0" w:header="0"/>
        </w:sectPr>
      </w:pPr>
    </w:p>
    <w:bookmarkStart w:id="5" w:name="page6"/>
    <w:bookmarkEnd w:id="5"/>
    <w:p>
      <w:pPr>
        <w:ind w:left="4"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reasonably necessary to facilitate the borrowing and/or issuance of the SpinCo Debt, the Debt Exchange and any subsequent offering, syndication and/or sale of the SpinCo Notes by the Debt Exchange Parties as reasonably directed by Post (without prejudice to the foregoing clauses</w:t>
      </w:r>
    </w:p>
    <w:p>
      <w:pPr>
        <w:ind w:left="4" w:hanging="4"/>
        <w:spacing w:after="0" w:line="283" w:lineRule="auto"/>
        <w:tabs>
          <w:tab w:leader="none" w:pos="298" w:val="left"/>
        </w:tabs>
        <w:numPr>
          <w:ilvl w:val="0"/>
          <w:numId w:val="3"/>
        </w:numPr>
        <w:rPr>
          <w:rFonts w:ascii="Arial" w:cs="Arial" w:eastAsia="Arial" w:hAnsi="Arial"/>
          <w:sz w:val="16"/>
          <w:szCs w:val="16"/>
          <w:color w:val="auto"/>
        </w:rPr>
      </w:pPr>
      <w:r>
        <w:rPr>
          <w:rFonts w:ascii="Arial" w:cs="Arial" w:eastAsia="Arial" w:hAnsi="Arial"/>
          <w:sz w:val="16"/>
          <w:szCs w:val="16"/>
          <w:color w:val="auto"/>
        </w:rPr>
        <w:t>through (C)). Each of BellRing and Post shall cooperate in good faith in connection with the preparation of all documents and the making of all filings required in connection with the borrowing and/or issuance of the SpinCo Debt and the consummation of the Debt Exchange and any subsequent offering, syndication and/or sale of the SpinCo Notes by the Debt Exchange Parties, including by promptly furnishing each other all information concerning it and its Subsidiaries (including preliminary monthly or quarterly financial data to the extent available) that may be required or reasonably requested in connection therewith. BellRing shall use commercially reasonable efforts, and shall use commercially reasonable efforts to cause its Subsidiaries and the officers and employees of it and its Subsidiaries, in each case, to provide to Post such reasonable cooperation in connection with the borrowing and/or issuance of the SpinCo Debt, the arrangement of the Debt Exchange and any subsequent offering, syndication and/or sale of the SpinCo Notes by the Debt Exchange Parties as is reasonably necessary and customary for the borrowing and/or issuance and offerings or syndication of securities in form and substance similar to the SpinCo Debt including (i) participating in a reasonable number of meetings, drafting sessions, due diligence sessions, management presentation sessions, “road shows” and sessions with ratings agencies in connection with the marketing of the SpinCo Debt, in each case, with appropriate advance notice and at times and locations to be mutually agreed between BellRing and Post; (ii) assisting in the preparation of offering memoranda, private placement memoranda, prospectuses and similar documents reasonably required to consummate the borrowing and/or issuance of the SpinCo Debt and the Debt Exchange and any subsequent offering, syndication and/or sale of the SpinCo Notes by the Debt Exchange Parties; (iii) assisting in the preparation of and executing and/or delivering customary underwriting placement, credit, guarantee, purchase, indemnification, registration rights and other definitive financing agreements and executing and delivering in a timely manner such other certificates and documents, including solvency certificates, comfort letters, authorization letters, consents, pledge and security documents and perfection certificates, as may reasonably be required in connection with the foregoing; and (iv) assisting the financing sources and the exchange agent in the Debt Exchange (including by providing customary certificates and representation letters) in obtaining from its independent auditors auditor comfort letters (including customary “negative assurance”) and consents or authorization letters to the inclusion of auditor reports in marketing materials for the SpinCo Debt. The SpinCo Loans shall (x) be senior secured first-lien borrowings and have a term of four or five years and shall be prepayable at any time, without premium or penalty, and (y) otherwise be subject to covenants and other terms and conditions that are consistent in all material respects with market practice for borrowers with the investment rating assigned to SpinCo taking into account the expected Merger and other transactions contemplated hereby (including (i) a customary provision to the effect that a change of control transaction constitutes an event of default giving lenders the right to cause the principal amount of the borrowings and any accrued but unpaid interest thereon immediately due and payable and (ii) other customary prepayment provisions). Unless otherwise agreed by the parties in writing, the SpinCo Notes shall (x) be unsecured obligations and have a term of no less than eight years but no greater than ten years (and shall not be callable until five years from issuance, except in the event the Distribution does not occur; provided that, notwithstanding the foregoing, the terms of the SpinCo Notes shall provide that SpinCo may, at its option, call all or a portion of the SpinCo Notes in cash during such five-year period at a make whole price (calculated in a customary manner to be mutually agreed by BellRing and Post) with a discount rate based on U.S. Treasury notes with a maturity closest to the date that is five years after the date the SpinCo Notes are issued plus 50 basis points) and (y) otherwise be subject to covenants and other terms and conditions that are consistent in all material respects with market practice for issuers with the</w:t>
      </w:r>
    </w:p>
    <w:p>
      <w:pPr>
        <w:spacing w:after="0" w:line="321"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4"/>
          </w:cols>
          <w:pgMar w:left="876" w:top="274" w:right="439" w:bottom="1440" w:gutter="0" w:footer="0" w:header="0"/>
        </w:sectPr>
      </w:pPr>
    </w:p>
    <w:bookmarkStart w:id="6" w:name="page7"/>
    <w:bookmarkEnd w:id="6"/>
    <w:p>
      <w:pPr>
        <w:ind w:left="440"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rating assigned to SpinCo taking into account the expected Merger and other transactions contemplated hereby (including (x) the requirement of SpinCo to offer to repurchase the SpinCo Notes from holders at 101% of the aggregate principal amount, plus accrued and unpaid interest thereon, in connection with certain change of control transactions, (y) customary mandatory offer provisions associated with asset sales and other similar events, subject to reinvestment provisions) and (z) customary “cleanup” redemptions of SpinCo in connection with certain change of control transactions. Notwithstanding the foregoing, none of BellRing or any of its Subsidiaries shall be required under this</w:t>
      </w:r>
    </w:p>
    <w:p>
      <w:pPr>
        <w:spacing w:after="0" w:line="2" w:lineRule="exact"/>
        <w:rPr>
          <w:sz w:val="20"/>
          <w:szCs w:val="20"/>
          <w:color w:val="auto"/>
        </w:rPr>
      </w:pPr>
    </w:p>
    <w:p>
      <w:pPr>
        <w:ind w:left="440"/>
        <w:spacing w:after="0" w:line="267" w:lineRule="auto"/>
        <w:rPr>
          <w:sz w:val="20"/>
          <w:szCs w:val="20"/>
          <w:color w:val="auto"/>
        </w:rPr>
      </w:pPr>
      <w:r>
        <w:rPr>
          <w:rFonts w:ascii="Arial" w:cs="Arial" w:eastAsia="Arial" w:hAnsi="Arial"/>
          <w:sz w:val="17"/>
          <w:szCs w:val="17"/>
          <w:color w:val="auto"/>
        </w:rPr>
        <w:t>Section 8.13(c) to (1) take any action that would unreasonably and materially interfere with the ongoing business or operations of BellRing or any of its Subsidiaries, (2) (except as specifically provided above in this Section 8.13(b)) enter into or approve any agreement or other documentation effective prior to the Closing, including requiring BellRing, any of its Subsidiaries or any of their respective governing bodies to approve or authorize the borrowing, issuance and/or guarantee of the SpinCo Debt or the Debt Exchange unless such resolutions are contingent upon the occurrence of, or only effective as of, the Closing, (3) take any action that would conflict with or violate any of any of the organizational documents of BellRing or any of its Subsidiaries or any Law or result in the contravention of, or that would reasonably be expected to result in a violation or breach of, or default under, any confidentiality obligation, (4) cause any director, officer, employee or stockholder of BellRing or any of its Subsidiaries to incur any personal liability, or (5) provide access to or disclose information that would jeopardize any attorney-client privilege of BellRing or any of its Subsidiaries or which is restricted or prohibited under applicable Law (provided that BellRing and its Subsidiaries shall use commercially reasonable efforts to grant such access or provide such disclosure in a manner which would not jeopardize such privilege or contravene any such Law).”</w:t>
      </w:r>
    </w:p>
    <w:p>
      <w:pPr>
        <w:spacing w:after="0" w:line="186"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Miscellaneous</w:t>
      </w:r>
      <w:r>
        <w:rPr>
          <w:rFonts w:ascii="Arial" w:cs="Arial" w:eastAsia="Arial" w:hAnsi="Arial"/>
          <w:sz w:val="18"/>
          <w:szCs w:val="18"/>
          <w:color w:val="auto"/>
        </w:rPr>
        <w:t xml:space="preserve">. Except as expressly amended, waived or modified hereby, the Transaction Agreement shall continue to be and shall remain in full force and effect in accordance with its terms. This Amendment No. 1 shall not constitute an amendment, waiver or modification of any provision of the Transaction Agreement not expressly referred to herein. The provisions of Sections 12.1 to 12.9 and Section 12.11 of the Transaction Agreement are hereby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7" w:name="page8"/>
    <w:bookmarkEnd w:id="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No. 1 to be duly executed and delivered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Darcy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Darcy Davenport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Chief Executive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Robert V. Vitale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Chief Executive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DISTRIBUTION,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Robert V. Vitale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MERGER SUB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Robert V. Vitale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w:t>
      </w:r>
    </w:p>
    <w:p>
      <w:pPr>
        <w:spacing w:after="0" w:line="224"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No. 1 to Transaction Agreement and Plan of Merger</w:t>
      </w:r>
      <w:r>
        <w:rPr>
          <w:rFonts w:ascii="Arial" w:cs="Arial" w:eastAsia="Arial" w:hAnsi="Arial"/>
          <w:sz w:val="18"/>
          <w:szCs w:val="18"/>
          <w:color w:val="auto"/>
        </w:rPr>
        <w:t>]</w:t>
      </w:r>
    </w:p>
    <w:sectPr>
      <w:pgSz w:w="11900" w:h="16838" w:orient="portrait"/>
      <w:cols w:equalWidth="0" w:num="1">
        <w:col w:w="10560"/>
      </w:cols>
      <w:pgMar w:left="440" w:top="27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2022-02-28T06:03:10Z</dcterms:created>
  <dcterms:modified xsi:type="dcterms:W3CDTF">2022-02-28T06:03:10Z</dcterms:modified>
</cp:coreProperties>
</file>