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783590</wp:posOffset>
            </wp:positionH>
            <wp:positionV relativeFrom="page">
              <wp:posOffset>663575</wp:posOffset>
            </wp:positionV>
            <wp:extent cx="6003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page">
              <wp:posOffset>783590</wp:posOffset>
            </wp:positionH>
            <wp:positionV relativeFrom="page">
              <wp:posOffset>680720</wp:posOffset>
            </wp:positionV>
            <wp:extent cx="6003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329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50" w:lineRule="exact"/>
        <w:rPr>
          <w:sz w:val="24"/>
          <w:szCs w:val="24"/>
          <w:color w:val="auto"/>
        </w:rPr>
      </w:pPr>
    </w:p>
    <w:p>
      <w:pPr>
        <w:ind w:left="4520"/>
        <w:spacing w:after="0"/>
        <w:rPr>
          <w:sz w:val="20"/>
          <w:szCs w:val="20"/>
          <w:color w:val="auto"/>
        </w:rPr>
      </w:pPr>
      <w:r>
        <w:rPr>
          <w:rFonts w:ascii="Arial" w:cs="Arial" w:eastAsia="Arial" w:hAnsi="Arial"/>
          <w:sz w:val="22"/>
          <w:szCs w:val="22"/>
          <w:color w:val="auto"/>
        </w:rPr>
        <w:t>______________________</w:t>
      </w:r>
    </w:p>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68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ind w:left="38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118110</wp:posOffset>
            </wp:positionV>
            <wp:extent cx="133794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BellRing Brands, Inc.</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tbl>
      <w:tblPr>
        <w:tblLayout w:type="fixed"/>
        <w:tblInd w:w="1700" w:type="dxa"/>
        <w:tblCellMar>
          <w:top w:w="0" w:type="dxa"/>
          <w:left w:w="0" w:type="dxa"/>
          <w:bottom w:w="0" w:type="dxa"/>
          <w:right w:w="0" w:type="dxa"/>
        </w:tblCellMar>
      </w:tblPr>
      <w:tr>
        <w:trPr>
          <w:trHeight w:val="256"/>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91"/>
              </w:rPr>
              <w:t>Delaware</w:t>
            </w: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001-39093</w:t>
            </w:r>
          </w:p>
        </w:tc>
        <w:tc>
          <w:tcPr>
            <w:tcW w:w="1040" w:type="dxa"/>
            <w:vAlign w:val="bottom"/>
          </w:tcPr>
          <w:p>
            <w:pPr>
              <w:spacing w:after="0"/>
              <w:rPr>
                <w:sz w:val="22"/>
                <w:szCs w:val="22"/>
                <w:color w:val="auto"/>
              </w:rPr>
            </w:pPr>
          </w:p>
        </w:tc>
        <w:tc>
          <w:tcPr>
            <w:tcW w:w="2740" w:type="dxa"/>
            <w:vAlign w:val="bottom"/>
          </w:tcPr>
          <w:p>
            <w:pPr>
              <w:jc w:val="right"/>
              <w:ind w:right="665"/>
              <w:spacing w:after="0"/>
              <w:rPr>
                <w:sz w:val="20"/>
                <w:szCs w:val="20"/>
                <w:color w:val="auto"/>
              </w:rPr>
            </w:pPr>
            <w:r>
              <w:rPr>
                <w:rFonts w:ascii="Arial" w:cs="Arial" w:eastAsia="Arial" w:hAnsi="Arial"/>
                <w:sz w:val="20"/>
                <w:szCs w:val="20"/>
                <w:b w:val="1"/>
                <w:bCs w:val="1"/>
                <w:color w:val="auto"/>
              </w:rPr>
              <w:t>83-4096323</w:t>
            </w:r>
          </w:p>
        </w:tc>
      </w:tr>
      <w:tr>
        <w:trPr>
          <w:trHeight w:val="252"/>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2"/>
              </w:rPr>
              <w:t>(State or other jurisdiction of</w:t>
            </w:r>
          </w:p>
        </w:tc>
        <w:tc>
          <w:tcPr>
            <w:tcW w:w="2960" w:type="dxa"/>
            <w:vAlign w:val="bottom"/>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4"/>
              </w:rPr>
              <w:t>incorporation)</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63"/>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89"/>
              </w:rPr>
              <w:t>2503 S. Hanley Road</w:t>
            </w:r>
          </w:p>
        </w:tc>
        <w:tc>
          <w:tcPr>
            <w:tcW w:w="1920" w:type="dxa"/>
            <w:vAlign w:val="bottom"/>
          </w:tcPr>
          <w:p>
            <w:pPr>
              <w:ind w:left="440"/>
              <w:spacing w:after="0"/>
              <w:rPr>
                <w:sz w:val="20"/>
                <w:szCs w:val="20"/>
                <w:color w:val="auto"/>
              </w:rPr>
            </w:pPr>
            <w:r>
              <w:rPr>
                <w:rFonts w:ascii="Arial" w:cs="Arial" w:eastAsia="Arial" w:hAnsi="Arial"/>
                <w:sz w:val="20"/>
                <w:szCs w:val="20"/>
                <w:b w:val="1"/>
                <w:bCs w:val="1"/>
                <w:color w:val="auto"/>
              </w:rPr>
              <w:t>St. Louis</w:t>
            </w:r>
          </w:p>
        </w:tc>
        <w:tc>
          <w:tcPr>
            <w:tcW w:w="1040" w:type="dxa"/>
            <w:vAlign w:val="bottom"/>
          </w:tcPr>
          <w:p>
            <w:pPr>
              <w:ind w:left="20"/>
              <w:spacing w:after="0"/>
              <w:rPr>
                <w:sz w:val="20"/>
                <w:szCs w:val="20"/>
                <w:color w:val="auto"/>
              </w:rPr>
            </w:pPr>
            <w:r>
              <w:rPr>
                <w:rFonts w:ascii="Arial" w:cs="Arial" w:eastAsia="Arial" w:hAnsi="Arial"/>
                <w:sz w:val="20"/>
                <w:szCs w:val="20"/>
                <w:b w:val="1"/>
                <w:bCs w:val="1"/>
                <w:color w:val="auto"/>
              </w:rPr>
              <w:t>Missouri</w:t>
            </w:r>
          </w:p>
        </w:tc>
        <w:tc>
          <w:tcPr>
            <w:tcW w:w="2740" w:type="dxa"/>
            <w:vAlign w:val="bottom"/>
          </w:tcPr>
          <w:p>
            <w:pPr>
              <w:jc w:val="right"/>
              <w:ind w:right="885"/>
              <w:spacing w:after="0"/>
              <w:rPr>
                <w:sz w:val="20"/>
                <w:szCs w:val="20"/>
                <w:color w:val="auto"/>
              </w:rPr>
            </w:pPr>
            <w:r>
              <w:rPr>
                <w:rFonts w:ascii="Arial" w:cs="Arial" w:eastAsia="Arial" w:hAnsi="Arial"/>
                <w:sz w:val="20"/>
                <w:szCs w:val="20"/>
                <w:b w:val="1"/>
                <w:bCs w:val="1"/>
                <w:color w:val="auto"/>
              </w:rPr>
              <w:t>63144</w:t>
            </w:r>
          </w:p>
        </w:tc>
      </w:tr>
      <w:tr>
        <w:trPr>
          <w:trHeight w:val="266"/>
        </w:trPr>
        <w:tc>
          <w:tcPr>
            <w:tcW w:w="4440" w:type="dxa"/>
            <w:vAlign w:val="bottom"/>
            <w:gridSpan w:val="2"/>
          </w:tcPr>
          <w:p>
            <w:pPr>
              <w:ind w:left="1060"/>
              <w:spacing w:after="0"/>
              <w:rPr>
                <w:sz w:val="20"/>
                <w:szCs w:val="20"/>
                <w:color w:val="auto"/>
              </w:rPr>
            </w:pPr>
            <w:r>
              <w:rPr>
                <w:rFonts w:ascii="Arial" w:cs="Arial" w:eastAsia="Arial" w:hAnsi="Arial"/>
                <w:sz w:val="18"/>
                <w:szCs w:val="18"/>
                <w:color w:val="auto"/>
              </w:rPr>
              <w:t>(Address of Principal Executive Offices)</w:t>
            </w:r>
          </w:p>
        </w:tc>
        <w:tc>
          <w:tcPr>
            <w:tcW w:w="1040" w:type="dxa"/>
            <w:vAlign w:val="bottom"/>
          </w:tcPr>
          <w:p>
            <w:pPr>
              <w:spacing w:after="0"/>
              <w:rPr>
                <w:sz w:val="23"/>
                <w:szCs w:val="23"/>
                <w:color w:val="auto"/>
              </w:rPr>
            </w:pP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(Zip Code)</w:t>
            </w: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29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38"/>
        </w:trPr>
        <w:tc>
          <w:tcPr>
            <w:tcW w:w="2200" w:type="dxa"/>
            <w:vAlign w:val="bottom"/>
          </w:tcPr>
          <w:p>
            <w:pPr>
              <w:spacing w:after="0"/>
              <w:rPr>
                <w:sz w:val="24"/>
                <w:szCs w:val="24"/>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color w:val="auto"/>
                <w:w w:val="90"/>
              </w:rPr>
              <w:t>Title of each class</w:t>
            </w:r>
          </w:p>
        </w:tc>
        <w:tc>
          <w:tcPr>
            <w:tcW w:w="194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Trading Symbol(s)</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72"/>
        </w:trPr>
        <w:tc>
          <w:tcPr>
            <w:tcW w:w="50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Class A Common Stock, $0.01 par value per</w:t>
            </w: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BRBR</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2200" w:type="dxa"/>
            <w:vAlign w:val="bottom"/>
          </w:tcPr>
          <w:p>
            <w:pPr>
              <w:spacing w:after="0"/>
              <w:rPr>
                <w:sz w:val="20"/>
                <w:szCs w:val="20"/>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1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1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271780</wp:posOffset>
            </wp:positionV>
            <wp:extent cx="6003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288925</wp:posOffset>
            </wp:positionV>
            <wp:extent cx="6003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ectPr>
          <w:pgSz w:w="11900" w:h="16838" w:orient="portrait"/>
          <w:cols w:equalWidth="0" w:num="1">
            <w:col w:w="11360"/>
          </w:cols>
          <w:pgMar w:left="240" w:top="1269" w:right="2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 and Financial Condition.</w:t>
      </w:r>
    </w:p>
    <w:p>
      <w:pPr>
        <w:spacing w:after="0" w:line="17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On February 6, 2020, BellRing Brands, Inc. issued a press release announcing results for its first fiscal quarter ended December 31, 2019 and providing a financial outlook for fiscal year 2020. A copy of the press release is attached hereto as Exhibit 99.1 and incorporated herein by reference.</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information contained in Item 2.02 and Exhibit 99.1 attached hereto shall not be deemed to be "filed" for purposes of Section 18 of the Securities Exchange Act of 1934, as amended (the "Exchange Act"), or otherwise subject to the liabilities of that Section, nor shall it be deemed incorporated by reference into any filings under the Securities Act of 1933, as amended, or the Exchange Act, except as expressly set forth by specific reference in such filing.</w:t>
      </w:r>
    </w:p>
    <w:p>
      <w:pPr>
        <w:spacing w:after="0" w:line="1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8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92"/>
        </w:trPr>
        <w:tc>
          <w:tcPr>
            <w:tcW w:w="8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7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66"/>
        </w:trPr>
        <w:tc>
          <w:tcPr>
            <w:tcW w:w="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2700" w:type="dxa"/>
            <w:vAlign w:val="bottom"/>
            <w:tcBorders>
              <w:bottom w:val="single" w:sz="8" w:color="0000FF"/>
            </w:tcBorders>
            <w:gridSpan w:val="2"/>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February 6, 2020</w:t>
              </w:r>
            </w:hyperlink>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53"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Date: February 6, 2020</w:t>
            </w:r>
          </w:p>
        </w:tc>
        <w:tc>
          <w:tcPr>
            <w:tcW w:w="5580" w:type="dxa"/>
            <w:vAlign w:val="bottom"/>
            <w:gridSpan w:val="2"/>
          </w:tcPr>
          <w:p>
            <w:pPr>
              <w:ind w:left="1340"/>
              <w:spacing w:after="0"/>
              <w:rPr>
                <w:sz w:val="20"/>
                <w:szCs w:val="20"/>
                <w:color w:val="auto"/>
              </w:rPr>
            </w:pPr>
            <w:r>
              <w:rPr>
                <w:rFonts w:ascii="Arial" w:cs="Arial" w:eastAsia="Arial" w:hAnsi="Arial"/>
                <w:sz w:val="18"/>
                <w:szCs w:val="18"/>
                <w:b w:val="1"/>
                <w:bCs w:val="1"/>
                <w:color w:val="auto"/>
              </w:rPr>
              <w:t>BellRing Brands, Inc.</w:t>
            </w:r>
          </w:p>
        </w:tc>
      </w:tr>
      <w:tr>
        <w:trPr>
          <w:trHeight w:val="297"/>
        </w:trPr>
        <w:tc>
          <w:tcPr>
            <w:tcW w:w="3000" w:type="dxa"/>
            <w:vAlign w:val="bottom"/>
          </w:tcPr>
          <w:p>
            <w:pPr>
              <w:spacing w:after="0"/>
              <w:rPr>
                <w:sz w:val="24"/>
                <w:szCs w:val="24"/>
                <w:color w:val="auto"/>
              </w:rPr>
            </w:pPr>
          </w:p>
        </w:tc>
        <w:tc>
          <w:tcPr>
            <w:tcW w:w="5580" w:type="dxa"/>
            <w:vAlign w:val="bottom"/>
            <w:gridSpan w:val="2"/>
          </w:tcPr>
          <w:p>
            <w:pPr>
              <w:ind w:left="1360"/>
              <w:spacing w:after="0"/>
              <w:rPr>
                <w:sz w:val="20"/>
                <w:szCs w:val="20"/>
                <w:color w:val="auto"/>
              </w:rPr>
            </w:pPr>
            <w:r>
              <w:rPr>
                <w:rFonts w:ascii="Arial" w:cs="Arial" w:eastAsia="Arial" w:hAnsi="Arial"/>
                <w:sz w:val="18"/>
                <w:szCs w:val="18"/>
                <w:color w:val="auto"/>
              </w:rPr>
              <w:t>(Registrant)</w:t>
            </w:r>
          </w:p>
        </w:tc>
      </w:tr>
      <w:tr>
        <w:trPr>
          <w:trHeight w:val="581"/>
        </w:trPr>
        <w:tc>
          <w:tcPr>
            <w:tcW w:w="3000" w:type="dxa"/>
            <w:vAlign w:val="bottom"/>
          </w:tcPr>
          <w:p>
            <w:pPr>
              <w:spacing w:after="0"/>
              <w:rPr>
                <w:sz w:val="24"/>
                <w:szCs w:val="24"/>
                <w:color w:val="auto"/>
              </w:rPr>
            </w:pPr>
          </w:p>
        </w:tc>
        <w:tc>
          <w:tcPr>
            <w:tcW w:w="1960" w:type="dxa"/>
            <w:vAlign w:val="bottom"/>
          </w:tcPr>
          <w:p>
            <w:pPr>
              <w:ind w:left="1340"/>
              <w:spacing w:after="0"/>
              <w:rPr>
                <w:sz w:val="20"/>
                <w:szCs w:val="20"/>
                <w:color w:val="auto"/>
              </w:rPr>
            </w:pPr>
            <w:r>
              <w:rPr>
                <w:rFonts w:ascii="Arial" w:cs="Arial" w:eastAsia="Arial" w:hAnsi="Arial"/>
                <w:sz w:val="18"/>
                <w:szCs w:val="18"/>
                <w:color w:val="auto"/>
              </w:rPr>
              <w:t>By:</w:t>
            </w:r>
          </w:p>
        </w:tc>
        <w:tc>
          <w:tcPr>
            <w:tcW w:w="3620" w:type="dxa"/>
            <w:vAlign w:val="bottom"/>
          </w:tcPr>
          <w:p>
            <w:pPr>
              <w:ind w:left="40"/>
              <w:spacing w:after="0"/>
              <w:rPr>
                <w:sz w:val="20"/>
                <w:szCs w:val="20"/>
                <w:color w:val="auto"/>
              </w:rPr>
            </w:pPr>
            <w:r>
              <w:rPr>
                <w:rFonts w:ascii="Arial" w:cs="Arial" w:eastAsia="Arial" w:hAnsi="Arial"/>
                <w:sz w:val="18"/>
                <w:szCs w:val="18"/>
                <w:color w:val="auto"/>
              </w:rPr>
              <w:t>/s/ Paul A. Rode</w:t>
            </w:r>
          </w:p>
        </w:tc>
      </w:tr>
      <w:tr>
        <w:trPr>
          <w:trHeight w:val="54"/>
        </w:trPr>
        <w:tc>
          <w:tcPr>
            <w:tcW w:w="30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r>
      <w:tr>
        <w:trPr>
          <w:trHeight w:val="237"/>
        </w:trPr>
        <w:tc>
          <w:tcPr>
            <w:tcW w:w="3000" w:type="dxa"/>
            <w:vAlign w:val="bottom"/>
          </w:tcPr>
          <w:p>
            <w:pPr>
              <w:spacing w:after="0"/>
              <w:rPr>
                <w:sz w:val="20"/>
                <w:szCs w:val="20"/>
                <w:color w:val="auto"/>
              </w:rPr>
            </w:pPr>
          </w:p>
        </w:tc>
        <w:tc>
          <w:tcPr>
            <w:tcW w:w="1960" w:type="dxa"/>
            <w:vAlign w:val="bottom"/>
          </w:tcPr>
          <w:p>
            <w:pPr>
              <w:ind w:left="1340"/>
              <w:spacing w:after="0"/>
              <w:rPr>
                <w:sz w:val="20"/>
                <w:szCs w:val="20"/>
                <w:color w:val="auto"/>
              </w:rPr>
            </w:pPr>
            <w:r>
              <w:rPr>
                <w:rFonts w:ascii="Arial" w:cs="Arial" w:eastAsia="Arial" w:hAnsi="Arial"/>
                <w:sz w:val="18"/>
                <w:szCs w:val="18"/>
                <w:color w:val="auto"/>
              </w:rPr>
              <w:t>Name:</w:t>
            </w:r>
          </w:p>
        </w:tc>
        <w:tc>
          <w:tcPr>
            <w:tcW w:w="3620" w:type="dxa"/>
            <w:vAlign w:val="bottom"/>
          </w:tcPr>
          <w:p>
            <w:pPr>
              <w:ind w:left="80"/>
              <w:spacing w:after="0"/>
              <w:rPr>
                <w:sz w:val="20"/>
                <w:szCs w:val="20"/>
                <w:color w:val="auto"/>
              </w:rPr>
            </w:pPr>
            <w:r>
              <w:rPr>
                <w:rFonts w:ascii="Arial" w:cs="Arial" w:eastAsia="Arial" w:hAnsi="Arial"/>
                <w:sz w:val="18"/>
                <w:szCs w:val="18"/>
                <w:color w:val="auto"/>
              </w:rPr>
              <w:t>Paul A. Rode</w:t>
            </w:r>
          </w:p>
        </w:tc>
      </w:tr>
      <w:tr>
        <w:trPr>
          <w:trHeight w:val="297"/>
        </w:trPr>
        <w:tc>
          <w:tcPr>
            <w:tcW w:w="3000" w:type="dxa"/>
            <w:vAlign w:val="bottom"/>
          </w:tcPr>
          <w:p>
            <w:pPr>
              <w:spacing w:after="0"/>
              <w:rPr>
                <w:sz w:val="24"/>
                <w:szCs w:val="24"/>
                <w:color w:val="auto"/>
              </w:rPr>
            </w:pPr>
          </w:p>
        </w:tc>
        <w:tc>
          <w:tcPr>
            <w:tcW w:w="1960" w:type="dxa"/>
            <w:vAlign w:val="bottom"/>
          </w:tcPr>
          <w:p>
            <w:pPr>
              <w:ind w:left="1340"/>
              <w:spacing w:after="0"/>
              <w:rPr>
                <w:sz w:val="20"/>
                <w:szCs w:val="20"/>
                <w:color w:val="auto"/>
              </w:rPr>
            </w:pPr>
            <w:r>
              <w:rPr>
                <w:rFonts w:ascii="Arial" w:cs="Arial" w:eastAsia="Arial" w:hAnsi="Arial"/>
                <w:sz w:val="18"/>
                <w:szCs w:val="18"/>
                <w:color w:val="auto"/>
              </w:rPr>
              <w:t>Title:</w:t>
            </w:r>
          </w:p>
        </w:tc>
        <w:tc>
          <w:tcPr>
            <w:tcW w:w="3620" w:type="dxa"/>
            <w:vAlign w:val="bottom"/>
          </w:tcPr>
          <w:p>
            <w:pPr>
              <w:ind w:left="8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240" w:top="607"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49425" cy="866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942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BellRing Brands Reports Results for the First Quarter of Fiscal Year 2020</w:t>
      </w:r>
    </w:p>
    <w:p>
      <w:pPr>
        <w:spacing w:after="0" w:line="284" w:lineRule="exact"/>
        <w:rPr>
          <w:sz w:val="20"/>
          <w:szCs w:val="20"/>
          <w:color w:val="auto"/>
        </w:rPr>
      </w:pPr>
    </w:p>
    <w:p>
      <w:pPr>
        <w:ind w:right="80"/>
        <w:spacing w:after="0" w:line="329" w:lineRule="auto"/>
        <w:rPr>
          <w:sz w:val="20"/>
          <w:szCs w:val="20"/>
          <w:color w:val="auto"/>
        </w:rPr>
      </w:pPr>
      <w:r>
        <w:rPr>
          <w:rFonts w:ascii="Arial" w:cs="Arial" w:eastAsia="Arial" w:hAnsi="Arial"/>
          <w:sz w:val="18"/>
          <w:szCs w:val="18"/>
          <w:b w:val="1"/>
          <w:bCs w:val="1"/>
          <w:color w:val="auto"/>
        </w:rPr>
        <w:t xml:space="preserve">St. Louis - February 6, 2020 </w:t>
      </w:r>
      <w:r>
        <w:rPr>
          <w:rFonts w:ascii="Arial" w:cs="Arial" w:eastAsia="Arial" w:hAnsi="Arial"/>
          <w:sz w:val="18"/>
          <w:szCs w:val="18"/>
          <w:color w:val="auto"/>
        </w:rPr>
        <w:t>- BellRing Brands, Inc. (NYSE:BRBR) (“BellRing”), a holding company operating in the global convenient nutrition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results for the first fiscal quarter ended December 31,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5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Net sales of $244.0 million</w:t>
      </w:r>
    </w:p>
    <w:p>
      <w:pPr>
        <w:spacing w:after="0" w:line="49" w:lineRule="exact"/>
        <w:rPr>
          <w:rFonts w:ascii="Arial" w:cs="Arial" w:eastAsia="Arial" w:hAnsi="Arial"/>
          <w:sz w:val="18"/>
          <w:szCs w:val="18"/>
          <w:color w:val="auto"/>
        </w:rPr>
      </w:pPr>
    </w:p>
    <w:p>
      <w:pPr>
        <w:ind w:left="660" w:right="340" w:hanging="328"/>
        <w:spacing w:after="0" w:line="29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profit of $49.3 million; net earnings available to Class A common stockholders of $6.0 million and Adjusted EBITDA of $58.6 million</w:t>
      </w:r>
    </w:p>
    <w:p>
      <w:pPr>
        <w:ind w:left="660" w:hanging="328"/>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Reaffirmed fiscal year 2020 net sales guidance of $1.00-$1.05 billion; Adjusted EBITDA (non-GAAP) guidance of $192-$202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Operating Results</w:t>
      </w:r>
    </w:p>
    <w:p>
      <w:pPr>
        <w:spacing w:after="0" w:line="216" w:lineRule="exact"/>
        <w:rPr>
          <w:sz w:val="20"/>
          <w:szCs w:val="20"/>
          <w:color w:val="auto"/>
        </w:rPr>
      </w:pPr>
    </w:p>
    <w:p>
      <w:pPr>
        <w:ind w:right="160"/>
        <w:spacing w:after="0" w:line="354" w:lineRule="auto"/>
        <w:rPr>
          <w:sz w:val="20"/>
          <w:szCs w:val="20"/>
          <w:color w:val="auto"/>
        </w:rPr>
      </w:pPr>
      <w:r>
        <w:rPr>
          <w:rFonts w:ascii="Arial" w:cs="Arial" w:eastAsia="Arial" w:hAnsi="Arial"/>
          <w:sz w:val="16"/>
          <w:szCs w:val="16"/>
          <w:color w:val="auto"/>
        </w:rPr>
        <w:t xml:space="preserve">Net sales were $244.0 million, an increase of 31.3%, or $58.2 million, compared to the prior year period.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net sales increased 45.0%, with volumes increasing 38.4%, primarily driven by distribution gains for ready-to-drink (“RTD”) protein shakes, lapping short-term RTD protein shake capacity constraints in the first quarter of 2019 and higher average net selling prices. Dollar consumption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increased 27.5% in the 13-week period ended December 28, 2019 as compared to the same period in 2018 (per Nielsen Total US xAOC including Convenience).</w:t>
      </w:r>
    </w:p>
    <w:p>
      <w:pPr>
        <w:spacing w:after="0" w:line="103" w:lineRule="exact"/>
        <w:rPr>
          <w:sz w:val="20"/>
          <w:szCs w:val="20"/>
          <w:color w:val="auto"/>
        </w:rPr>
      </w:pPr>
    </w:p>
    <w:p>
      <w:pPr>
        <w:jc w:val="both"/>
        <w:ind w:right="100"/>
        <w:spacing w:after="0" w:line="336"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net sales declined 9.9%, with volumes down 3.9%, driven by higher club volumes in the prior year period associated with promotional activity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did not recur.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net sales declined 11.8%, with volumes declining 28.4%, primarily driven by product discontinuations in North America, consistent with BellRing’s strategy to optimize the North American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portfolio focusing on its most successful product offerings.</w:t>
      </w:r>
    </w:p>
    <w:p>
      <w:pPr>
        <w:spacing w:after="0" w:line="111" w:lineRule="exact"/>
        <w:rPr>
          <w:sz w:val="20"/>
          <w:szCs w:val="20"/>
          <w:color w:val="auto"/>
        </w:rPr>
      </w:pPr>
    </w:p>
    <w:p>
      <w:pPr>
        <w:jc w:val="both"/>
        <w:ind w:right="120"/>
        <w:spacing w:after="0" w:line="324" w:lineRule="auto"/>
        <w:rPr>
          <w:sz w:val="20"/>
          <w:szCs w:val="20"/>
          <w:color w:val="auto"/>
        </w:rPr>
      </w:pPr>
      <w:r>
        <w:rPr>
          <w:rFonts w:ascii="Arial" w:cs="Arial" w:eastAsia="Arial" w:hAnsi="Arial"/>
          <w:sz w:val="18"/>
          <w:szCs w:val="18"/>
          <w:color w:val="auto"/>
        </w:rPr>
        <w:t>Gross profit was $91.3 million, or 37.4% of net sales, an increase of 39.2%, or $25.7 million, compared to the prior year period gross profit of $65.6 million, or 35.3% of net sales.</w:t>
      </w:r>
    </w:p>
    <w:p>
      <w:pPr>
        <w:spacing w:after="0" w:line="116" w:lineRule="exact"/>
        <w:rPr>
          <w:sz w:val="20"/>
          <w:szCs w:val="20"/>
          <w:color w:val="auto"/>
        </w:rPr>
      </w:pPr>
    </w:p>
    <w:p>
      <w:pPr>
        <w:ind w:right="100"/>
        <w:spacing w:after="0" w:line="302" w:lineRule="auto"/>
        <w:rPr>
          <w:sz w:val="20"/>
          <w:szCs w:val="20"/>
          <w:color w:val="auto"/>
        </w:rPr>
      </w:pPr>
      <w:r>
        <w:rPr>
          <w:rFonts w:ascii="Arial" w:cs="Arial" w:eastAsia="Arial" w:hAnsi="Arial"/>
          <w:sz w:val="18"/>
          <w:szCs w:val="18"/>
          <w:color w:val="auto"/>
        </w:rPr>
        <w:t>Selling, general and administrative (“SG&amp;A”) expenses were $36.5 million, or 15.0% of net sales, an increase of $9.3 million compared to the prior year period SG&amp;A expenses of $27.2 million, or 14.6% of net sales. SG&amp;A expenses in the first quarter of 2020 and 2019 included $1.5 million and $1.2 million, respectively, of separation costs to effect BellRing’s separation from Post Holdings, Inc. (“Post”) and to support BellRing’s transition into a separate stand-alone entity, which was treated as an adjustment for non-GAAP measures. SG&amp;A expenses in the first quarter of 2020 and 2019 included public company costs and separate stand-alone company costs of $3.2 million (of which $1.4 million was stock-based compensation which was treated as an adjustment for non-GAAP measures) and $1.1 million (of which $0.5 million was stock-based compensation which was treated as an adjustment for non-GAAP measures),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$49.3 million, an increase of 49.8%, or $16.4 million, compared to the prior year period operating profit of $32.9 million.</w:t>
      </w:r>
    </w:p>
    <w:p>
      <w:pPr>
        <w:spacing w:after="0" w:line="212"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Interest expense, net was $11.6 million in the first quarter of 2020 and related to debt borrowed in connection with the creation of BellRing’s capital structure in the first quarter of 2020. No interest expense was recorded in the first quarter of 2019.</w:t>
      </w:r>
    </w:p>
    <w:p>
      <w:pPr>
        <w:spacing w:after="0" w:line="116" w:lineRule="exact"/>
        <w:rPr>
          <w:sz w:val="20"/>
          <w:szCs w:val="20"/>
          <w:color w:val="auto"/>
        </w:rPr>
      </w:pPr>
    </w:p>
    <w:p>
      <w:pPr>
        <w:ind w:right="280"/>
        <w:spacing w:after="0" w:line="324" w:lineRule="auto"/>
        <w:rPr>
          <w:sz w:val="20"/>
          <w:szCs w:val="20"/>
          <w:color w:val="auto"/>
        </w:rPr>
      </w:pPr>
      <w:r>
        <w:rPr>
          <w:rFonts w:ascii="Arial" w:cs="Arial" w:eastAsia="Arial" w:hAnsi="Arial"/>
          <w:sz w:val="18"/>
          <w:szCs w:val="18"/>
          <w:color w:val="auto"/>
        </w:rPr>
        <w:t>Income tax expense was $5.9 million in the first quarter of 2020, an effective income tax rate of 15.6%, compared to an expense of $7.8 million in the first quarter of 2019, an effective income tax rate of 23.7%. In the first quarter of 2020,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25" w:right="239" w:bottom="1440" w:gutter="0" w:footer="0" w:header="0"/>
        </w:sectPr>
      </w:pPr>
    </w:p>
    <w:bookmarkStart w:id="4" w:name="page5"/>
    <w:bookmarkEnd w:id="4"/>
    <w:p>
      <w:pPr>
        <w:spacing w:after="0" w:line="311" w:lineRule="auto"/>
        <w:rPr>
          <w:sz w:val="20"/>
          <w:szCs w:val="20"/>
          <w:color w:val="auto"/>
        </w:rPr>
      </w:pPr>
      <w:r>
        <w:rPr>
          <w:rFonts w:ascii="Arial" w:cs="Arial" w:eastAsia="Arial" w:hAnsi="Arial"/>
          <w:sz w:val="18"/>
          <w:szCs w:val="18"/>
          <w:color w:val="auto"/>
        </w:rPr>
        <w:t>effective income tax rate differed significantly from the statutory rate primarily as a result of taking into account for U.S. federal income tax purposes a 28.8% distributive share of the items of income, gain, loss and deduction of BellRing Brands, LLC (“BellRing LLC”) in the period subsequent to the initial public offering (the “IPO”).</w:t>
      </w:r>
    </w:p>
    <w:p>
      <w:pPr>
        <w:spacing w:after="0" w:line="127" w:lineRule="exact"/>
        <w:rPr>
          <w:sz w:val="20"/>
          <w:szCs w:val="20"/>
          <w:color w:val="auto"/>
        </w:rPr>
      </w:pPr>
    </w:p>
    <w:p>
      <w:pPr>
        <w:ind w:right="80"/>
        <w:spacing w:after="0" w:line="325" w:lineRule="auto"/>
        <w:rPr>
          <w:sz w:val="20"/>
          <w:szCs w:val="20"/>
          <w:color w:val="auto"/>
        </w:rPr>
      </w:pPr>
      <w:r>
        <w:rPr>
          <w:rFonts w:ascii="Arial" w:cs="Arial" w:eastAsia="Arial" w:hAnsi="Arial"/>
          <w:sz w:val="17"/>
          <w:szCs w:val="17"/>
          <w:color w:val="auto"/>
        </w:rPr>
        <w:t>Net earnings available to Class A common stockholders were $6.0 million in the first quarter of 2020 compared to zero in the prior year period. Net earnings available to Class A common stockholders in the first quarter of 2020 excluded $25.8 million of net earnings attributable to the Company’s redeemable noncontrolling interest (“NCI”) compared to $25.1 million excluded in the prior year period. Net earnings per diluted share of Class A common stock were $0.15. Adjusted net earnings available to Class A common stockholders were $6.4 million, or $0.16 per diluted share of Class A common stock, compared to the prior year period Adjusted net earnings available to Class A common stockholders of zero.</w:t>
      </w:r>
    </w:p>
    <w:p>
      <w:pPr>
        <w:spacing w:after="0" w:line="122" w:lineRule="exact"/>
        <w:rPr>
          <w:sz w:val="20"/>
          <w:szCs w:val="20"/>
          <w:color w:val="auto"/>
        </w:rPr>
      </w:pPr>
    </w:p>
    <w:p>
      <w:pPr>
        <w:spacing w:after="0" w:line="311" w:lineRule="auto"/>
        <w:rPr>
          <w:sz w:val="20"/>
          <w:szCs w:val="20"/>
          <w:color w:val="auto"/>
        </w:rPr>
      </w:pPr>
      <w:r>
        <w:rPr>
          <w:rFonts w:ascii="Arial" w:cs="Arial" w:eastAsia="Arial" w:hAnsi="Arial"/>
          <w:sz w:val="18"/>
          <w:szCs w:val="18"/>
          <w:color w:val="auto"/>
        </w:rPr>
        <w:t>Adjusted EBITDA was $58.6 million, an increase of 42.9%, or $17.6 million, compared to the prior year period Adjusted EBITDA of $41.0 million. Adjusted EBITDA in the first quarter of 2020 included an adjustment for the portion of BellRing LLC’s consolidated net earnings which was allocated to NCI, resulting in the calculation of Adjusted EBITDA including 100% of BellRing.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16" w:lineRule="exact"/>
        <w:rPr>
          <w:sz w:val="20"/>
          <w:szCs w:val="20"/>
          <w:color w:val="auto"/>
        </w:rPr>
      </w:pPr>
    </w:p>
    <w:p>
      <w:pPr>
        <w:ind w:right="60"/>
        <w:spacing w:after="0" w:line="349" w:lineRule="auto"/>
        <w:rPr>
          <w:sz w:val="20"/>
          <w:szCs w:val="20"/>
          <w:color w:val="auto"/>
        </w:rPr>
      </w:pPr>
      <w:r>
        <w:rPr>
          <w:rFonts w:ascii="Arial" w:cs="Arial" w:eastAsia="Arial" w:hAnsi="Arial"/>
          <w:sz w:val="16"/>
          <w:szCs w:val="16"/>
          <w:color w:val="auto"/>
        </w:rPr>
        <w:t>On October 21, 2019, BellRing closed its IPO of 39.4 million shares of Class A common stock. Upon completion of the IPO and certain transactions completed in connection with the IPO, BellRing became the holding company for BellRing LLC (which became the holding company for Post’s historical Active Nutrition segment (“Active Nutrition”)). Effective October 21, 2019, BellRing allocates a portion of the consolidated net earnings of BellRing LLC to NCI reflecting the entitlement of Post to a portion of the consolidated net earnings. As of December 31, 2019, Post holds 71.2% of the economic interest of BellRing LLC. Prior to October 21, 2019, Post held 100% of the economic interest of BellRing LLC, which was allocated to the NCI.</w:t>
      </w:r>
    </w:p>
    <w:p>
      <w:pPr>
        <w:spacing w:after="0" w:line="269" w:lineRule="exact"/>
        <w:rPr>
          <w:sz w:val="20"/>
          <w:szCs w:val="20"/>
          <w:color w:val="auto"/>
        </w:rPr>
      </w:pPr>
    </w:p>
    <w:p>
      <w:pPr>
        <w:ind w:right="60"/>
        <w:spacing w:after="0" w:line="323" w:lineRule="auto"/>
        <w:rPr>
          <w:sz w:val="20"/>
          <w:szCs w:val="20"/>
          <w:color w:val="auto"/>
        </w:rPr>
      </w:pPr>
      <w:r>
        <w:rPr>
          <w:rFonts w:ascii="Arial" w:cs="Arial" w:eastAsia="Arial" w:hAnsi="Arial"/>
          <w:sz w:val="17"/>
          <w:szCs w:val="17"/>
          <w:color w:val="auto"/>
        </w:rPr>
        <w:t>For the period prior to the IPO, BellRing’s financial statements present the combined results of Active Nutrition which have been prepared on a stand-alone basis and are derived from the consolidated financial statements and accounting records of Post. 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were reasonable. However, the allocations may not reflect the expenses that BellRing may have incurred as a separate company for the period presented.</w:t>
      </w:r>
    </w:p>
    <w:p>
      <w:pPr>
        <w:spacing w:after="0" w:line="123" w:lineRule="exact"/>
        <w:rPr>
          <w:sz w:val="20"/>
          <w:szCs w:val="20"/>
          <w:color w:val="auto"/>
        </w:rPr>
      </w:pPr>
    </w:p>
    <w:p>
      <w:pPr>
        <w:ind w:right="120"/>
        <w:spacing w:after="0" w:line="336" w:lineRule="auto"/>
        <w:rPr>
          <w:sz w:val="20"/>
          <w:szCs w:val="20"/>
          <w:color w:val="auto"/>
        </w:rPr>
      </w:pPr>
      <w:r>
        <w:rPr>
          <w:rFonts w:ascii="Arial" w:cs="Arial" w:eastAsia="Arial" w:hAnsi="Arial"/>
          <w:sz w:val="17"/>
          <w:szCs w:val="17"/>
          <w:color w:val="auto"/>
        </w:rPr>
        <w:t>The historical financial results in this release for the first quarter of 2019 differ from the results of the BellRing Brands segment for the same period reported by Post. Reconciliations between the operating profit and Adjusted EBITDA as reported by BellRing in this release to the BellRing Brands segment profit and segment Adjusted EBITDA as reported by Post in Post’s first quarter 2020 earnings release are included later in this release.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6" w:lineRule="exact"/>
        <w:rPr>
          <w:sz w:val="20"/>
          <w:szCs w:val="20"/>
          <w:color w:val="auto"/>
        </w:rPr>
      </w:pPr>
    </w:p>
    <w:p>
      <w:pPr>
        <w:ind w:right="260"/>
        <w:spacing w:after="0" w:line="324" w:lineRule="auto"/>
        <w:rPr>
          <w:sz w:val="20"/>
          <w:szCs w:val="20"/>
          <w:color w:val="auto"/>
        </w:rPr>
      </w:pPr>
      <w:r>
        <w:rPr>
          <w:rFonts w:ascii="Arial" w:cs="Arial" w:eastAsia="Arial" w:hAnsi="Arial"/>
          <w:sz w:val="18"/>
          <w:szCs w:val="18"/>
          <w:color w:val="auto"/>
        </w:rPr>
        <w:t>BellRing management continues to expect fiscal year 2020 net sales to range between $1.00-$1.05 billion, Adjusted EBITDA to range between $192-$202 million and capital expenditures of approximately $4 million.</w:t>
      </w:r>
    </w:p>
    <w:p>
      <w:pPr>
        <w:spacing w:after="0" w:line="116" w:lineRule="exact"/>
        <w:rPr>
          <w:sz w:val="20"/>
          <w:szCs w:val="20"/>
          <w:color w:val="auto"/>
        </w:rPr>
      </w:pPr>
    </w:p>
    <w:p>
      <w:pPr>
        <w:ind w:right="240"/>
        <w:spacing w:after="0" w:line="325" w:lineRule="auto"/>
        <w:rPr>
          <w:sz w:val="20"/>
          <w:szCs w:val="20"/>
          <w:color w:val="auto"/>
        </w:rPr>
      </w:pPr>
      <w:r>
        <w:rPr>
          <w:rFonts w:ascii="Arial" w:cs="Arial" w:eastAsia="Arial" w:hAnsi="Arial"/>
          <w:sz w:val="17"/>
          <w:szCs w:val="17"/>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separation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Use of Non-GAAP Measures</w:t>
      </w:r>
    </w:p>
    <w:p>
      <w:pPr>
        <w:spacing w:after="0" w:line="216" w:lineRule="exact"/>
        <w:rPr>
          <w:sz w:val="20"/>
          <w:szCs w:val="20"/>
          <w:color w:val="auto"/>
        </w:rPr>
      </w:pPr>
    </w:p>
    <w:p>
      <w:pPr>
        <w:ind w:right="360"/>
        <w:spacing w:after="0" w:line="306" w:lineRule="auto"/>
        <w:rPr>
          <w:sz w:val="20"/>
          <w:szCs w:val="20"/>
          <w:color w:val="auto"/>
        </w:rPr>
      </w:pPr>
      <w:r>
        <w:rPr>
          <w:rFonts w:ascii="Arial" w:cs="Arial" w:eastAsia="Arial" w:hAnsi="Arial"/>
          <w:sz w:val="18"/>
          <w:szCs w:val="18"/>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and Adjusted EBITDA. The reconciliation of each of these non-GAAP measures to the most directly comparable GAAP measure is provided later in this release under “Explanation and Reconciliation of Non-GAAP Measures.”</w:t>
      </w:r>
    </w:p>
    <w:p>
      <w:pPr>
        <w:spacing w:after="0" w:line="133"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Management uses certain of these non-GAAP measures, including Adjusted EBITDA, as key metrics in the evaluation of underlying company performance, in making financial, operating and planning decisions and, in part, in the determination of cash bonuses for its executive officers and employees. Additionally, BellRing LLC is required to comply with certain covenants and limitations that are based on variations of EBITDA in BellRing LLC’s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BellRing Conference Call to Discuss Earnings Results and Outlook</w:t>
      </w:r>
    </w:p>
    <w:p>
      <w:pPr>
        <w:spacing w:after="0" w:line="216" w:lineRule="exact"/>
        <w:rPr>
          <w:sz w:val="20"/>
          <w:szCs w:val="20"/>
          <w:color w:val="auto"/>
        </w:rPr>
      </w:pPr>
    </w:p>
    <w:p>
      <w:pPr>
        <w:ind w:right="80"/>
        <w:spacing w:after="0" w:line="311" w:lineRule="auto"/>
        <w:rPr>
          <w:sz w:val="20"/>
          <w:szCs w:val="20"/>
          <w:color w:val="auto"/>
        </w:rPr>
      </w:pPr>
      <w:r>
        <w:rPr>
          <w:rFonts w:ascii="Arial" w:cs="Arial" w:eastAsia="Arial" w:hAnsi="Arial"/>
          <w:sz w:val="18"/>
          <w:szCs w:val="18"/>
          <w:color w:val="auto"/>
        </w:rPr>
        <w:t>BellRing will host a conference call on Friday, February 7, 2020 at 10:30 a.m. EST to discuss financial results for the first quarter of fiscal year 2020 and fiscal year 2020 outlook and to respond to questions. Darcy H. Davenport, President and Chief Executive Officer, and Paul A. Rode, Chief Financial Officer, will participate in the call.</w:t>
      </w:r>
    </w:p>
    <w:p>
      <w:pPr>
        <w:spacing w:after="0" w:line="127" w:lineRule="exact"/>
        <w:rPr>
          <w:sz w:val="20"/>
          <w:szCs w:val="20"/>
          <w:color w:val="auto"/>
        </w:rPr>
      </w:pPr>
    </w:p>
    <w:p>
      <w:pPr>
        <w:ind w:right="220"/>
        <w:spacing w:after="0" w:line="311" w:lineRule="auto"/>
        <w:rPr>
          <w:sz w:val="20"/>
          <w:szCs w:val="20"/>
          <w:color w:val="auto"/>
        </w:rPr>
      </w:pPr>
      <w:r>
        <w:rPr>
          <w:rFonts w:ascii="Arial" w:cs="Arial" w:eastAsia="Arial" w:hAnsi="Arial"/>
          <w:sz w:val="18"/>
          <w:szCs w:val="18"/>
          <w:color w:val="auto"/>
        </w:rPr>
        <w:t>Interested parties may join the conference call by dialing (833) 954-1568 in the United States and (409) 216-6583 from outside of the United States. The conference identification number is 6897520. Interested parties are invited to listen to the webcast of the conference call, which can be accessed by visiting the Investor Relations section of BellRing’s website at www.bellring.com.</w:t>
      </w:r>
    </w:p>
    <w:p>
      <w:pPr>
        <w:spacing w:after="0" w:line="127" w:lineRule="exact"/>
        <w:rPr>
          <w:sz w:val="20"/>
          <w:szCs w:val="20"/>
          <w:color w:val="auto"/>
        </w:rPr>
      </w:pPr>
    </w:p>
    <w:p>
      <w:pPr>
        <w:ind w:right="140"/>
        <w:spacing w:after="0" w:line="311" w:lineRule="auto"/>
        <w:rPr>
          <w:sz w:val="20"/>
          <w:szCs w:val="20"/>
          <w:color w:val="auto"/>
        </w:rPr>
      </w:pPr>
      <w:r>
        <w:rPr>
          <w:rFonts w:ascii="Arial" w:cs="Arial" w:eastAsia="Arial" w:hAnsi="Arial"/>
          <w:sz w:val="18"/>
          <w:szCs w:val="18"/>
          <w:color w:val="auto"/>
        </w:rPr>
        <w:t>A replay of the conference call will be available through Friday, February 21, 2020 by dialing (800) 585-8367 in the United States and (404) 537-3406 from outside of the United States and using the conference identification number 6897520. A webcast replay also will be available for a limited period on BellRing’s website in the Investor Relations section.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Financial Information</w:t>
      </w:r>
    </w:p>
    <w:p>
      <w:pPr>
        <w:spacing w:after="0" w:line="216"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 In light of the foregoing, the information should be viewed in context and undue reliance should not be placed upon it.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color w:val="auto"/>
        </w:rPr>
        <w:t>Certain matters discussed in this release and on BellRing’s conference call are forward-looking statements, including BellRing’s net sales, Adjusted EBITDA and capital expenditures outlook for fiscal year 2020.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21" w:right="259" w:bottom="1440" w:gutter="0" w:footer="0" w:header="0"/>
        </w:sectPr>
      </w:pPr>
    </w:p>
    <w:bookmarkStart w:id="6" w:name="page7"/>
    <w:bookmarkEnd w:id="6"/>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dependence on sales from its RTD protein shakes;</w:t>
      </w:r>
    </w:p>
    <w:p>
      <w:pPr>
        <w:spacing w:after="0" w:line="49" w:lineRule="exact"/>
        <w:rPr>
          <w:rFonts w:ascii="Arial" w:cs="Arial" w:eastAsia="Arial" w:hAnsi="Arial"/>
          <w:sz w:val="18"/>
          <w:szCs w:val="18"/>
          <w:color w:val="auto"/>
        </w:rPr>
      </w:pPr>
    </w:p>
    <w:p>
      <w:pPr>
        <w:ind w:left="660" w:right="580" w:hanging="328"/>
        <w:spacing w:after="0" w:line="29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dependence on a limited number of third party contract manufacturers and suppliers for the manufacturing of most of its products, including one manufacturer for the substantial majority of its RTD protein shakes;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operation in a category with strong competition;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reliance on a limited number of third party suppliers to provide certain ingredients and packaging;</w:t>
      </w:r>
    </w:p>
    <w:p>
      <w:pPr>
        <w:spacing w:after="0" w:line="49" w:lineRule="exact"/>
        <w:rPr>
          <w:rFonts w:ascii="Arial" w:cs="Arial" w:eastAsia="Arial" w:hAnsi="Arial"/>
          <w:sz w:val="18"/>
          <w:szCs w:val="18"/>
          <w:color w:val="auto"/>
        </w:rPr>
      </w:pPr>
    </w:p>
    <w:p>
      <w:pPr>
        <w:ind w:left="660" w:right="760" w:hanging="328"/>
        <w:spacing w:after="0" w:line="29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higher freight costs, significant volatility in the costs or availability of certain commodities (including raw materials and packaging used to manufacture BellRing’s products) or higher energy costs;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BellRing’s supply chain, changes in weather conditions and other events beyond its control;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in BellRing’s distribution channels;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BellRing’s ability to anticipate and respond to changes in consumer and customer preferences and trends and to introduce new products;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maintain favorable perceptions of its brands;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expand existing market penetration and enter into new markets;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allegations that BellRing’s products cause injury or illness, product recalls and withdrawals and product liability claims and other litigation;</w:t>
      </w:r>
    </w:p>
    <w:p>
      <w:pPr>
        <w:spacing w:after="0" w:line="61" w:lineRule="exact"/>
        <w:rPr>
          <w:rFonts w:ascii="Arial" w:cs="Arial" w:eastAsia="Arial" w:hAnsi="Arial"/>
          <w:sz w:val="17"/>
          <w:szCs w:val="17"/>
          <w:color w:val="auto"/>
        </w:rPr>
      </w:pPr>
    </w:p>
    <w:p>
      <w:pPr>
        <w:ind w:left="660" w:hanging="328"/>
        <w:spacing w:after="0" w:line="29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BellRing’s business, including current and future laws and regulations regarding food safety and advertising;</w:t>
      </w:r>
    </w:p>
    <w:p>
      <w:pPr>
        <w:ind w:left="660" w:right="400" w:hanging="328"/>
        <w:spacing w:after="0" w:line="29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high leverage, BellRing’s ability to obtain additional financing (including both secured and unsecured debt) and BellRing’s ability to service its outstanding debt (including covenants that restrict the operation of its business);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manage its growth and to identify, complete and integrate any acquisitions or other strategic transactions;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BellRing’s business due to changes in its promotional activities and seasonality;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BellRing’s international business;</w:t>
      </w:r>
    </w:p>
    <w:p>
      <w:pPr>
        <w:spacing w:after="0" w:line="49" w:lineRule="exact"/>
        <w:rPr>
          <w:rFonts w:ascii="Arial" w:cs="Arial" w:eastAsia="Arial" w:hAnsi="Arial"/>
          <w:sz w:val="18"/>
          <w:szCs w:val="18"/>
          <w:color w:val="auto"/>
        </w:rPr>
      </w:pPr>
    </w:p>
    <w:p>
      <w:pPr>
        <w:ind w:left="660" w:right="160" w:hanging="328"/>
        <w:spacing w:after="0" w:line="29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BellRing’s ongoing relationship with Post, including Post’s control over BellRing and ability to control the direction of BellRing’s business, conflicts of interest or disputes that may arise between Post and BellRing and BellRing’s obligations under various agreements with Post, including under the tax receivable agreement;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BellRing;</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BellRing’s market data and attributes and related information;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attract and retain key employees;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BellRing’s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in the United States and global capital and credit markets, changes in interest rates and fluctuations in foreign currency exchange rates;</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protect its intellectual property and other assets;</w:t>
      </w:r>
    </w:p>
    <w:p>
      <w:pPr>
        <w:spacing w:after="0" w:line="49" w:lineRule="exact"/>
        <w:rPr>
          <w:rFonts w:ascii="Arial" w:cs="Arial" w:eastAsia="Arial" w:hAnsi="Arial"/>
          <w:sz w:val="18"/>
          <w:szCs w:val="18"/>
          <w:color w:val="auto"/>
        </w:rPr>
      </w:pPr>
    </w:p>
    <w:p>
      <w:pPr>
        <w:ind w:left="660" w:right="420" w:hanging="328"/>
        <w:spacing w:after="0" w:line="29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ind w:left="660" w:right="160" w:hanging="328"/>
        <w:spacing w:after="0" w:line="29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BellRing’s public company status, including BellRing’s ability to operate as a separate public company following the IPO and the additional expenses BellRing will incur to create the corporate infrastructure to operate as a public company;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differences in BellRing’s actual operating results from any guidance BellRing may give regarding its performance;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BellRing’s ability to satisfy the requirements of Section 404 of the Sarbanes-Oxley Act of 2002;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BellRing’s filings with the Securities and Exchange Commission.</w:t>
      </w:r>
    </w:p>
    <w:p>
      <w:pPr>
        <w:spacing w:after="0" w:line="212" w:lineRule="exact"/>
        <w:rPr>
          <w:sz w:val="20"/>
          <w:szCs w:val="20"/>
          <w:color w:val="auto"/>
        </w:rPr>
      </w:pPr>
    </w:p>
    <w:p>
      <w:pPr>
        <w:ind w:right="20"/>
        <w:spacing w:after="0" w:line="324" w:lineRule="auto"/>
        <w:rPr>
          <w:sz w:val="20"/>
          <w:szCs w:val="20"/>
          <w:color w:val="auto"/>
        </w:rPr>
      </w:pPr>
      <w:r>
        <w:rPr>
          <w:rFonts w:ascii="Arial" w:cs="Arial" w:eastAsia="Arial" w:hAnsi="Arial"/>
          <w:sz w:val="18"/>
          <w:szCs w:val="18"/>
          <w:color w:val="auto"/>
        </w:rPr>
        <w:t>These forward-looking statements represent BellRing’s judgment as of the date of this release. BellRing disclaims, however, any intent or obligation to update these forward-looking statements.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25" w:right="239" w:bottom="1440" w:gutter="0" w:footer="0" w:header="0"/>
        </w:sectPr>
      </w:pPr>
    </w:p>
    <w:bookmarkStart w:id="7" w:name="page8"/>
    <w:bookmarkEnd w:id="7"/>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216" w:lineRule="exact"/>
        <w:rPr>
          <w:sz w:val="20"/>
          <w:szCs w:val="20"/>
          <w:color w:val="auto"/>
        </w:rPr>
      </w:pPr>
    </w:p>
    <w:p>
      <w:pPr>
        <w:ind w:right="240"/>
        <w:spacing w:after="0" w:line="304" w:lineRule="auto"/>
        <w:rPr>
          <w:sz w:val="20"/>
          <w:szCs w:val="20"/>
          <w:color w:val="auto"/>
        </w:rPr>
      </w:pPr>
      <w:r>
        <w:rPr>
          <w:rFonts w:ascii="Arial" w:cs="Arial" w:eastAsia="Arial" w:hAnsi="Arial"/>
          <w:sz w:val="18"/>
          <w:szCs w:val="18"/>
          <w:color w:val="auto"/>
        </w:rPr>
        <w:t>BellRing Brands, Inc. is a rapidly growing leader in the global convenient nutrition category. Its primary brands, Premier Protein®, Dymatize® and PowerBar®,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Dan Callahan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dan.callahan@bellringbrands.com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(314) 219-1387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Lisa Hanly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lisa.hanly@bellringbrands.com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(314) 665-3180</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CONDENSED CONSOLIDATED STATEMENTS OF OPERATIONS </w:t>
      </w:r>
      <w:r>
        <w:rPr>
          <w:rFonts w:ascii="Arial" w:cs="Arial" w:eastAsia="Arial" w:hAnsi="Arial"/>
          <w:sz w:val="16"/>
          <w:szCs w:val="16"/>
          <w:b w:val="1"/>
          <w:bCs w:val="1"/>
          <w:color w:val="auto"/>
        </w:rPr>
        <w:t>(Unaudited)</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for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472"/>
              <w:spacing w:after="0"/>
              <w:rPr>
                <w:sz w:val="20"/>
                <w:szCs w:val="20"/>
                <w:color w:val="auto"/>
              </w:rPr>
            </w:pPr>
            <w:r>
              <w:rPr>
                <w:rFonts w:ascii="Arial" w:cs="Arial" w:eastAsia="Arial" w:hAnsi="Arial"/>
                <w:sz w:val="16"/>
                <w:szCs w:val="16"/>
                <w:b w:val="1"/>
                <w:bCs w:val="1"/>
                <w:color w:val="auto"/>
                <w:w w:val="90"/>
              </w:rPr>
              <w:t>December 31,</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86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17"/>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r>
      <w:tr>
        <w:trPr>
          <w:trHeight w:val="60"/>
        </w:trPr>
        <w:tc>
          <w:tcPr>
            <w:tcW w:w="20" w:type="dxa"/>
            <w:vAlign w:val="bottom"/>
            <w:tcBorders>
              <w:bottom w:val="single" w:sz="8" w:color="CCEEFF"/>
            </w:tcBorders>
          </w:tcPr>
          <w:p>
            <w:pPr>
              <w:spacing w:after="0"/>
              <w:rPr>
                <w:sz w:val="5"/>
                <w:szCs w:val="5"/>
                <w:color w:val="auto"/>
              </w:rPr>
            </w:pPr>
          </w:p>
        </w:tc>
        <w:tc>
          <w:tcPr>
            <w:tcW w:w="86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71"/>
        </w:trPr>
        <w:tc>
          <w:tcPr>
            <w:tcW w:w="20" w:type="dxa"/>
            <w:vAlign w:val="bottom"/>
            <w:tcBorders>
              <w:bottom w:val="single" w:sz="8" w:color="CCEEFF"/>
            </w:tcBorders>
            <w:shd w:val="clear" w:color="auto" w:fill="CCEEFF"/>
          </w:tcPr>
          <w:p>
            <w:pPr>
              <w:spacing w:after="0"/>
              <w:rPr>
                <w:sz w:val="23"/>
                <w:szCs w:val="23"/>
                <w:color w:val="auto"/>
              </w:rPr>
            </w:pPr>
          </w:p>
        </w:tc>
        <w:tc>
          <w:tcPr>
            <w:tcW w:w="8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244.0</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185.8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152.7</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21"/>
                <w:szCs w:val="2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86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71"/>
        </w:trPr>
        <w:tc>
          <w:tcPr>
            <w:tcW w:w="20" w:type="dxa"/>
            <w:vAlign w:val="bottom"/>
            <w:tcBorders>
              <w:bottom w:val="single" w:sz="8" w:color="CCEEFF"/>
            </w:tcBorders>
            <w:shd w:val="clear" w:color="auto" w:fill="CCEEFF"/>
          </w:tcPr>
          <w:p>
            <w:pPr>
              <w:spacing w:after="0"/>
              <w:rPr>
                <w:sz w:val="23"/>
                <w:szCs w:val="23"/>
                <w:color w:val="auto"/>
              </w:rPr>
            </w:pPr>
          </w:p>
        </w:tc>
        <w:tc>
          <w:tcPr>
            <w:tcW w:w="8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91.3</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8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8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640" w:type="dxa"/>
            <w:vAlign w:val="bottom"/>
          </w:tcPr>
          <w:p>
            <w:pPr>
              <w:ind w:left="60"/>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32.9</w:t>
            </w:r>
          </w:p>
        </w:tc>
        <w:tc>
          <w:tcPr>
            <w:tcW w:w="20" w:type="dxa"/>
            <w:vAlign w:val="bottom"/>
            <w:tcBorders>
              <w:top w:val="single" w:sz="8" w:color="auto"/>
            </w:tcBorders>
          </w:tcPr>
          <w:p>
            <w:pPr>
              <w:spacing w:after="0"/>
              <w:rPr>
                <w:sz w:val="20"/>
                <w:szCs w:val="20"/>
                <w:color w:val="auto"/>
              </w:rPr>
            </w:pPr>
          </w:p>
        </w:tc>
      </w:tr>
      <w:tr>
        <w:trPr>
          <w:trHeight w:val="54"/>
        </w:trPr>
        <w:tc>
          <w:tcPr>
            <w:tcW w:w="20" w:type="dxa"/>
            <w:vAlign w:val="bottom"/>
          </w:tcPr>
          <w:p>
            <w:pPr>
              <w:spacing w:after="0"/>
              <w:rPr>
                <w:sz w:val="4"/>
                <w:szCs w:val="4"/>
                <w:color w:val="auto"/>
              </w:rPr>
            </w:pPr>
          </w:p>
        </w:tc>
        <w:tc>
          <w:tcPr>
            <w:tcW w:w="8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8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640" w:type="dxa"/>
            <w:vAlign w:val="bottom"/>
          </w:tcPr>
          <w:p>
            <w:pPr>
              <w:ind w:left="60"/>
              <w:spacing w:after="0"/>
              <w:rPr>
                <w:sz w:val="20"/>
                <w:szCs w:val="20"/>
                <w:color w:val="auto"/>
              </w:rPr>
            </w:pPr>
            <w:r>
              <w:rPr>
                <w:rFonts w:ascii="Arial" w:cs="Arial" w:eastAsia="Arial" w:hAnsi="Arial"/>
                <w:sz w:val="18"/>
                <w:szCs w:val="18"/>
                <w:b w:val="1"/>
                <w:bCs w:val="1"/>
                <w:color w:val="auto"/>
              </w:rPr>
              <w:t>Earnings before Income Taxes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32.9</w:t>
            </w:r>
          </w:p>
        </w:tc>
        <w:tc>
          <w:tcPr>
            <w:tcW w:w="20" w:type="dxa"/>
            <w:vAlign w:val="bottom"/>
            <w:tcBorders>
              <w:top w:val="single" w:sz="8" w:color="auto"/>
            </w:tcBorders>
          </w:tcPr>
          <w:p>
            <w:pPr>
              <w:spacing w:after="0"/>
              <w:rPr>
                <w:sz w:val="20"/>
                <w:szCs w:val="20"/>
                <w:color w:val="auto"/>
              </w:rPr>
            </w:pPr>
          </w:p>
        </w:tc>
      </w:tr>
      <w:tr>
        <w:trPr>
          <w:trHeight w:val="54"/>
        </w:trPr>
        <w:tc>
          <w:tcPr>
            <w:tcW w:w="20" w:type="dxa"/>
            <w:vAlign w:val="bottom"/>
          </w:tcPr>
          <w:p>
            <w:pPr>
              <w:spacing w:after="0"/>
              <w:rPr>
                <w:sz w:val="4"/>
                <w:szCs w:val="4"/>
                <w:color w:val="auto"/>
              </w:rPr>
            </w:pPr>
          </w:p>
        </w:tc>
        <w:tc>
          <w:tcPr>
            <w:tcW w:w="8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8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640" w:type="dxa"/>
            <w:vAlign w:val="bottom"/>
          </w:tcPr>
          <w:p>
            <w:pPr>
              <w:ind w:left="6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25.1</w:t>
            </w:r>
          </w:p>
        </w:tc>
        <w:tc>
          <w:tcPr>
            <w:tcW w:w="20" w:type="dxa"/>
            <w:vAlign w:val="bottom"/>
            <w:tcBorders>
              <w:top w:val="single" w:sz="8" w:color="auto"/>
            </w:tcBorders>
          </w:tcPr>
          <w:p>
            <w:pPr>
              <w:spacing w:after="0"/>
              <w:rPr>
                <w:sz w:val="20"/>
                <w:szCs w:val="20"/>
                <w:color w:val="auto"/>
              </w:rPr>
            </w:pPr>
          </w:p>
        </w:tc>
      </w:tr>
      <w:tr>
        <w:trPr>
          <w:trHeight w:val="54"/>
        </w:trPr>
        <w:tc>
          <w:tcPr>
            <w:tcW w:w="20" w:type="dxa"/>
            <w:vAlign w:val="bottom"/>
          </w:tcPr>
          <w:p>
            <w:pPr>
              <w:spacing w:after="0"/>
              <w:rPr>
                <w:sz w:val="4"/>
                <w:szCs w:val="4"/>
                <w:color w:val="auto"/>
              </w:rPr>
            </w:pPr>
          </w:p>
        </w:tc>
        <w:tc>
          <w:tcPr>
            <w:tcW w:w="8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8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81"/>
        </w:trPr>
        <w:tc>
          <w:tcPr>
            <w:tcW w:w="20" w:type="dxa"/>
            <w:vAlign w:val="bottom"/>
            <w:tcBorders>
              <w:bottom w:val="single" w:sz="8" w:color="CCEEFF"/>
            </w:tcBorders>
          </w:tcPr>
          <w:p>
            <w:pPr>
              <w:spacing w:after="0"/>
              <w:rPr>
                <w:sz w:val="7"/>
                <w:szCs w:val="7"/>
                <w:color w:val="auto"/>
              </w:rPr>
            </w:pPr>
          </w:p>
        </w:tc>
        <w:tc>
          <w:tcPr>
            <w:tcW w:w="864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278"/>
        </w:trPr>
        <w:tc>
          <w:tcPr>
            <w:tcW w:w="20" w:type="dxa"/>
            <w:vAlign w:val="bottom"/>
            <w:shd w:val="clear" w:color="auto" w:fill="CCEEFF"/>
          </w:tcPr>
          <w:p>
            <w:pPr>
              <w:spacing w:after="0"/>
              <w:rPr>
                <w:sz w:val="24"/>
                <w:szCs w:val="24"/>
                <w:color w:val="auto"/>
              </w:rPr>
            </w:pPr>
          </w:p>
        </w:tc>
        <w:tc>
          <w:tcPr>
            <w:tcW w:w="8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Arial" w:cs="Arial" w:eastAsia="Arial" w:hAnsi="Arial"/>
                <w:sz w:val="18"/>
                <w:szCs w:val="18"/>
                <w:b w:val="1"/>
                <w:bCs w:val="1"/>
                <w:color w:val="auto"/>
              </w:rPr>
              <w:t>Earnings per share of Class A Common Stock:</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8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8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Arial" w:cs="Arial" w:eastAsia="Arial" w:hAnsi="Arial"/>
                <w:sz w:val="18"/>
                <w:szCs w:val="18"/>
                <w:b w:val="1"/>
                <w:bCs w:val="1"/>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54"/>
        </w:trPr>
        <w:tc>
          <w:tcPr>
            <w:tcW w:w="20" w:type="dxa"/>
            <w:vAlign w:val="bottom"/>
          </w:tcPr>
          <w:p>
            <w:pPr>
              <w:spacing w:after="0"/>
              <w:rPr>
                <w:sz w:val="4"/>
                <w:szCs w:val="4"/>
                <w:color w:val="auto"/>
              </w:rPr>
            </w:pPr>
          </w:p>
        </w:tc>
        <w:tc>
          <w:tcPr>
            <w:tcW w:w="8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20" w:type="dxa"/>
            <w:vAlign w:val="bottom"/>
            <w:shd w:val="clear" w:color="auto" w:fill="CCEEFF"/>
          </w:tcPr>
          <w:p>
            <w:pPr>
              <w:spacing w:after="0"/>
              <w:rPr>
                <w:sz w:val="24"/>
                <w:szCs w:val="24"/>
                <w:color w:val="auto"/>
              </w:rPr>
            </w:pPr>
          </w:p>
        </w:tc>
        <w:tc>
          <w:tcPr>
            <w:tcW w:w="8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Arial" w:cs="Arial" w:eastAsia="Arial" w:hAnsi="Arial"/>
                <w:sz w:val="18"/>
                <w:szCs w:val="18"/>
                <w:b w:val="1"/>
                <w:bCs w:val="1"/>
                <w:color w:val="auto"/>
              </w:rPr>
              <w:t>Weighted-Average Shares of Class A Common Stock Outstanding:</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8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8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Basic</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39.4</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640" w:type="dxa"/>
            <w:vAlign w:val="bottom"/>
          </w:tcPr>
          <w:p>
            <w:pPr>
              <w:ind w:left="60"/>
              <w:spacing w:after="0"/>
              <w:rPr>
                <w:sz w:val="20"/>
                <w:szCs w:val="20"/>
                <w:color w:val="auto"/>
              </w:rPr>
            </w:pPr>
            <w:r>
              <w:rPr>
                <w:rFonts w:ascii="Arial" w:cs="Arial" w:eastAsia="Arial" w:hAnsi="Arial"/>
                <w:sz w:val="18"/>
                <w:szCs w:val="18"/>
                <w:b w:val="1"/>
                <w:bCs w:val="1"/>
                <w:color w:val="auto"/>
              </w:rPr>
              <w:t>Diluted</w:t>
            </w:r>
          </w:p>
        </w:tc>
        <w:tc>
          <w:tcPr>
            <w:tcW w:w="32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710"/>
        </w:trPr>
        <w:tc>
          <w:tcPr>
            <w:tcW w:w="20" w:type="dxa"/>
            <w:vAlign w:val="bottom"/>
          </w:tcPr>
          <w:p>
            <w:pPr>
              <w:spacing w:after="0"/>
              <w:rPr>
                <w:sz w:val="24"/>
                <w:szCs w:val="24"/>
                <w:color w:val="auto"/>
              </w:rPr>
            </w:pPr>
          </w:p>
        </w:tc>
        <w:tc>
          <w:tcPr>
            <w:tcW w:w="8640" w:type="dxa"/>
            <w:vAlign w:val="bottom"/>
          </w:tcPr>
          <w:p>
            <w:pPr>
              <w:jc w:val="center"/>
              <w:ind w:left="2671"/>
              <w:spacing w:after="0"/>
              <w:rPr>
                <w:sz w:val="20"/>
                <w:szCs w:val="20"/>
                <w:color w:val="auto"/>
              </w:rPr>
            </w:pPr>
            <w:r>
              <w:rPr>
                <w:rFonts w:ascii="Arial" w:cs="Arial" w:eastAsia="Arial" w:hAnsi="Arial"/>
                <w:sz w:val="16"/>
                <w:szCs w:val="16"/>
                <w:b w:val="1"/>
                <w:bCs w:val="1"/>
                <w:color w:val="auto"/>
              </w:rPr>
              <w:t>RECONCILIATION OF OPERATING PROFIT, AS REPORTED BY BELLRING,</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8960" w:type="dxa"/>
            <w:vAlign w:val="bottom"/>
            <w:gridSpan w:val="2"/>
          </w:tcPr>
          <w:p>
            <w:pPr>
              <w:jc w:val="center"/>
              <w:ind w:left="2351"/>
              <w:spacing w:after="0"/>
              <w:rPr>
                <w:sz w:val="20"/>
                <w:szCs w:val="20"/>
                <w:color w:val="auto"/>
              </w:rPr>
            </w:pPr>
            <w:r>
              <w:rPr>
                <w:rFonts w:ascii="Arial" w:cs="Arial" w:eastAsia="Arial" w:hAnsi="Arial"/>
                <w:sz w:val="16"/>
                <w:szCs w:val="16"/>
                <w:b w:val="1"/>
                <w:bCs w:val="1"/>
                <w:color w:val="auto"/>
                <w:w w:val="99"/>
              </w:rPr>
              <w:t>TO BELLRING BRANDS SEGMENT PROFIT, AS REPORTED BY POST (Unaudited)</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40" w:type="dxa"/>
            <w:vAlign w:val="bottom"/>
          </w:tcPr>
          <w:p>
            <w:pPr>
              <w:jc w:val="center"/>
              <w:ind w:left="2671"/>
              <w:spacing w:after="0"/>
              <w:rPr>
                <w:sz w:val="20"/>
                <w:szCs w:val="20"/>
                <w:color w:val="auto"/>
              </w:rPr>
            </w:pPr>
            <w:r>
              <w:rPr>
                <w:rFonts w:ascii="Arial" w:cs="Arial" w:eastAsia="Arial" w:hAnsi="Arial"/>
                <w:sz w:val="16"/>
                <w:szCs w:val="16"/>
                <w:b w:val="1"/>
                <w:bCs w:val="1"/>
                <w:color w:val="auto"/>
                <w:w w:val="93"/>
              </w:rPr>
              <w:t>(in millions)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65"/>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December 31, 2018</w:t>
            </w:r>
          </w:p>
        </w:tc>
      </w:tr>
      <w:tr>
        <w:trPr>
          <w:trHeight w:val="60"/>
        </w:trPr>
        <w:tc>
          <w:tcPr>
            <w:tcW w:w="20" w:type="dxa"/>
            <w:vAlign w:val="bottom"/>
          </w:tcPr>
          <w:p>
            <w:pPr>
              <w:spacing w:after="0"/>
              <w:rPr>
                <w:sz w:val="5"/>
                <w:szCs w:val="5"/>
                <w:color w:val="auto"/>
              </w:rPr>
            </w:pPr>
          </w:p>
        </w:tc>
        <w:tc>
          <w:tcPr>
            <w:tcW w:w="86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1"/>
        </w:trPr>
        <w:tc>
          <w:tcPr>
            <w:tcW w:w="20" w:type="dxa"/>
            <w:vAlign w:val="bottom"/>
          </w:tcPr>
          <w:p>
            <w:pPr>
              <w:spacing w:after="0"/>
              <w:rPr>
                <w:sz w:val="23"/>
                <w:szCs w:val="23"/>
                <w:color w:val="auto"/>
              </w:rPr>
            </w:pPr>
          </w:p>
        </w:tc>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Operating profit, as reported by BellRing</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3"/>
                <w:szCs w:val="23"/>
                <w:color w:val="auto"/>
              </w:rPr>
            </w:pPr>
          </w:p>
        </w:tc>
      </w:tr>
      <w:tr>
        <w:trPr>
          <w:trHeight w:val="324"/>
        </w:trPr>
        <w:tc>
          <w:tcPr>
            <w:tcW w:w="20" w:type="dxa"/>
            <w:vAlign w:val="bottom"/>
          </w:tcPr>
          <w:p>
            <w:pPr>
              <w:spacing w:after="0"/>
              <w:rPr>
                <w:sz w:val="24"/>
                <w:szCs w:val="24"/>
                <w:color w:val="auto"/>
              </w:rPr>
            </w:pPr>
          </w:p>
        </w:tc>
        <w:tc>
          <w:tcPr>
            <w:tcW w:w="86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 xml:space="preserve">Allocated costs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r>
      <w:tr>
        <w:trPr>
          <w:trHeight w:val="296"/>
        </w:trPr>
        <w:tc>
          <w:tcPr>
            <w:tcW w:w="20" w:type="dxa"/>
            <w:vAlign w:val="bottom"/>
          </w:tcPr>
          <w:p>
            <w:pPr>
              <w:spacing w:after="0"/>
              <w:rPr>
                <w:sz w:val="24"/>
                <w:szCs w:val="24"/>
                <w:color w:val="auto"/>
              </w:rPr>
            </w:pPr>
          </w:p>
        </w:tc>
        <w:tc>
          <w:tcPr>
            <w:tcW w:w="8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BellRing Brands segment profit, as reported by Post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left="100" w:right="40" w:firstLine="3"/>
        <w:spacing w:after="0" w:line="262" w:lineRule="auto"/>
        <w:tabs>
          <w:tab w:leader="none" w:pos="28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Allocated costs are general and administrative costs that are attributable to BellRing and have been allocated by Post to BellRing. BellRing includes these costs in its SG&amp;A expenses and Operating Profit measures in its Condensed Consolidated Statement of Operations. Post classifies these costs as unallocated corporate expenses, which are reported by Post in general corporate expenses and other.</w:t>
      </w:r>
    </w:p>
    <w:p>
      <w:pPr>
        <w:sectPr>
          <w:pgSz w:w="11900" w:h="16913" w:orient="portrait"/>
          <w:cols w:equalWidth="0" w:num="1">
            <w:col w:w="11420"/>
          </w:cols>
          <w:pgMar w:left="240" w:top="621"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Arial" w:cs="Arial" w:eastAsia="Arial" w:hAnsi="Arial"/>
                <w:sz w:val="16"/>
                <w:szCs w:val="16"/>
                <w:b w:val="1"/>
                <w:bCs w:val="1"/>
                <w:color w:val="auto"/>
                <w:w w:val="97"/>
              </w:rPr>
              <w:t>December 31, 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ind w:left="340"/>
              <w:spacing w:after="0"/>
              <w:rPr>
                <w:sz w:val="20"/>
                <w:szCs w:val="20"/>
                <w:color w:val="auto"/>
              </w:rPr>
            </w:pPr>
            <w:r>
              <w:rPr>
                <w:rFonts w:ascii="Arial" w:cs="Arial" w:eastAsia="Arial" w:hAnsi="Arial"/>
                <w:sz w:val="16"/>
                <w:szCs w:val="16"/>
                <w:b w:val="1"/>
                <w:bCs w:val="1"/>
                <w:color w:val="auto"/>
              </w:rPr>
              <w:t>September 30, 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
        </w:trPr>
        <w:tc>
          <w:tcPr>
            <w:tcW w:w="20" w:type="dxa"/>
            <w:vAlign w:val="bottom"/>
            <w:tcBorders>
              <w:bottom w:val="single" w:sz="8" w:color="CCEEFF"/>
            </w:tcBorders>
          </w:tcPr>
          <w:p>
            <w:pPr>
              <w:spacing w:after="0"/>
              <w:rPr>
                <w:sz w:val="5"/>
                <w:szCs w:val="5"/>
                <w:color w:val="auto"/>
              </w:rPr>
            </w:pPr>
          </w:p>
        </w:tc>
        <w:tc>
          <w:tcPr>
            <w:tcW w:w="4880" w:type="dxa"/>
            <w:vAlign w:val="bottom"/>
            <w:tcBorders>
              <w:bottom w:val="single" w:sz="8" w:color="CCEEFF"/>
            </w:tcBorders>
          </w:tcPr>
          <w:p>
            <w:pPr>
              <w:spacing w:after="0"/>
              <w:rPr>
                <w:sz w:val="5"/>
                <w:szCs w:val="5"/>
                <w:color w:val="auto"/>
              </w:rPr>
            </w:pPr>
          </w:p>
        </w:tc>
        <w:tc>
          <w:tcPr>
            <w:tcW w:w="22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04"/>
        </w:trPr>
        <w:tc>
          <w:tcPr>
            <w:tcW w:w="2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953"/>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0"/>
        </w:trPr>
        <w:tc>
          <w:tcPr>
            <w:tcW w:w="20" w:type="dxa"/>
            <w:vAlign w:val="bottom"/>
            <w:shd w:val="clear" w:color="auto" w:fill="CCEEFF"/>
          </w:tcPr>
          <w:p>
            <w:pPr>
              <w:spacing w:after="0"/>
              <w:rPr>
                <w:sz w:val="5"/>
                <w:szCs w:val="5"/>
                <w:color w:val="auto"/>
              </w:rPr>
            </w:pPr>
          </w:p>
        </w:tc>
        <w:tc>
          <w:tcPr>
            <w:tcW w:w="4880" w:type="dxa"/>
            <w:vAlign w:val="bottom"/>
            <w:shd w:val="clear" w:color="auto" w:fill="CCEEFF"/>
          </w:tcPr>
          <w:p>
            <w:pPr>
              <w:spacing w:after="0"/>
              <w:rPr>
                <w:sz w:val="5"/>
                <w:szCs w:val="5"/>
                <w:color w:val="auto"/>
              </w:rPr>
            </w:pPr>
          </w:p>
        </w:tc>
        <w:tc>
          <w:tcPr>
            <w:tcW w:w="22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60"/>
              <w:spacing w:after="0"/>
              <w:rPr>
                <w:sz w:val="20"/>
                <w:szCs w:val="20"/>
                <w:color w:val="auto"/>
              </w:rPr>
            </w:pPr>
            <w:r>
              <w:rPr>
                <w:rFonts w:ascii="Arial" w:cs="Arial" w:eastAsia="Arial" w:hAnsi="Arial"/>
                <w:sz w:val="18"/>
                <w:szCs w:val="18"/>
                <w:b w:val="1"/>
                <w:bCs w:val="1"/>
                <w:color w:val="auto"/>
              </w:rPr>
              <w:t>Current Assets</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138.2</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488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71"/>
        </w:trPr>
        <w:tc>
          <w:tcPr>
            <w:tcW w:w="20" w:type="dxa"/>
            <w:vAlign w:val="bottom"/>
            <w:tcBorders>
              <w:bottom w:val="single" w:sz="8" w:color="CCEEFF"/>
            </w:tcBorders>
            <w:shd w:val="clear" w:color="auto" w:fill="CCEEFF"/>
          </w:tcPr>
          <w:p>
            <w:pPr>
              <w:spacing w:after="0"/>
              <w:rPr>
                <w:sz w:val="23"/>
                <w:szCs w:val="23"/>
                <w:color w:val="auto"/>
              </w:rPr>
            </w:pPr>
          </w:p>
        </w:tc>
        <w:tc>
          <w:tcPr>
            <w:tcW w:w="4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219.5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8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Property, net</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Goodwill</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intangible assets, net</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296.5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488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96"/>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594.5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0" w:type="dxa"/>
            <w:vAlign w:val="bottom"/>
            <w:shd w:val="clear" w:color="auto" w:fill="CCEEFF"/>
          </w:tcPr>
          <w:p>
            <w:pPr>
              <w:spacing w:after="0"/>
              <w:rPr>
                <w:sz w:val="19"/>
                <w:szCs w:val="19"/>
                <w:color w:val="auto"/>
              </w:rPr>
            </w:pPr>
          </w:p>
        </w:tc>
        <w:tc>
          <w:tcPr>
            <w:tcW w:w="8940" w:type="dxa"/>
            <w:vAlign w:val="bottom"/>
            <w:gridSpan w:val="4"/>
            <w:shd w:val="clear" w:color="auto" w:fill="CCEEFF"/>
          </w:tcPr>
          <w:p>
            <w:pPr>
              <w:ind w:left="402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60"/>
        </w:trPr>
        <w:tc>
          <w:tcPr>
            <w:tcW w:w="20" w:type="dxa"/>
            <w:vAlign w:val="bottom"/>
            <w:shd w:val="clear" w:color="auto" w:fill="CCEEFF"/>
          </w:tcPr>
          <w:p>
            <w:pPr>
              <w:spacing w:after="0"/>
              <w:rPr>
                <w:sz w:val="5"/>
                <w:szCs w:val="5"/>
                <w:color w:val="auto"/>
              </w:rPr>
            </w:pPr>
          </w:p>
        </w:tc>
        <w:tc>
          <w:tcPr>
            <w:tcW w:w="4880" w:type="dxa"/>
            <w:vAlign w:val="bottom"/>
            <w:shd w:val="clear" w:color="auto" w:fill="CCEEFF"/>
          </w:tcPr>
          <w:p>
            <w:pPr>
              <w:spacing w:after="0"/>
              <w:rPr>
                <w:sz w:val="5"/>
                <w:szCs w:val="5"/>
                <w:color w:val="auto"/>
              </w:rPr>
            </w:pPr>
          </w:p>
        </w:tc>
        <w:tc>
          <w:tcPr>
            <w:tcW w:w="22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60"/>
              <w:spacing w:after="0"/>
              <w:rPr>
                <w:sz w:val="20"/>
                <w:szCs w:val="20"/>
                <w:color w:val="auto"/>
              </w:rPr>
            </w:pPr>
            <w:r>
              <w:rPr>
                <w:rFonts w:ascii="Arial" w:cs="Arial" w:eastAsia="Arial" w:hAnsi="Arial"/>
                <w:sz w:val="18"/>
                <w:szCs w:val="18"/>
                <w:b w:val="1"/>
                <w:bCs w:val="1"/>
                <w:color w:val="auto"/>
              </w:rPr>
              <w:t>Current Liabilities</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2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20" w:type="dxa"/>
            <w:vAlign w:val="bottom"/>
            <w:shd w:val="clear" w:color="auto" w:fill="CCEEFF"/>
          </w:tcPr>
          <w:p>
            <w:pPr>
              <w:spacing w:after="0"/>
              <w:rPr>
                <w:sz w:val="24"/>
                <w:szCs w:val="24"/>
                <w:color w:val="auto"/>
              </w:rPr>
            </w:pPr>
          </w:p>
        </w:tc>
        <w:tc>
          <w:tcPr>
            <w:tcW w:w="48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Long-term debt</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Other liabilities</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488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71"/>
        </w:trPr>
        <w:tc>
          <w:tcPr>
            <w:tcW w:w="20" w:type="dxa"/>
            <w:vAlign w:val="bottom"/>
            <w:tcBorders>
              <w:bottom w:val="single" w:sz="8" w:color="CCEEFF"/>
            </w:tcBorders>
            <w:shd w:val="clear" w:color="auto" w:fill="CCEEFF"/>
          </w:tcPr>
          <w:p>
            <w:pPr>
              <w:spacing w:after="0"/>
              <w:rPr>
                <w:sz w:val="23"/>
                <w:szCs w:val="23"/>
                <w:color w:val="auto"/>
              </w:rPr>
            </w:pPr>
          </w:p>
        </w:tc>
        <w:tc>
          <w:tcPr>
            <w:tcW w:w="4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9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2,075.2</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Stockholders’ Equity</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(2,276.9</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Net investment of Post Holdings, Inc.</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489.0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2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(2,278.2</w:t>
            </w: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486.4</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54"/>
        </w:trPr>
        <w:tc>
          <w:tcPr>
            <w:tcW w:w="20" w:type="dxa"/>
            <w:vAlign w:val="bottom"/>
            <w:tcBorders>
              <w:bottom w:val="single" w:sz="8" w:color="CCEEFF"/>
            </w:tcBorders>
          </w:tcPr>
          <w:p>
            <w:pPr>
              <w:spacing w:after="0"/>
              <w:rPr>
                <w:sz w:val="4"/>
                <w:szCs w:val="4"/>
                <w:color w:val="auto"/>
              </w:rPr>
            </w:pPr>
          </w:p>
        </w:tc>
        <w:tc>
          <w:tcPr>
            <w:tcW w:w="488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96"/>
        </w:trPr>
        <w:tc>
          <w:tcPr>
            <w:tcW w:w="20" w:type="dxa"/>
            <w:vAlign w:val="bottom"/>
            <w:tcBorders>
              <w:bottom w:val="single" w:sz="8" w:color="CCEEFF"/>
            </w:tcBorders>
            <w:shd w:val="clear" w:color="auto" w:fill="CCEEFF"/>
          </w:tcPr>
          <w:p>
            <w:pPr>
              <w:spacing w:after="0"/>
              <w:rPr>
                <w:sz w:val="24"/>
                <w:szCs w:val="24"/>
                <w:color w:val="auto"/>
              </w:rPr>
            </w:pPr>
          </w:p>
        </w:tc>
        <w:tc>
          <w:tcPr>
            <w:tcW w:w="4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2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594.5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704"/>
        </w:trPr>
        <w:tc>
          <w:tcPr>
            <w:tcW w:w="20" w:type="dxa"/>
            <w:vAlign w:val="bottom"/>
          </w:tcPr>
          <w:p>
            <w:pPr>
              <w:spacing w:after="0"/>
              <w:rPr>
                <w:sz w:val="24"/>
                <w:szCs w:val="24"/>
                <w:color w:val="auto"/>
              </w:rPr>
            </w:pPr>
          </w:p>
        </w:tc>
        <w:tc>
          <w:tcPr>
            <w:tcW w:w="8940" w:type="dxa"/>
            <w:vAlign w:val="bottom"/>
            <w:gridSpan w:val="4"/>
          </w:tcPr>
          <w:p>
            <w:pPr>
              <w:ind w:left="2500"/>
              <w:spacing w:after="0"/>
              <w:rPr>
                <w:sz w:val="20"/>
                <w:szCs w:val="20"/>
                <w:color w:val="auto"/>
              </w:rPr>
            </w:pPr>
            <w:r>
              <w:rPr>
                <w:rFonts w:ascii="Arial" w:cs="Arial" w:eastAsia="Arial" w:hAnsi="Arial"/>
                <w:sz w:val="16"/>
                <w:szCs w:val="16"/>
                <w:b w:val="1"/>
                <w:bCs w:val="1"/>
                <w:color w:val="auto"/>
              </w:rPr>
              <w:t>SELECTED CONDENSED CONSOLIDATED CASH FLOW INFORMATION (Unaudited)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480" w:type="dxa"/>
            <w:vAlign w:val="bottom"/>
            <w:gridSpan w:val="2"/>
          </w:tcPr>
          <w:p>
            <w:pPr>
              <w:jc w:val="right"/>
              <w:ind w:right="1240"/>
              <w:spacing w:after="0"/>
              <w:rPr>
                <w:sz w:val="20"/>
                <w:szCs w:val="20"/>
                <w:color w:val="auto"/>
              </w:rPr>
            </w:pPr>
            <w:r>
              <w:rPr>
                <w:rFonts w:ascii="Arial" w:cs="Arial" w:eastAsia="Arial" w:hAnsi="Arial"/>
                <w:sz w:val="16"/>
                <w:szCs w:val="16"/>
                <w:b w:val="1"/>
                <w:bCs w:val="1"/>
                <w:color w:val="auto"/>
              </w:rPr>
              <w:t>(in millions)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6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4"/>
          </w:tcPr>
          <w:p>
            <w:pPr>
              <w:jc w:val="right"/>
              <w:ind w:right="230"/>
              <w:spacing w:after="0"/>
              <w:rPr>
                <w:sz w:val="20"/>
                <w:szCs w:val="20"/>
                <w:color w:val="auto"/>
              </w:rPr>
            </w:pPr>
            <w:r>
              <w:rPr>
                <w:rFonts w:ascii="Arial" w:cs="Arial" w:eastAsia="Arial" w:hAnsi="Arial"/>
                <w:sz w:val="16"/>
                <w:szCs w:val="16"/>
                <w:b w:val="1"/>
                <w:bCs w:val="1"/>
                <w:color w:val="auto"/>
                <w:w w:val="96"/>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ind w:left="340"/>
              <w:spacing w:after="0"/>
              <w:rPr>
                <w:sz w:val="20"/>
                <w:szCs w:val="20"/>
                <w:color w:val="auto"/>
              </w:rPr>
            </w:pPr>
            <w:r>
              <w:rPr>
                <w:rFonts w:ascii="Arial" w:cs="Arial" w:eastAsia="Arial" w:hAnsi="Arial"/>
                <w:sz w:val="16"/>
                <w:szCs w:val="16"/>
                <w:b w:val="1"/>
                <w:bCs w:val="1"/>
                <w:color w:val="auto"/>
                <w:w w:val="90"/>
              </w:rPr>
              <w:t>December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17"/>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ind w:right="150"/>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4880" w:type="dxa"/>
            <w:vAlign w:val="bottom"/>
            <w:tcBorders>
              <w:bottom w:val="single" w:sz="8" w:color="CCEEFF"/>
            </w:tcBorders>
          </w:tcPr>
          <w:p>
            <w:pPr>
              <w:spacing w:after="0"/>
              <w:rPr>
                <w:sz w:val="5"/>
                <w:szCs w:val="5"/>
                <w:color w:val="auto"/>
              </w:rPr>
            </w:pPr>
          </w:p>
        </w:tc>
        <w:tc>
          <w:tcPr>
            <w:tcW w:w="22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57"/>
        </w:trPr>
        <w:tc>
          <w:tcPr>
            <w:tcW w:w="20" w:type="dxa"/>
            <w:vAlign w:val="bottom"/>
          </w:tcPr>
          <w:p>
            <w:pPr>
              <w:spacing w:after="0"/>
              <w:rPr>
                <w:sz w:val="22"/>
                <w:szCs w:val="22"/>
                <w:color w:val="auto"/>
              </w:rPr>
            </w:pPr>
          </w:p>
        </w:tc>
        <w:tc>
          <w:tcPr>
            <w:tcW w:w="4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Cash provided by (used in):</w:t>
            </w:r>
          </w:p>
        </w:tc>
        <w:tc>
          <w:tcPr>
            <w:tcW w:w="2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300"/>
              <w:spacing w:after="0"/>
              <w:rPr>
                <w:sz w:val="20"/>
                <w:szCs w:val="20"/>
                <w:color w:val="auto"/>
              </w:rPr>
            </w:pPr>
            <w:r>
              <w:rPr>
                <w:rFonts w:ascii="Arial" w:cs="Arial" w:eastAsia="Arial" w:hAnsi="Arial"/>
                <w:sz w:val="18"/>
                <w:szCs w:val="18"/>
                <w:color w:val="auto"/>
              </w:rPr>
              <w:t>Operating activities</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(24.9 )</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20" w:type="dxa"/>
            <w:vAlign w:val="bottom"/>
          </w:tcPr>
          <w:p>
            <w:pPr>
              <w:spacing w:after="0"/>
              <w:rPr>
                <w:sz w:val="24"/>
                <w:szCs w:val="24"/>
                <w:color w:val="auto"/>
              </w:rPr>
            </w:pPr>
          </w:p>
        </w:tc>
        <w:tc>
          <w:tcPr>
            <w:tcW w:w="48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Investing activities</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80" w:type="dxa"/>
            <w:vAlign w:val="bottom"/>
          </w:tcPr>
          <w:p>
            <w:pPr>
              <w:ind w:left="300"/>
              <w:spacing w:after="0"/>
              <w:rPr>
                <w:sz w:val="20"/>
                <w:szCs w:val="20"/>
                <w:color w:val="auto"/>
              </w:rPr>
            </w:pPr>
            <w:r>
              <w:rPr>
                <w:rFonts w:ascii="Arial" w:cs="Arial" w:eastAsia="Arial" w:hAnsi="Arial"/>
                <w:sz w:val="18"/>
                <w:szCs w:val="18"/>
                <w:color w:val="auto"/>
              </w:rPr>
              <w:t>Financing activities</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20" w:type="dxa"/>
            <w:vAlign w:val="bottom"/>
          </w:tcPr>
          <w:p>
            <w:pPr>
              <w:spacing w:after="0"/>
              <w:rPr>
                <w:sz w:val="21"/>
                <w:szCs w:val="21"/>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20" w:type="dxa"/>
            <w:vAlign w:val="bottom"/>
          </w:tcPr>
          <w:p>
            <w:pPr>
              <w:spacing w:after="0"/>
              <w:rPr>
                <w:sz w:val="24"/>
                <w:szCs w:val="24"/>
                <w:color w:val="auto"/>
              </w:rPr>
            </w:pPr>
          </w:p>
        </w:tc>
        <w:tc>
          <w:tcPr>
            <w:tcW w:w="48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5"/>
              </w:rPr>
              <w:t>Effect of exchange rate changes on cash and cash equivalents</w:t>
            </w:r>
          </w:p>
        </w:tc>
        <w:tc>
          <w:tcPr>
            <w:tcW w:w="2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20"/>
                <w:szCs w:val="20"/>
                <w:color w:val="auto"/>
              </w:rPr>
            </w:pPr>
          </w:p>
        </w:tc>
      </w:tr>
      <w:tr>
        <w:trPr>
          <w:trHeight w:val="54"/>
        </w:trPr>
        <w:tc>
          <w:tcPr>
            <w:tcW w:w="20" w:type="dxa"/>
            <w:vAlign w:val="bottom"/>
          </w:tcPr>
          <w:p>
            <w:pPr>
              <w:spacing w:after="0"/>
              <w:rPr>
                <w:sz w:val="4"/>
                <w:szCs w:val="4"/>
                <w:color w:val="auto"/>
              </w:rPr>
            </w:pPr>
          </w:p>
        </w:tc>
        <w:tc>
          <w:tcPr>
            <w:tcW w:w="48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499" w:right="239" w:bottom="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EXPLANATION AND RECONCILIATION OF NON-GAAP MEASURES</w:t>
      </w:r>
    </w:p>
    <w:p>
      <w:pPr>
        <w:spacing w:after="0" w:line="221" w:lineRule="exact"/>
        <w:rPr>
          <w:sz w:val="20"/>
          <w:szCs w:val="20"/>
          <w:color w:val="auto"/>
        </w:rPr>
      </w:pPr>
    </w:p>
    <w:p>
      <w:pPr>
        <w:ind w:right="80"/>
        <w:spacing w:after="0" w:line="304" w:lineRule="auto"/>
        <w:rPr>
          <w:sz w:val="20"/>
          <w:szCs w:val="20"/>
          <w:color w:val="auto"/>
        </w:rPr>
      </w:pPr>
      <w:r>
        <w:rPr>
          <w:rFonts w:ascii="Arial" w:cs="Arial" w:eastAsia="Arial" w:hAnsi="Arial"/>
          <w:sz w:val="18"/>
          <w:szCs w:val="18"/>
          <w:color w:val="auto"/>
        </w:rPr>
        <w:t>BellRing uses certain non-GAAP measures in this release to supplement the financial measures prepared in accordance with U.S. generally accepted accounting principles (“GAAP”). These non-GAAP measures include Adjusted net earnings, Adjusted diluted earnings per common share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earnings available to Class A common stockholders and Adjusted diluted earnings per share of Class A Common Stock</w:t>
      </w:r>
    </w:p>
    <w:p>
      <w:pPr>
        <w:spacing w:after="0" w:line="50" w:lineRule="exact"/>
        <w:rPr>
          <w:sz w:val="20"/>
          <w:szCs w:val="20"/>
          <w:color w:val="auto"/>
        </w:rPr>
      </w:pPr>
    </w:p>
    <w:p>
      <w:pPr>
        <w:ind w:right="20"/>
        <w:spacing w:after="0" w:line="311" w:lineRule="auto"/>
        <w:rPr>
          <w:sz w:val="20"/>
          <w:szCs w:val="20"/>
          <w:color w:val="auto"/>
        </w:rPr>
      </w:pPr>
      <w:r>
        <w:rPr>
          <w:rFonts w:ascii="Arial" w:cs="Arial" w:eastAsia="Arial" w:hAnsi="Arial"/>
          <w:sz w:val="18"/>
          <w:szCs w:val="18"/>
          <w:color w:val="auto"/>
        </w:rPr>
        <w:t>BellRing believes Adjusted net earnings available to Class A common stockholders and Adjusted diluted earnings per share of Class A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127" w:lineRule="exact"/>
        <w:rPr>
          <w:sz w:val="20"/>
          <w:szCs w:val="20"/>
          <w:color w:val="auto"/>
        </w:rPr>
      </w:pPr>
    </w:p>
    <w:p>
      <w:pPr>
        <w:ind w:right="420"/>
        <w:spacing w:after="0" w:line="297" w:lineRule="auto"/>
        <w:rPr>
          <w:sz w:val="20"/>
          <w:szCs w:val="20"/>
          <w:color w:val="auto"/>
        </w:rPr>
      </w:pPr>
      <w:r>
        <w:rPr>
          <w:rFonts w:ascii="Arial" w:cs="Arial" w:eastAsia="Arial" w:hAnsi="Arial"/>
          <w:sz w:val="18"/>
          <w:szCs w:val="18"/>
          <w:color w:val="auto"/>
        </w:rPr>
        <w:t>Adjusted net earnings available to Class A common stockholders and Adjusted diluted earnings per share of Class A Common Stock are adjusted for the following items:</w:t>
      </w:r>
    </w:p>
    <w:p>
      <w:pPr>
        <w:spacing w:after="0" w:line="1" w:lineRule="exact"/>
        <w:rPr>
          <w:sz w:val="20"/>
          <w:szCs w:val="20"/>
          <w:color w:val="auto"/>
        </w:rPr>
      </w:pPr>
    </w:p>
    <w:p>
      <w:pPr>
        <w:ind w:left="660" w:right="80" w:hanging="328"/>
        <w:spacing w:after="0" w:line="29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BellRing has excluded certain expenses incurred to effect its separation from Post and to support its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spacing w:after="0" w:line="1" w:lineRule="exact"/>
        <w:rPr>
          <w:rFonts w:ascii="Arial" w:cs="Arial" w:eastAsia="Arial" w:hAnsi="Arial"/>
          <w:sz w:val="18"/>
          <w:szCs w:val="18"/>
          <w:color w:val="auto"/>
        </w:rPr>
      </w:pPr>
    </w:p>
    <w:p>
      <w:pPr>
        <w:ind w:left="660" w:right="200" w:hanging="328"/>
        <w:spacing w:after="0" w:line="31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BellRing has included the income tax impact of the non-GAAP adjustments using a rate described in the footnote of the reconciliation</w:t>
      </w:r>
      <w:r>
        <w:rPr>
          <w:rFonts w:ascii="Arial" w:cs="Arial" w:eastAsia="Arial" w:hAnsi="Arial"/>
          <w:sz w:val="18"/>
          <w:szCs w:val="18"/>
          <w:i w:val="1"/>
          <w:iCs w:val="1"/>
          <w:color w:val="auto"/>
        </w:rPr>
        <w:t xml:space="preserve"> </w:t>
      </w:r>
      <w:r>
        <w:rPr>
          <w:rFonts w:ascii="Arial" w:cs="Arial" w:eastAsia="Arial" w:hAnsi="Arial"/>
          <w:sz w:val="18"/>
          <w:szCs w:val="18"/>
          <w:color w:val="auto"/>
        </w:rPr>
        <w:t>table, as BellRing believes that its GAAP effective income tax rate as reported is not representative of the income tax expense impact of the adjustments.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50" w:lineRule="exact"/>
        <w:rPr>
          <w:sz w:val="20"/>
          <w:szCs w:val="20"/>
          <w:color w:val="auto"/>
        </w:rPr>
      </w:pPr>
    </w:p>
    <w:p>
      <w:pPr>
        <w:ind w:right="60"/>
        <w:spacing w:after="0" w:line="302" w:lineRule="auto"/>
        <w:rPr>
          <w:sz w:val="20"/>
          <w:szCs w:val="20"/>
          <w:color w:val="auto"/>
        </w:rPr>
      </w:pPr>
      <w:r>
        <w:rPr>
          <w:rFonts w:ascii="Arial" w:cs="Arial" w:eastAsia="Arial" w:hAnsi="Arial"/>
          <w:sz w:val="18"/>
          <w:szCs w:val="18"/>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LLC is required to comply with certain covenants and limitations that are based on variations of EBITDA in BellRing LLC’s financing documents. Management uses Adjusted EBITDA to provide forward-looking guidance to forecast future results.</w:t>
      </w:r>
    </w:p>
    <w:p>
      <w:pPr>
        <w:spacing w:after="0" w:line="139" w:lineRule="exact"/>
        <w:rPr>
          <w:sz w:val="20"/>
          <w:szCs w:val="20"/>
          <w:color w:val="auto"/>
        </w:rPr>
      </w:pPr>
    </w:p>
    <w:p>
      <w:pPr>
        <w:ind w:right="220"/>
        <w:spacing w:after="0" w:line="297" w:lineRule="auto"/>
        <w:rPr>
          <w:sz w:val="20"/>
          <w:szCs w:val="20"/>
          <w:color w:val="auto"/>
        </w:rPr>
      </w:pPr>
      <w:r>
        <w:rPr>
          <w:rFonts w:ascii="Arial" w:cs="Arial" w:eastAsia="Arial" w:hAnsi="Arial"/>
          <w:sz w:val="18"/>
          <w:szCs w:val="18"/>
          <w:color w:val="auto"/>
        </w:rPr>
        <w:t>Adjusted EBITDA reflects adjustments for income tax expense, interest expense, net and depreciation and amortization and adjustment for separation costs discussed above. Additionally, Adjusted EBITDA reflects adjustments for the following items:</w:t>
      </w:r>
    </w:p>
    <w:p>
      <w:pPr>
        <w:spacing w:after="0" w:line="1" w:lineRule="exact"/>
        <w:rPr>
          <w:sz w:val="20"/>
          <w:szCs w:val="20"/>
          <w:color w:val="auto"/>
        </w:rPr>
      </w:pPr>
    </w:p>
    <w:p>
      <w:pPr>
        <w:ind w:left="660" w:right="40" w:hanging="328"/>
        <w:spacing w:after="0" w:line="29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NCI adjustment</w:t>
      </w:r>
      <w:r>
        <w:rPr>
          <w:rFonts w:ascii="Arial" w:cs="Arial" w:eastAsia="Arial" w:hAnsi="Arial"/>
          <w:sz w:val="18"/>
          <w:szCs w:val="18"/>
          <w:color w:val="auto"/>
        </w:rPr>
        <w:t>: BellRing has included adjustments for the portion of its consolidated net earnings/loss which was allocated to NCI, allowing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calculation of Adjusted EBITDA to include 100% of BellRing.</w:t>
      </w:r>
    </w:p>
    <w:p>
      <w:pPr>
        <w:ind w:left="660" w:right="20" w:hanging="328"/>
        <w:spacing w:after="0" w:line="32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BellRing’s compensation strategy after the IPO includes the use of BellRing stock-based compensation to attract and</w:t>
      </w:r>
      <w:r>
        <w:rPr>
          <w:rFonts w:ascii="Arial" w:cs="Arial" w:eastAsia="Arial" w:hAnsi="Arial"/>
          <w:sz w:val="17"/>
          <w:szCs w:val="17"/>
          <w:i w:val="1"/>
          <w:iCs w:val="1"/>
          <w:color w:val="auto"/>
        </w:rPr>
        <w:t xml:space="preserve"> </w:t>
      </w:r>
      <w:r>
        <w:rPr>
          <w:rFonts w:ascii="Arial" w:cs="Arial" w:eastAsia="Arial" w:hAnsi="Arial"/>
          <w:sz w:val="17"/>
          <w:szCs w:val="17"/>
          <w:color w:val="auto"/>
        </w:rPr>
        <w:t>retain executives and employees by aligning their long-term compensation interests with BellRing’s stockholders’ investment interests.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NET EARNINGS AVAILABLE TO CLASS A COMMON STOCKHOLDERS TO ADJUSTED NET EARNINGS AVAILABLE TO CLASS</w:t>
      </w:r>
    </w:p>
    <w:p>
      <w:pPr>
        <w:spacing w:after="0" w:line="46"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A COMMON STOCKHOLDERS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w w:val="90"/>
              </w:rPr>
              <w:t>October 21, 2019 to December</w:t>
            </w:r>
          </w:p>
        </w:tc>
      </w:tr>
      <w:tr>
        <w:trPr>
          <w:trHeight w:val="210"/>
        </w:trPr>
        <w:tc>
          <w:tcPr>
            <w:tcW w:w="9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ind w:right="753"/>
              <w:spacing w:after="0"/>
              <w:rPr>
                <w:sz w:val="20"/>
                <w:szCs w:val="20"/>
                <w:color w:val="auto"/>
              </w:rPr>
            </w:pPr>
            <w:r>
              <w:rPr>
                <w:rFonts w:ascii="Arial" w:cs="Arial" w:eastAsia="Arial" w:hAnsi="Arial"/>
                <w:sz w:val="16"/>
                <w:szCs w:val="16"/>
                <w:b w:val="1"/>
                <w:bCs w:val="1"/>
                <w:color w:val="auto"/>
              </w:rPr>
              <w:t>31, 2019</w:t>
            </w:r>
          </w:p>
        </w:tc>
      </w:tr>
      <w:tr>
        <w:trPr>
          <w:trHeight w:val="60"/>
        </w:trPr>
        <w:tc>
          <w:tcPr>
            <w:tcW w:w="9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r>
      <w:tr>
        <w:trPr>
          <w:trHeight w:val="217"/>
        </w:trPr>
        <w:tc>
          <w:tcPr>
            <w:tcW w:w="9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ind w:right="873"/>
              <w:spacing w:after="0"/>
              <w:rPr>
                <w:sz w:val="20"/>
                <w:szCs w:val="20"/>
                <w:color w:val="auto"/>
              </w:rPr>
            </w:pPr>
            <w:r>
              <w:rPr>
                <w:rFonts w:ascii="Arial" w:cs="Arial" w:eastAsia="Arial" w:hAnsi="Arial"/>
                <w:sz w:val="16"/>
                <w:szCs w:val="16"/>
                <w:b w:val="1"/>
                <w:bCs w:val="1"/>
                <w:color w:val="auto"/>
              </w:rPr>
              <w:t>2019</w:t>
            </w:r>
          </w:p>
        </w:tc>
      </w:tr>
      <w:tr>
        <w:trPr>
          <w:trHeight w:val="60"/>
        </w:trPr>
        <w:tc>
          <w:tcPr>
            <w:tcW w:w="9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r>
      <w:tr>
        <w:trPr>
          <w:trHeight w:val="271"/>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6.0</w:t>
            </w:r>
          </w:p>
        </w:tc>
      </w:tr>
      <w:tr>
        <w:trPr>
          <w:trHeight w:val="297"/>
        </w:trPr>
        <w:tc>
          <w:tcPr>
            <w:tcW w:w="9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r>
      <w:tr>
        <w:trPr>
          <w:trHeight w:val="243"/>
        </w:trPr>
        <w:tc>
          <w:tcPr>
            <w:tcW w:w="9120" w:type="dxa"/>
            <w:vAlign w:val="bottom"/>
          </w:tcPr>
          <w:p>
            <w:pPr>
              <w:ind w:left="200"/>
              <w:spacing w:after="0"/>
              <w:rPr>
                <w:sz w:val="20"/>
                <w:szCs w:val="20"/>
                <w:color w:val="auto"/>
              </w:rPr>
            </w:pPr>
            <w:r>
              <w:rPr>
                <w:rFonts w:ascii="Arial" w:cs="Arial" w:eastAsia="Arial" w:hAnsi="Arial"/>
                <w:sz w:val="18"/>
                <w:szCs w:val="18"/>
                <w:color w:val="auto"/>
              </w:rPr>
              <w:t>Separation costs after the initial public offering</w:t>
            </w:r>
          </w:p>
        </w:tc>
        <w:tc>
          <w:tcPr>
            <w:tcW w:w="120" w:type="dxa"/>
            <w:vAlign w:val="bottom"/>
          </w:tcPr>
          <w:p>
            <w:pPr>
              <w:spacing w:after="0"/>
              <w:rPr>
                <w:sz w:val="21"/>
                <w:szCs w:val="21"/>
                <w:color w:val="auto"/>
              </w:rPr>
            </w:pPr>
          </w:p>
        </w:tc>
        <w:tc>
          <w:tcPr>
            <w:tcW w:w="2180" w:type="dxa"/>
            <w:vAlign w:val="bottom"/>
          </w:tcPr>
          <w:p>
            <w:pPr>
              <w:jc w:val="right"/>
              <w:ind w:right="133"/>
              <w:spacing w:after="0"/>
              <w:rPr>
                <w:sz w:val="20"/>
                <w:szCs w:val="20"/>
                <w:color w:val="auto"/>
              </w:rPr>
            </w:pPr>
            <w:r>
              <w:rPr>
                <w:rFonts w:ascii="Arial" w:cs="Arial" w:eastAsia="Arial" w:hAnsi="Arial"/>
                <w:sz w:val="18"/>
                <w:szCs w:val="18"/>
                <w:color w:val="auto"/>
              </w:rPr>
              <w:t>0.4</w:t>
            </w:r>
          </w:p>
        </w:tc>
      </w:tr>
      <w:tr>
        <w:trPr>
          <w:trHeight w:val="54"/>
        </w:trPr>
        <w:tc>
          <w:tcPr>
            <w:tcW w:w="9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71"/>
        </w:trPr>
        <w:tc>
          <w:tcPr>
            <w:tcW w:w="9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Net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r>
      <w:tr>
        <w:trPr>
          <w:trHeight w:val="324"/>
        </w:trPr>
        <w:tc>
          <w:tcPr>
            <w:tcW w:w="91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 xml:space="preserve">Income tax effect on separation costs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96"/>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Adjusted Net Earnings Available to Class A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6.4</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909" w:right="239" w:bottom="0" w:gutter="0" w:footer="0" w:header="0"/>
        </w:sectPr>
      </w:pPr>
    </w:p>
    <w:bookmarkStart w:id="10" w:name="page11"/>
    <w:bookmarkEnd w:id="10"/>
    <w:p>
      <w:pPr>
        <w:ind w:left="80" w:right="40" w:firstLine="9"/>
        <w:spacing w:after="0" w:line="252" w:lineRule="auto"/>
        <w:tabs>
          <w:tab w:leader="none" w:pos="272"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From October 21, 2019, to December 31, 2019, the income tax effect for separation costs was calculated using a rate of 0.0% as the amounts are primarily non-deductible separation costs for income tax purposes.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DILUTED EARNINGS PER SHARE OF CLASS A COMMON STOCK</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ADJUSTED DILUTED EARNINGS PER SHARE OF CLASS A COMMON STOCK (Unaudited)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w w:val="90"/>
              </w:rPr>
              <w:t>October 21, 2019 to December</w:t>
            </w:r>
          </w:p>
        </w:tc>
      </w:tr>
      <w:tr>
        <w:trPr>
          <w:trHeight w:val="210"/>
        </w:trPr>
        <w:tc>
          <w:tcPr>
            <w:tcW w:w="9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ind w:right="753"/>
              <w:spacing w:after="0"/>
              <w:rPr>
                <w:sz w:val="20"/>
                <w:szCs w:val="20"/>
                <w:color w:val="auto"/>
              </w:rPr>
            </w:pPr>
            <w:r>
              <w:rPr>
                <w:rFonts w:ascii="Arial" w:cs="Arial" w:eastAsia="Arial" w:hAnsi="Arial"/>
                <w:sz w:val="16"/>
                <w:szCs w:val="16"/>
                <w:b w:val="1"/>
                <w:bCs w:val="1"/>
                <w:color w:val="auto"/>
              </w:rPr>
              <w:t>31, 2019</w:t>
            </w:r>
          </w:p>
        </w:tc>
      </w:tr>
      <w:tr>
        <w:trPr>
          <w:trHeight w:val="263"/>
        </w:trPr>
        <w:tc>
          <w:tcPr>
            <w:tcW w:w="9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r>
      <w:tr>
        <w:trPr>
          <w:trHeight w:val="217"/>
        </w:trPr>
        <w:tc>
          <w:tcPr>
            <w:tcW w:w="9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ind w:right="873"/>
              <w:spacing w:after="0"/>
              <w:rPr>
                <w:sz w:val="20"/>
                <w:szCs w:val="20"/>
                <w:color w:val="auto"/>
              </w:rPr>
            </w:pPr>
            <w:r>
              <w:rPr>
                <w:rFonts w:ascii="Arial" w:cs="Arial" w:eastAsia="Arial" w:hAnsi="Arial"/>
                <w:sz w:val="16"/>
                <w:szCs w:val="16"/>
                <w:b w:val="1"/>
                <w:bCs w:val="1"/>
                <w:color w:val="auto"/>
              </w:rPr>
              <w:t>2019</w:t>
            </w:r>
          </w:p>
        </w:tc>
      </w:tr>
      <w:tr>
        <w:trPr>
          <w:trHeight w:val="60"/>
        </w:trPr>
        <w:tc>
          <w:tcPr>
            <w:tcW w:w="9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r>
      <w:tr>
        <w:trPr>
          <w:trHeight w:val="271"/>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Diluted Earnings per share of Class A Common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0.15</w:t>
            </w:r>
          </w:p>
        </w:tc>
      </w:tr>
      <w:tr>
        <w:trPr>
          <w:trHeight w:val="297"/>
        </w:trPr>
        <w:tc>
          <w:tcPr>
            <w:tcW w:w="9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7"/>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r>
      <w:tr>
        <w:trPr>
          <w:trHeight w:val="243"/>
        </w:trPr>
        <w:tc>
          <w:tcPr>
            <w:tcW w:w="9120" w:type="dxa"/>
            <w:vAlign w:val="bottom"/>
          </w:tcPr>
          <w:p>
            <w:pPr>
              <w:ind w:left="200"/>
              <w:spacing w:after="0"/>
              <w:rPr>
                <w:sz w:val="20"/>
                <w:szCs w:val="20"/>
                <w:color w:val="auto"/>
              </w:rPr>
            </w:pPr>
            <w:r>
              <w:rPr>
                <w:rFonts w:ascii="Arial" w:cs="Arial" w:eastAsia="Arial" w:hAnsi="Arial"/>
                <w:sz w:val="18"/>
                <w:szCs w:val="18"/>
                <w:color w:val="auto"/>
              </w:rPr>
              <w:t>Separation costs after the initial public offering</w:t>
            </w:r>
          </w:p>
        </w:tc>
        <w:tc>
          <w:tcPr>
            <w:tcW w:w="120" w:type="dxa"/>
            <w:vAlign w:val="bottom"/>
          </w:tcPr>
          <w:p>
            <w:pPr>
              <w:spacing w:after="0"/>
              <w:rPr>
                <w:sz w:val="21"/>
                <w:szCs w:val="21"/>
                <w:color w:val="auto"/>
              </w:rPr>
            </w:pPr>
          </w:p>
        </w:tc>
        <w:tc>
          <w:tcPr>
            <w:tcW w:w="2180" w:type="dxa"/>
            <w:vAlign w:val="bottom"/>
          </w:tcPr>
          <w:p>
            <w:pPr>
              <w:jc w:val="right"/>
              <w:ind w:right="133"/>
              <w:spacing w:after="0"/>
              <w:rPr>
                <w:sz w:val="20"/>
                <w:szCs w:val="20"/>
                <w:color w:val="auto"/>
              </w:rPr>
            </w:pPr>
            <w:r>
              <w:rPr>
                <w:rFonts w:ascii="Arial" w:cs="Arial" w:eastAsia="Arial" w:hAnsi="Arial"/>
                <w:sz w:val="18"/>
                <w:szCs w:val="18"/>
                <w:color w:val="auto"/>
              </w:rPr>
              <w:t>0.01</w:t>
            </w:r>
          </w:p>
        </w:tc>
      </w:tr>
      <w:tr>
        <w:trPr>
          <w:trHeight w:val="54"/>
        </w:trPr>
        <w:tc>
          <w:tcPr>
            <w:tcW w:w="9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71"/>
        </w:trPr>
        <w:tc>
          <w:tcPr>
            <w:tcW w:w="9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Net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0.01</w:t>
            </w:r>
          </w:p>
        </w:tc>
      </w:tr>
      <w:tr>
        <w:trPr>
          <w:trHeight w:val="324"/>
        </w:trPr>
        <w:tc>
          <w:tcPr>
            <w:tcW w:w="91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 xml:space="preserve">Income tax effect on separation costs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r>
      <w:tr>
        <w:trPr>
          <w:trHeight w:val="296"/>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Adjusted Diluted Earnings per share of Class A Common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0.16</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80" w:right="40" w:firstLine="9"/>
        <w:spacing w:after="0" w:line="252" w:lineRule="auto"/>
        <w:tabs>
          <w:tab w:leader="none" w:pos="272"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From October 21, 2019, to December 31, 2019, the income tax effect for separation costs was calculated using a rate of 0.0% as the amounts are primarily non-deductible separation costs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NET EARNINGS AVAILABLE TO CLASS A COMMON STOCKHOLDERS TO ADJUSTED EBITDA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89"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8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50165</wp:posOffset>
            </wp:positionV>
            <wp:extent cx="1457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r>
      <w:tr>
        <w:trPr>
          <w:trHeight w:val="60"/>
        </w:trPr>
        <w:tc>
          <w:tcPr>
            <w:tcW w:w="9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r>
      <w:tr>
        <w:trPr>
          <w:trHeight w:val="271"/>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43"/>
        </w:trPr>
        <w:tc>
          <w:tcPr>
            <w:tcW w:w="9120" w:type="dxa"/>
            <w:vAlign w:val="bottom"/>
          </w:tcPr>
          <w:p>
            <w:pPr>
              <w:ind w:left="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r>
      <w:tr>
        <w:trPr>
          <w:trHeight w:val="54"/>
        </w:trPr>
        <w:tc>
          <w:tcPr>
            <w:tcW w:w="9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77"/>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43"/>
        </w:trPr>
        <w:tc>
          <w:tcPr>
            <w:tcW w:w="91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1"/>
                <w:szCs w:val="21"/>
                <w:color w:val="auto"/>
              </w:rPr>
            </w:pPr>
          </w:p>
        </w:tc>
      </w:tr>
      <w:tr>
        <w:trPr>
          <w:trHeight w:val="54"/>
        </w:trPr>
        <w:tc>
          <w:tcPr>
            <w:tcW w:w="9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77"/>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NCI adjustment</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43"/>
        </w:trPr>
        <w:tc>
          <w:tcPr>
            <w:tcW w:w="912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1"/>
                <w:szCs w:val="21"/>
                <w:color w:val="auto"/>
              </w:rPr>
            </w:pPr>
          </w:p>
        </w:tc>
      </w:tr>
      <w:tr>
        <w:trPr>
          <w:trHeight w:val="54"/>
        </w:trPr>
        <w:tc>
          <w:tcPr>
            <w:tcW w:w="9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97"/>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Separation costs</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250"/>
        </w:trPr>
        <w:tc>
          <w:tcPr>
            <w:tcW w:w="9120" w:type="dxa"/>
            <w:vAlign w:val="bottom"/>
          </w:tcPr>
          <w:p>
            <w:pPr>
              <w:ind w:left="8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Borders>
              <w:top w:val="single" w:sz="8" w:color="auto"/>
            </w:tcBorders>
          </w:tcPr>
          <w:p>
            <w:pPr>
              <w:spacing w:after="0"/>
              <w:rPr>
                <w:sz w:val="21"/>
                <w:szCs w:val="21"/>
                <w:color w:val="auto"/>
              </w:rPr>
            </w:pPr>
          </w:p>
        </w:tc>
      </w:tr>
      <w:tr>
        <w:trPr>
          <w:trHeight w:val="81"/>
        </w:trPr>
        <w:tc>
          <w:tcPr>
            <w:tcW w:w="91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r>
      <w:tr>
        <w:trPr>
          <w:trHeight w:val="283"/>
        </w:trPr>
        <w:tc>
          <w:tcPr>
            <w:tcW w:w="9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Adjusted EBITDA as a percentage of Net Sales</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RECONCILIATION OF ADJUSTED EBITDA, AS REPORTED BY BELLRING,</w:t>
      </w:r>
    </w:p>
    <w:p>
      <w:pPr>
        <w:spacing w:after="0" w:line="46"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TO BELLRING BRANDS SEGMENT ADJUSTED EBITDA, AS REPORTED BY POST (Unaudited)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89" w:lineRule="exact"/>
        <w:rPr>
          <w:sz w:val="20"/>
          <w:szCs w:val="20"/>
          <w:color w:val="auto"/>
        </w:rPr>
      </w:pPr>
    </w:p>
    <w:p>
      <w:pPr>
        <w:ind w:left="95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64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50165</wp:posOffset>
            </wp:positionV>
            <wp:extent cx="7229475" cy="87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763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Adjusted EBITDA, as reported by BellRing</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r>
      <w:tr>
        <w:trPr>
          <w:trHeight w:val="324"/>
        </w:trPr>
        <w:tc>
          <w:tcPr>
            <w:tcW w:w="9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 xml:space="preserve">Allocated costs, net of non-GAAP adjustments </w:t>
            </w:r>
            <w:r>
              <w:rPr>
                <w:rFonts w:ascii="Arial" w:cs="Arial" w:eastAsia="Arial" w:hAnsi="Arial"/>
                <w:sz w:val="25"/>
                <w:szCs w:val="25"/>
                <w:color w:val="auto"/>
                <w:vertAlign w:val="superscript"/>
              </w:rPr>
              <w:t>(1)</w:t>
            </w: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r>
      <w:tr>
        <w:trPr>
          <w:trHeight w:val="296"/>
        </w:trPr>
        <w:tc>
          <w:tcPr>
            <w:tcW w:w="9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BellRing Brands segment Adjusted EBITDA, as reported by Post</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80" w:right="20" w:firstLine="3"/>
        <w:spacing w:after="0" w:line="271" w:lineRule="auto"/>
        <w:tabs>
          <w:tab w:leader="none" w:pos="26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Allocated costs are general and administrative costs that are attributable to BellRing and have been allocated by Post to BellRing. BellRing includes these costs in its SG&amp;A expenses and Operating Profit measures in its Condensed Consolidated Statement of Operations. Post classifies these costs as unallocated corporate expenses, which are reported by Post in general corporate expenses and other. In the above presentation, these costs are shown on a net basis, as they exclude certain items which have been treated as adjustments for the calculation of Adjusted EBITDA as described earlier in this release under “Explanation and 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380"/>
      </w:cols>
      <w:pgMar w:left="260" w:top="1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2020-02-17T21:45:04Z</dcterms:created>
  <dcterms:modified xsi:type="dcterms:W3CDTF">2020-02-17T21:45:04Z</dcterms:modified>
</cp:coreProperties>
</file>