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333-266656</w:t>
      </w:r>
    </w:p>
    <w:p>
      <w:pPr>
        <w:spacing w:after="0" w:line="139" w:lineRule="exact"/>
        <w:rPr>
          <w:sz w:val="24"/>
          <w:szCs w:val="24"/>
          <w:color w:val="auto"/>
        </w:rPr>
      </w:pPr>
    </w:p>
    <w:p>
      <w:pPr>
        <w:ind w:left="120" w:right="120"/>
        <w:spacing w:after="0" w:line="266" w:lineRule="auto"/>
        <w:rPr>
          <w:sz w:val="20"/>
          <w:szCs w:val="20"/>
          <w:color w:val="auto"/>
        </w:rPr>
      </w:pPr>
      <w:r>
        <w:rPr>
          <w:rFonts w:ascii="Arial" w:cs="Arial" w:eastAsia="Arial" w:hAnsi="Arial"/>
          <w:sz w:val="18"/>
          <w:szCs w:val="18"/>
          <w:b w:val="1"/>
          <w:bCs w:val="1"/>
          <w:color w:val="FF4338"/>
        </w:rPr>
        <w:t>The information in this preliminary prospectus supplement is not complete and may be changed. This preliminary prospectus supplement and the accompanying prospectus are not an offer to sell these securities nor are they soliciting offers to buy these securities in any jurisdiction where the offer or sale is not permitted.</w:t>
      </w:r>
    </w:p>
    <w:p>
      <w:pPr>
        <w:spacing w:after="0" w:line="11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FF4338"/>
        </w:rPr>
        <w:t>Subject to Completion, dated August 8, 2022.</w:t>
      </w:r>
    </w:p>
    <w:p>
      <w:pPr>
        <w:spacing w:after="0" w:line="119"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PRELIMINARY PROSPECTUS SUPPLEMENT</w:t>
      </w:r>
    </w:p>
    <w:p>
      <w:pPr>
        <w:spacing w:after="0" w:line="25"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(To Prospectus dated August 8, 2022)</w:t>
      </w:r>
    </w:p>
    <w:p>
      <w:pPr>
        <w:spacing w:after="0" w:line="82"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10,808,473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97155</wp:posOffset>
            </wp:positionV>
            <wp:extent cx="13804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049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BellRing Brands, Inc.</w:t>
      </w:r>
    </w:p>
    <w:p>
      <w:pPr>
        <w:spacing w:after="0" w:line="109"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177800</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2" w:lineRule="exact"/>
        <w:rPr>
          <w:sz w:val="24"/>
          <w:szCs w:val="24"/>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The selling stockholders identified in this prospectus supplement are offering 10,808,473 shares of our common stock. We registered such shares and are offering such shares pursuant to the terms of a registration rights agreement between us and Post Holdings, Inc. (“Post”).</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All 10,808,473 shares of our common stock that are being offered and sold in this offering are currently held by Post. In connection with this offering, Post</w:t>
      </w:r>
    </w:p>
    <w:p>
      <w:pPr>
        <w:spacing w:after="0" w:line="22" w:lineRule="exact"/>
        <w:rPr>
          <w:sz w:val="24"/>
          <w:szCs w:val="24"/>
          <w:color w:val="auto"/>
        </w:rPr>
      </w:pPr>
    </w:p>
    <w:p>
      <w:pPr>
        <w:ind w:left="120" w:right="100"/>
        <w:spacing w:after="0" w:line="309" w:lineRule="auto"/>
        <w:rPr>
          <w:sz w:val="20"/>
          <w:szCs w:val="20"/>
          <w:color w:val="auto"/>
        </w:rPr>
      </w:pPr>
      <w:r>
        <w:rPr>
          <w:rFonts w:ascii="Arial" w:cs="Arial" w:eastAsia="Arial" w:hAnsi="Arial"/>
          <w:sz w:val="14"/>
          <w:szCs w:val="14"/>
          <w:color w:val="auto"/>
        </w:rPr>
        <w:t>expects to exchange 10,808,473 shares of our common stock for $ million in aggregate principal amount of indebtedness of Post held by the selling stockholders identified in this prospectus supplement or their respective affiliates pursuant to a debt-for-equity exchange agreement to be dated on or about the date of this prospectus supplement. We refer to this exchange between Post and the selling stockholders as the “debt-for-equity exchange.” The selling stockholders then expect to sell those shares of common stock to the underwriters for cash. Each of the selling stockholders is also acting as an underwriter in this offering. The debt-for-equity exchange between Post and the selling stockholders is expected to occur on or before the settlement date of this offering, and the consummation of the debt-for-equity exchange is a condition to the settlement of the selling stockholders’ sale of the shares to the underwriters. As a result, the consummation of the debt-for-equity exchange is also ultimately a condition to the settlement of the underwriters’ sale of the shares to prospective investors. The selling stockholders will receive all of the net proceeds from the sale of the shares of our common stock offered pursuant to this prospectus supplement. Neither we nor Post will receive any proceeds from the sale of shares in this offering. As a result of the debt-for-equity exchange, Post may be deemed to be a selling stockholder in this offering solely for U.S. federal securities law purposes.</w:t>
      </w:r>
    </w:p>
    <w:p>
      <w:pPr>
        <w:spacing w:after="0" w:line="61" w:lineRule="exact"/>
        <w:rPr>
          <w:sz w:val="24"/>
          <w:szCs w:val="24"/>
          <w:color w:val="auto"/>
        </w:rPr>
      </w:pPr>
    </w:p>
    <w:p>
      <w:pPr>
        <w:ind w:left="120" w:right="20" w:firstLine="440"/>
        <w:spacing w:after="0" w:line="273" w:lineRule="auto"/>
        <w:rPr>
          <w:sz w:val="20"/>
          <w:szCs w:val="20"/>
          <w:color w:val="auto"/>
        </w:rPr>
      </w:pPr>
      <w:r>
        <w:rPr>
          <w:rFonts w:ascii="Arial" w:cs="Arial" w:eastAsia="Arial" w:hAnsi="Arial"/>
          <w:sz w:val="16"/>
          <w:szCs w:val="16"/>
          <w:color w:val="auto"/>
        </w:rPr>
        <w:t>As part of and subject to the completion of the offering, we intend to concurrently repurchase from the underwriters 800,000 shares out of the aggregate 10,808,473 shares of our common stock that are the subject of the offering (the “Concurrent Share Repurchase”). The price per share to be paid by us will equal the price at which the underwriters will purchase the shares from the selling stockholders in the offering. No underwriting discount or commissions will be paid to the underwriters with respect to the shares we intend to repurchase in the Concurrent Share Repurchase.</w:t>
      </w:r>
    </w:p>
    <w:p>
      <w:pPr>
        <w:spacing w:after="0" w:line="81" w:lineRule="exact"/>
        <w:rPr>
          <w:sz w:val="24"/>
          <w:szCs w:val="24"/>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Our common stock is listed on the New York Stock Exchange (the “NYSE”) under the ticker symbol “BRBR”. On August 5, 2022, the closing sales price of our common stock as reported on the NYSE was $24.96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123825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4" w:lineRule="exact"/>
        <w:rPr>
          <w:sz w:val="24"/>
          <w:szCs w:val="24"/>
          <w:color w:val="auto"/>
        </w:rPr>
      </w:pPr>
    </w:p>
    <w:p>
      <w:pPr>
        <w:jc w:val="both"/>
        <w:ind w:left="120" w:right="80" w:firstLine="440"/>
        <w:spacing w:after="0" w:line="330" w:lineRule="auto"/>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Investing in shares of our common stock involves significant risks. See “</w:t>
      </w:r>
      <w:hyperlink w:anchor="page15">
        <w:r>
          <w:rPr>
            <w:rFonts w:ascii="Arial" w:cs="Arial" w:eastAsia="Arial" w:hAnsi="Arial"/>
            <w:sz w:val="16"/>
            <w:szCs w:val="16"/>
            <w:b w:val="1"/>
            <w:bCs w:val="1"/>
            <w:i w:val="1"/>
            <w:iCs w:val="1"/>
            <w:u w:val="single" w:color="auto"/>
            <w:color w:val="0000EE"/>
          </w:rPr>
          <w:t>Risk Factors</w:t>
        </w:r>
      </w:hyperlink>
      <w:r>
        <w:rPr>
          <w:rFonts w:ascii="Arial" w:cs="Arial" w:eastAsia="Arial" w:hAnsi="Arial"/>
          <w:sz w:val="16"/>
          <w:szCs w:val="16"/>
          <w:b w:val="1"/>
          <w:bCs w:val="1"/>
          <w:i w:val="1"/>
          <w:iCs w:val="1"/>
          <w:color w:val="auto"/>
        </w:rPr>
        <w:t>” beginning on page S-</w:t>
      </w:r>
      <w:r>
        <w:rPr>
          <w:rFonts w:ascii="Arial" w:cs="Arial" w:eastAsia="Arial" w:hAnsi="Arial"/>
          <w:sz w:val="16"/>
          <w:szCs w:val="16"/>
          <w:b w:val="1"/>
          <w:bCs w:val="1"/>
          <w:color w:val="auto"/>
        </w:rPr>
        <w:t>9</w:t>
      </w:r>
      <w:r>
        <w:rPr>
          <w:rFonts w:ascii="Arial" w:cs="Arial" w:eastAsia="Arial" w:hAnsi="Arial"/>
          <w:sz w:val="16"/>
          <w:szCs w:val="16"/>
          <w:b w:val="1"/>
          <w:bCs w:val="1"/>
          <w:i w:val="1"/>
          <w:iCs w:val="1"/>
          <w:color w:val="auto"/>
        </w:rPr>
        <w:t xml:space="preserve"> of this prospectus supplement and in the reports we file with the United States (the “U.S.”) Securities and Exchange Commission (the “SEC”), pursuant to the Securities Exchange Act of 1934, as amended (the “Exchange Act”), incorporated by reference in this prospectus supplement or the accompanying prospectus, to read about factors you should consider before buying shares of our common stock.</w:t>
      </w:r>
    </w:p>
    <w:p>
      <w:pPr>
        <w:spacing w:after="0" w:line="27" w:lineRule="exact"/>
        <w:rPr>
          <w:sz w:val="24"/>
          <w:szCs w:val="24"/>
          <w:color w:val="auto"/>
        </w:rPr>
      </w:pPr>
    </w:p>
    <w:p>
      <w:pPr>
        <w:ind w:left="120" w:right="640" w:firstLine="440"/>
        <w:spacing w:after="0" w:line="328" w:lineRule="auto"/>
        <w:rPr>
          <w:sz w:val="20"/>
          <w:szCs w:val="20"/>
          <w:color w:val="auto"/>
        </w:rPr>
      </w:pPr>
      <w:r>
        <w:rPr>
          <w:rFonts w:ascii="Arial" w:cs="Arial" w:eastAsia="Arial" w:hAnsi="Arial"/>
          <w:sz w:val="15"/>
          <w:szCs w:val="15"/>
          <w:b w:val="1"/>
          <w:bCs w:val="1"/>
          <w:i w:val="1"/>
          <w:iCs w:val="1"/>
          <w:color w:val="auto"/>
        </w:rPr>
        <w:t>Neither the SEC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42" w:lineRule="exact"/>
        <w:rPr>
          <w:sz w:val="24"/>
          <w:szCs w:val="24"/>
          <w:color w:val="auto"/>
        </w:rPr>
      </w:pPr>
    </w:p>
    <w:p>
      <w:pPr>
        <w:ind w:left="560"/>
        <w:spacing w:after="0"/>
        <w:tabs>
          <w:tab w:leader="none" w:pos="8860" w:val="left"/>
        </w:tabs>
        <w:rPr>
          <w:sz w:val="20"/>
          <w:szCs w:val="20"/>
          <w:color w:val="auto"/>
        </w:rPr>
      </w:pPr>
      <w:r>
        <w:rPr>
          <w:rFonts w:ascii="Arial" w:cs="Arial" w:eastAsia="Arial" w:hAnsi="Arial"/>
          <w:sz w:val="16"/>
          <w:szCs w:val="16"/>
          <w:color w:val="auto"/>
        </w:rPr>
        <w:t>The underwriters have agreed to purchase the shares of our common stock from the selling stockholders at a price of $</w:t>
      </w:r>
      <w:r>
        <w:rPr>
          <w:sz w:val="20"/>
          <w:szCs w:val="20"/>
          <w:color w:val="auto"/>
        </w:rPr>
        <w:tab/>
      </w:r>
      <w:r>
        <w:rPr>
          <w:rFonts w:ascii="Arial" w:cs="Arial" w:eastAsia="Arial" w:hAnsi="Arial"/>
          <w:sz w:val="15"/>
          <w:szCs w:val="15"/>
          <w:color w:val="auto"/>
        </w:rPr>
        <w:t>per share, which will result in</w:t>
      </w:r>
    </w:p>
    <w:p>
      <w:pPr>
        <w:spacing w:after="0" w:line="22" w:lineRule="exact"/>
        <w:rPr>
          <w:sz w:val="24"/>
          <w:szCs w:val="24"/>
          <w:color w:val="auto"/>
        </w:rPr>
      </w:pPr>
    </w:p>
    <w:p>
      <w:pPr>
        <w:ind w:left="120" w:right="40" w:hanging="4"/>
        <w:spacing w:after="0" w:line="276" w:lineRule="auto"/>
        <w:tabs>
          <w:tab w:leader="none" w:pos="849" w:val="left"/>
        </w:tabs>
        <w:numPr>
          <w:ilvl w:val="0"/>
          <w:numId w:val="1"/>
        </w:numPr>
        <w:rPr>
          <w:rFonts w:ascii="Arial" w:cs="Arial" w:eastAsia="Arial" w:hAnsi="Arial"/>
          <w:sz w:val="16"/>
          <w:szCs w:val="16"/>
          <w:color w:val="auto"/>
        </w:rPr>
      </w:pPr>
      <w:r>
        <w:rPr>
          <w:rFonts w:ascii="Arial" w:cs="Arial" w:eastAsia="Arial" w:hAnsi="Arial"/>
          <w:sz w:val="16"/>
          <w:szCs w:val="16"/>
          <w:color w:val="auto"/>
        </w:rPr>
        <w:t>of proceeds to the selling stockholders before expenses. The underwriters propose to offer the shares of our common stock from time to time for sale in one or more transactions on the NYSE, in the over-the-counter market, through negotiated transactions or otherwise at market prices prevailing at the time of sale, at prices related to prevailing market prices or at negotiated prices. See “Underwriting.”</w:t>
      </w:r>
    </w:p>
    <w:p>
      <w:pPr>
        <w:spacing w:after="0" w:line="77" w:lineRule="exact"/>
        <w:rPr>
          <w:sz w:val="24"/>
          <w:szCs w:val="24"/>
          <w:color w:val="auto"/>
        </w:rPr>
      </w:pPr>
    </w:p>
    <w:tbl>
      <w:tblPr>
        <w:tblLayout w:type="fixed"/>
        <w:tblInd w:w="120" w:type="dxa"/>
        <w:tblCellMar>
          <w:top w:w="0" w:type="dxa"/>
          <w:left w:w="0" w:type="dxa"/>
          <w:bottom w:w="0" w:type="dxa"/>
          <w:right w:w="0" w:type="dxa"/>
        </w:tblCellMar>
      </w:tblPr>
      <w:tr>
        <w:trPr>
          <w:trHeight w:val="206"/>
        </w:trPr>
        <w:tc>
          <w:tcPr>
            <w:tcW w:w="8360" w:type="dxa"/>
            <w:vAlign w:val="bottom"/>
            <w:gridSpan w:val="6"/>
          </w:tcPr>
          <w:p>
            <w:pPr>
              <w:ind w:left="440"/>
              <w:spacing w:after="0"/>
              <w:rPr>
                <w:sz w:val="20"/>
                <w:szCs w:val="20"/>
                <w:color w:val="auto"/>
              </w:rPr>
            </w:pPr>
            <w:r>
              <w:rPr>
                <w:rFonts w:ascii="Arial" w:cs="Arial" w:eastAsia="Arial" w:hAnsi="Arial"/>
                <w:sz w:val="16"/>
                <w:szCs w:val="16"/>
                <w:color w:val="auto"/>
                <w:w w:val="93"/>
              </w:rPr>
              <w:t>The underwriters expect to deliver the shares of our common stock against payment in New York, New York on or about</w:t>
            </w:r>
          </w:p>
        </w:tc>
        <w:tc>
          <w:tcPr>
            <w:tcW w:w="2660" w:type="dxa"/>
            <w:vAlign w:val="bottom"/>
          </w:tcPr>
          <w:p>
            <w:pPr>
              <w:jc w:val="right"/>
              <w:ind w:right="1566"/>
              <w:spacing w:after="0"/>
              <w:rPr>
                <w:sz w:val="20"/>
                <w:szCs w:val="20"/>
                <w:color w:val="auto"/>
              </w:rPr>
            </w:pPr>
            <w:r>
              <w:rPr>
                <w:rFonts w:ascii="Arial" w:cs="Arial" w:eastAsia="Arial" w:hAnsi="Arial"/>
                <w:sz w:val="16"/>
                <w:szCs w:val="16"/>
                <w:color w:val="auto"/>
              </w:rPr>
              <w:t>, 2022.</w:t>
            </w:r>
          </w:p>
        </w:tc>
      </w:tr>
      <w:tr>
        <w:trPr>
          <w:trHeight w:val="236"/>
        </w:trPr>
        <w:tc>
          <w:tcPr>
            <w:tcW w:w="16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408"/>
        </w:trPr>
        <w:tc>
          <w:tcPr>
            <w:tcW w:w="1680" w:type="dxa"/>
            <w:vAlign w:val="bottom"/>
          </w:tcPr>
          <w:p>
            <w:pPr>
              <w:spacing w:after="0"/>
              <w:rPr>
                <w:sz w:val="20"/>
                <w:szCs w:val="20"/>
                <w:color w:val="auto"/>
              </w:rPr>
            </w:pPr>
            <w:r>
              <w:rPr>
                <w:rFonts w:ascii="Arial" w:cs="Arial" w:eastAsia="Arial" w:hAnsi="Arial"/>
                <w:sz w:val="22"/>
                <w:szCs w:val="22"/>
                <w:b w:val="1"/>
                <w:bCs w:val="1"/>
                <w:color w:val="auto"/>
              </w:rPr>
              <w:t>J.P. Morgan</w:t>
            </w:r>
          </w:p>
        </w:tc>
        <w:tc>
          <w:tcPr>
            <w:tcW w:w="1840" w:type="dxa"/>
            <w:vAlign w:val="bottom"/>
          </w:tcPr>
          <w:p>
            <w:pPr>
              <w:ind w:left="580"/>
              <w:spacing w:after="0"/>
              <w:rPr>
                <w:sz w:val="20"/>
                <w:szCs w:val="20"/>
                <w:color w:val="auto"/>
              </w:rPr>
            </w:pPr>
            <w:r>
              <w:rPr>
                <w:rFonts w:ascii="Arial" w:cs="Arial" w:eastAsia="Arial" w:hAnsi="Arial"/>
                <w:sz w:val="22"/>
                <w:szCs w:val="22"/>
                <w:b w:val="1"/>
                <w:bCs w:val="1"/>
                <w:color w:val="auto"/>
              </w:rPr>
              <w:t>Barclays</w:t>
            </w:r>
          </w:p>
        </w:tc>
        <w:tc>
          <w:tcPr>
            <w:tcW w:w="2440" w:type="dxa"/>
            <w:vAlign w:val="bottom"/>
            <w:gridSpan w:val="2"/>
          </w:tcPr>
          <w:p>
            <w:pPr>
              <w:ind w:left="480"/>
              <w:spacing w:after="0"/>
              <w:rPr>
                <w:sz w:val="20"/>
                <w:szCs w:val="20"/>
                <w:color w:val="auto"/>
              </w:rPr>
            </w:pPr>
            <w:r>
              <w:rPr>
                <w:rFonts w:ascii="Arial" w:cs="Arial" w:eastAsia="Arial" w:hAnsi="Arial"/>
                <w:sz w:val="22"/>
                <w:szCs w:val="22"/>
                <w:b w:val="1"/>
                <w:bCs w:val="1"/>
                <w:color w:val="auto"/>
              </w:rPr>
              <w:t>Morgan Stanley</w:t>
            </w:r>
          </w:p>
        </w:tc>
        <w:tc>
          <w:tcPr>
            <w:tcW w:w="2400" w:type="dxa"/>
            <w:vAlign w:val="bottom"/>
            <w:gridSpan w:val="2"/>
          </w:tcPr>
          <w:p>
            <w:pPr>
              <w:ind w:left="480"/>
              <w:spacing w:after="0"/>
              <w:rPr>
                <w:sz w:val="20"/>
                <w:szCs w:val="20"/>
                <w:color w:val="auto"/>
              </w:rPr>
            </w:pPr>
            <w:r>
              <w:rPr>
                <w:rFonts w:ascii="Arial" w:cs="Arial" w:eastAsia="Arial" w:hAnsi="Arial"/>
                <w:sz w:val="22"/>
                <w:szCs w:val="22"/>
                <w:b w:val="1"/>
                <w:bCs w:val="1"/>
                <w:color w:val="auto"/>
              </w:rPr>
              <w:t>Citigroup</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w w:val="94"/>
              </w:rPr>
              <w:t>Goldman Sachs &amp; Co. LLC</w:t>
            </w:r>
          </w:p>
        </w:tc>
      </w:tr>
    </w:tbl>
    <w:p>
      <w:pPr>
        <w:spacing w:after="0" w:line="84" w:lineRule="exact"/>
        <w:rPr>
          <w:sz w:val="24"/>
          <w:szCs w:val="24"/>
          <w:color w:val="auto"/>
        </w:rPr>
      </w:pPr>
    </w:p>
    <w:p>
      <w:pPr>
        <w:sectPr>
          <w:pgSz w:w="11900" w:h="16838" w:orient="portrait"/>
          <w:cols w:equalWidth="0" w:num="1">
            <w:col w:w="11140"/>
          </w:cols>
          <w:pgMar w:left="320" w:top="230" w:right="439" w:bottom="1440" w:gutter="0" w:footer="0" w:header="0"/>
        </w:sectPr>
      </w:pPr>
    </w:p>
    <w:p>
      <w:pPr>
        <w:ind w:left="4060"/>
        <w:spacing w:after="0"/>
        <w:tabs>
          <w:tab w:leader="none" w:pos="6720" w:val="left"/>
        </w:tabs>
        <w:rPr>
          <w:sz w:val="20"/>
          <w:szCs w:val="20"/>
          <w:color w:val="auto"/>
        </w:rPr>
      </w:pPr>
      <w:r>
        <w:rPr>
          <w:rFonts w:ascii="Arial" w:cs="Arial" w:eastAsia="Arial" w:hAnsi="Arial"/>
          <w:sz w:val="16"/>
          <w:szCs w:val="16"/>
          <w:b w:val="1"/>
          <w:bCs w:val="1"/>
          <w:color w:val="auto"/>
        </w:rPr>
        <w:t>Prospectus Supplement dated</w:t>
      </w:r>
      <w:r>
        <w:rPr>
          <w:sz w:val="20"/>
          <w:szCs w:val="20"/>
          <w:color w:val="auto"/>
        </w:rPr>
        <w:tab/>
      </w:r>
      <w:r>
        <w:rPr>
          <w:rFonts w:ascii="Arial" w:cs="Arial" w:eastAsia="Arial" w:hAnsi="Arial"/>
          <w:sz w:val="15"/>
          <w:szCs w:val="15"/>
          <w:b w:val="1"/>
          <w:bCs w:val="1"/>
          <w:color w:val="auto"/>
        </w:rPr>
        <w:t>, 2022.</w:t>
      </w:r>
    </w:p>
    <w:p>
      <w:pPr>
        <w:sectPr>
          <w:pgSz w:w="11900" w:h="16838" w:orient="portrait"/>
          <w:cols w:equalWidth="0" w:num="1">
            <w:col w:w="11140"/>
          </w:cols>
          <w:pgMar w:left="320" w:top="23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60" w:type="dxa"/>
            <w:vAlign w:val="bottom"/>
            <w:gridSpan w:val="2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4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w w:val="98"/>
              </w:rPr>
              <w:t>TABLE OF CONTENTS</w:t>
            </w:r>
          </w:p>
        </w:tc>
        <w:tc>
          <w:tcPr>
            <w:tcW w:w="24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w w:val="87"/>
              </w:rPr>
              <w:t>Prospectus Supplement</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254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 Supplement</w:t>
              </w:r>
            </w:hyperlink>
          </w:p>
        </w:tc>
        <w:tc>
          <w:tcPr>
            <w:tcW w:w="6000" w:type="dxa"/>
            <w:vAlign w:val="bottom"/>
            <w:gridSpan w:val="8"/>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S-iii</w:t>
            </w:r>
          </w:p>
        </w:tc>
      </w:tr>
      <w:tr>
        <w:trPr>
          <w:trHeight w:val="196"/>
        </w:trPr>
        <w:tc>
          <w:tcPr>
            <w:tcW w:w="120" w:type="dxa"/>
            <w:vAlign w:val="bottom"/>
          </w:tcPr>
          <w:p>
            <w:pPr>
              <w:spacing w:after="0"/>
              <w:rPr>
                <w:sz w:val="17"/>
                <w:szCs w:val="17"/>
                <w:color w:val="auto"/>
              </w:rPr>
            </w:pPr>
          </w:p>
        </w:tc>
        <w:tc>
          <w:tcPr>
            <w:tcW w:w="15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Basis of Presentation</w:t>
              </w:r>
            </w:hyperlink>
          </w:p>
        </w:tc>
        <w:tc>
          <w:tcPr>
            <w:tcW w:w="7000" w:type="dxa"/>
            <w:vAlign w:val="bottom"/>
            <w:gridSpan w:val="1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S-iii</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Trademarks, Tradenames and Service Marks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r>
      <w:tr>
        <w:trPr>
          <w:trHeight w:val="196"/>
        </w:trPr>
        <w:tc>
          <w:tcPr>
            <w:tcW w:w="120" w:type="dxa"/>
            <w:vAlign w:val="bottom"/>
          </w:tcPr>
          <w:p>
            <w:pPr>
              <w:spacing w:after="0"/>
              <w:rPr>
                <w:sz w:val="17"/>
                <w:szCs w:val="17"/>
                <w:color w:val="auto"/>
              </w:rPr>
            </w:pPr>
          </w:p>
        </w:tc>
        <w:tc>
          <w:tcPr>
            <w:tcW w:w="3200" w:type="dxa"/>
            <w:vAlign w:val="bottom"/>
            <w:tcBorders>
              <w:top w:val="single" w:sz="8" w:color="0000EE"/>
            </w:tcBorders>
            <w:gridSpan w:val="23"/>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Presentation of Certain Financial Measures</w:t>
              </w:r>
            </w:hyperlink>
          </w:p>
        </w:tc>
        <w:tc>
          <w:tcPr>
            <w:tcW w:w="534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r>
      <w:tr>
        <w:trPr>
          <w:trHeight w:val="196"/>
        </w:trPr>
        <w:tc>
          <w:tcPr>
            <w:tcW w:w="120" w:type="dxa"/>
            <w:vAlign w:val="bottom"/>
          </w:tcPr>
          <w:p>
            <w:pPr>
              <w:spacing w:after="0"/>
              <w:rPr>
                <w:sz w:val="17"/>
                <w:szCs w:val="17"/>
                <w:color w:val="auto"/>
              </w:rPr>
            </w:pPr>
          </w:p>
        </w:tc>
        <w:tc>
          <w:tcPr>
            <w:tcW w:w="31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Prospectus Supplement Summary</w:t>
              </w:r>
            </w:hyperlink>
          </w:p>
        </w:tc>
        <w:tc>
          <w:tcPr>
            <w:tcW w:w="544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120" w:type="dxa"/>
            <w:vAlign w:val="bottom"/>
          </w:tcPr>
          <w:p>
            <w:pPr>
              <w:spacing w:after="0"/>
              <w:rPr>
                <w:sz w:val="17"/>
                <w:szCs w:val="17"/>
                <w:color w:val="auto"/>
              </w:rPr>
            </w:pPr>
          </w:p>
        </w:tc>
        <w:tc>
          <w:tcPr>
            <w:tcW w:w="24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612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Special Note Regarding Forward-Looking Statements</w:t>
              </w:r>
            </w:hyperlink>
          </w:p>
        </w:tc>
        <w:tc>
          <w:tcPr>
            <w:tcW w:w="46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Use of Proceeds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S-15</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Dividend Policy</w:t>
              </w:r>
            </w:hyperlink>
          </w:p>
        </w:tc>
        <w:tc>
          <w:tcPr>
            <w:tcW w:w="7360" w:type="dxa"/>
            <w:vAlign w:val="bottom"/>
            <w:gridSpan w:val="2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S-16</w:t>
            </w:r>
          </w:p>
        </w:tc>
      </w:tr>
      <w:tr>
        <w:trPr>
          <w:trHeight w:val="196"/>
        </w:trPr>
        <w:tc>
          <w:tcPr>
            <w:tcW w:w="120" w:type="dxa"/>
            <w:vAlign w:val="bottom"/>
          </w:tcPr>
          <w:p>
            <w:pPr>
              <w:spacing w:after="0"/>
              <w:rPr>
                <w:sz w:val="17"/>
                <w:szCs w:val="17"/>
                <w:color w:val="auto"/>
              </w:rPr>
            </w:pPr>
          </w:p>
        </w:tc>
        <w:tc>
          <w:tcPr>
            <w:tcW w:w="15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Selling Stockholders</w:t>
              </w:r>
            </w:hyperlink>
          </w:p>
        </w:tc>
        <w:tc>
          <w:tcPr>
            <w:tcW w:w="702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S-17</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Certain United States Federal Income Tax Consequences to Non-U.S. Holders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S-18</w:t>
            </w:r>
          </w:p>
        </w:tc>
      </w:tr>
      <w:tr>
        <w:trPr>
          <w:trHeight w:val="196"/>
        </w:trPr>
        <w:tc>
          <w:tcPr>
            <w:tcW w:w="120" w:type="dxa"/>
            <w:vAlign w:val="bottom"/>
          </w:tcPr>
          <w:p>
            <w:pPr>
              <w:spacing w:after="0"/>
              <w:rPr>
                <w:sz w:val="17"/>
                <w:szCs w:val="17"/>
                <w:color w:val="auto"/>
              </w:rPr>
            </w:pPr>
          </w:p>
        </w:tc>
        <w:tc>
          <w:tcPr>
            <w:tcW w:w="56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Underwriting (Conflicts of Interest)</w:t>
              </w:r>
            </w:hyperlink>
          </w:p>
        </w:tc>
        <w:tc>
          <w:tcPr>
            <w:tcW w:w="292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S-19</w:t>
            </w:r>
          </w:p>
        </w:tc>
      </w:tr>
      <w:tr>
        <w:trPr>
          <w:trHeight w:val="196"/>
        </w:trPr>
        <w:tc>
          <w:tcPr>
            <w:tcW w:w="120" w:type="dxa"/>
            <w:vAlign w:val="bottom"/>
          </w:tcPr>
          <w:p>
            <w:pPr>
              <w:spacing w:after="0"/>
              <w:rPr>
                <w:sz w:val="17"/>
                <w:szCs w:val="17"/>
                <w:color w:val="auto"/>
              </w:rPr>
            </w:pPr>
          </w:p>
        </w:tc>
        <w:tc>
          <w:tcPr>
            <w:tcW w:w="25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598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S-27</w:t>
            </w: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7540" w:type="dxa"/>
            <w:vAlign w:val="bottom"/>
            <w:gridSpan w:val="2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S-27</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S-27</w:t>
            </w:r>
          </w:p>
        </w:tc>
      </w:tr>
      <w:tr>
        <w:trPr>
          <w:trHeight w:val="196"/>
        </w:trPr>
        <w:tc>
          <w:tcPr>
            <w:tcW w:w="120" w:type="dxa"/>
            <w:vAlign w:val="bottom"/>
          </w:tcPr>
          <w:p>
            <w:pPr>
              <w:spacing w:after="0"/>
              <w:rPr>
                <w:sz w:val="17"/>
                <w:szCs w:val="17"/>
                <w:color w:val="auto"/>
              </w:rPr>
            </w:pPr>
          </w:p>
        </w:tc>
        <w:tc>
          <w:tcPr>
            <w:tcW w:w="28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Incorporation by Reference</w:t>
              </w:r>
            </w:hyperlink>
          </w:p>
        </w:tc>
        <w:tc>
          <w:tcPr>
            <w:tcW w:w="568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S-27</w:t>
            </w:r>
          </w:p>
        </w:tc>
      </w:tr>
      <w:tr>
        <w:trPr>
          <w:trHeight w:val="669"/>
        </w:trPr>
        <w:tc>
          <w:tcPr>
            <w:tcW w:w="1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w w:val="85"/>
              </w:rPr>
              <w:t>Prospectus</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2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Explanatory Note</w:t>
              </w:r>
            </w:hyperlink>
          </w:p>
        </w:tc>
        <w:tc>
          <w:tcPr>
            <w:tcW w:w="7260" w:type="dxa"/>
            <w:vAlign w:val="bottom"/>
            <w:gridSpan w:val="19"/>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196"/>
        </w:trPr>
        <w:tc>
          <w:tcPr>
            <w:tcW w:w="120" w:type="dxa"/>
            <w:vAlign w:val="bottom"/>
          </w:tcPr>
          <w:p>
            <w:pPr>
              <w:spacing w:after="0"/>
              <w:rPr>
                <w:sz w:val="17"/>
                <w:szCs w:val="17"/>
                <w:color w:val="auto"/>
              </w:rPr>
            </w:pPr>
          </w:p>
        </w:tc>
        <w:tc>
          <w:tcPr>
            <w:tcW w:w="16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About This Prospectus</w:t>
              </w:r>
            </w:hyperlink>
          </w:p>
        </w:tc>
        <w:tc>
          <w:tcPr>
            <w:tcW w:w="690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Market and Industry Data</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Trademarks, Tradenames and Service Marks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32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BellRing Brands, Inc.</w:t>
              </w:r>
            </w:hyperlink>
          </w:p>
        </w:tc>
        <w:tc>
          <w:tcPr>
            <w:tcW w:w="534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15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698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Special Note Regarding Forward-Looking Statements</w:t>
              </w:r>
            </w:hyperlink>
          </w:p>
        </w:tc>
        <w:tc>
          <w:tcPr>
            <w:tcW w:w="46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Use Of Proceeds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w:anchor="page45">
              <w:r>
                <w:rPr>
                  <w:rFonts w:ascii="Arial" w:cs="Arial" w:eastAsia="Arial" w:hAnsi="Arial"/>
                  <w:sz w:val="18"/>
                  <w:szCs w:val="18"/>
                  <w:color w:val="0000EE"/>
                  <w:w w:val="94"/>
                </w:rPr>
                <w:t>Dividend Policy</w:t>
              </w:r>
            </w:hyperlink>
          </w:p>
        </w:tc>
        <w:tc>
          <w:tcPr>
            <w:tcW w:w="20" w:type="dxa"/>
            <w:vAlign w:val="bottom"/>
            <w:tcBorders>
              <w:top w:val="single" w:sz="8" w:color="0000EE"/>
            </w:tcBorders>
          </w:tcPr>
          <w:p>
            <w:pPr>
              <w:spacing w:after="0"/>
              <w:rPr>
                <w:sz w:val="17"/>
                <w:szCs w:val="17"/>
                <w:color w:val="auto"/>
              </w:rPr>
            </w:pPr>
          </w:p>
        </w:tc>
        <w:tc>
          <w:tcPr>
            <w:tcW w:w="7340" w:type="dxa"/>
            <w:vAlign w:val="bottom"/>
            <w:gridSpan w:val="2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Capital Stock</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120" w:type="dxa"/>
            <w:vAlign w:val="bottom"/>
          </w:tcPr>
          <w:p>
            <w:pPr>
              <w:spacing w:after="0" w:line="20" w:lineRule="exact"/>
              <w:rPr>
                <w:sz w:val="1"/>
                <w:szCs w:val="1"/>
                <w:color w:val="auto"/>
              </w:rPr>
            </w:pPr>
          </w:p>
        </w:tc>
        <w:tc>
          <w:tcPr>
            <w:tcW w:w="146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Certain United States Federal Income Tax Consequences to Non-U.S. Holders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Selling Stockholders</w:t>
              </w:r>
            </w:hyperlink>
          </w:p>
        </w:tc>
        <w:tc>
          <w:tcPr>
            <w:tcW w:w="4120" w:type="dxa"/>
            <w:vAlign w:val="bottom"/>
            <w:tcBorders>
              <w:top w:val="single" w:sz="8" w:color="0000EE"/>
            </w:tcBorders>
            <w:gridSpan w:val="16"/>
          </w:tcPr>
          <w:p>
            <w:pPr>
              <w:spacing w:after="0"/>
              <w:rPr>
                <w:sz w:val="17"/>
                <w:szCs w:val="17"/>
                <w:color w:val="auto"/>
              </w:rPr>
            </w:pPr>
          </w:p>
        </w:tc>
        <w:tc>
          <w:tcPr>
            <w:tcW w:w="292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Legal Matters</w:t>
              </w:r>
            </w:hyperlink>
          </w:p>
        </w:tc>
        <w:tc>
          <w:tcPr>
            <w:tcW w:w="7080" w:type="dxa"/>
            <w:vAlign w:val="bottom"/>
            <w:gridSpan w:val="1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7540" w:type="dxa"/>
            <w:vAlign w:val="bottom"/>
            <w:gridSpan w:val="2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320" w:type="dxa"/>
            <w:vAlign w:val="bottom"/>
            <w:gridSpan w:val="2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Where You Can Find More Information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2860" w:type="dxa"/>
            <w:vAlign w:val="bottom"/>
            <w:gridSpan w:val="21"/>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Incorporation of Certain Information by Reference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100" w:firstLine="440"/>
        <w:spacing w:after="0" w:line="291"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supplement and the accompanying prospectus or in any free writing prospectus that we authorize to be delivered to you. We, Post, the selling stockholders and the underwriters (and any of our or their affiliates) have not authorized anyone to provide any information or to make any representations other than those contained, or incorporated by reference, in this prospectus supplement and the accompanying prospectus or in any free writing prospectus we have prepared. We, Post, the selling stockholders and the underwriters (and any of our or their affiliates) take no responsibility for, and can provide no assurance as to the reliability of, any other information that others may provide to you. The selling stockholders and the underwriters are offering to sell, and seeking offers to buy, these securities only in jurisdictions where offers and sales are permitted. You should assume that the information contained, or incorporated by</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81" w:lineRule="auto"/>
        <w:rPr>
          <w:sz w:val="20"/>
          <w:szCs w:val="20"/>
          <w:color w:val="auto"/>
        </w:rPr>
      </w:pPr>
      <w:r>
        <w:rPr>
          <w:rFonts w:ascii="Arial" w:cs="Arial" w:eastAsia="Arial" w:hAnsi="Arial"/>
          <w:sz w:val="17"/>
          <w:szCs w:val="17"/>
          <w:b w:val="1"/>
          <w:bCs w:val="1"/>
          <w:color w:val="auto"/>
        </w:rPr>
        <w:t>reference, in this prospectus supplement and the accompanying prospectus or any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cash flows and prospects may have changed since that date.</w:t>
      </w:r>
    </w:p>
    <w:p>
      <w:pPr>
        <w:spacing w:after="0" w:line="1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020"/>
          </w:cols>
          <w:pgMar w:left="320" w:top="459" w:right="5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This document has two parts, a prospectus supplement and an accompanying prospectus, dated August 8, 2022. This prospectus supplement and the accompanying prospectus are part of a registration statement that we filed with the SEC, utilizing the SEC’s “shelf” registration process. The prospectus supplement, which describes certain matters relating to us and the specific terms of this offering of shares of our common stock, adds to and updates information contained in the accompanying prospectus and the documents incorporated by reference herein. Generally, when we refer to this document, we are referring to both parts of this document combined. Both this prospectus supplement and the accompanying prospectus include important information about us, our common stock and other information you should know before investing in our common stock. To the extent the information contained in this prospectus supplement differs or varies from the information contained in the accompanying prospectus, you should rely on the information contained in this prospectus supplement. If the information contained in this prospectus supplement differs or varies from the information contained in a document we have incorporated by reference, you should rely on the information in the more recent document.</w:t>
      </w:r>
    </w:p>
    <w:p>
      <w:pPr>
        <w:spacing w:after="0" w:line="166"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Before you invest in our common stock, you should read the registration statement of which this document forms a part and this document, including the documents incorporated by reference herein that are described under the heading “Incorporation by Reference.”</w:t>
      </w:r>
    </w:p>
    <w:p>
      <w:pPr>
        <w:spacing w:after="0" w:line="146"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distribution of this prospectus supplement and the accompanying prospectus and the offering of our common stock in certain jurisdictions may be restricted by law. Neither the selling stockholder</w:t>
      </w:r>
      <w:r>
        <w:rPr>
          <w:rFonts w:ascii="Arial" w:cs="Arial" w:eastAsia="Arial" w:hAnsi="Arial"/>
          <w:sz w:val="16"/>
          <w:szCs w:val="16"/>
          <w:b w:val="1"/>
          <w:bCs w:val="1"/>
          <w:color w:val="auto"/>
        </w:rPr>
        <w:t>s</w:t>
      </w:r>
      <w:r>
        <w:rPr>
          <w:rFonts w:ascii="Arial" w:cs="Arial" w:eastAsia="Arial" w:hAnsi="Arial"/>
          <w:sz w:val="16"/>
          <w:szCs w:val="16"/>
          <w:color w:val="auto"/>
        </w:rPr>
        <w:t xml:space="preserve"> nor the underwriter</w:t>
      </w:r>
      <w:r>
        <w:rPr>
          <w:rFonts w:ascii="Arial" w:cs="Arial" w:eastAsia="Arial" w:hAnsi="Arial"/>
          <w:sz w:val="16"/>
          <w:szCs w:val="16"/>
          <w:b w:val="1"/>
          <w:bCs w:val="1"/>
          <w:color w:val="auto"/>
        </w:rPr>
        <w:t>s</w:t>
      </w:r>
      <w:r>
        <w:rPr>
          <w:rFonts w:ascii="Arial" w:cs="Arial" w:eastAsia="Arial" w:hAnsi="Arial"/>
          <w:sz w:val="16"/>
          <w:szCs w:val="16"/>
          <w:color w:val="auto"/>
        </w:rPr>
        <w:t xml:space="preserve"> are making an offer of our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6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You should not consider any information in this prospectus supplement or the accompanying prospectus to be investment, legal or tax advice. You should consult your own counsel, accountant and other advisors for legal, tax, business, financial and related advice regarding the purchase of our common stock. None of us, Post, the selling stockholder</w:t>
      </w:r>
      <w:r>
        <w:rPr>
          <w:rFonts w:ascii="Arial" w:cs="Arial" w:eastAsia="Arial" w:hAnsi="Arial"/>
          <w:sz w:val="17"/>
          <w:szCs w:val="17"/>
          <w:b w:val="1"/>
          <w:bCs w:val="1"/>
          <w:color w:val="auto"/>
        </w:rPr>
        <w:t>s</w:t>
      </w:r>
      <w:r>
        <w:rPr>
          <w:rFonts w:ascii="Arial" w:cs="Arial" w:eastAsia="Arial" w:hAnsi="Arial"/>
          <w:sz w:val="17"/>
          <w:szCs w:val="17"/>
          <w:color w:val="auto"/>
        </w:rPr>
        <w:t xml:space="preserve"> or the underwriter</w:t>
      </w:r>
      <w:r>
        <w:rPr>
          <w:rFonts w:ascii="Arial" w:cs="Arial" w:eastAsia="Arial" w:hAnsi="Arial"/>
          <w:sz w:val="17"/>
          <w:szCs w:val="17"/>
          <w:b w:val="1"/>
          <w:bCs w:val="1"/>
          <w:color w:val="auto"/>
        </w:rPr>
        <w:t>s</w:t>
      </w:r>
      <w:r>
        <w:rPr>
          <w:rFonts w:ascii="Arial" w:cs="Arial" w:eastAsia="Arial" w:hAnsi="Arial"/>
          <w:sz w:val="17"/>
          <w:szCs w:val="17"/>
          <w:color w:val="auto"/>
        </w:rPr>
        <w:t xml:space="preserve"> (nor any of our or their affiliates) are making any representation to you regarding the legality of an investment in our common stock by you under applicable investment or similar laws.</w:t>
      </w: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During the second quarter of the fiscal year ended September 30, 2022, Post completed its previously announced distribution of 80.1% of its ownership interest in BellRing Brands, Inc. (formerly known as BellRing Distribution, LLC) (“BellRing”) to Post’s shareholders. On March 9, 2022, pursuant to the Transaction Agreement and Plan of Merger, dated as of October 26, 2021, as amended by Amendment No. 1, dated as of February 28, 2022, by and among Post, BellRing Intermediate Holdings, Inc. (formerly known as BellRing Brands, Inc.) (“Old BellRing”), BellRing and BellRing Merger Sub Corporation, a wholly-owned subsidiary of BellRing (“BellRing Merger Sub”), Post contributed its share of Old BellRing Class B common stock, $0.01 par value per share (“Old BellRing Class B Common Stock”), all of its non-voting membership units (“BellRing LLC units”) in BellRing Brands, LLC (“BellRing LLC”) and $550.4 million of cash to BellRing in exchange for certain limited liability company interests of BellRing (prior to the conversion of BellRing into a Delaware corporation) and the right to receive $840.0 million in aggregate principal amount of BellRing’s 7.00% Senior Notes maturing in March 2030 (the “Senior Notes”).</w:t>
      </w:r>
    </w:p>
    <w:p>
      <w:pPr>
        <w:spacing w:after="0" w:line="18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On March 10, 2022, BellRing converted into a Delaware corporation and changed its name to “BellRing Brands, Inc.”, and Post distributed an aggregate of 78,076,841, or 80.1%, of its shares of BellRing common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stock, par value $0.01 per share, to Post shareholders of record as of the close of business, Central Time, on February 25, 2022 (the “Record Date”) in a pro-rata distribution (the “Distribution”). Post shareholders received 1.267788 shares of BellRing common stock for every one share of Post common stock held as of the Record Date. No fractional shares of BellRing common stock were issued, and instead, cash in lieu of any fractional shares was paid to Post shareholders.</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On March 10, 2022, 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$0.01 par value per share (“Old BellRing Class A Common Stock” and, together with the Old BellRing Class B Common Stock, the “Old BellRing Common Stock”) was converted into one share of BellRing common stock plus $2.97 in cash. As a result of the transactions described above (collectively, the “Spin-off”), BellRing became the new public parent company of, and successor issuer to, Old BellRing, and shares of BellRing common stock were deemed to be registered under Section 12(b) of the Exchange Act pursuant to Rule 12g-3(a) promulgated thereunder.</w:t>
      </w:r>
    </w:p>
    <w:p>
      <w:pPr>
        <w:spacing w:after="0" w:line="19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this prospectus supplement, the terms “Company,” “BellRing,” “we,” “us” and “our” refer to (i) Old BellRing and its consolidated subsidiaries during the periods prior to the Spin-off and (ii) BellRing and its consolidated subsidiaries during the periods subsequent to the Spin-off, in each case, unless otherwise stated or the context otherwise indicates. The term “common stock” generally refers to Old BellRing Common Stock during the periods prior to the Spin-off and to BellRing common stock during the periods subsequent to the Spin-off. The term “net earnings available to common stockholders” generally refers to net earnings available to Old BellRing Class A common stockholders during the periods prior to the Spin-off and to net earnings available to BellRing common stockholders during the periods subsequent to the Spin-off.</w:t>
      </w:r>
    </w:p>
    <w:p>
      <w:pPr>
        <w:spacing w:after="0" w:line="17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Certain monetary amounts, percentages and other figures included or incorporated by reference in this prospectus supplement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TRADEMARKS, TRADENAMES AND SERVICE MARKS</w:t>
      </w:r>
    </w:p>
    <w:p>
      <w:pPr>
        <w:spacing w:after="0" w:line="229"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6"/>
          <w:szCs w:val="16"/>
          <w:color w:val="auto"/>
        </w:rPr>
        <w:t xml:space="preserve">We own or have rights to use logos, trademarks, trade names, service marks and copyrights that we use in conjunction with the operation of our business and that appear in this prospectus supplement and the accompanying prospectus (or in documents we have incorporated by reference). Other logos, trademarks, trade names, service marks and copyrights appearing in this prospectus supplement and the accompanying prospectus (or in documents we have incorporated by reference) are the property of their respective owners. We do not intend our use or display of other companies’ logos, trademarks, service marks, copyrights or trade names to imply a relationship with, or endorsement or sponsorship of us by, any other companies. Solely for convenience, trademarks, trade names and copyrights referred to in this prospectus supplement and the accompanying prospectus (or in documents we have incorporated by reference) may appear without the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or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symbols, but the absence of such symbols does not indicate the registration status of the trademarks and is not intended to indicate, in any way, that we will not assert, to the fullest extent under applicable law, our rights or the right of the applicable licensor to such copyrights, trademarks and trade names.</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PRESENTATION OF CERTAIN FINANCIAL MEASURES</w:t>
      </w:r>
    </w:p>
    <w:p>
      <w:pPr>
        <w:spacing w:after="0" w:line="229"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This prospectus supplement contains, or incorporates by reference, certain financial measures, including Adjusted EBITDA, that are not recognized under generally accepted accounting principles in the U.S. (“GAAP”).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Adjusted EBITDA has been presented in this prospectus supplement as a supplemental measure of financial performance that is not required by, or presented in accordance with, GAAP. This non-GAAP financial measure is included in this prospectus supplement because it is a key metric used by our management to assess our financial performance. We use this measure to supplement GAAP measures of performance in order to evaluate our operating performance and our ability to service debt. We believe this measure is useful to investors in evaluating our operating performance and liquidity because</w:t>
      </w:r>
    </w:p>
    <w:p>
      <w:pPr>
        <w:spacing w:after="0" w:line="1" w:lineRule="exact"/>
        <w:rPr>
          <w:sz w:val="20"/>
          <w:szCs w:val="20"/>
          <w:color w:val="auto"/>
        </w:rPr>
      </w:pPr>
    </w:p>
    <w:p>
      <w:pPr>
        <w:jc w:val="both"/>
        <w:ind w:left="120" w:right="40" w:hanging="4"/>
        <w:spacing w:after="0" w:line="273" w:lineRule="auto"/>
        <w:tabs>
          <w:tab w:leader="none" w:pos="335"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believe it is widely used to measure a company’s operating performance without regard to items such as depreciation and amortization, which can vary depending upon accounting methods and the book value of assets, (ii) it presents a measure of corporate performance exclusive of capital structure and the method by which the assets were acquired and (iii) it is a financial indicator of a company’s ability to service its debt, as we are required to comply with certain covenants and limitations that are based on variations of Adjusted EBITDA in our financing documents.</w:t>
      </w:r>
    </w:p>
    <w:p>
      <w:pPr>
        <w:spacing w:after="0" w:line="176" w:lineRule="exact"/>
        <w:rPr>
          <w:sz w:val="20"/>
          <w:szCs w:val="20"/>
          <w:color w:val="auto"/>
        </w:rPr>
      </w:pPr>
    </w:p>
    <w:p>
      <w:pPr>
        <w:ind w:left="120" w:right="140" w:firstLine="440"/>
        <w:spacing w:after="0" w:line="285" w:lineRule="auto"/>
        <w:rPr>
          <w:sz w:val="20"/>
          <w:szCs w:val="20"/>
          <w:color w:val="auto"/>
        </w:rPr>
      </w:pPr>
      <w:r>
        <w:rPr>
          <w:rFonts w:ascii="Arial" w:cs="Arial" w:eastAsia="Arial" w:hAnsi="Arial"/>
          <w:sz w:val="16"/>
          <w:szCs w:val="16"/>
          <w:color w:val="auto"/>
        </w:rPr>
        <w:t>Adjusted EBITDA is a non-GAAP measure of our financial performance and should not be considered as an alternative to net earnings available to common stockholders as a measure of financial performance or any other performance measures derived in accordance with GAAP, nor should it be construed as an inference that our future results will be unaffected by unusual or other items. Additionally, Adjusted EBITDA is not intended to be a measure of free cash flow for management’s discretionary use, as (i) it does not reflect certain cash requirements such as cash expenditures, or future requirements, for capital expenditures or contractual commitments; (ii) it does not reflect changes in, or cash requirements for, working capital needs;</w:t>
      </w:r>
    </w:p>
    <w:p>
      <w:pPr>
        <w:spacing w:after="0" w:line="2"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it does not reflect the significant interest expense, or the cash requirements necessary to service interest or principal payments, on indebtedness;</w:t>
      </w:r>
    </w:p>
    <w:p>
      <w:pPr>
        <w:spacing w:after="0" w:line="32" w:lineRule="exact"/>
        <w:rPr>
          <w:rFonts w:ascii="Arial" w:cs="Arial" w:eastAsia="Arial" w:hAnsi="Arial"/>
          <w:sz w:val="16"/>
          <w:szCs w:val="16"/>
          <w:color w:val="auto"/>
        </w:rPr>
      </w:pPr>
    </w:p>
    <w:p>
      <w:pPr>
        <w:ind w:left="120" w:right="20" w:hanging="4"/>
        <w:spacing w:after="0" w:line="288" w:lineRule="auto"/>
        <w:tabs>
          <w:tab w:leader="none" w:pos="425" w:val="left"/>
        </w:tabs>
        <w:numPr>
          <w:ilvl w:val="0"/>
          <w:numId w:val="3"/>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such measures do not reflect any cash requirements for such replacements; (v) it does not reflect the impact of earnings or charges resulting from matters we consider not to be indicative of our ongoing operations; and (vi) other companies in the industry may calculate Adjusted EBITDA differently, limiting its usefulness as a comparative benchmark measure. Our management compensates for these limitations by relying on our GAAP results in addition to using Adjusted EBITDA. Our presentation of Adjusted EBITDA is not necessarily comparable to other similarly titled captions of other companies due to different methods of calculation. For additional discussion regarding the limitations of Adjusted EBITDA as a measure of financial performance, see “Prospectus Supplement Summary—Summary Historical Condensed Consolidated Financial and Other Data.”</w:t>
      </w:r>
    </w:p>
    <w:p>
      <w:pPr>
        <w:spacing w:after="0" w:line="16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calculating Adjusted EBITDA, we make certain adjustments that are based on assumptions and estimates that may prove to have been inaccurate. Accordingly, you should not view our presentation of these adjustments as a projection that we will achieve these benefits but rather only as an indication of our current expectations.</w:t>
      </w:r>
    </w:p>
    <w:p>
      <w:pPr>
        <w:spacing w:after="0" w:line="18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For a definition of Adjusted EBITDA and reconciliations to the most directly comparable measure under GAAP, see “Prospectus Supplement Summary—Summary Historical Condensed Consolidated Financial and Other Data.”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S-v</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21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firstLine="426"/>
        <w:spacing w:after="0" w:line="286" w:lineRule="auto"/>
        <w:rPr>
          <w:sz w:val="20"/>
          <w:szCs w:val="20"/>
          <w:color w:val="auto"/>
        </w:rPr>
      </w:pPr>
      <w:r>
        <w:rPr>
          <w:rFonts w:ascii="Arial" w:cs="Arial" w:eastAsia="Arial" w:hAnsi="Arial"/>
          <w:sz w:val="16"/>
          <w:szCs w:val="16"/>
          <w:i w:val="1"/>
          <w:iCs w:val="1"/>
          <w:color w:val="auto"/>
        </w:rPr>
        <w:t>This summary highlights selected information contained or incorporated by reference in this prospectus supplement and the accompanying prospectus. This summary is not complete and does not contain all of the information that you should consider before making your investment decision. Before you decide to invest in shares of our common stock, you should carefully read this entire prospectus supplement, the accompanying prospectus and the information incorporated by reference herein and therein, including any free writing prospectus prepared by us or on our behalf, including the sections entitled “Special Note Regarding Forward-Looking Statements” and “Risk Factors” included in this prospectus supplement and the accompanying prospectus, the sections entitled “Risk Factors” and “Management’s Discussion and Analysis of Financial Condition and Results of Operations” and the audited consolidated financial statements and related notes thereto in our Annual Report on Form 10-K for the fiscal year ended September 30, 2021 filed with the SEC on November 19, 2021 (the “Annual Report”), the sections entitled “Risk Factors” and “Management’s Discussion and Analysis of Financial Condition and Results of Operations” and the unaudited condensed consolidated financial statements and related notes thereto in our Quarterly Reports on Form 10-Q for the quarters ended December 31, 2021, March 31, 2022 and June 30, 2022 filed with the SEC on February 4, 2022 (the “1Q 10-Q”), May 6, 2022 (the “2Q 10-Q”) and August 5, 2022 (the “3Q 10-Q”), respectively (the 1Q 10-Q, the 2Q 10-Q and the 3Q 10-Q together, the “Quarterly Reports”), and the “Unaudited Pro Forma Combined Condensed Financial Statements” in each of our Form 8-K12B/A, filed on March 16, 2022, and our Form 8-K, filed on August 8, 2022 (collectively, the “Pro Forma 8-Ks”), each of which is incorporated by reference in this prospectus supplement and the accompanying prospectus.</w:t>
      </w:r>
    </w:p>
    <w:p>
      <w:pPr>
        <w:spacing w:after="0" w:line="38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300" w:right="300" w:firstLine="426"/>
        <w:spacing w:after="0" w:line="301" w:lineRule="auto"/>
        <w:rPr>
          <w:sz w:val="20"/>
          <w:szCs w:val="20"/>
          <w:color w:val="auto"/>
        </w:rPr>
      </w:pPr>
      <w:r>
        <w:rPr>
          <w:rFonts w:ascii="Arial" w:cs="Arial" w:eastAsia="Arial" w:hAnsi="Arial"/>
          <w:sz w:val="16"/>
          <w:szCs w:val="16"/>
          <w:color w:val="auto"/>
        </w:rPr>
        <w:t xml:space="preserve">We are a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and </w:t>
      </w:r>
      <w:r>
        <w:rPr>
          <w:rFonts w:ascii="Arial" w:cs="Arial" w:eastAsia="Arial" w:hAnsi="Arial"/>
          <w:sz w:val="16"/>
          <w:szCs w:val="16"/>
          <w:i w:val="1"/>
          <w:iCs w:val="1"/>
          <w:color w:val="auto"/>
        </w:rPr>
        <w:t>Dymatize</w:t>
      </w:r>
      <w:r>
        <w:rPr>
          <w:rFonts w:ascii="Arial" w:cs="Arial" w:eastAsia="Arial" w:hAnsi="Arial"/>
          <w:sz w:val="16"/>
          <w:szCs w:val="16"/>
          <w:color w:val="auto"/>
        </w:rPr>
        <w:t>, target a broad range of consumers and compete in all major product forms, including ready-to-drink (“RTD”) protein shakes, other RTD beverages and powders. Our products are distributed across a diverse network of channels including club, food, drug and mass, eCommerce, specialty and convenience.</w:t>
      </w:r>
    </w:p>
    <w:p>
      <w:pPr>
        <w:spacing w:after="0" w:line="157" w:lineRule="exact"/>
        <w:rPr>
          <w:sz w:val="20"/>
          <w:szCs w:val="20"/>
          <w:color w:val="auto"/>
        </w:rPr>
      </w:pPr>
    </w:p>
    <w:p>
      <w:pPr>
        <w:ind w:left="300" w:right="220" w:firstLine="426"/>
        <w:spacing w:after="0" w:line="259" w:lineRule="auto"/>
        <w:rPr>
          <w:sz w:val="20"/>
          <w:szCs w:val="20"/>
          <w:color w:val="auto"/>
        </w:rPr>
      </w:pPr>
      <w:r>
        <w:rPr>
          <w:rFonts w:ascii="Arial" w:cs="Arial" w:eastAsia="Arial" w:hAnsi="Arial"/>
          <w:sz w:val="18"/>
          <w:szCs w:val="18"/>
          <w:color w:val="auto"/>
        </w:rPr>
        <w:t xml:space="preserve">We were incorporated in the State of Delaware on March 20, 2019 in connection with our initial public offering (the “IPO”). Upon completion of a series of transactions in connection with the IPO, BellRing LLC became the holder of Post’s active nutrition business, which, effective as of Post’s quarter ended June 30, 2015, and until the completion of the IPO, had been comprised of Premier Nutrition Company LLC, Dymatize Enterprises, LLC,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Active Nutrition International GmbH.</w:t>
      </w:r>
    </w:p>
    <w:p>
      <w:pPr>
        <w:spacing w:after="0" w:line="187"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color w:val="auto"/>
        </w:rPr>
        <w:t xml:space="preserve">Our principal executive offices are located at 2503 S. Hanley Road, St. Louis, Missouri 63144 and our telephone number is (314) 644-7600. Our website is </w:t>
      </w:r>
      <w:r>
        <w:rPr>
          <w:rFonts w:ascii="Arial" w:cs="Arial" w:eastAsia="Arial" w:hAnsi="Arial"/>
          <w:sz w:val="18"/>
          <w:szCs w:val="18"/>
          <w:i w:val="1"/>
          <w:iCs w:val="1"/>
          <w:color w:val="auto"/>
        </w:rPr>
        <w:t>www.bellring.com</w:t>
      </w:r>
      <w:r>
        <w:rPr>
          <w:rFonts w:ascii="Arial" w:cs="Arial" w:eastAsia="Arial" w:hAnsi="Arial"/>
          <w:sz w:val="18"/>
          <w:szCs w:val="18"/>
          <w:color w:val="auto"/>
        </w:rPr>
        <w:t>. Information contained on our website or that can be accessed through our website is not part of, and is not incorporated by reference in, this prospectus supplement.</w:t>
      </w:r>
    </w:p>
    <w:p>
      <w:pPr>
        <w:spacing w:after="0" w:line="39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Underwriting and Debt-for-Equity Exchange</w:t>
      </w:r>
    </w:p>
    <w:p>
      <w:pPr>
        <w:spacing w:after="0" w:line="229" w:lineRule="exact"/>
        <w:rPr>
          <w:sz w:val="20"/>
          <w:szCs w:val="20"/>
          <w:color w:val="auto"/>
        </w:rPr>
      </w:pPr>
    </w:p>
    <w:p>
      <w:pPr>
        <w:ind w:left="720"/>
        <w:spacing w:after="0"/>
        <w:tabs>
          <w:tab w:leader="none" w:pos="8780" w:val="left"/>
        </w:tabs>
        <w:rPr>
          <w:sz w:val="20"/>
          <w:szCs w:val="20"/>
          <w:color w:val="auto"/>
        </w:rPr>
      </w:pPr>
      <w:r>
        <w:rPr>
          <w:rFonts w:ascii="Arial" w:cs="Arial" w:eastAsia="Arial" w:hAnsi="Arial"/>
          <w:sz w:val="18"/>
          <w:szCs w:val="18"/>
          <w:color w:val="auto"/>
        </w:rPr>
        <w:t>In connection with this offering, Post expects to exchange 10,808,473 shares of our common stock for $</w:t>
      </w:r>
      <w:r>
        <w:rPr>
          <w:sz w:val="20"/>
          <w:szCs w:val="20"/>
          <w:color w:val="auto"/>
        </w:rPr>
        <w:tab/>
      </w:r>
      <w:r>
        <w:rPr>
          <w:rFonts w:ascii="Arial" w:cs="Arial" w:eastAsia="Arial" w:hAnsi="Arial"/>
          <w:sz w:val="16"/>
          <w:szCs w:val="16"/>
          <w:color w:val="auto"/>
        </w:rPr>
        <w:t>million in aggregate principal</w:t>
      </w:r>
    </w:p>
    <w:p>
      <w:pPr>
        <w:spacing w:after="0" w:line="23" w:lineRule="exact"/>
        <w:rPr>
          <w:sz w:val="20"/>
          <w:szCs w:val="20"/>
          <w:color w:val="auto"/>
        </w:rPr>
      </w:pPr>
    </w:p>
    <w:p>
      <w:pPr>
        <w:ind w:left="300" w:right="200"/>
        <w:spacing w:after="0" w:line="323" w:lineRule="auto"/>
        <w:rPr>
          <w:sz w:val="20"/>
          <w:szCs w:val="20"/>
          <w:color w:val="auto"/>
        </w:rPr>
      </w:pPr>
      <w:r>
        <w:rPr>
          <w:rFonts w:ascii="Arial" w:cs="Arial" w:eastAsia="Arial" w:hAnsi="Arial"/>
          <w:sz w:val="16"/>
          <w:szCs w:val="16"/>
          <w:color w:val="auto"/>
        </w:rPr>
        <w:t>amount of indebtedness of Post held by the selling stockholders or their respective affiliates, pursuant to a debt-for-equity exchange agreement to be dated on or about the date of this prospectus supplement. The selling stockholders then expect to sell those shares of common stock to the</w:t>
      </w:r>
    </w:p>
    <w:p>
      <w:pPr>
        <w:spacing w:after="0" w:line="24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13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42132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93" w:lineRule="auto"/>
        <w:rPr>
          <w:sz w:val="20"/>
          <w:szCs w:val="20"/>
          <w:color w:val="auto"/>
        </w:rPr>
      </w:pPr>
      <w:r>
        <w:rPr>
          <w:rFonts w:ascii="Arial" w:cs="Arial" w:eastAsia="Arial" w:hAnsi="Arial"/>
          <w:sz w:val="16"/>
          <w:szCs w:val="16"/>
          <w:color w:val="auto"/>
        </w:rPr>
        <w:t>underwriters for cash. The debt-for-equity exchange between Post and the selling stockholders is expected to occur on or before the settlement date of this offering, and the consummation of the debt-for-equity exchange is a condition to the settlement of the selling stockholders’ sale of the shares to the underwriters. Therefore, the consummation of the debt-for-equity exchange is also ultimately a condition to the settlement of the underwriters’ sale of the shares to prospective investors. As a result of the debt-for-equity exchange, Post may be deemed to be a selling stockholder in this offering solely for U.S. federal securities law purposes. We do not guarantee, or otherwise have any obligations in respect of, the Post indebtedness being exchanged for shares of our common stock in connection with the debt-for-equity exchange.</w:t>
      </w:r>
    </w:p>
    <w:p>
      <w:pPr>
        <w:spacing w:after="0" w:line="164" w:lineRule="exact"/>
        <w:rPr>
          <w:sz w:val="20"/>
          <w:szCs w:val="20"/>
          <w:color w:val="auto"/>
        </w:rPr>
      </w:pPr>
    </w:p>
    <w:p>
      <w:pPr>
        <w:ind w:left="300" w:right="40" w:firstLine="426"/>
        <w:spacing w:after="0" w:line="301" w:lineRule="auto"/>
        <w:rPr>
          <w:sz w:val="20"/>
          <w:szCs w:val="20"/>
          <w:color w:val="auto"/>
        </w:rPr>
      </w:pPr>
      <w:r>
        <w:rPr>
          <w:rFonts w:ascii="Arial" w:cs="Arial" w:eastAsia="Arial" w:hAnsi="Arial"/>
          <w:sz w:val="16"/>
          <w:szCs w:val="16"/>
          <w:color w:val="auto"/>
        </w:rPr>
        <w:t>The indebtedness of Post to be exchanged by the selling stockholders or their affiliates consists of outstanding 60-day term loan indebtedness of Post. If the amount of shares of our common stock to be sold by the selling stockholders in this offering is not sufficient to satisfy the aggregate principal amount of such indebtedness (excluding any accrued interest), any remaining aggregate principal amount of such indebtedness will remain outstanding. See “Underwriting (Conflicts of Interest)—The Debt-for-Equity Exchange” for additional information.</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Each of the selling stockholders is also acting as an underwriter in this offering. See “Underwriting (Conflicts of Interest).”</w:t>
      </w: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Concurrent Share Repurchase</w:t>
      </w:r>
    </w:p>
    <w:p>
      <w:pPr>
        <w:spacing w:after="0" w:line="229" w:lineRule="exact"/>
        <w:rPr>
          <w:sz w:val="20"/>
          <w:szCs w:val="20"/>
          <w:color w:val="auto"/>
        </w:rPr>
      </w:pPr>
    </w:p>
    <w:p>
      <w:pPr>
        <w:ind w:left="300" w:right="20" w:firstLine="426"/>
        <w:spacing w:after="0" w:line="301" w:lineRule="auto"/>
        <w:rPr>
          <w:sz w:val="20"/>
          <w:szCs w:val="20"/>
          <w:color w:val="auto"/>
        </w:rPr>
      </w:pPr>
      <w:r>
        <w:rPr>
          <w:rFonts w:ascii="Arial" w:cs="Arial" w:eastAsia="Arial" w:hAnsi="Arial"/>
          <w:sz w:val="16"/>
          <w:szCs w:val="16"/>
          <w:color w:val="auto"/>
        </w:rPr>
        <w:t>As part of and subject to the completion of the offering, we intend to concurrently repurchase from the underwriters 800,000 shares out of the aggregate 10,808,473 shares of our common stock that are the subject of the offering. The price per share to be paid by us will equal the price at which the underwriters will purchase the shares from the selling stockholders in the offering. The Concurrent Share Repurchase is part of, and as a result, conditioned on the closing of the offering and therefore there can be no assurance that the Concurrent Share Repurchase will be completed.</w:t>
      </w:r>
    </w:p>
    <w:p>
      <w:pPr>
        <w:spacing w:after="0" w:line="157" w:lineRule="exact"/>
        <w:rPr>
          <w:sz w:val="20"/>
          <w:szCs w:val="20"/>
          <w:color w:val="auto"/>
        </w:rPr>
      </w:pPr>
    </w:p>
    <w:p>
      <w:pPr>
        <w:jc w:val="both"/>
        <w:ind w:left="300" w:right="20" w:firstLine="426"/>
        <w:spacing w:after="0" w:line="286" w:lineRule="auto"/>
        <w:rPr>
          <w:sz w:val="20"/>
          <w:szCs w:val="20"/>
          <w:color w:val="auto"/>
        </w:rPr>
      </w:pPr>
      <w:r>
        <w:rPr>
          <w:rFonts w:ascii="Arial" w:cs="Arial" w:eastAsia="Arial" w:hAnsi="Arial"/>
          <w:sz w:val="17"/>
          <w:szCs w:val="17"/>
          <w:color w:val="auto"/>
        </w:rPr>
        <w:t>The Concurrent Share Repurchase is being made pursuant to the previously announced share repurchase program of up to $50.0 million. We intend to fund the Concurrent Share Repurchase with cash on hand and, to the extent necessary, borrowings under our revolving credit facility. As a result, the funding of the share repurchase will, if completed, decrease the amount of cash on our balance sheet.</w:t>
      </w:r>
    </w:p>
    <w:p>
      <w:pPr>
        <w:spacing w:after="0" w:line="165" w:lineRule="exact"/>
        <w:rPr>
          <w:sz w:val="20"/>
          <w:szCs w:val="20"/>
          <w:color w:val="auto"/>
        </w:rPr>
      </w:pPr>
    </w:p>
    <w:p>
      <w:pPr>
        <w:ind w:left="300" w:right="140" w:firstLine="426"/>
        <w:spacing w:after="0" w:line="263" w:lineRule="auto"/>
        <w:rPr>
          <w:sz w:val="20"/>
          <w:szCs w:val="20"/>
          <w:color w:val="auto"/>
        </w:rPr>
      </w:pPr>
      <w:r>
        <w:rPr>
          <w:rFonts w:ascii="Arial" w:cs="Arial" w:eastAsia="Arial" w:hAnsi="Arial"/>
          <w:sz w:val="18"/>
          <w:szCs w:val="18"/>
          <w:color w:val="auto"/>
        </w:rPr>
        <w:t>The description of, and the other information in this prospectus supplement regarding, the Concurrent Share Repurchase are included in this prospectus supplement for informational purposes only. Nothing in this prospectus supplement should be construed as an offer to sell, or the solicitation of an offer to buy, any of our common stock subject to the Concurrent Share Repurchase.</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6150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 by the selling stockholders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Common stock outstanding</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Selling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10,808,473 shares.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136,260,080 shares (as of June 30, 2022).</w:t>
      </w:r>
    </w:p>
    <w:p>
      <w:pPr>
        <w:spacing w:after="0" w:line="26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Neither we nor Post will receive any proceeds from the sale of shares of our common stock being sold in this offering. The selling stockholders will receive all of the net proceeds from the sale of shares of our common stock offered pursuant to this prospectus supplement.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“Use of Proceeds” and “Selling Stockholders.”</w:t>
      </w:r>
    </w:p>
    <w:p>
      <w:pPr>
        <w:spacing w:after="0" w:line="252"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All 10,808,473 shares of our common stock that are being offered and sold in this offering are currently held by Post. The selling stockholders identified in this prospectus supplement expect to acquire the shares of our common stock being sold in this offering from Post in exchange for outstanding indebtedness of Post held by the selling stockholders or their respective affiliates on or before the settlement date of this offering, prior to the settlement of the selling stockholders’ sale of the shares to the underwriters. See “Selling Stockholders” and “Underwriting (Conflicts of Interest)—The Debt-for-Equity Exchange.” As a result of the debt-for-equity exchange, Post may be deemed to be a selling stockholder in this offering solely for U.S. federal securities law purposes.</w:t>
      </w:r>
    </w:p>
    <w:p>
      <w:pPr>
        <w:spacing w:after="0" w:line="193" w:lineRule="exact"/>
        <w:rPr>
          <w:sz w:val="20"/>
          <w:szCs w:val="20"/>
          <w:color w:val="auto"/>
        </w:rPr>
      </w:pPr>
    </w:p>
    <w:p>
      <w:pPr>
        <w:sectPr>
          <w:pgSz w:w="11900" w:h="16838" w:orient="portrait"/>
          <w:cols w:equalWidth="0" w:num="2">
            <w:col w:w="3920" w:space="420"/>
            <w:col w:w="68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Conflicts of Interest</w:t>
            </w:r>
          </w:p>
        </w:tc>
        <w:tc>
          <w:tcPr>
            <w:tcW w:w="7740" w:type="dxa"/>
            <w:vAlign w:val="bottom"/>
          </w:tcPr>
          <w:p>
            <w:pPr>
              <w:ind w:left="940"/>
              <w:spacing w:after="0"/>
              <w:rPr>
                <w:sz w:val="20"/>
                <w:szCs w:val="20"/>
                <w:color w:val="auto"/>
              </w:rPr>
            </w:pPr>
            <w:r>
              <w:rPr>
                <w:rFonts w:ascii="Arial" w:cs="Arial" w:eastAsia="Arial" w:hAnsi="Arial"/>
                <w:sz w:val="18"/>
                <w:szCs w:val="18"/>
                <w:color w:val="auto"/>
                <w:w w:val="98"/>
              </w:rPr>
              <w:t>Because certain of the underwriters, J.P. Morgan Securities LLC, Barclays Capital Inc.,</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Citigroup Global Markets Inc., Goldman Sachs &amp; Co. LLC and Morgan Stanley &amp; Co.</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LLC, will receive 5% or more of the net proceeds of this offering as the selling</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stockholders, such underwriters are deemed to have a “conflict of interest” within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8"/>
              </w:rPr>
              <w:t>meaning of Rule 5121 (“Rule 5121”) of the Financial Industry Regulatory Authority, Inc.</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(“FINRA”). Accordingly, this offering will be conducted in compliance with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7"/>
              </w:rPr>
              <w:t>requirements of Rule 5121. The appointment of a “qualified independent underwriter” is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not required in connection with this offering because a “bona fide public market,” as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defined in Rule 5121, exists for our common stock. See “Underwriting (Conflicts of</w:t>
            </w:r>
          </w:p>
        </w:tc>
      </w:tr>
      <w:tr>
        <w:trPr>
          <w:trHeight w:val="230"/>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Interest).”</w:t>
            </w:r>
          </w:p>
        </w:tc>
      </w:tr>
      <w:tr>
        <w:trPr>
          <w:trHeight w:val="445"/>
        </w:trPr>
        <w:tc>
          <w:tcPr>
            <w:tcW w:w="328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7740" w:type="dxa"/>
            <w:vAlign w:val="bottom"/>
          </w:tcPr>
          <w:p>
            <w:pPr>
              <w:ind w:left="940"/>
              <w:spacing w:after="0"/>
              <w:rPr>
                <w:sz w:val="20"/>
                <w:szCs w:val="20"/>
                <w:color w:val="auto"/>
              </w:rPr>
            </w:pPr>
            <w:r>
              <w:rPr>
                <w:rFonts w:ascii="Arial" w:cs="Arial" w:eastAsia="Arial" w:hAnsi="Arial"/>
                <w:sz w:val="18"/>
                <w:szCs w:val="18"/>
                <w:color w:val="auto"/>
              </w:rPr>
              <w:t>You should carefully read and consider the information set forth under “Risk Factors”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6"/>
              </w:rPr>
              <w:t>herein, in the accompanying prospectus and in the documents incorporated by reference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4"/>
              </w:rPr>
              <w:t>herein, including our Annual Report and Quarterly Reports, before deciding to invest in our</w:t>
            </w:r>
          </w:p>
        </w:tc>
      </w:tr>
      <w:tr>
        <w:trPr>
          <w:trHeight w:val="230"/>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common stock.</w:t>
            </w:r>
          </w:p>
        </w:tc>
      </w:tr>
      <w:tr>
        <w:trPr>
          <w:trHeight w:val="445"/>
        </w:trPr>
        <w:tc>
          <w:tcPr>
            <w:tcW w:w="3280" w:type="dxa"/>
            <w:vAlign w:val="bottom"/>
          </w:tcPr>
          <w:p>
            <w:pPr>
              <w:ind w:left="180"/>
              <w:spacing w:after="0"/>
              <w:rPr>
                <w:sz w:val="20"/>
                <w:szCs w:val="20"/>
                <w:color w:val="auto"/>
              </w:rPr>
            </w:pPr>
            <w:r>
              <w:rPr>
                <w:rFonts w:ascii="Arial" w:cs="Arial" w:eastAsia="Arial" w:hAnsi="Arial"/>
                <w:sz w:val="18"/>
                <w:szCs w:val="18"/>
                <w:color w:val="auto"/>
              </w:rPr>
              <w:t>Concurrent Share Repurchase</w:t>
            </w:r>
          </w:p>
        </w:tc>
        <w:tc>
          <w:tcPr>
            <w:tcW w:w="7740" w:type="dxa"/>
            <w:vAlign w:val="bottom"/>
          </w:tcPr>
          <w:p>
            <w:pPr>
              <w:ind w:left="940"/>
              <w:spacing w:after="0"/>
              <w:rPr>
                <w:sz w:val="20"/>
                <w:szCs w:val="20"/>
                <w:color w:val="auto"/>
              </w:rPr>
            </w:pPr>
            <w:r>
              <w:rPr>
                <w:rFonts w:ascii="Arial" w:cs="Arial" w:eastAsia="Arial" w:hAnsi="Arial"/>
                <w:sz w:val="18"/>
                <w:szCs w:val="18"/>
                <w:color w:val="auto"/>
              </w:rPr>
              <w:t>As part of and subject to the completion of the offering, we intend to concurrently</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2"/>
              </w:rPr>
              <w:t>repurchase from the underwriters 800,000 shares out of the aggregate 10,808,473 shares of</w:t>
            </w:r>
          </w:p>
        </w:tc>
      </w:tr>
      <w:tr>
        <w:trPr>
          <w:trHeight w:val="230"/>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our common stock that are the</w:t>
            </w:r>
          </w:p>
        </w:tc>
      </w:tr>
      <w:tr>
        <w:trPr>
          <w:trHeight w:val="159"/>
        </w:trPr>
        <w:tc>
          <w:tcPr>
            <w:tcW w:w="3280" w:type="dxa"/>
            <w:vAlign w:val="bottom"/>
            <w:tcBorders>
              <w:bottom w:val="single" w:sz="8" w:color="auto"/>
            </w:tcBorders>
          </w:tcPr>
          <w:p>
            <w:pPr>
              <w:spacing w:after="0"/>
              <w:rPr>
                <w:sz w:val="13"/>
                <w:szCs w:val="13"/>
                <w:color w:val="auto"/>
              </w:rPr>
            </w:pPr>
          </w:p>
        </w:tc>
        <w:tc>
          <w:tcPr>
            <w:tcW w:w="7740" w:type="dxa"/>
            <w:vAlign w:val="bottom"/>
            <w:tcBorders>
              <w:bottom w:val="single" w:sz="8" w:color="auto"/>
            </w:tcBorders>
          </w:tcPr>
          <w:p>
            <w:pPr>
              <w:spacing w:after="0"/>
              <w:rPr>
                <w:sz w:val="13"/>
                <w:szCs w:val="13"/>
                <w:color w:val="auto"/>
              </w:rPr>
            </w:pPr>
          </w:p>
        </w:tc>
      </w:tr>
      <w:tr>
        <w:trPr>
          <w:trHeight w:val="361"/>
        </w:trPr>
        <w:tc>
          <w:tcPr>
            <w:tcW w:w="3280" w:type="dxa"/>
            <w:vAlign w:val="bottom"/>
          </w:tcPr>
          <w:p>
            <w:pPr>
              <w:spacing w:after="0"/>
              <w:rPr>
                <w:sz w:val="24"/>
                <w:szCs w:val="24"/>
                <w:color w:val="auto"/>
              </w:rPr>
            </w:pPr>
          </w:p>
        </w:tc>
        <w:tc>
          <w:tcPr>
            <w:tcW w:w="7740" w:type="dxa"/>
            <w:vAlign w:val="bottom"/>
          </w:tcPr>
          <w:p>
            <w:pPr>
              <w:ind w:left="21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84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31845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4340"/>
        <w:spacing w:after="0" w:line="263" w:lineRule="auto"/>
        <w:rPr>
          <w:sz w:val="20"/>
          <w:szCs w:val="20"/>
          <w:color w:val="auto"/>
        </w:rPr>
      </w:pPr>
      <w:r>
        <w:rPr>
          <w:rFonts w:ascii="Arial" w:cs="Arial" w:eastAsia="Arial" w:hAnsi="Arial"/>
          <w:sz w:val="18"/>
          <w:szCs w:val="18"/>
          <w:color w:val="auto"/>
        </w:rPr>
        <w:t>subject of the offering. The price per share to be paid by us will equal the price at which the underwriters will purchase the shares from the selling stockholders in the offering. See “— Concurrent Share Repurchase.”</w:t>
      </w:r>
    </w:p>
    <w:p>
      <w:pPr>
        <w:sectPr>
          <w:pgSz w:w="11900" w:h="16838" w:orient="portrait"/>
          <w:cols w:equalWidth="0" w:num="1">
            <w:col w:w="10940"/>
          </w:cols>
          <w:pgMar w:left="320" w:top="459" w:right="639" w:bottom="1440" w:gutter="0" w:footer="0" w:header="0"/>
        </w:sect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do not currently anticipate paying any dividends on our common stock. We expect to retain all future earnings for use in the operation and expansion of our business. Any decision to declare and pay dividends in the future will be made at the sole discretion of our board of directors and will depend on various factors. Our ability to pay dividends on our common stock may be restricted by the documents governing our and our subsidiaries’ existing and future outstanding indebtedness. See “Dividend Policy.”</w:t>
      </w:r>
    </w:p>
    <w:p>
      <w:pPr>
        <w:spacing w:after="0" w:line="191"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NYSE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“BRBR”.</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39"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color w:val="auto"/>
        </w:rPr>
        <w:t>The number of shares of our common stock is based on 136,260,080 shares of our common stock outstanding as of June 30, 2022 and does not reflect:</w:t>
      </w:r>
    </w:p>
    <w:p>
      <w:pPr>
        <w:spacing w:after="0" w:line="76" w:lineRule="exact"/>
        <w:rPr>
          <w:sz w:val="20"/>
          <w:szCs w:val="20"/>
          <w:color w:val="auto"/>
        </w:rPr>
      </w:pPr>
    </w:p>
    <w:p>
      <w:pPr>
        <w:ind w:left="1240" w:right="4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286,043 shares of common stock that may be issued upon the exercise of outstanding options at an average weighted exercise price of $17.72; and</w:t>
      </w:r>
    </w:p>
    <w:p>
      <w:pPr>
        <w:spacing w:after="0" w:line="75" w:lineRule="exact"/>
        <w:rPr>
          <w:rFonts w:ascii="Arial" w:cs="Arial" w:eastAsia="Arial" w:hAnsi="Arial"/>
          <w:sz w:val="18"/>
          <w:szCs w:val="18"/>
          <w:color w:val="auto"/>
        </w:rPr>
      </w:pPr>
    </w:p>
    <w:p>
      <w:pPr>
        <w:ind w:left="1240" w:right="300" w:hanging="415"/>
        <w:spacing w:after="0" w:line="263"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 to 2,007,178 shares of common stock that may be issued upon the vesting of outstanding restricted stock units and performance stock units under the BellRing Brands, Inc. 2019 Long-Term Incentive Plan (the “LTIP”) (assuming maximum payments uner the LTIP).</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9" w:right="6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2531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32531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Summary Historical Condensed Consolidated Financial and Other Data</w:t>
      </w:r>
    </w:p>
    <w:p>
      <w:pPr>
        <w:spacing w:after="0" w:line="229" w:lineRule="exact"/>
        <w:rPr>
          <w:sz w:val="20"/>
          <w:szCs w:val="20"/>
          <w:color w:val="auto"/>
        </w:rPr>
      </w:pPr>
    </w:p>
    <w:p>
      <w:pPr>
        <w:ind w:left="300" w:right="60" w:firstLine="426"/>
        <w:spacing w:after="0" w:line="289" w:lineRule="auto"/>
        <w:rPr>
          <w:sz w:val="20"/>
          <w:szCs w:val="20"/>
          <w:color w:val="auto"/>
        </w:rPr>
      </w:pPr>
      <w:r>
        <w:rPr>
          <w:rFonts w:ascii="Arial" w:cs="Arial" w:eastAsia="Arial" w:hAnsi="Arial"/>
          <w:sz w:val="16"/>
          <w:szCs w:val="16"/>
          <w:color w:val="auto"/>
        </w:rPr>
        <w:t>The following tables set forth our summary condensed consolidated financial data as of the dates and for the periods indicated. The summary historical condensed consolidated financial data as of September 30, 2021 and 2020 and for the years ended September 30, 2021, 2020 and 2019 is derived from our audited consolidated financial statements and related notes thereto incorporated by reference in this prospectus supplement. The summary historical condensed consolidated financial data as of June 30, 2022 and for the nine months ended June 30, 2022 and 2021 is derived from our unaudited condensed consolidated financial statements and related notes thereto incorporated by reference in this prospectus supplement. The unaudited condensed consolidated financial statements have been prepared on the same basis as our audited consolidated financial statements and include, in the opinion of our management, all adjustments, consisting of normal, recurring adjustments, necessary for a fair statement of such information. The results for any interim period are not necessarily indicative of the results that may be expected for the full year. Additionally, our historical results are not necessarily indicative of the results expected for any future period.</w:t>
      </w:r>
    </w:p>
    <w:p>
      <w:pPr>
        <w:spacing w:after="0" w:line="166"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Prior to the Spin-off on March 10, 2022, the financial results of BellRing LLC and its subsidiaries were consolidated with Old BellRing and a portion of the consolidated net earnings of BellRing LLC was allocated to the redeemable noncontrolling interest (the “NCI”). The calculation of the redeemable NCI was based on Post’s ownership percentage of BellRing LLC units during each period prior to the Spin-off and reflected the entitlement of Post to a portion of the consolidated net earnings of BellRing LLC prior to the Spin-off. As a result of the Spin-off, Post’s remaining ownership of BellRing no longer represented a NCI to BellRing. All intercompany balances and transactions have been eliminated.</w:t>
      </w:r>
    </w:p>
    <w:p>
      <w:pPr>
        <w:spacing w:after="0" w:line="161" w:lineRule="exact"/>
        <w:rPr>
          <w:sz w:val="20"/>
          <w:szCs w:val="20"/>
          <w:color w:val="auto"/>
        </w:rPr>
      </w:pPr>
    </w:p>
    <w:p>
      <w:pPr>
        <w:ind w:left="300" w:right="80" w:firstLine="426"/>
        <w:spacing w:after="0" w:line="291" w:lineRule="auto"/>
        <w:rPr>
          <w:sz w:val="20"/>
          <w:szCs w:val="20"/>
          <w:color w:val="auto"/>
        </w:rPr>
      </w:pPr>
      <w:r>
        <w:rPr>
          <w:rFonts w:ascii="Arial" w:cs="Arial" w:eastAsia="Arial" w:hAnsi="Arial"/>
          <w:sz w:val="16"/>
          <w:szCs w:val="16"/>
          <w:color w:val="auto"/>
        </w:rPr>
        <w:t>You should read the information contained in this table in conjunction with (i) “Management’s Discussion and Analysis of Financial Condition and Results of Operations” and our audited consolidated financial statements and the accompanying notes thereto in our Annual Report,</w:t>
      </w:r>
    </w:p>
    <w:p>
      <w:pPr>
        <w:ind w:left="300" w:right="660" w:hanging="2"/>
        <w:spacing w:after="0" w:line="290" w:lineRule="auto"/>
        <w:tabs>
          <w:tab w:leader="none" w:pos="565"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“Management’s Discussion and Analysis of Financial Condition and Results of Operations” and our unaudited condensed consolidated financial statements and related notes thereto in our Quarterly Reports and (iii) the “Unaudited Pro Forma Combined</w:t>
      </w:r>
    </w:p>
    <w:p>
      <w:pPr>
        <w:spacing w:after="0" w:line="2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10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6102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Condensed Financial Statements” in the Pro Forma 8-Ks, each of which is incorporated by reference in this prospectus supplement.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8"/>
          </w:tcPr>
          <w:p>
            <w:pPr>
              <w:jc w:val="center"/>
              <w:ind w:right="50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13"/>
            <w:vMerge w:val="restart"/>
          </w:tcPr>
          <w:p>
            <w:pPr>
              <w:jc w:val="right"/>
              <w:ind w:right="340"/>
              <w:spacing w:after="0"/>
              <w:rPr>
                <w:sz w:val="20"/>
                <w:szCs w:val="20"/>
                <w:color w:val="auto"/>
              </w:rPr>
            </w:pPr>
            <w:r>
              <w:rPr>
                <w:rFonts w:ascii="Arial" w:cs="Arial" w:eastAsia="Arial" w:hAnsi="Arial"/>
                <w:sz w:val="14"/>
                <w:szCs w:val="14"/>
                <w:b w:val="1"/>
                <w:bCs w:val="1"/>
                <w:color w:val="auto"/>
              </w:rPr>
              <w:t>Year ended September 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5"/>
          </w:tcPr>
          <w:p>
            <w:pPr>
              <w:jc w:val="center"/>
              <w:ind w:left="144"/>
              <w:spacing w:after="0" w:line="149" w:lineRule="exact"/>
              <w:rPr>
                <w:sz w:val="20"/>
                <w:szCs w:val="20"/>
                <w:color w:val="auto"/>
              </w:rPr>
            </w:pPr>
            <w:r>
              <w:rPr>
                <w:rFonts w:ascii="Arial" w:cs="Arial" w:eastAsia="Arial" w:hAnsi="Arial"/>
                <w:sz w:val="14"/>
                <w:szCs w:val="14"/>
                <w:b w:val="1"/>
                <w:bCs w:val="1"/>
                <w:color w:val="auto"/>
                <w:w w:val="92"/>
              </w:rPr>
              <w:t>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80" w:type="dxa"/>
            <w:vAlign w:val="bottom"/>
            <w:gridSpan w:val="2"/>
            <w:vMerge w:val="restart"/>
          </w:tcPr>
          <w:p>
            <w:pPr>
              <w:ind w:left="180"/>
              <w:spacing w:after="0"/>
              <w:rPr>
                <w:sz w:val="20"/>
                <w:szCs w:val="20"/>
                <w:color w:val="auto"/>
              </w:rPr>
            </w:pPr>
            <w:r>
              <w:rPr>
                <w:rFonts w:ascii="Arial" w:cs="Arial" w:eastAsia="Arial" w:hAnsi="Arial"/>
                <w:sz w:val="14"/>
                <w:szCs w:val="14"/>
                <w:i w:val="1"/>
                <w:iCs w:val="1"/>
                <w:color w:val="auto"/>
              </w:rPr>
              <w:t>(in millions, except per share data)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1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8"/>
          </w:tcPr>
          <w:p>
            <w:pPr>
              <w:jc w:val="center"/>
              <w:ind w:right="5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6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24"/>
              <w:spacing w:after="0" w:line="142" w:lineRule="exact"/>
              <w:rPr>
                <w:sz w:val="20"/>
                <w:szCs w:val="20"/>
                <w:color w:val="auto"/>
              </w:rPr>
            </w:pPr>
            <w:r>
              <w:rPr>
                <w:rFonts w:ascii="Arial" w:cs="Arial" w:eastAsia="Arial" w:hAnsi="Arial"/>
                <w:sz w:val="14"/>
                <w:szCs w:val="14"/>
                <w:b w:val="1"/>
                <w:bCs w:val="1"/>
                <w:color w:val="auto"/>
                <w:w w:val="89"/>
              </w:rPr>
              <w:t>2022</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sales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1,247.1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988.3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$854.4</w:t>
            </w:r>
          </w:p>
        </w:tc>
        <w:tc>
          <w:tcPr>
            <w:tcW w:w="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992.3</w:t>
            </w:r>
          </w:p>
        </w:tc>
        <w:tc>
          <w:tcPr>
            <w:tcW w:w="10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$907.1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650.3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542.6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692.8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616.9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338.0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311.8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299.5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290.2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127.1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133.5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129.1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164.0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162.5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151.3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Loss on extinguishment and refinancing of debt, net(1)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162.5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100.9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earnings including redeemable noncontrolling interest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123.1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Less: Net earnings attributable to redeemable noncontrolling interest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76.6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123.1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earnings available to common stockholders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Earnings per share information: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0.70</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0.70</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0.60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0.61</w:t>
            </w: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of common stock outstanding: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8"/>
              </w:rPr>
              <w:t>Nine</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8"/>
            <w:vMerge w:val="restart"/>
          </w:tcPr>
          <w:p>
            <w:pPr>
              <w:jc w:val="right"/>
              <w:ind w:right="18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8"/>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71"/>
        </w:trPr>
        <w:tc>
          <w:tcPr>
            <w:tcW w:w="6780" w:type="dxa"/>
            <w:vAlign w:val="bottom"/>
            <w:gridSpan w:val="2"/>
            <w:vMerge w:val="restart"/>
          </w:tcPr>
          <w:p>
            <w:pPr>
              <w:ind w:left="180"/>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8"/>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6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ind w:right="92"/>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 (as of period end)</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152.6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20" w:type="dxa"/>
            <w:vAlign w:val="bottom"/>
            <w:gridSpan w:val="4"/>
          </w:tcPr>
          <w:p>
            <w:pPr>
              <w:jc w:val="right"/>
              <w:ind w:right="224"/>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w w:val="93"/>
              </w:rPr>
              <w:t>Working capital (excluding cash, cash equivalents and current portion of long-term debt)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152.2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696.5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653.5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715.1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Debt, including current portion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597.5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686.4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914.2</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4"/>
          </w:tcPr>
          <w:p>
            <w:pPr>
              <w:jc w:val="right"/>
              <w:ind w:right="224"/>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2,997.3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Total stockholders’ deficit(2)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5"/>
          </w:tcPr>
          <w:p>
            <w:pPr>
              <w:jc w:val="right"/>
              <w:ind w:right="80"/>
              <w:spacing w:after="0"/>
              <w:rPr>
                <w:sz w:val="20"/>
                <w:szCs w:val="20"/>
                <w:color w:val="auto"/>
              </w:rPr>
            </w:pPr>
            <w:r>
              <w:rPr>
                <w:rFonts w:ascii="Arial" w:cs="Arial" w:eastAsia="Arial" w:hAnsi="Arial"/>
                <w:sz w:val="18"/>
                <w:szCs w:val="18"/>
                <w:color w:val="auto"/>
                <w:w w:val="91"/>
              </w:rPr>
              <w:t>(3,062.8)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7"/>
          </w:tcPr>
          <w:p>
            <w:pPr>
              <w:jc w:val="right"/>
              <w:ind w:right="164"/>
              <w:spacing w:after="0"/>
              <w:rPr>
                <w:sz w:val="20"/>
                <w:szCs w:val="20"/>
                <w:color w:val="auto"/>
              </w:rPr>
            </w:pPr>
            <w:r>
              <w:rPr>
                <w:rFonts w:ascii="Arial" w:cs="Arial" w:eastAsia="Arial" w:hAnsi="Arial"/>
                <w:sz w:val="18"/>
                <w:szCs w:val="18"/>
                <w:color w:val="auto"/>
              </w:rPr>
              <w:t>(2,182.6)</w:t>
            </w:r>
          </w:p>
        </w:tc>
        <w:tc>
          <w:tcPr>
            <w:tcW w:w="100" w:type="dxa"/>
            <w:vAlign w:val="bottom"/>
          </w:tcPr>
          <w:p>
            <w:pPr>
              <w:spacing w:after="0"/>
              <w:rPr>
                <w:sz w:val="20"/>
                <w:szCs w:val="20"/>
                <w:color w:val="auto"/>
              </w:rPr>
            </w:pPr>
          </w:p>
        </w:tc>
        <w:tc>
          <w:tcPr>
            <w:tcW w:w="760" w:type="dxa"/>
            <w:vAlign w:val="bottom"/>
            <w:gridSpan w:val="5"/>
          </w:tcPr>
          <w:p>
            <w:pPr>
              <w:jc w:val="right"/>
              <w:ind w:right="40"/>
              <w:spacing w:after="0"/>
              <w:rPr>
                <w:sz w:val="20"/>
                <w:szCs w:val="20"/>
                <w:color w:val="auto"/>
              </w:rPr>
            </w:pPr>
            <w:r>
              <w:rPr>
                <w:rFonts w:ascii="Arial" w:cs="Arial" w:eastAsia="Arial" w:hAnsi="Arial"/>
                <w:sz w:val="18"/>
                <w:szCs w:val="18"/>
                <w:color w:val="auto"/>
              </w:rPr>
              <w:t>(389.6)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80" w:type="dxa"/>
            <w:vAlign w:val="bottom"/>
            <w:tcBorders>
              <w:bottom w:val="single" w:sz="8" w:color="auto"/>
            </w:tcBorders>
          </w:tcPr>
          <w:p>
            <w:pPr>
              <w:spacing w:after="0"/>
              <w:rPr>
                <w:sz w:val="12"/>
                <w:szCs w:val="12"/>
                <w:color w:val="auto"/>
              </w:rPr>
            </w:pPr>
          </w:p>
        </w:tc>
        <w:tc>
          <w:tcPr>
            <w:tcW w:w="66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6600" w:type="dxa"/>
            <w:vAlign w:val="bottom"/>
          </w:tcPr>
          <w:p>
            <w:pPr>
              <w:ind w:left="5200"/>
              <w:spacing w:after="0"/>
              <w:rPr>
                <w:sz w:val="20"/>
                <w:szCs w:val="20"/>
                <w:color w:val="auto"/>
              </w:rPr>
            </w:pPr>
            <w:r>
              <w:rPr>
                <w:rFonts w:ascii="Arial" w:cs="Arial" w:eastAsia="Arial" w:hAnsi="Arial"/>
                <w:sz w:val="18"/>
                <w:szCs w:val="18"/>
                <w:color w:val="auto"/>
              </w:rPr>
              <w:t>S-6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53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10"/>
            <w:vMerge w:val="restart"/>
          </w:tcPr>
          <w:p>
            <w:pPr>
              <w:jc w:val="right"/>
              <w:ind w:right="480"/>
              <w:spacing w:after="0"/>
              <w:rPr>
                <w:sz w:val="20"/>
                <w:szCs w:val="20"/>
                <w:color w:val="auto"/>
              </w:rPr>
            </w:pPr>
            <w:r>
              <w:rPr>
                <w:rFonts w:ascii="Arial" w:cs="Arial" w:eastAsia="Arial" w:hAnsi="Arial"/>
                <w:sz w:val="14"/>
                <w:szCs w:val="14"/>
                <w:b w:val="1"/>
                <w:bCs w:val="1"/>
                <w:color w:val="auto"/>
              </w:rPr>
              <w:t>Year ended 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10"/>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442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Statements of cash flows data</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53.7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25.3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(127.7)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(105.0)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Adjusted EBITDA(3)</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233.9</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197.2</w:t>
            </w:r>
          </w:p>
        </w:tc>
        <w:tc>
          <w:tcPr>
            <w:tcW w:w="18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198.1</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191.5</w:t>
            </w:r>
          </w:p>
        </w:tc>
        <w:tc>
          <w:tcPr>
            <w:tcW w:w="1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right="100" w:hanging="422"/>
        <w:spacing w:after="0" w:line="283"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the year ended September 30, 2021, BellRing recognized $1.6 million of losses related to refinancing fees incurred in conjunction with the refinancing of the BellRing LLC credit agreement. See Note 15 within “Notes to Consolidated Financial Statements” in our Annual Report, incorporated by reference into this prospectus supplement, for additional information on the debt. During the nine months ended June 30, 2022, BellRing recognized a $17.6 million loss related to the termination of its credit agreement entered into on October 21, 2019 (as subsequently amended, the “Old Credit Agreement”). This loss included (i) a $6.9 million write-off of unamortized discounts and debt extinguishment fees, (ii) a $6.1 million write-off of unamortized net hedging losses recorded within accumulated other comprehensive income or loss related to the term B loan facility under the Old Credit Agreement and (iii) a $4.6 million write-off of debt issuance costs and deferred financing fees. See Note 14 within “Notes to Condensed Consolidated Financial Statements” in our 3Q 10-Q, incorporated by reference into this prospectus supplement, for additional information on the debt.</w:t>
      </w:r>
    </w:p>
    <w:p>
      <w:pPr>
        <w:spacing w:after="0" w:line="5" w:lineRule="exact"/>
        <w:rPr>
          <w:rFonts w:ascii="Arial" w:cs="Arial" w:eastAsia="Arial" w:hAnsi="Arial"/>
          <w:sz w:val="16"/>
          <w:szCs w:val="16"/>
          <w:color w:val="auto"/>
        </w:rPr>
      </w:pPr>
    </w:p>
    <w:p>
      <w:pPr>
        <w:ind w:left="720" w:right="440" w:hanging="422"/>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October 21, 2019, BellRing completed the IPO. For additional information about the IPO, see Note 1 within “Notes to Consolidated Financial Statements” in our Annual Report, incorporated by reference into this prospectus supplement.</w:t>
      </w:r>
    </w:p>
    <w:p>
      <w:pPr>
        <w:ind w:left="720" w:right="40" w:hanging="422"/>
        <w:spacing w:after="0" w:line="267"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define Adjusted EBITDA as net earnings available to common stockholders, plus income tax expense, interest expense, depreciation and amortization and net earnings attributable to redeemable noncontrolling interest, as further adjusted to eliminate the impact of a number of items that are non-cash items, unusual items which we do not expect to recur or continue at the same level or other items which we do not believe to be reflective of ongoing operating performance. Adjusted EBITDA represents a supplemental measure of our operating performance and our ability to service debt. We believe that Adjusted EBITDA is useful to investors in evaluating our operating performance and our liquidity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our capital structure and the method by which the assets were acquired and (iii) it is a financial indicator of a company’s ability to service its debt, as we are required to comply with certain covenants and limitations that are based on variations of Adjusted EBITDA in our financing documents. You are encouraged to evaluate each adjustment and the reasons we consider them appropriate for supplemental analysis.</w:t>
      </w:r>
    </w:p>
    <w:p>
      <w:pPr>
        <w:spacing w:after="0" w:line="185" w:lineRule="exact"/>
        <w:rPr>
          <w:rFonts w:ascii="Arial" w:cs="Arial" w:eastAsia="Arial" w:hAnsi="Arial"/>
          <w:sz w:val="17"/>
          <w:szCs w:val="17"/>
          <w:color w:val="auto"/>
        </w:rPr>
      </w:pPr>
    </w:p>
    <w:p>
      <w:pPr>
        <w:ind w:left="720" w:right="100"/>
        <w:spacing w:after="0" w:line="277" w:lineRule="auto"/>
        <w:rPr>
          <w:rFonts w:ascii="Arial" w:cs="Arial" w:eastAsia="Arial" w:hAnsi="Arial"/>
          <w:sz w:val="17"/>
          <w:szCs w:val="17"/>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GAAP. Some of these limitations are:</w:t>
      </w:r>
    </w:p>
    <w:p>
      <w:pPr>
        <w:spacing w:after="0" w:line="75" w:lineRule="exact"/>
        <w:rPr>
          <w:rFonts w:ascii="Arial" w:cs="Arial" w:eastAsia="Arial" w:hAnsi="Arial"/>
          <w:sz w:val="17"/>
          <w:szCs w:val="17"/>
          <w:color w:val="auto"/>
        </w:rPr>
      </w:pPr>
    </w:p>
    <w:p>
      <w:pPr>
        <w:ind w:left="1240" w:hanging="415"/>
        <w:spacing w:after="0"/>
        <w:tabs>
          <w:tab w:leader="none" w:pos="1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it does not reflect cash expenditures, or future requirements, for capital expenditures or contractual commitments;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it does not reflect changes in, or cash requirements for, working capital needs;</w:t>
      </w:r>
    </w:p>
    <w:p>
      <w:pPr>
        <w:spacing w:after="0" w:line="130" w:lineRule="exact"/>
        <w:rPr>
          <w:rFonts w:ascii="Arial" w:cs="Arial" w:eastAsia="Arial" w:hAnsi="Arial"/>
          <w:sz w:val="18"/>
          <w:szCs w:val="18"/>
          <w:color w:val="auto"/>
        </w:rPr>
      </w:pPr>
    </w:p>
    <w:p>
      <w:pPr>
        <w:ind w:left="1240" w:right="400" w:hanging="415"/>
        <w:spacing w:after="0" w:line="277" w:lineRule="auto"/>
        <w:tabs>
          <w:tab w:leader="none" w:pos="1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it does not reflect the significant interest expense, or the cash requirements necessary to service interest or principal payments, on indebtedness;</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6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3646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60" w:hanging="415"/>
        <w:spacing w:after="0" w:line="308"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often have to be replaced in the future, and such measures do not reflect any cash requirements for such replacements;</w:t>
      </w:r>
    </w:p>
    <w:p>
      <w:pPr>
        <w:spacing w:after="0" w:line="51" w:lineRule="exact"/>
        <w:rPr>
          <w:rFonts w:ascii="Arial" w:cs="Arial" w:eastAsia="Arial" w:hAnsi="Arial"/>
          <w:sz w:val="17"/>
          <w:szCs w:val="17"/>
          <w:color w:val="auto"/>
        </w:rPr>
      </w:pPr>
    </w:p>
    <w:p>
      <w:pPr>
        <w:ind w:left="1240" w:right="8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the impact of earnings or charges resulting from matters we consider not to be indicative of our ongoing operations; and</w:t>
      </w:r>
    </w:p>
    <w:p>
      <w:pPr>
        <w:spacing w:after="0" w:line="75" w:lineRule="exact"/>
        <w:rPr>
          <w:rFonts w:ascii="Arial" w:cs="Arial" w:eastAsia="Arial" w:hAnsi="Arial"/>
          <w:sz w:val="18"/>
          <w:szCs w:val="18"/>
          <w:color w:val="auto"/>
        </w:rPr>
      </w:pPr>
    </w:p>
    <w:p>
      <w:pPr>
        <w:ind w:left="1240" w:right="44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companies in the industry may calculate Adjusted EBITDA differently, limiting its usefulness as a comparative benchmark measure.</w:t>
      </w:r>
    </w:p>
    <w:p>
      <w:pPr>
        <w:spacing w:after="0" w:line="62" w:lineRule="exact"/>
        <w:rPr>
          <w:sz w:val="20"/>
          <w:szCs w:val="20"/>
          <w:color w:val="auto"/>
        </w:rPr>
      </w:pPr>
    </w:p>
    <w:p>
      <w:pPr>
        <w:ind w:left="720" w:right="100"/>
        <w:spacing w:after="0" w:line="257"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You should compensate for these limitations by relying primarily on our GAAP results and using Adjusted EBITDA only supplementally. In addition, in evaluating Adjusted EBITDA, you should be aware that in the future we may incur expenses similar to the adjustments used in deriving Adjusted EBITDA and the presentation of Adjusted EBITDA should not be construed as an inference that our future results will be unaffected by unusual or non-recurring items.</w:t>
      </w:r>
    </w:p>
    <w:p>
      <w:pPr>
        <w:spacing w:after="0" w:line="80" w:lineRule="exact"/>
        <w:rPr>
          <w:sz w:val="20"/>
          <w:szCs w:val="20"/>
          <w:color w:val="auto"/>
        </w:rPr>
      </w:pPr>
    </w:p>
    <w:p>
      <w:pPr>
        <w:ind w:left="720" w:right="580"/>
        <w:spacing w:after="0" w:line="277" w:lineRule="auto"/>
        <w:rPr>
          <w:sz w:val="20"/>
          <w:szCs w:val="20"/>
          <w:color w:val="auto"/>
        </w:rPr>
      </w:pPr>
      <w:r>
        <w:rPr>
          <w:rFonts w:ascii="Arial" w:cs="Arial" w:eastAsia="Arial" w:hAnsi="Arial"/>
          <w:sz w:val="18"/>
          <w:szCs w:val="18"/>
          <w:color w:val="auto"/>
        </w:rPr>
        <w:t>The following table sets forth a reconciliation of net earnings available to common stockholders, the most directly comparable GAAP performance measure, to Adjusted EBITDA, in each case for the periods indicated:</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9"/>
            <w:vMerge w:val="restart"/>
          </w:tcPr>
          <w:p>
            <w:pPr>
              <w:jc w:val="right"/>
              <w:ind w:right="400"/>
              <w:spacing w:after="0"/>
              <w:rPr>
                <w:sz w:val="20"/>
                <w:szCs w:val="20"/>
                <w:color w:val="auto"/>
              </w:rPr>
            </w:pPr>
            <w:r>
              <w:rPr>
                <w:rFonts w:ascii="Arial" w:cs="Arial" w:eastAsia="Arial" w:hAnsi="Arial"/>
                <w:sz w:val="14"/>
                <w:szCs w:val="14"/>
                <w:b w:val="1"/>
                <w:bCs w:val="1"/>
                <w:color w:val="auto"/>
                <w:w w:val="99"/>
              </w:rPr>
              <w:t>Year ended 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1"/>
        </w:trPr>
        <w:tc>
          <w:tcPr>
            <w:tcW w:w="69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9"/>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ended June 30,</w:t>
            </w: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gridSpan w:val="2"/>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2020</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2022</w:t>
            </w: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available to common stockholders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Depreciation and amortization, including accelerated 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attributable to redeemable noncontrolling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Separation costs(a)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facility closure costs, excluding accelerated depreciation(b)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Stock-based compensation(c)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loss (gain) on intercompany loans(d)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Loss on extinguishment and refinancing of debt, net(a)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Mark-to-market adjustments on commodity hedges(e)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Resolution of dispute with former contract manufacturer(f)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to tax receivable agreement liability(g)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6900" w:type="dxa"/>
            <w:vAlign w:val="bottom"/>
            <w:gridSpan w:val="2"/>
          </w:tcPr>
          <w:p>
            <w:pPr>
              <w:ind w:left="360"/>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233.9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197.2</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191.5</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140" w:hanging="422"/>
        <w:spacing w:after="0" w:line="291"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costs incurred (i) to effect the IPO, (ii) to effect the Spin-off and (iii) to support BellRing’s transition into a separate stand-alone, publicly-traded entity, as the amount and frequency of such expenses are not consistent. See footnote (1) above for additional information.</w:t>
      </w:r>
    </w:p>
    <w:p>
      <w:pPr>
        <w:ind w:left="720" w:hanging="42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certain costs associated with facility closures.</w:t>
      </w:r>
    </w:p>
    <w:p>
      <w:pPr>
        <w:spacing w:after="0" w:line="9" w:lineRule="exact"/>
        <w:rPr>
          <w:rFonts w:ascii="Arial" w:cs="Arial" w:eastAsia="Arial" w:hAnsi="Arial"/>
          <w:sz w:val="18"/>
          <w:szCs w:val="18"/>
          <w:color w:val="auto"/>
        </w:rPr>
      </w:pPr>
    </w:p>
    <w:p>
      <w:pPr>
        <w:ind w:left="720" w:hanging="42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non-cash expenses related to stock-based compensation.</w:t>
      </w:r>
    </w:p>
    <w:p>
      <w:pPr>
        <w:spacing w:after="0" w:line="9" w:lineRule="exact"/>
        <w:rPr>
          <w:rFonts w:ascii="Arial" w:cs="Arial" w:eastAsia="Arial" w:hAnsi="Arial"/>
          <w:sz w:val="18"/>
          <w:szCs w:val="18"/>
          <w:color w:val="auto"/>
        </w:rPr>
      </w:pPr>
    </w:p>
    <w:p>
      <w:pPr>
        <w:ind w:left="720" w:right="400" w:hanging="422"/>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non-cash foreign currency losses (gains) on intercompany loans and related interest denominated in currencies other than the functional currency of the respective legal entity.</w:t>
      </w:r>
    </w:p>
    <w:p>
      <w:pPr>
        <w:ind w:left="720" w:hanging="42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primarily non-cash mark-to-market adjustments on commodity hedges.</w:t>
      </w:r>
    </w:p>
    <w:p>
      <w:pPr>
        <w:spacing w:after="0" w:line="9" w:lineRule="exact"/>
        <w:rPr>
          <w:rFonts w:ascii="Arial" w:cs="Arial" w:eastAsia="Arial" w:hAnsi="Arial"/>
          <w:sz w:val="18"/>
          <w:szCs w:val="18"/>
          <w:color w:val="auto"/>
        </w:rPr>
      </w:pPr>
    </w:p>
    <w:p>
      <w:pPr>
        <w:ind w:left="720" w:hanging="422"/>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certain non-cash write-offs recorded in connection with the resolution of a dispute with a former contract manufacturer.</w:t>
      </w:r>
    </w:p>
    <w:p>
      <w:pPr>
        <w:spacing w:after="0" w:line="20" w:lineRule="exact"/>
        <w:rPr>
          <w:rFonts w:ascii="Arial" w:cs="Arial" w:eastAsia="Arial" w:hAnsi="Arial"/>
          <w:sz w:val="17"/>
          <w:szCs w:val="17"/>
          <w:color w:val="auto"/>
        </w:rPr>
      </w:pPr>
    </w:p>
    <w:p>
      <w:pPr>
        <w:ind w:left="720" w:right="180" w:hanging="422"/>
        <w:spacing w:after="0" w:line="277"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non-cash adjustment to Old BellRing’s tax receivable agreement with Post. While the tax receivable agreement between Old BellRing and Post remains in effect following the Spin-off with respect to periods prior to the completion of the Spin-off, the tax receivable agreement is no longer applicable for tax benefits that accrue with respect to periods after the completion of the Spin-off.</w:t>
      </w:r>
    </w:p>
    <w:p>
      <w:pPr>
        <w:spacing w:after="0" w:line="2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An investment in our common stock involves a high degree of risk. You should carefully consider the risks and uncertainties described below, together with all of the other information included or incorporated by reference in this prospectus supplement and the accompanying prospectus, including the risks and uncertainties discussed under “Prospectus Supplement Summary—Summary Historical Condensed Consolidated Financial and Other Data” contained elsewhere in this prospectus supplement, “Risk Factors,” “Management’s Discussion and Analysis of Financial Condition and Results of Operations” and our audited consolidated financial statements and related notes thereto in our Annual Report and “Risk Factors,” “Management’s Discussion and Analysis of Financial Condition and Results of Operations” and our unaudited condensed consolidated financial statements and related notes thereto in our Quarterly Reports, each of which is incorporated by reference in this prospectus supplement and the accompanying prospectus, before investing in our common stock. If any of the risks described below actually occur, our business, financial condition, results of operations, cash flows or prospects could be materially adversely affected. In any such case, the trading price of our common stock could decline and you could lose all or part of your investment.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our common stock may be volatile and you may lose all or part of your investment.</w:t>
      </w:r>
    </w:p>
    <w:p>
      <w:pPr>
        <w:spacing w:after="0" w:line="11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The market price of our common stock could fluctuate significantly, and you may not be able to resell your shares of common stock at or above the price at which your shares were acquired. Those fluctuations could be based on various factors, including those described under “Risk Factors” in our Annual Report and Quarterly Reports, each of which is incorporated by reference in this prospectus supplement, and the following:</w:t>
      </w:r>
    </w:p>
    <w:p>
      <w:pPr>
        <w:spacing w:after="0" w:line="54"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our competitors and fluctuations in our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research analysts who follow us or other companies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services, strategic investments or 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by us or our competitors to meet analysts’ projections or guidance we or our competitors may give to the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laws or regulations, or new interpretations or applications of laws and regulations, that are applicable to our business;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arrival or departure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publicly traded;</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sales or issuances of shares of our common stock, including sales, distributions or issuances by us or our officers, directors and significant stockholders;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developments affecting us, the industry in which we operate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national or local economic, legal and regulatory factors unrelated to our performance; and</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natural disasters, war, including the ongoing conflict in Ukraine, acts of terrorism or responses to these events.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20"/>
          </w:cols>
          <w:pgMar w:left="32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in recent years the stock market has experienced significant price and volume fluctuations that have affected and continue to affect the market prices of equity securities of many companies. These fluctuations have often been unrelated or disproportionate to the operating performance of those companies. These broad market fluctuations, as well as general economic, political and market conditions such as recessions or interest rate changes, may cause declines in the market price of our common stock and you may not realize any return on your investment and may lose some or all of your investment.</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As we primarily operate in a single industry, we are especially vulnerable to these factors to the extent that they affect our industry or products. In the past, securities class action litigation has often been initiated against companies following periods of volatility in their stock price. This type of litigation could result in substantial costs and divert our management’s attention and resources, and also could require us to make substantial payments to satisfy judgments or to settle litigation.</w:t>
      </w:r>
    </w:p>
    <w:p>
      <w:pPr>
        <w:spacing w:after="0" w:line="29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None of the proceeds from the sale of shares of our common stock by the selling stockholders in this offering will be available to us to fund our operations.</w:t>
      </w:r>
    </w:p>
    <w:p>
      <w:pPr>
        <w:spacing w:after="0" w:line="6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will not receive any proceeds from the sale of shares of our common stock by the selling stockholders in this offering. The selling stockholders will receive all proceeds from the sale of such shares. Consequently, none of the proceeds from such sale by the selling stockholders will be available to us to fund our operations, capital expenditures, compensation plans or acquisition opportunities. See “Use of Proceeds.”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securities or industry analysts publish inaccurate or unfavorable research about our business, our stock price and trading volume could decline.</w:t>
      </w:r>
    </w:p>
    <w:p>
      <w:pPr>
        <w:spacing w:after="0" w:line="152"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The trading market for our common stock is influenced in part by the research and reports that securities or industry analysts publish about our company and business. If one or more of the analysts who cover us downgrades our common stock or publishes inaccurate or unfavorable research about our business, our stock price could decline. If one or more of these analysts ceases coverage of us or fails to publish reports on us regularly, demand for our common stock could decrease, which could cause our stock price and trading volume to decline.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declare or pay any dividends on our common stock for the foreseeable future.</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We may retain future earnings, if any, for future operations, expansion and debt repayment. We have not paid cash dividends to date and have no current plans to pay any cash dividends for the foreseeable future. As a result of our current dividend policy, you may not receive any return on an investment in shares of our common stock unless you sell shares of our common stock for a price greater than that which you paid for it. Any future determination to declare and pay cash dividends will be at the discretion of our board of directors and will depend on, among other things, our financial condition, results of operations, cash requirements, contractual restrictions, restrictions in our debt agreements and such other factors as our board of directors deems relevant. Our ability to pay dividends depends on our receipt of cash dividends from our operating subsidiaries, including Old BellRing and BellRing LLC, which may further restrict our ability to pay dividends as a result of the laws of their jurisdictions of organization or agreements of our subsidiaries. See “Dividend Policy.”</w:t>
      </w:r>
    </w:p>
    <w:p>
      <w:pPr>
        <w:spacing w:after="0" w:line="28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could cause the market price for our common stock to decline.</w:t>
      </w:r>
    </w:p>
    <w:p>
      <w:pPr>
        <w:spacing w:after="0" w:line="62" w:lineRule="exact"/>
        <w:rPr>
          <w:sz w:val="20"/>
          <w:szCs w:val="20"/>
          <w:color w:val="auto"/>
        </w:rPr>
      </w:pPr>
    </w:p>
    <w:p>
      <w:pPr>
        <w:ind w:left="120" w:right="400" w:firstLine="440"/>
        <w:spacing w:after="0" w:line="286"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such sales could occur, could substantially decrease the market price of shares of our common stock. These sales, or the possibility that these sales may occur, also might make it more difficult for us to sell equity securities in the future at a time and at a price that we deem appropriate.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55" w:lineRule="auto"/>
        <w:rPr>
          <w:sz w:val="20"/>
          <w:szCs w:val="20"/>
          <w:color w:val="auto"/>
        </w:rPr>
      </w:pPr>
      <w:r>
        <w:rPr>
          <w:rFonts w:ascii="Arial" w:cs="Arial" w:eastAsia="Arial" w:hAnsi="Arial"/>
          <w:sz w:val="18"/>
          <w:szCs w:val="18"/>
          <w:color w:val="auto"/>
        </w:rPr>
        <w:t>As of June 30, 2022, we had a total of 136,260,080 shares of our common stock outstanding. Of the outstanding shares, the 78,076,841 shares of common stock distributed in the Distribution, the 38,887,851 shares of common stock issued in the Merger and the 10,008,473 shares of common stock sold in this offering will be freely tradable without restriction or further registration under the Securities Act of 1933, as amended (the “Securities Act”), except that any shares held by our affiliates, as that term is defined under Rule 144 of the Securities Act (“Rule 144”), including our directors, executive officers and other affiliates (including Post), may be sold in the public market only if they are registered under the Securities Act or are sold pursuant to an exemption from registration such as Rule 144.</w:t>
      </w:r>
    </w:p>
    <w:p>
      <w:pPr>
        <w:spacing w:after="0" w:line="19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8,802,715 shares of common stock held by Post and certain of our directors and executive officers after this offering, representing 6.5% of the total outstanding shares of our common stock following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connection with this offering, we, Post and our directors and executive officers have signed lock-up agreements with the underwriters that, subject to certain exceptions, restrict the disposition of, or hedging with respect to, the shares of our common stock or securities convertible into or exchangeable for shares of common stock, each held by them for 60 days following the date of this prospectus supplement, except with the prior written consent of J.P. Morgan Securities LLC and Barclays Capital Inc. See “Underwriting (Conflicts of Interest)” for a description of these lock-up agreements. J.P. Morgan Securities LLC and Barclays Capital Inc. may, in their sole discretion, release all or some portion of the shares subject to the 60 day lock-up agreements prior to the expiration of such period.</w:t>
      </w:r>
    </w:p>
    <w:p>
      <w:pPr>
        <w:spacing w:after="0" w:line="192"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6"/>
          <w:szCs w:val="16"/>
          <w:color w:val="auto"/>
        </w:rPr>
        <w:t>In addition, pursuant to a registration rights agreement, Post and the other stockholders party thereto from time to time have the right, subject to certain conditions, to require us to register and cooperate with the offering of the sale of their shares of our common stock under the Securities Act. By exercising its registration rights and selling a large number of our shares, Post could cause the prevailing market price of our common stock to decline. Certain potential future stockholders may have “piggyback” registration rights with respect to future registered offerings of our common stock.</w:t>
      </w:r>
    </w:p>
    <w:p>
      <w:pPr>
        <w:spacing w:after="0" w:line="1"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Registration of any of these outstanding shares of our common stock would result in such shares becoming freely tradable without compliance with Rule 144 upon effectiveness of the registration statement.</w:t>
      </w:r>
    </w:p>
    <w:p>
      <w:pPr>
        <w:spacing w:after="0" w:line="185"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As restrictions on resale end, or if Post or other eligible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14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To preserve the tax-free treatment of the Distribution, for the initial two-year period following the Distribution, we will be prohibited, except in limited circumstances, from taking or failing to take certain actions that would prevent the Distribution and related transactions from being tax-free, including issuing any equity securities or securities that could possibly be converted into our equity securities, including as acquisition currency for a merger or acquisition (but excluding certain equity compensation for our employees). In the future and subject to the preceding considerations, however, we may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Certain matters we discuss in this prospectus supplement, the accompanying prospectus and the documents we incorporate or that are deemed to be incorporated by reference herein or therein relate to future events and our intentions, beliefs, expectations and predictions for the future, including statements concerning future business conditions and prospects, growth opportunities and estimates of growth and the outlook for our business, and, in each case, are based upon information currently available. Any such statements, other than statements of historical fact, are forward-looking statements. When used in this document, words such as “believe,” “should,” “could,” “potential,” “continue,” “expect,” “project,” “estimate,” “predict,” “anticipate,” “aim,” “intend,” “plan,” “forecast,” “target,” “is likely,” “will,” “can,” “may” or “would” or the negative of these terms and similar expressions as they relate to us are intended to identify forward-looking statements within the meaning of the U.S. Private Securities Litigation Reform Act of 1995. These forward-looking statements are based upon current assumptions and expectations of our management, and reflect our current views with respect to future events, are not guarantees of future performance and involve risks and uncertainties that are difficult to predict. Further, certain forward-looking statements are based upon assumptions as to future events that may not prove to be accurate.</w:t>
      </w:r>
    </w:p>
    <w:p>
      <w:pPr>
        <w:spacing w:after="0" w:line="16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Such forward-looking statements are subject to risks and uncertainties that could cause our actual results, performance and achievements to differ materially from those expressed in, or implied by, these statements included in this prospectus supplement, the accompanying prospectus and in the documents we incorporate or that are deemed to be incorporated by reference herein or therein. These forward-looking statements are subject to various risks and uncertainties, many of which are outside of our control. You should understand that the following important factors, in addition to those discussed herein under the caption “Risk Factors” in this prospectus supplement and “Risk Factors” in our Annual Report and Quarterly Reports, each of which are incorporated by reference herein, could affect our future results and could cause those results or other outcomes to differ materially from those expressed or implied in our forward-looking statements:</w:t>
      </w:r>
    </w:p>
    <w:p>
      <w:pPr>
        <w:spacing w:after="0" w:line="83"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sales from our RTD protein shakes;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continue to compete in our product categories and our ability to retain our market position and favorable perceptions of our brands;</w:t>
      </w:r>
    </w:p>
    <w:p>
      <w:pPr>
        <w:spacing w:after="0" w:line="75"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or inefficiencies in our supply chain, including as a result of our reliance on third party suppliers or manufacturers for the manufacturing of many of our products, pandemics (including the COVID-19 pandemic) and other outbreaks of contagious diseases, labor shortages, fires and evacuations related thereto, changes in weather conditions, natural disasters, agricultural diseases and pests and other events beyond our control;</w:t>
      </w:r>
    </w:p>
    <w:p>
      <w:pPr>
        <w:spacing w:after="0" w:line="92"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for the manufacturing of most of our products, including one manufacturer for the substantial majority of our RTD protein shakes;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third party contract manufacturers to produce an amount of our products that enables us to meet customer and consumer demand for the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volatility in the cost or availability of inputs to our business (including freight, raw materials, packaging, energy, labor and other supplies);</w:t>
      </w:r>
    </w:p>
    <w:p>
      <w:pPr>
        <w:spacing w:after="0" w:line="75"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COVID-19 pandemic, including negative impacts on the global economy and capital markets, the health of our employees, our ability and the ability of our third party contract manufacturers to manufacture and deliver our products, operating costs, demand for our on-the-go products and our operations generally;</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anticipate and respond to changes in consumer and customer preferences and behaviors and introduce new products;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130"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the net selling prices of our products and manage promotional activities with respect to our products;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high leverage, our ability to obtain additional financing (including both secured and unsecured debt) and our ability to service our outstanding debt (including covenants that restrict the operation of our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accuracy of our market data and attributes and related information;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our products;</w:t>
      </w:r>
    </w:p>
    <w:p>
      <w:pPr>
        <w:spacing w:after="0" w:line="130"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economic conditions, including as a result of the ongoing conflict in Ukraine, disruptions in the U.S. and global capital and credit markets, changes in interest rates, volatility in the market value of derivatives and fluctuations in foreign currency exchange rates;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risks related to our ongoing relationship with Post following the Spin-off, including our obligations under various agreements with Post;</w:t>
      </w:r>
    </w:p>
    <w:p>
      <w:pPr>
        <w:spacing w:after="0" w:line="153" w:lineRule="exact"/>
        <w:rPr>
          <w:rFonts w:ascii="Arial" w:cs="Arial" w:eastAsia="Arial" w:hAnsi="Arial"/>
          <w:sz w:val="16"/>
          <w:szCs w:val="16"/>
          <w:color w:val="auto"/>
        </w:rPr>
      </w:pPr>
    </w:p>
    <w:p>
      <w:pPr>
        <w:ind w:left="1080" w:right="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conflicting interests or the appearance of conflicting interests resulting from certain of our directors also serving as officers or directors of Post;</w:t>
      </w:r>
    </w:p>
    <w:p>
      <w:pPr>
        <w:spacing w:after="0" w:line="75"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risks related to the previously completed Spin-off, including our inability to take certain actions because such actions could jeopardize the tax-free status of the Distribution and our possible responsibility for U.S. federal tax liabilities related to the Distribution;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 and to continue to use third party intellectual property subject to intellectual property licenses;</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identify, complete and integrate or otherwise effectively execute acquisitions or other strategic transactions and effectively manage our growth;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of 2002;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any guidance we may give regarding our performance; 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040"/>
          </w:cols>
          <w:pgMar w:left="320" w:top="459" w:right="5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hire and retain talented personnel, employee absenteeism, labor strikes, work stoppages or unionization efforts.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other factors besides those listed here could adversely affect our business, financial condition, results of operations and cash flows. Other unknown or unpredictable factors also could have a material adverse effect on our actual future results, performance or achievements. As a result of the foregoing, readers are cautioned not to place undue reliance on these forward-looking statements, which speak only as of their dates. We do not undertake, and expressly disclaim, any duty to update any forward-looking statement whether as a result of new information, future events or changes in its respective expectations, except as required by law.</w:t>
      </w:r>
    </w:p>
    <w:p>
      <w:pPr>
        <w:spacing w:after="0" w:line="18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Because forward-looking statements are based on estimates and assumptions that are subject to significant business, economic and competitive uncertainties, many of which are beyond our control or are subject to change, actual results could be materially different and any or all of these forward-looking statements may turn out to be wrong. Forward-looking statements speak only as of the date made and can be affected by assumptions we might make or by known or unknown risks and uncertainties. Many factors mentioned in this prospectus supplement and the accompanying prospectus and the documents we incorporate by reference herein or therein will be important in determining future results. Consequently, we cannot assure you that expectations or forecasts expressed in such forward-looking statements will be achieved. Actual future results may vary materially.</w:t>
      </w:r>
    </w:p>
    <w:p>
      <w:pPr>
        <w:spacing w:after="0" w:line="164"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We discuss many of these risks in greater detail under the heading “Risk Factors” in this prospectus supplement and under “Risk Factors” in our Annual Report and Quarterly Reports, each of which is incorporated by reference herein. Unless required by U.S. federal securities laws, we neither intend nor assume any obligation to update these forward-looking statements, which speak only as of their dates.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selling stockholders will receive all of the net proceeds from the sale of shares of our common stock offered pursuant to this prospectus supplement. We will not receive any proceeds from the sale of shares of our common stock being sold in this offering. The selling stockholders will bear all commissions and discounts, if any, from the sale of shares of our common stock pursuant to this prospectus supplement. See “Selling Stockholders.”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do not intend to pay cash dividends on our common stock for the foreseeable future. Any future determination to pay dividends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our cash flow and liquidity position and other factors that our board of directors may deem relevant.</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ability to pay dividends depends on our receipt of cash dividends or distributions from our operating subsidiaries, including Old BellRing and BellRing LLC. The laws of our subsidiaries’ jurisdictions of organization or agreements entered into by our subsidiaries, including agreements governing their indebtedness, may restrict their ability to pay dividends or make distributions to us and further restrict our ability to pay dividends. In addition, cash distributions from BellRing LLC may be distributed from time to time at the discretion of its Board of Managers pro rata to its members according to the number of BellRing LLC units held by such members, subject to certain exceptions. The current members of BellRing LLC are BellRing Intermediate Holdings, Inc. and us. The indenture governing the Senior Notes and the credit agreement governing our revolving credit facility also include restrictions on our, Old BellRing’s, BellRing LLC’s and their subsidiaries’ respective ability to make distributions and will thus restrict our ability to pay dividends. See “Management’s Discussion and Analysis of Financial Condition and Results of Operations—Liquidity and Capital Resources” in our Annual Report and Quarterly Reports, each of which is incorporated by reference in this prospectus supplement, for a description of the restrictions on our and our subsidiaries’ ability to pay dividends.</w:t>
      </w:r>
    </w:p>
    <w:p>
      <w:pPr>
        <w:spacing w:after="0" w:line="185"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You may need to sell your shares of our common stock to realize a return on your investment, and you may not be able to sell your shares at or above the price you paid for them. See “Risk Factors—Risks Related to this Offering and Ownership of Our Common Stock—We may not declare or pay any dividends on our common stock for the foreseeable future.”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Except as otherwise indicated, the following table and accompanying footnotes set forth information with respect to the beneficial ownership of our common stock, as of August 1, 2022, by Post, which as of such date is a beneficial owner of more than 5% of our outstanding common stock and which may be deemed to be a selling stockholder in this offering, solely for U.S. federal securities law purposes, as a result of the debt-for-equity exchange with the selling stockholders, or their respective affiliates. The percentages of beneficial ownership provided in the table below are based on 136,362,031 shares of our common stock, par value $0.01 per share, outstanding as of August 1, 2022.</w:t>
      </w:r>
    </w:p>
    <w:p>
      <w:pPr>
        <w:spacing w:after="0" w:line="176"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J.P. Morgan Securities LLC, Barclays Capital Inc., Citigroup Global Markets Inc., Goldman Sachs &amp; Co. LLC and Morgan Stanley &amp; Co. LLC (collectively, the “selling stockholders”) are offering all of the shares of common stock being sold in this offering. Post expects to exchange 10,808,473</w:t>
      </w:r>
    </w:p>
    <w:p>
      <w:pPr>
        <w:ind w:left="120"/>
        <w:spacing w:after="0" w:line="290" w:lineRule="auto"/>
        <w:rPr>
          <w:sz w:val="20"/>
          <w:szCs w:val="20"/>
          <w:color w:val="auto"/>
        </w:rPr>
      </w:pPr>
      <w:r>
        <w:rPr>
          <w:rFonts w:ascii="Arial" w:cs="Arial" w:eastAsia="Arial" w:hAnsi="Arial"/>
          <w:sz w:val="16"/>
          <w:szCs w:val="16"/>
          <w:color w:val="auto"/>
        </w:rPr>
        <w:t>shares of common stock for $ in aggregate principal amount of indebtedness of Post held by the selling stockholders, or their respective affiliates, pursuant to the debt-for-equity exchange agreement to be dated on or about the date of this prospectus supplement. The selling stockholders then expect to sell those shares to the underwriters for cash. The debt-for-equity exchange between Post and the selling stockholders is expected to occur on or before the settlement date of this offering, and the consummation of the debt-for-equity exchange is a condition to the settlement of the selling stockholders’ sale of the shares to the underwriters. Therefore, the consummation of the debt-for-equity exchange is also ultimately a condition to the settlement of the underwriters’ sale of the shares to prospective investors. See “Underwriting (Conflicts of Interest)—The Debt-for-Equity Exchange.”</w:t>
      </w:r>
    </w:p>
    <w:p>
      <w:pPr>
        <w:spacing w:after="0" w:line="164"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To our knowledge, unless otherwise noted in the footnotes to the table below, and subject to applicable community property laws, the holder named in the table has sole voting and investment power with respect to its beneficially owned common stock.</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7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2"/>
              </w:rPr>
              <w:t>Shares Beneficially Owned</w:t>
            </w:r>
          </w:p>
        </w:tc>
        <w:tc>
          <w:tcPr>
            <w:tcW w:w="224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1"/>
              </w:rPr>
              <w:t>Shares Beneficially Owned</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40" w:type="dxa"/>
            <w:vAlign w:val="bottom"/>
            <w:gridSpan w:val="2"/>
          </w:tcPr>
          <w:p>
            <w:pPr>
              <w:jc w:val="center"/>
              <w:ind w:left="626"/>
              <w:spacing w:after="0" w:line="149" w:lineRule="exact"/>
              <w:rPr>
                <w:sz w:val="20"/>
                <w:szCs w:val="20"/>
                <w:color w:val="auto"/>
              </w:rPr>
            </w:pPr>
            <w:r>
              <w:rPr>
                <w:rFonts w:ascii="Arial" w:cs="Arial" w:eastAsia="Arial" w:hAnsi="Arial"/>
                <w:sz w:val="14"/>
                <w:szCs w:val="14"/>
                <w:b w:val="1"/>
                <w:bCs w:val="1"/>
                <w:color w:val="auto"/>
                <w:w w:val="93"/>
              </w:rPr>
              <w:t>Prior to the</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78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Debt-for-Equity Exchange,</w:t>
            </w:r>
          </w:p>
        </w:tc>
        <w:tc>
          <w:tcPr>
            <w:tcW w:w="22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After the Debt-for-Equity</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78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the Concurrent Share</w:t>
            </w:r>
          </w:p>
        </w:tc>
        <w:tc>
          <w:tcPr>
            <w:tcW w:w="22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Exchange, the Concurrent</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78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Repurchase and this</w:t>
            </w:r>
          </w:p>
        </w:tc>
        <w:tc>
          <w:tcPr>
            <w:tcW w:w="22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Share Repurchase and this</w:t>
            </w: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40" w:type="dxa"/>
            <w:vAlign w:val="bottom"/>
            <w:tcBorders>
              <w:bottom w:val="single" w:sz="8" w:color="auto"/>
            </w:tcBorders>
            <w:gridSpan w:val="2"/>
          </w:tcPr>
          <w:p>
            <w:pPr>
              <w:jc w:val="center"/>
              <w:ind w:left="626"/>
              <w:spacing w:after="0"/>
              <w:rPr>
                <w:sz w:val="20"/>
                <w:szCs w:val="20"/>
                <w:color w:val="auto"/>
              </w:rPr>
            </w:pPr>
            <w:r>
              <w:rPr>
                <w:rFonts w:ascii="Arial" w:cs="Arial" w:eastAsia="Arial" w:hAnsi="Arial"/>
                <w:sz w:val="14"/>
                <w:szCs w:val="14"/>
                <w:b w:val="1"/>
                <w:bCs w:val="1"/>
                <w:color w:val="auto"/>
                <w:w w:val="99"/>
              </w:rPr>
              <w:t>Offering</w:t>
            </w:r>
          </w:p>
        </w:tc>
        <w:tc>
          <w:tcPr>
            <w:tcW w:w="7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tcBorders>
              <w:bottom w:val="single" w:sz="8" w:color="auto"/>
            </w:tcBorders>
            <w:gridSpan w:val="2"/>
          </w:tcPr>
          <w:p>
            <w:pPr>
              <w:jc w:val="center"/>
              <w:ind w:left="606"/>
              <w:spacing w:after="0"/>
              <w:rPr>
                <w:sz w:val="20"/>
                <w:szCs w:val="20"/>
                <w:color w:val="auto"/>
              </w:rPr>
            </w:pPr>
            <w:r>
              <w:rPr>
                <w:rFonts w:ascii="Arial" w:cs="Arial" w:eastAsia="Arial" w:hAnsi="Arial"/>
                <w:sz w:val="14"/>
                <w:szCs w:val="14"/>
                <w:b w:val="1"/>
                <w:bCs w:val="1"/>
                <w:color w:val="auto"/>
                <w:w w:val="95"/>
              </w:rPr>
              <w:t>Offering</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 of</w:t>
            </w: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of Total</w:t>
            </w: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4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Common</w:t>
            </w:r>
          </w:p>
        </w:tc>
        <w:tc>
          <w:tcPr>
            <w:tcW w:w="1360" w:type="dxa"/>
            <w:vAlign w:val="bottom"/>
            <w:gridSpan w:val="2"/>
            <w:vMerge w:val="continue"/>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63"/>
        </w:trPr>
        <w:tc>
          <w:tcPr>
            <w:tcW w:w="1620" w:type="dxa"/>
            <w:vAlign w:val="bottom"/>
            <w:tcBorders>
              <w:bottom w:val="single" w:sz="8" w:color="auto"/>
            </w:tcBorders>
            <w:vMerge w:val="continue"/>
          </w:tcPr>
          <w:p>
            <w:pPr>
              <w:spacing w:after="0"/>
              <w:rPr>
                <w:sz w:val="13"/>
                <w:szCs w:val="13"/>
                <w:color w:val="auto"/>
              </w:rPr>
            </w:pPr>
          </w:p>
        </w:tc>
        <w:tc>
          <w:tcPr>
            <w:tcW w:w="3480" w:type="dxa"/>
            <w:vAlign w:val="bottom"/>
          </w:tcPr>
          <w:p>
            <w:pPr>
              <w:spacing w:after="0"/>
              <w:rPr>
                <w:sz w:val="13"/>
                <w:szCs w:val="13"/>
                <w:color w:val="auto"/>
              </w:rPr>
            </w:pPr>
          </w:p>
        </w:tc>
        <w:tc>
          <w:tcPr>
            <w:tcW w:w="144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Shares Held</w:t>
            </w:r>
          </w:p>
        </w:tc>
        <w:tc>
          <w:tcPr>
            <w:tcW w:w="134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89"/>
              </w:rPr>
              <w:t>Stock</w:t>
            </w:r>
          </w:p>
        </w:tc>
        <w:tc>
          <w:tcPr>
            <w:tcW w:w="13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Shares Held</w:t>
            </w:r>
          </w:p>
        </w:tc>
        <w:tc>
          <w:tcPr>
            <w:tcW w:w="8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20"/>
        </w:trPr>
        <w:tc>
          <w:tcPr>
            <w:tcW w:w="1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Post Holdings, Inc.</w:t>
            </w:r>
          </w:p>
        </w:tc>
        <w:tc>
          <w:tcPr>
            <w:tcW w:w="34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20" w:type="dxa"/>
            <w:vAlign w:val="bottom"/>
            <w:vMerge w:val="continue"/>
            <w:shd w:val="clear" w:color="auto" w:fill="CCEEFF"/>
          </w:tcPr>
          <w:p>
            <w:pPr>
              <w:spacing w:after="0"/>
              <w:rPr>
                <w:sz w:val="17"/>
                <w:szCs w:val="17"/>
                <w:color w:val="auto"/>
              </w:rPr>
            </w:pPr>
          </w:p>
        </w:tc>
        <w:tc>
          <w:tcPr>
            <w:tcW w:w="348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19,397,339</w:t>
            </w:r>
          </w:p>
        </w:tc>
        <w:tc>
          <w:tcPr>
            <w:tcW w:w="580" w:type="dxa"/>
            <w:vAlign w:val="bottom"/>
            <w:vMerge w:val="continue"/>
            <w:shd w:val="clear" w:color="auto" w:fill="CCEEFF"/>
          </w:tcPr>
          <w:p>
            <w:pPr>
              <w:spacing w:after="0"/>
              <w:rPr>
                <w:sz w:val="17"/>
                <w:szCs w:val="17"/>
                <w:color w:val="auto"/>
              </w:rPr>
            </w:pPr>
          </w:p>
        </w:tc>
        <w:tc>
          <w:tcPr>
            <w:tcW w:w="134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14.2%</w:t>
            </w:r>
          </w:p>
        </w:tc>
        <w:tc>
          <w:tcPr>
            <w:tcW w:w="7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8,588,866</w:t>
            </w:r>
          </w:p>
        </w:tc>
        <w:tc>
          <w:tcPr>
            <w:tcW w:w="58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80" w:hanging="424"/>
        <w:spacing w:after="0" w:line="263"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2503 S. Hanley Road, St. Louis, Missouri 63144. Post is a publicly traded company. For information regarding our relationship with Post, refer to “Basis of Presentation” and “Prospectus Supplement Summary” in this prospectus supplement and to the documents incorporated herein by reference.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UNITED STATES FEDERAL INCOME TAX CONSEQUENCES TO NON-U.S. HOLDERS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For a summary of certain U.S. federal income tax consequences to non-U.S. holders (as defined in the prospectus accompanying this prospectus supplement) of the ownership and disposition of shares of our common stock as of the date hereof, please refer to “Certain United States Federal Income Tax Consequences to Non-U.S. Holders” in the prospectus accompanying this prospectus supplement.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J.P. Morgan Securities LLC, Barclays Capital Inc., Morgan Stanley &amp; Co. LLC, Citigroup Global Markets Inc. and Goldman Sachs &amp; Co. LLC are acting as representatives for this offering. Subject to the terms and conditions set forth in an underwriting agreement among us, Post, the selling stockholders and the underwriters, the selling stockholders have agreed to sell to the underwriters, and the underwriters have agreed to purchase from the selling stockholders, 10,808,473 shares of common stock, and each of the underwriters has agreed, severally and not jointly, to purchase from the selling stockholders the number of shares of common stock set forth opposite its name below.</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5500" w:type="dxa"/>
            <w:vAlign w:val="bottom"/>
            <w:vMerge w:val="restart"/>
          </w:tcPr>
          <w:p>
            <w:pPr>
              <w:spacing w:after="0"/>
              <w:rPr>
                <w:sz w:val="14"/>
                <w:szCs w:val="14"/>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5500" w:type="dxa"/>
            <w:vAlign w:val="bottom"/>
            <w:vMerge w:val="continue"/>
          </w:tcPr>
          <w:p>
            <w:pPr>
              <w:spacing w:after="0"/>
              <w:rPr>
                <w:sz w:val="15"/>
                <w:szCs w:val="15"/>
                <w:color w:val="auto"/>
              </w:rPr>
            </w:pPr>
          </w:p>
        </w:tc>
        <w:tc>
          <w:tcPr>
            <w:tcW w:w="1140" w:type="dxa"/>
            <w:vAlign w:val="bottom"/>
            <w:gridSpan w:val="2"/>
          </w:tcPr>
          <w:p>
            <w:pPr>
              <w:ind w:left="260"/>
              <w:spacing w:after="0" w:line="158" w:lineRule="exact"/>
              <w:rPr>
                <w:sz w:val="20"/>
                <w:szCs w:val="20"/>
                <w:color w:val="auto"/>
              </w:rPr>
            </w:pPr>
            <w:r>
              <w:rPr>
                <w:rFonts w:ascii="Arial" w:cs="Arial" w:eastAsia="Arial" w:hAnsi="Arial"/>
                <w:sz w:val="14"/>
                <w:szCs w:val="14"/>
                <w:b w:val="1"/>
                <w:bCs w:val="1"/>
                <w:color w:val="auto"/>
              </w:rPr>
              <w:t>of Shares</w:t>
            </w:r>
          </w:p>
        </w:tc>
        <w:tc>
          <w:tcPr>
            <w:tcW w:w="0" w:type="dxa"/>
            <w:vAlign w:val="bottom"/>
          </w:tcPr>
          <w:p>
            <w:pPr>
              <w:spacing w:after="0"/>
              <w:rPr>
                <w:sz w:val="1"/>
                <w:szCs w:val="1"/>
                <w:color w:val="auto"/>
              </w:rPr>
            </w:pPr>
          </w:p>
        </w:tc>
      </w:tr>
      <w:tr>
        <w:trPr>
          <w:trHeight w:val="190"/>
        </w:trPr>
        <w:tc>
          <w:tcPr>
            <w:tcW w:w="63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J.P. Morgan Securities LLC</w:t>
            </w: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8"/>
              </w:rPr>
              <w:t>10,808,473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underwriters are committed to take and pay for all of the shares being offered, if any are taken. The underwriting agreement also provides that if an underwriter defaults, the purchase commitments of non-defaulting underwriters may also be increased or the offering may be terminated.</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Post and the selling stockholders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As part of and subject to the completion of the offering, we intend to concurrently repurchase from the underwriters 800,000 shares out of the aggregate 10,808,473 shares of our common stock that are the subject of the offering. The price per share to be paid by us will equal the price at which the underwriters will purchase the shares from the selling stockholders in the offering. See “Prospectus Supplement Summary—Concurrent Share Repurchase.” No underwriting discount or commissions will be paid to the underwriters with respect to the shares we intend to repurchase in the Concurrent Share Repurchase.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560"/>
        <w:spacing w:after="0"/>
        <w:tabs>
          <w:tab w:leader="none" w:pos="8200" w:val="left"/>
        </w:tabs>
        <w:rPr>
          <w:sz w:val="20"/>
          <w:szCs w:val="20"/>
          <w:color w:val="auto"/>
        </w:rPr>
      </w:pPr>
      <w:r>
        <w:rPr>
          <w:rFonts w:ascii="Arial" w:cs="Arial" w:eastAsia="Arial" w:hAnsi="Arial"/>
          <w:sz w:val="18"/>
          <w:szCs w:val="18"/>
          <w:color w:val="auto"/>
        </w:rPr>
        <w:t>The underwriters have agreed to purchase the shares from the selling stockholders at a price of $</w:t>
      </w:r>
      <w:r>
        <w:rPr>
          <w:sz w:val="20"/>
          <w:szCs w:val="20"/>
          <w:color w:val="auto"/>
        </w:rPr>
        <w:tab/>
      </w:r>
      <w:r>
        <w:rPr>
          <w:rFonts w:ascii="Arial" w:cs="Arial" w:eastAsia="Arial" w:hAnsi="Arial"/>
          <w:sz w:val="16"/>
          <w:szCs w:val="16"/>
          <w:color w:val="auto"/>
        </w:rPr>
        <w:t>per share, which will result in</w:t>
      </w:r>
    </w:p>
    <w:p>
      <w:pPr>
        <w:spacing w:after="0" w:line="23" w:lineRule="exact"/>
        <w:rPr>
          <w:sz w:val="20"/>
          <w:szCs w:val="20"/>
          <w:color w:val="auto"/>
        </w:rPr>
      </w:pPr>
    </w:p>
    <w:p>
      <w:pPr>
        <w:ind w:left="120" w:right="40" w:hanging="4"/>
        <w:spacing w:after="0" w:line="252" w:lineRule="auto"/>
        <w:tabs>
          <w:tab w:leader="none" w:pos="9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 proceeds to the selling stockholders before expenses. The underwriters propose to offer the shares of our common stock from time to time for sale in one or more transactions on the NYSE, in the over-the-counter market, through negotiated transactions or otherwise at market prices prevailing at the time of sale, at prices related to prevailing market prices or at negotiated prices. In connection with the sale of the shares of our common stock offered hereby, the underwriters may be deemed to have received compensation in the form of an underwriting discount. The underwriters may effect such transactions by selling shares of our common stock to or through dealers, and such dealers may receive compensation in the form of discounts, concessions or commissions from the underwriters and/or purchasers of shares of our common stock for whom they may act as agents or to whom they may sell as principal.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difference between the price at which the underwriters purchase shares and the price at which the underwriter resells such shares may be deemed underwriting compensation. The aggregate maximum discount, commission or agency fees or other items constituting underwriting compensation to be received by any FINRA member or independent broker-dealer will not exceed 8% of the proceeds from this offering.</w:t>
      </w:r>
    </w:p>
    <w:p>
      <w:pPr>
        <w:spacing w:after="0" w:line="16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selling stockholders are expected to acquire the total number of shares being sold in this offering from Post pursuant to the debt-for-equity exchange. The pricing with respect to the debt-for-equity exchange will (i) be negotiated at arm’s length, (ii) involve a fixed dollar amount and (iii) not contain any variable component. See “—The Debt-for-Equity Exchange.”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estimate that our share of the total expenses of the offering, excluding underwriting discounts and commissions, will be approximately</w:t>
      </w:r>
    </w:p>
    <w:p>
      <w:pPr>
        <w:spacing w:after="0" w:line="35" w:lineRule="exact"/>
        <w:rPr>
          <w:sz w:val="20"/>
          <w:szCs w:val="20"/>
          <w:color w:val="auto"/>
        </w:rPr>
      </w:pPr>
    </w:p>
    <w:p>
      <w:pPr>
        <w:ind w:left="920" w:hanging="80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We have also agreed to reimburse the underwriters for certain of their expenses in an amount up to $30,000.</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redeemable or exchangeable for our common stock (such shares of common stock or such other securities collectively, the “Locked-Up Securities”) or (ii) enter into any swap or other arrangement that transfers to another, in whole or in part, any of the economic consequences of ownership of our common stock, whether any such transaction described in clause (i) or (ii) above is to be settled by delivery of our common stock or such other securities, in cash or otherwise, in each case without the prior consent of J.P. Morgan Securities LLC and Barclays Capital Inc., on behalf of the underwriters, for a period of 60 days after the date of this prospectus (the “Restricted Period”). Notwithstanding the foregoing, the underwriters have agreed that the foregoing restrictions will not apply to us with respect to (a) the sale of the shares of our common stock in this offering, (b) the issuance by us of any shares of common stock upon the exercise of an option or warrant or the conversion of a security outstanding on the date of this prospectus, (c) any grants under our equity or stock plans in accordance with the terms of such plans as described in this prospectus, as such plans may be amended, and the filing of any registration statement on Form S-8 with respect thereto, (d) the establishment of a trading plan pursuant to Rule 10b5-1 under the Exchange Act for the transfer of shares of our common stock subject to certain conditions and restrictions and (e) our common stock or rights to receive our common stock (including securities convertible into or exercisable or exchangeable for our common stock) issued or contemplated to be issued in connection with an acquisition or with a strategic or minority investment transaction subject to certain conditions and restrictions.</w:t>
      </w:r>
    </w:p>
    <w:p>
      <w:pPr>
        <w:spacing w:after="0" w:line="18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addition, Post, our executive officers and our directors have entered into lock-up agreements with the underwriters prior to the commencement of this offering pursuant to which, for a period of 60 days after the date of this prospectus, they may not, subject to customary exceptions, without the prior written consent of J.P. Morgan Securities LLC and Barclays Capital Inc., on behalf of the underwriters, directly or indirectly, subject to certain exceptions, (i) offer, pledge, sell, contract to sell, sell any option or contract to purchase, purchase any option or contract to sell, grant any option, right or warrant to purchase, lend, or otherwise transfer or dispose of, directly or indirectly, any shares of common stock beneficially owned or any other securities so owned convertible into or exercisable, redeemable or exchangeable for common stock (including, without limitation, stock options, warrants or such other securities which may be deemed to be beneficially owned by the signees in accordance with the rules and regulations of the SEC, and in each case are convertible into or exercisable, redeemable or exchangeable for common stock) or (ii) enter into any swap or other arrangement that transfers to another, in whole or in part, any of the economic consequences of ownership of our common stock, whether any such transaction described in clause (1) or (2) above is to be settled by delivery of common stock or such other securities, in cash or otherwise.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addition, notwithstanding the lock-up agreements applicable to Post, our executive officers and our directors, the underwriters have agreed that Post, our executive officers and directors may, subject to certain restrictions, (1) if the signee is a natural person, make transfers of shares of our common stock or any security convertible into shares of our common stock as a bona fide gift or through the laws of succession, (2) make distributions of shares of our common stock or any security convertible into shares of our common stock to limited partners or stockholders, (3) make transfers of shares of our common stock or any security convertible into shares of our common stock to a trust for their or their immediate family’s direct or indirect benefit, (4) make transfer of shares of our common stock or any security convertible into shares of our common stock to a nominee or a custodian of a person or entity to whom a disposition or transfer would be permissible under clauses (1)-(3), (5) establish a trading plan that complies with Rule 10b5-1 under the Exchange Act, provided that such plan does not provide for the transfer of common stock during the Restricted Period, (6) surrender shares of our common stock or any security convertible into shares of our common stock to us in payment of the exercise price of any options, in all such cases pursuant to equity awards granted under a stock incentive or other equity plan which is described in this prospectus (including the documents incorporated herein by reference), (7) make sales or dispositions of shares of our common stock solely for the purpose of sufficiently covering tax obligations which arise from the exercise or vesting of stock options, stock-settled stock appreciation rights, restricted stock units or other equity interests, in all such cases pursuant to equity awards granted under a stock incentive or other equity award plan described in this prospectus (including the documents incorporated by reference herein), (8) make offers and sales of our common stock in this offering, (9) make transfers of shares of our common stock or any security convertible into shares of our common stock acquired in open market transactions following completion of the offering of common stock described herein, (10) make transfers of our common stock pursuant to a bona fide third-party tender offer, merger, consolidation or similar transaction involving a change of control, (11) make transfers of shares of our common stock or any security convertible into shares of our common stock pursuant to an order of a court or regulatory agency or to comply with any regulations related to ownership of our common stock or our securities convertible into shares of our common stock or (12) make any transfers to us or our subsidiaries pursuant to any call or put provisions of existing employment agreements and equity grant documents or upon death, disability or termination of employment.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NYSE under the ticker symbol “BRBR”.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shares of our common stock. However, the underwriters may engage in transactions that stabilize the price of our common stock, such as bids or purchases to peg, fix or maintain that price.</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connection with the offering, the underwriters may purchase and sell shares of our common stock in the open market. These transactions may include short sales, purchases in the open market to cover positions created by short sales and stabilizing transactions. Short sales involve the sale by the underwriters of a greater number of shares than they are required to purchase in the offering, and purchasing shares of common stock on the open market to cover positions created by short sales.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6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price that might otherwise exist in the open market. The underwriters may conduct these transactions on the NYSE, in the over-the-counter market or otherwise.</w:t>
      </w:r>
    </w:p>
    <w:p>
      <w:pPr>
        <w:spacing w:after="0" w:line="170" w:lineRule="exact"/>
        <w:rPr>
          <w:sz w:val="20"/>
          <w:szCs w:val="20"/>
          <w:color w:val="auto"/>
        </w:rPr>
      </w:pPr>
    </w:p>
    <w:p>
      <w:pPr>
        <w:ind w:left="120" w:right="480" w:firstLine="440"/>
        <w:spacing w:after="0" w:line="279" w:lineRule="auto"/>
        <w:rPr>
          <w:sz w:val="20"/>
          <w:szCs w:val="20"/>
          <w:color w:val="auto"/>
        </w:rPr>
      </w:pPr>
      <w:r>
        <w:rPr>
          <w:rFonts w:ascii="Arial" w:cs="Arial" w:eastAsia="Arial" w:hAnsi="Arial"/>
          <w:sz w:val="17"/>
          <w:szCs w:val="17"/>
          <w:color w:val="auto"/>
        </w:rPr>
        <w:t>None of us, the selling stockholders and the underwriters (nor any of our or their affiliates) make any representation or prediction as to the direction or magnitude of any effect that the transactions described above may have on the price of our common stock. In addition, none of us, the selling stockholders and the underwriters (nor any of our or their affiliates) make any representation that the underwriters will engage in these transactions or that these transactions, once commenced, will not be discontinued without notice.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connection with the offering, the underwriters or securities dealers may distribute prospectuses by electronic means, such as e-mail.</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Because certain of the underwriters, J.P. Morgan Securities LLC, Barclays Capital Inc., Citigroup Global Markets Inc., Goldman Sachs &amp; Co. LLC and Morgan Stanley &amp; Co. LLC, will receive 5% or more of the net proceeds of this offering as the selling stockholders, such underwriters are deemed to have a “conflict of interest” under FINRA Rule 5121. Accordingly, this offering will be conducted in compliance with the requirements of Rule 5121. The appointment of a “qualified independent underwriter” is not required in connection with this offering because a “bona fide public market,” as defined in Rule 5121, exists for our common stock. In accordance with FINRA Rule 5121, such underwriters will not confirm any sales to any account over which they exercise discretionary authority without the specific written approval of the transaction from the account holder.</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financial and brokerage activities. The underwriters and their respective affiliates have provided, and may in the future provide, a variety of these services to us, Post and to persons and entities with relationships with us, for which they received or will receive customary fees and expenses.</w:t>
      </w:r>
    </w:p>
    <w:p>
      <w:pPr>
        <w:spacing w:after="0" w:line="15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accounts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J.P. Morgan Securities LLC, Barclays Capital Inc., Morgan Stanley &amp; Co. LLC, Citigroup Global Markets Inc. and Goldman Sachs &amp; Co. LLC, each of whom is acting as an underwriter in this offering, is also acting as a selling stockholder in this offering in connection with the debt-for-equity exchange described in following paragraph.</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Debt-for-Equity Exchange</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Post and the selling stockholders or their respective affiliates expect to enter into a debt-for-equity exchange agreement on or about the date of this prospectus supplement. Under the debt-for-equity exchange agreement, Post expects to exchange the shares of common stock to be sold in this offering for certain existing indebtedness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Post held by the selling stockholders or their respective affiliates. The selling stockholders will then sell those shares to the underwriters for cash.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Upon completion of the debt-for-equity exchange, the Post indebtedness exchanged in such debt-for-equity exchange will be retired.</w:t>
      </w:r>
    </w:p>
    <w:p>
      <w:pPr>
        <w:spacing w:after="0" w:line="21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pricing with respect to the debt-for-equity exchange will (i) be negotiated at arm’s length, (ii) involve a fixed dollar amount and (iii) not contain any variable component. The selling stockholders will acquire and sell the shares of common stock as principal for their own respective accounts, rather than on Post’s behalf. Under the debt-for-equity exchange agreement described above, the selling stockholders will become the owner of our shares of common stock that they acquire in the debt-for-equity exchange as of or before the settlement date of this offering and the Post indebtedness exchanged in such debt-for-equity exchange will be retired. The selling stockholders, and neither we nor Post, will receive the net proceeds from the sale of the shares in this offering.</w:t>
      </w:r>
    </w:p>
    <w:p>
      <w:pPr>
        <w:spacing w:after="0" w:line="192"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Under U.S. federal securities laws, each of the selling stockholders will be deemed to be an underwriter with respect to any shares of common stock that it acquires in the debt-for-equity exchange and sells in this offering; however, references to the underwriters in this prospectus supplement refer only to the underwriters listed in the first paragraph of this “Underwriting (Conflicts of Interest)” section and acting in their capacity as underwriters. Post may be deemed to be a selling stockholder solely for U.S. federal securities law purposes with respect to any shares of common stock that the selling stockholders acquire from Post in the debt-for-equity exchange and sells in this offering.</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121" w:lineRule="exact"/>
        <w:rPr>
          <w:sz w:val="20"/>
          <w:szCs w:val="20"/>
          <w:color w:val="auto"/>
        </w:rPr>
      </w:pPr>
    </w:p>
    <w:p>
      <w:pPr>
        <w:jc w:val="both"/>
        <w:ind w:left="120" w:right="8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“Member State”), no shares of common stock have been offered or will be offered pursuant to this offering to the public in that Member State prior to the publication of a prospectus in relation to the shares of common stock which has been approved by the competent authority in that Member State or, where appropriate, approved in another Member State and notified to the competent authority in that Member State, all in accordance with the Prospectus Regulation, except that offers of shares of common stock may be made to the public in that Member State at any time:</w:t>
      </w:r>
    </w:p>
    <w:p>
      <w:pPr>
        <w:spacing w:after="0" w:line="188" w:lineRule="exact"/>
        <w:rPr>
          <w:sz w:val="20"/>
          <w:szCs w:val="20"/>
          <w:color w:val="auto"/>
        </w:rPr>
      </w:pPr>
    </w:p>
    <w:p>
      <w:pPr>
        <w:ind w:left="800" w:hanging="24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225" w:lineRule="exact"/>
        <w:rPr>
          <w:rFonts w:ascii="Arial" w:cs="Arial" w:eastAsia="Arial" w:hAnsi="Arial"/>
          <w:sz w:val="18"/>
          <w:szCs w:val="18"/>
          <w:color w:val="auto"/>
        </w:rPr>
      </w:pPr>
    </w:p>
    <w:p>
      <w:pPr>
        <w:ind w:left="120" w:right="240" w:firstLine="436"/>
        <w:spacing w:after="0" w:line="277"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underwriters for any such offer; or</w:t>
      </w:r>
    </w:p>
    <w:p>
      <w:pPr>
        <w:spacing w:after="0" w:line="170" w:lineRule="exact"/>
        <w:rPr>
          <w:rFonts w:ascii="Arial" w:cs="Arial" w:eastAsia="Arial" w:hAnsi="Arial"/>
          <w:sz w:val="18"/>
          <w:szCs w:val="18"/>
          <w:color w:val="auto"/>
        </w:rPr>
      </w:pPr>
    </w:p>
    <w:p>
      <w:pPr>
        <w:ind w:left="800" w:hanging="24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provided that no such offer of shares of common stock shall require us or any underwriter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shares of common stock in any Member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121"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No shares of common stock have been offered or will be offered pursuant to this offering to the public in the United Kingdom prior to the publication of a prospectus in relation to the shares of common stock which has been approved by the Financial Conduct Authority, except that the shares of common stock may be offered to the public in the United Kingdom at any time:</w:t>
      </w:r>
    </w:p>
    <w:p>
      <w:pPr>
        <w:spacing w:after="0" w:line="184" w:lineRule="exact"/>
        <w:rPr>
          <w:sz w:val="20"/>
          <w:szCs w:val="20"/>
          <w:color w:val="auto"/>
        </w:rPr>
      </w:pPr>
    </w:p>
    <w:p>
      <w:pPr>
        <w:ind w:left="5460" w:right="2560" w:hanging="4904"/>
        <w:spacing w:after="0" w:line="449" w:lineRule="auto"/>
        <w:tabs>
          <w:tab w:leader="none" w:pos="8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 S-23</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36"/>
        <w:spacing w:after="0" w:line="277"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underwriters for any such offer; or</w:t>
      </w:r>
    </w:p>
    <w:p>
      <w:pPr>
        <w:spacing w:after="0" w:line="170" w:lineRule="exact"/>
        <w:rPr>
          <w:rFonts w:ascii="Arial" w:cs="Arial" w:eastAsia="Arial" w:hAnsi="Arial"/>
          <w:sz w:val="18"/>
          <w:szCs w:val="18"/>
          <w:color w:val="auto"/>
        </w:rPr>
      </w:pPr>
    </w:p>
    <w:p>
      <w:pPr>
        <w:ind w:left="800" w:hanging="244"/>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(the “FSMA”).</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provided that no such offer of the shares of common stock shall require us or any underwriter to publish a prospectus pursuant to Section 85 of the FSMA or supplement a prospectus pursuant to Article 23 of the UK Prospectus Regulation.</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of common stock in the United Kingdom means the communication in any form and by any means of sufficient information on the terms of the offer and any shares of common stock to be offered so as to enable an investor to decide to purchase or subscribe for any shares of common stock and the expression “UK Prospectus Regulation” means Regulation (EU) 2017/1129 as it forms part of domestic law by virtue of the European Union (Withdrawal) Act 2018.</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Canada</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Hong Kong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w:t>
      </w:r>
    </w:p>
    <w:p>
      <w:pPr>
        <w:spacing w:after="0" w:line="46" w:lineRule="exact"/>
        <w:rPr>
          <w:sz w:val="20"/>
          <w:szCs w:val="20"/>
          <w:color w:val="auto"/>
        </w:rPr>
      </w:pPr>
    </w:p>
    <w:p>
      <w:pPr>
        <w:ind w:left="120" w:hanging="4"/>
        <w:spacing w:after="0" w:line="268" w:lineRule="auto"/>
        <w:tabs>
          <w:tab w:leader="none" w:pos="36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Singapore</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Each underwriter has acknowledged that this prospectus supplement has not been registered as a prospectus with the Monetary Authority of Singapore. Accordingly, each underwriter has represented and agreed that it has not offered or sold any shares of common stock or caused the shares of common stock to be made the subject of an invitation for subscription or purchase and will not offer or sell any shares of common stock or cause the shares of common stock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of common stock, whether directly or indirectly, to any person in Singapore other than:</w:t>
      </w:r>
    </w:p>
    <w:p>
      <w:pPr>
        <w:spacing w:after="0" w:line="178" w:lineRule="exact"/>
        <w:rPr>
          <w:sz w:val="20"/>
          <w:szCs w:val="20"/>
          <w:color w:val="auto"/>
        </w:rPr>
      </w:pPr>
    </w:p>
    <w:p>
      <w:pPr>
        <w:ind w:left="120" w:right="260" w:firstLine="436"/>
        <w:spacing w:after="0" w:line="277" w:lineRule="auto"/>
        <w:tabs>
          <w:tab w:leader="none" w:pos="8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275(1A) of the SFA, and in accordance with the conditions specified in Section 275 of the SFA; or</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 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225" w:lineRule="exact"/>
        <w:rPr>
          <w:sz w:val="20"/>
          <w:szCs w:val="20"/>
          <w:color w:val="auto"/>
        </w:rPr>
      </w:pPr>
    </w:p>
    <w:p>
      <w:pPr>
        <w:ind w:left="120" w:right="20" w:firstLine="436"/>
        <w:spacing w:after="0" w:line="277" w:lineRule="auto"/>
        <w:tabs>
          <w:tab w:leader="none" w:pos="8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0" w:lineRule="exact"/>
        <w:rPr>
          <w:rFonts w:ascii="Arial" w:cs="Arial" w:eastAsia="Arial" w:hAnsi="Arial"/>
          <w:sz w:val="18"/>
          <w:szCs w:val="18"/>
          <w:color w:val="auto"/>
        </w:rPr>
      </w:pPr>
    </w:p>
    <w:p>
      <w:pPr>
        <w:ind w:left="120" w:right="540" w:firstLine="436"/>
        <w:spacing w:after="0" w:line="277"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84" w:lineRule="exact"/>
        <w:rPr>
          <w:sz w:val="20"/>
          <w:szCs w:val="20"/>
          <w:color w:val="auto"/>
        </w:rPr>
      </w:pPr>
    </w:p>
    <w:p>
      <w:pPr>
        <w:ind w:left="120" w:right="20" w:firstLine="436"/>
        <w:spacing w:after="0" w:line="277" w:lineRule="auto"/>
        <w:tabs>
          <w:tab w:leader="none" w:pos="7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880" w:hanging="3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rFonts w:ascii="Arial" w:cs="Arial" w:eastAsia="Arial" w:hAnsi="Arial"/>
          <w:sz w:val="18"/>
          <w:szCs w:val="18"/>
          <w:color w:val="auto"/>
        </w:rPr>
      </w:pPr>
    </w:p>
    <w:p>
      <w:pPr>
        <w:ind w:left="860" w:hanging="30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5" w:lineRule="exact"/>
        <w:rPr>
          <w:rFonts w:ascii="Arial" w:cs="Arial" w:eastAsia="Arial" w:hAnsi="Arial"/>
          <w:sz w:val="18"/>
          <w:szCs w:val="18"/>
          <w:color w:val="auto"/>
        </w:rPr>
      </w:pPr>
    </w:p>
    <w:p>
      <w:pPr>
        <w:ind w:left="120" w:right="180" w:firstLine="436"/>
        <w:spacing w:after="0" w:line="277"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70"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Singapore SFA Product Classification—In connection with Section 309B of the SFA and the CMP Regulations 2018, unless otherwise specified before an offer of shares of common stock, the Company has determined, and hereby notifies all relevant persons (as defined in Section 309A(1) of the SFA), that the shares of common stock are “prescribed capital markets products” (as defined in the CMP Regulations 2018) and</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060"/>
          </w:cols>
          <w:pgMar w:left="320" w:top="459"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Excluded Investment Products (as defined in MAS Notice SFA 04-N12: Notice on the Sale of Investment Products and MAS Notice FAA-N16: Notice on Recommendations on Investment Products).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Japan</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shares of common stock have not been and will not be registered pursuant to Article 4, Paragraph 1 of the Financial Instruments and Exchange Act. Accordingly, none of the shares of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040"/>
          </w:cols>
          <w:pgMar w:left="320" w:top="459" w:right="5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validity of the shares of our common stock offered by this prospectus supplement will be passed upon for us by Simpson Thacher &amp; Bartlett LLP, New York, New York. Certain legal matters relating to this offering will be passed upon for the underwriters by Latham &amp; Watkins LLP, New York, New York.</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financial statements of BellRing Brands, Inc. and management’s assessment of the effectiveness of internal control over financial reporting (which is included in Management’s Report on Internal Control over Financial Reporting) incorporated in this prospectus supplement by reference to BellRing Brands, Inc.’s Annual Report on Form 10-K for the year ended September 30, 2021 have been so incorporated in reliance on the report of PricewaterhouseCoopers LLP, an independent registered public accounting firm, given on the authority of said firm as experts in auditing and accounting.</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have filed with the SEC a registration statement on Form S-3 under the Securities Act with respect to the common stock offered by this prospectus supplement. This prospectus supplement and the accompanying prospectus are part of the registration statement and therefore do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supplement and the accompanying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w:t>
      </w:r>
    </w:p>
    <w:p>
      <w:pPr>
        <w:spacing w:after="0" w:line="16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We file annual, quarterly and special reports and other information with the SEC. Our filings with the SEC, including the filings that are incorporated by reference to this prospectus supplement and accompanying prospectus, are available to the public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Those filings will also be available to the public on, or accessible through, our corporate website at </w:t>
      </w:r>
      <w:r>
        <w:rPr>
          <w:rFonts w:ascii="Arial" w:cs="Arial" w:eastAsia="Arial" w:hAnsi="Arial"/>
          <w:sz w:val="16"/>
          <w:szCs w:val="16"/>
          <w:i w:val="1"/>
          <w:iCs w:val="1"/>
          <w:color w:val="auto"/>
        </w:rPr>
        <w:t>www.bellring.com</w:t>
      </w:r>
      <w:r>
        <w:rPr>
          <w:rFonts w:ascii="Arial" w:cs="Arial" w:eastAsia="Arial" w:hAnsi="Arial"/>
          <w:sz w:val="16"/>
          <w:szCs w:val="16"/>
          <w:color w:val="auto"/>
        </w:rPr>
        <w:t>. The information we file with the SEC or contained on or accessible through our corporate website or any other website that we may maintain is not part of this prospectus supplement, the accompanying prospectus or the registration statement of which this prospectus supplement and the accompanying prospectus are a part.</w:t>
      </w: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rules of the SEC allow us to incorporate by reference into this prospectus supplement and the accompanying prospectus the information we file with the SEC. This means that we are disclosing important information to you by referring to other documents. The information incorporated by reference is considered to be part of this prospectus supplement and the accompanying prospectus, except for any information superseded by information contained directly in this prospectus supplement. We incorporate by reference the documents listed below (other than any portions thereof which, under the Exchange Act and applicable SEC rules, are not deemed “filed” under the Exchange Act):</w:t>
      </w:r>
    </w:p>
    <w:p>
      <w:pPr>
        <w:spacing w:after="0" w:line="67" w:lineRule="exact"/>
        <w:rPr>
          <w:sz w:val="20"/>
          <w:szCs w:val="20"/>
          <w:color w:val="auto"/>
        </w:rPr>
      </w:pPr>
    </w:p>
    <w:p>
      <w:pPr>
        <w:ind w:left="1080" w:right="6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2">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September 30, 2021 filed with the SEC on November 19, 2021 (including information specifically incorporated by reference into such Annual Report on Form 10-K from our </w:t>
      </w:r>
      <w:hyperlink r:id="rId53">
        <w:r>
          <w:rPr>
            <w:rFonts w:ascii="Arial" w:cs="Arial" w:eastAsia="Arial" w:hAnsi="Arial"/>
            <w:sz w:val="18"/>
            <w:szCs w:val="18"/>
            <w:u w:val="single" w:color="auto"/>
            <w:color w:val="0000EE"/>
          </w:rPr>
          <w:t>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our 2022 Annual Meeting of Stockholders filed on December 29, 2021);</w:t>
      </w:r>
    </w:p>
    <w:p>
      <w:pPr>
        <w:spacing w:after="0" w:line="116"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77" w:lineRule="auto"/>
        <w:tabs>
          <w:tab w:leader="none" w:pos="1080" w:val="left"/>
        </w:tabs>
        <w:numPr>
          <w:ilvl w:val="0"/>
          <w:numId w:val="24"/>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December 31, 2021, March 31, 2022 and June 30, 2022, filed with the SEC on </w:t>
      </w:r>
      <w:hyperlink r:id="rId55">
        <w:r>
          <w:rPr>
            <w:rFonts w:ascii="Arial" w:cs="Arial" w:eastAsia="Arial" w:hAnsi="Arial"/>
            <w:sz w:val="18"/>
            <w:szCs w:val="18"/>
            <w:u w:val="single" w:color="auto"/>
            <w:color w:val="0000EE"/>
          </w:rPr>
          <w:t>February 4,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6">
        <w:r>
          <w:rPr>
            <w:rFonts w:ascii="Arial" w:cs="Arial" w:eastAsia="Arial" w:hAnsi="Arial"/>
            <w:sz w:val="18"/>
            <w:szCs w:val="18"/>
            <w:u w:val="single" w:color="auto"/>
            <w:color w:val="0000EE"/>
          </w:rPr>
          <w:t xml:space="preserve">May 6, 2022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57">
        <w:r>
          <w:rPr>
            <w:rFonts w:ascii="Arial" w:cs="Arial" w:eastAsia="Arial" w:hAnsi="Arial"/>
            <w:sz w:val="18"/>
            <w:szCs w:val="18"/>
            <w:u w:val="single" w:color="auto"/>
            <w:color w:val="0000EE"/>
          </w:rPr>
          <w:t>August 5,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 and</w:t>
      </w:r>
    </w:p>
    <w:p>
      <w:pPr>
        <w:spacing w:after="0" w:line="75" w:lineRule="exact"/>
        <w:rPr>
          <w:rFonts w:ascii="Arial" w:cs="Arial" w:eastAsia="Arial" w:hAnsi="Arial"/>
          <w:sz w:val="18"/>
          <w:szCs w:val="18"/>
          <w:color w:val="0000EE"/>
        </w:rPr>
      </w:pPr>
    </w:p>
    <w:p>
      <w:pPr>
        <w:ind w:left="1080" w:hanging="424"/>
        <w:spacing w:after="0" w:line="286" w:lineRule="auto"/>
        <w:tabs>
          <w:tab w:leader="none" w:pos="1080" w:val="left"/>
        </w:tabs>
        <w:numPr>
          <w:ilvl w:val="0"/>
          <w:numId w:val="24"/>
        </w:numPr>
        <w:rPr>
          <w:rFonts w:ascii="Arial" w:cs="Arial" w:eastAsia="Arial" w:hAnsi="Arial"/>
          <w:sz w:val="17"/>
          <w:szCs w:val="17"/>
          <w:color w:val="0000EE"/>
        </w:rPr>
      </w:pPr>
      <w:r>
        <w:rPr>
          <w:rFonts w:ascii="Arial" w:cs="Arial" w:eastAsia="Arial" w:hAnsi="Arial"/>
          <w:sz w:val="17"/>
          <w:szCs w:val="17"/>
          <w:color w:val="auto"/>
        </w:rPr>
        <w:t xml:space="preserve">our Current Reports on Form 8-K filed with the SEC on </w:t>
      </w:r>
      <w:hyperlink r:id="rId58">
        <w:r>
          <w:rPr>
            <w:rFonts w:ascii="Arial" w:cs="Arial" w:eastAsia="Arial" w:hAnsi="Arial"/>
            <w:sz w:val="17"/>
            <w:szCs w:val="17"/>
            <w:u w:val="single" w:color="auto"/>
            <w:color w:val="0000EE"/>
          </w:rPr>
          <w:t>October 27, 2021</w:t>
        </w:r>
      </w:hyperlink>
      <w:r>
        <w:rPr>
          <w:rFonts w:ascii="Arial" w:cs="Arial" w:eastAsia="Arial" w:hAnsi="Arial"/>
          <w:sz w:val="17"/>
          <w:szCs w:val="17"/>
          <w:color w:val="auto"/>
        </w:rPr>
        <w:t xml:space="preserve">, </w:t>
      </w:r>
      <w:hyperlink r:id="rId59">
        <w:r>
          <w:rPr>
            <w:rFonts w:ascii="Arial" w:cs="Arial" w:eastAsia="Arial" w:hAnsi="Arial"/>
            <w:sz w:val="17"/>
            <w:szCs w:val="17"/>
            <w:u w:val="single" w:color="auto"/>
            <w:color w:val="0000EE"/>
          </w:rPr>
          <w:t>December 17, 2021</w:t>
        </w:r>
      </w:hyperlink>
      <w:r>
        <w:rPr>
          <w:rFonts w:ascii="Arial" w:cs="Arial" w:eastAsia="Arial" w:hAnsi="Arial"/>
          <w:sz w:val="17"/>
          <w:szCs w:val="17"/>
          <w:color w:val="auto"/>
        </w:rPr>
        <w:t xml:space="preserve">, </w:t>
      </w:r>
      <w:hyperlink r:id="rId60">
        <w:r>
          <w:rPr>
            <w:rFonts w:ascii="Arial" w:cs="Arial" w:eastAsia="Arial" w:hAnsi="Arial"/>
            <w:sz w:val="17"/>
            <w:szCs w:val="17"/>
            <w:u w:val="single" w:color="auto"/>
            <w:color w:val="0000EE"/>
          </w:rPr>
          <w:t>February 14, 2022</w:t>
        </w:r>
      </w:hyperlink>
      <w:r>
        <w:rPr>
          <w:rFonts w:ascii="Arial" w:cs="Arial" w:eastAsia="Arial" w:hAnsi="Arial"/>
          <w:sz w:val="17"/>
          <w:szCs w:val="17"/>
          <w:color w:val="auto"/>
        </w:rPr>
        <w:t xml:space="preserve">, </w:t>
      </w:r>
      <w:hyperlink r:id="rId61">
        <w:r>
          <w:rPr>
            <w:rFonts w:ascii="Arial" w:cs="Arial" w:eastAsia="Arial" w:hAnsi="Arial"/>
            <w:sz w:val="17"/>
            <w:szCs w:val="17"/>
            <w:u w:val="single" w:color="auto"/>
            <w:color w:val="0000EE"/>
          </w:rPr>
          <w:t>February 22, 2022</w:t>
        </w:r>
      </w:hyperlink>
      <w:r>
        <w:rPr>
          <w:rFonts w:ascii="Arial" w:cs="Arial" w:eastAsia="Arial" w:hAnsi="Arial"/>
          <w:sz w:val="17"/>
          <w:szCs w:val="17"/>
          <w:color w:val="auto"/>
        </w:rPr>
        <w:t xml:space="preserve">, </w:t>
      </w:r>
      <w:hyperlink r:id="rId62">
        <w:r>
          <w:rPr>
            <w:rFonts w:ascii="Arial" w:cs="Arial" w:eastAsia="Arial" w:hAnsi="Arial"/>
            <w:sz w:val="17"/>
            <w:szCs w:val="17"/>
            <w:u w:val="single" w:color="auto"/>
            <w:color w:val="0000EE"/>
          </w:rPr>
          <w:t>February 24, 2022</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February 28, 2022</w:t>
        </w:r>
        <w:r>
          <w:rPr>
            <w:rFonts w:ascii="Arial" w:cs="Arial" w:eastAsia="Arial" w:hAnsi="Arial"/>
            <w:sz w:val="17"/>
            <w:szCs w:val="17"/>
            <w:color w:val="0000EE"/>
          </w:rPr>
          <w:t xml:space="preserve"> </w:t>
        </w:r>
        <w:r>
          <w:rPr>
            <w:rFonts w:ascii="Arial" w:cs="Arial" w:eastAsia="Arial" w:hAnsi="Arial"/>
            <w:sz w:val="17"/>
            <w:szCs w:val="17"/>
            <w:color w:val="000000"/>
          </w:rPr>
          <w:t>(as to the Form 8-Ks including Item 1.01, Item 5.04 and Item 8.01 only),</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March 1, 2022</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March 8,</w:t>
        </w:r>
      </w:hyperlink>
      <w:r>
        <w:rPr>
          <w:rFonts w:ascii="Arial" w:cs="Arial" w:eastAsia="Arial" w:hAnsi="Arial"/>
          <w:sz w:val="17"/>
          <w:szCs w:val="17"/>
          <w:color w:val="0000EE"/>
        </w:rPr>
        <w:t xml:space="preserve"> </w:t>
      </w:r>
      <w:hyperlink r:id="rId62">
        <w:r>
          <w:rPr>
            <w:rFonts w:ascii="Arial" w:cs="Arial" w:eastAsia="Arial" w:hAnsi="Arial"/>
            <w:sz w:val="17"/>
            <w:szCs w:val="17"/>
            <w:u w:val="single" w:color="auto"/>
            <w:color w:val="0000EE"/>
          </w:rPr>
          <w:t>2022</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63">
        <w:r>
          <w:rPr>
            <w:rFonts w:ascii="Arial" w:cs="Arial" w:eastAsia="Arial" w:hAnsi="Arial"/>
            <w:sz w:val="17"/>
            <w:szCs w:val="17"/>
            <w:u w:val="single" w:color="auto"/>
            <w:color w:val="0000EE"/>
          </w:rPr>
          <w:t>March 10, 2022</w:t>
        </w:r>
      </w:hyperlink>
      <w:hyperlink r:id="rId62">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64">
        <w:r>
          <w:rPr>
            <w:rFonts w:ascii="Arial" w:cs="Arial" w:eastAsia="Arial" w:hAnsi="Arial"/>
            <w:sz w:val="17"/>
            <w:szCs w:val="17"/>
            <w:u w:val="single" w:color="auto"/>
            <w:color w:val="0000EE"/>
          </w:rPr>
          <w:t>March 10, 2022</w:t>
        </w:r>
      </w:hyperlink>
      <w:hyperlink r:id="rId62">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65">
        <w:r>
          <w:rPr>
            <w:rFonts w:ascii="Arial" w:cs="Arial" w:eastAsia="Arial" w:hAnsi="Arial"/>
            <w:sz w:val="17"/>
            <w:szCs w:val="17"/>
            <w:u w:val="single" w:color="auto"/>
            <w:color w:val="0000EE"/>
          </w:rPr>
          <w:t>March 16, 2022</w:t>
        </w:r>
      </w:hyperlink>
      <w:hyperlink r:id="rId62">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66">
        <w:r>
          <w:rPr>
            <w:rFonts w:ascii="Arial" w:cs="Arial" w:eastAsia="Arial" w:hAnsi="Arial"/>
            <w:sz w:val="17"/>
            <w:szCs w:val="17"/>
            <w:u w:val="single" w:color="auto"/>
            <w:color w:val="0000EE"/>
          </w:rPr>
          <w:t>April 6, 2022</w:t>
        </w:r>
      </w:hyperlink>
      <w:hyperlink r:id="rId62">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67">
        <w:r>
          <w:rPr>
            <w:rFonts w:ascii="Arial" w:cs="Arial" w:eastAsia="Arial" w:hAnsi="Arial"/>
            <w:sz w:val="17"/>
            <w:szCs w:val="17"/>
            <w:u w:val="single" w:color="auto"/>
            <w:color w:val="0000EE"/>
          </w:rPr>
          <w:t xml:space="preserve">May 23, 2022 </w:t>
        </w:r>
      </w:hyperlink>
      <w:hyperlink r:id="rId62">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68">
        <w:r>
          <w:rPr>
            <w:rFonts w:ascii="Arial" w:cs="Arial" w:eastAsia="Arial" w:hAnsi="Arial"/>
            <w:sz w:val="17"/>
            <w:szCs w:val="17"/>
            <w:u w:val="single" w:color="auto"/>
            <w:color w:val="0000EE"/>
          </w:rPr>
          <w:t>August 8, 2022</w:t>
        </w:r>
      </w:hyperlink>
      <w:hyperlink r:id="rId62">
        <w:r>
          <w:rPr>
            <w:rFonts w:ascii="Arial" w:cs="Arial" w:eastAsia="Arial" w:hAnsi="Arial"/>
            <w:sz w:val="17"/>
            <w:szCs w:val="17"/>
            <w:color w:val="000000"/>
          </w:rPr>
          <w:t>.</w:t>
        </w:r>
      </w:hyperlink>
    </w:p>
    <w:p>
      <w:pPr>
        <w:spacing w:after="0" w:line="165" w:lineRule="exact"/>
        <w:rPr>
          <w:rFonts w:ascii="Arial" w:cs="Arial" w:eastAsia="Arial" w:hAnsi="Arial"/>
          <w:sz w:val="17"/>
          <w:szCs w:val="17"/>
          <w:color w:val="0000EE"/>
        </w:rPr>
      </w:pPr>
    </w:p>
    <w:p>
      <w:pPr>
        <w:ind w:left="120" w:right="220" w:firstLine="440"/>
        <w:spacing w:after="0" w:line="263" w:lineRule="auto"/>
        <w:rPr>
          <w:sz w:val="20"/>
          <w:szCs w:val="20"/>
          <w:color w:val="auto"/>
        </w:rPr>
      </w:pPr>
      <w:r>
        <w:rPr>
          <w:rFonts w:ascii="Arial" w:cs="Arial" w:eastAsia="Arial" w:hAnsi="Arial"/>
          <w:sz w:val="18"/>
          <w:szCs w:val="18"/>
          <w:color w:val="auto"/>
        </w:rPr>
        <w:t>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supplement is also modified or superseded in the same manner.</w:t>
      </w:r>
    </w:p>
    <w:p>
      <w:pPr>
        <w:spacing w:after="0" w:line="184" w:lineRule="exact"/>
        <w:rPr>
          <w:rFonts w:ascii="Arial" w:cs="Arial" w:eastAsia="Arial" w:hAnsi="Arial"/>
          <w:sz w:val="17"/>
          <w:szCs w:val="17"/>
          <w:color w:val="0000EE"/>
        </w:rPr>
      </w:pPr>
    </w:p>
    <w:p>
      <w:pPr>
        <w:ind w:left="120" w:right="100" w:firstLine="440"/>
        <w:spacing w:after="0" w:line="259" w:lineRule="auto"/>
        <w:rPr>
          <w:sz w:val="20"/>
          <w:szCs w:val="20"/>
          <w:color w:val="auto"/>
        </w:rPr>
      </w:pPr>
      <w:r>
        <w:rPr>
          <w:rFonts w:ascii="Arial" w:cs="Arial" w:eastAsia="Arial" w:hAnsi="Arial"/>
          <w:sz w:val="18"/>
          <w:szCs w:val="18"/>
          <w:color w:val="auto"/>
        </w:rPr>
        <w:t>We will provide without charge to each person, including any beneficial owner, to whom a copy of this prospectus supplement is delivered, upon written or oral request of such person, a copy of any or all of the documents referred to above which have been incorporated by reference in this prospectus supplement. You should direct requests for those documents to BellRing Brands, Inc., 2503 S. Hanley Road, St. Louis, Missouri 63144; Attention: Corporate Secretary (telephone: (314) 644-7600).</w:t>
      </w:r>
    </w:p>
    <w:p>
      <w:pPr>
        <w:spacing w:after="0" w:line="187" w:lineRule="exact"/>
        <w:rPr>
          <w:rFonts w:ascii="Arial" w:cs="Arial" w:eastAsia="Arial" w:hAnsi="Arial"/>
          <w:sz w:val="17"/>
          <w:szCs w:val="17"/>
          <w:color w:val="0000EE"/>
        </w:rPr>
      </w:pPr>
    </w:p>
    <w:p>
      <w:pPr>
        <w:ind w:left="120" w:right="340" w:firstLine="440"/>
        <w:spacing w:after="0" w:line="277" w:lineRule="auto"/>
        <w:rPr>
          <w:sz w:val="20"/>
          <w:szCs w:val="20"/>
          <w:color w:val="auto"/>
        </w:rPr>
      </w:pPr>
      <w:r>
        <w:rPr>
          <w:rFonts w:ascii="Arial" w:cs="Arial" w:eastAsia="Arial" w:hAnsi="Arial"/>
          <w:sz w:val="18"/>
          <w:szCs w:val="18"/>
          <w:color w:val="auto"/>
        </w:rPr>
        <w:t>Exhibits to any documents incorporated by reference in this prospectus supplement will not be sent, however, unless those exhibits have been specifically referenced in this prospectus supplement.</w:t>
      </w:r>
    </w:p>
    <w:p>
      <w:pPr>
        <w:spacing w:after="0" w:line="103" w:lineRule="exact"/>
        <w:rPr>
          <w:rFonts w:ascii="Arial" w:cs="Arial" w:eastAsia="Arial" w:hAnsi="Arial"/>
          <w:sz w:val="17"/>
          <w:szCs w:val="17"/>
          <w:color w:val="0000EE"/>
        </w:rPr>
      </w:pPr>
    </w:p>
    <w:p>
      <w:pPr>
        <w:jc w:val="center"/>
        <w:ind w:right="-15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PROSPECTUS</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19,397,339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178435</wp:posOffset>
            </wp:positionV>
            <wp:extent cx="1380490" cy="668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138049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BellRing Brands, Inc.</w:t>
      </w: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248285</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This prospectus relates to the offer and sale from time to time by Post Holdings, Inc. (“Post”) and any selling stockholders identified in supplements to this prospectus (together with Post, the “Selling Stockholders”) of up to 19,397,339 shares of our common stock in amounts, at prices and on terms that will be decided at the time of any such offering. We will not receive any proceeds from the sale of shares of common stock by the Selling Stockholders pursuant to this prospectus.</w:t>
      </w:r>
    </w:p>
    <w:p>
      <w:pPr>
        <w:spacing w:after="0" w:line="18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common stock may be offered on a delayed or continued basis directly by the Selling Stockholders through agents or dealers, as designated from time to time, through a combination of these methods or any other method as provided in an applicable prospectus supplement. This prospectus describes some of the general terms that may apply to our common stock. A prospectus supplement may also add, update or change information contained in this prospectus. If any underwriters, dealers or agents are involved in the sale of the common stock,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common stock may be sold without delivery of this prospectus and the applicable prospectus supplement describing the method and terms of the offering of such common stock. You should read this prospectus and any accompanying prospectus supplement, as well as the documents incorporated by reference herein or therein, carefully before you make your investment decision. Our common stock is listed on the New York Stock Exchange (the “NYSE”) under the ticker symbol “BRBR”. On August 5, 2022, the closing price of our common stock as reported on the NYSE was $24.96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74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120" w:right="40" w:firstLine="44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shares of our common stock involves risks. See “</w:t>
      </w:r>
      <w:hyperlink w:anchor="page40">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3 of this prospectus and any similar section contained in the applicable prospectus supplement concerning factors you should consider before investing in our common stock.</w:t>
      </w:r>
    </w:p>
    <w:p>
      <w:pPr>
        <w:spacing w:after="0" w:line="19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Neither the United States (the “U.S.”) Securities and Exchange Commission (the “SEC” or the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date of this prospectus is August 8, 2022.</w:t>
      </w:r>
    </w:p>
    <w:p>
      <w:pPr>
        <w:sectPr>
          <w:pgSz w:w="11900" w:h="16838" w:orient="portrait"/>
          <w:cols w:equalWidth="0" w:num="1">
            <w:col w:w="11040"/>
          </w:cols>
          <w:pgMar w:left="320" w:top="459" w:right="5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80" w:type="dxa"/>
            <w:vAlign w:val="bottom"/>
            <w:gridSpan w:val="2"/>
          </w:tcPr>
          <w:p>
            <w:pPr>
              <w:ind w:left="66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377"/>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1280" w:type="dxa"/>
            <w:vAlign w:val="bottom"/>
            <w:tcBorders>
              <w:bottom w:val="single" w:sz="8" w:color="0000EE"/>
            </w:tcBorders>
            <w:gridSpan w:val="6"/>
          </w:tcPr>
          <w:p>
            <w:pPr>
              <w:spacing w:after="0" w:line="190"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Explanatory Note</w:t>
              </w:r>
            </w:hyperlink>
          </w:p>
        </w:tc>
        <w:tc>
          <w:tcPr>
            <w:tcW w:w="7280" w:type="dxa"/>
            <w:vAlign w:val="bottom"/>
            <w:gridSpan w:val="12"/>
          </w:tcPr>
          <w:p>
            <w:pPr>
              <w:spacing w:after="0"/>
              <w:rPr>
                <w:sz w:val="16"/>
                <w:szCs w:val="16"/>
                <w:color w:val="auto"/>
              </w:rPr>
            </w:pPr>
          </w:p>
        </w:tc>
        <w:tc>
          <w:tcPr>
            <w:tcW w:w="2400" w:type="dxa"/>
            <w:vAlign w:val="bottom"/>
          </w:tcPr>
          <w:p>
            <w:pPr>
              <w:jc w:val="right"/>
              <w:spacing w:after="0" w:line="190" w:lineRule="exact"/>
              <w:rPr>
                <w:sz w:val="20"/>
                <w:szCs w:val="20"/>
                <w:color w:val="auto"/>
              </w:rPr>
            </w:pPr>
            <w:r>
              <w:rPr>
                <w:rFonts w:ascii="Arial" w:cs="Arial" w:eastAsia="Arial" w:hAnsi="Arial"/>
                <w:sz w:val="18"/>
                <w:szCs w:val="18"/>
                <w:color w:val="auto"/>
              </w:rPr>
              <w:t>i</w:t>
            </w:r>
          </w:p>
        </w:tc>
      </w:tr>
      <w:tr>
        <w:trPr>
          <w:trHeight w:val="196"/>
        </w:trPr>
        <w:tc>
          <w:tcPr>
            <w:tcW w:w="15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About this Prospectus</w:t>
              </w:r>
            </w:hyperlink>
          </w:p>
        </w:tc>
        <w:tc>
          <w:tcPr>
            <w:tcW w:w="698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8560" w:type="dxa"/>
            <w:vAlign w:val="bottom"/>
            <w:gridSpan w:val="1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Market and Industry Data</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Trademarks, Tradenames and Service Marks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32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BellRing Brands, Inc.</w:t>
              </w:r>
            </w:hyperlink>
          </w:p>
        </w:tc>
        <w:tc>
          <w:tcPr>
            <w:tcW w:w="536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5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700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Special Note Regarding Forward-Looking Statements</w:t>
              </w:r>
            </w:hyperlink>
          </w:p>
        </w:tc>
        <w:tc>
          <w:tcPr>
            <w:tcW w:w="468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560" w:type="dxa"/>
            <w:vAlign w:val="bottom"/>
            <w:gridSpan w:val="1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Use of Proceeds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45">
              <w:r>
                <w:rPr>
                  <w:rFonts w:ascii="Arial" w:cs="Arial" w:eastAsia="Arial" w:hAnsi="Arial"/>
                  <w:sz w:val="18"/>
                  <w:szCs w:val="18"/>
                  <w:color w:val="0000EE"/>
                  <w:w w:val="94"/>
                </w:rPr>
                <w:t>Dividend Policy</w:t>
              </w:r>
            </w:hyperlink>
          </w:p>
        </w:tc>
        <w:tc>
          <w:tcPr>
            <w:tcW w:w="738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8560" w:type="dxa"/>
            <w:vAlign w:val="bottom"/>
            <w:gridSpan w:val="1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Capital Stock</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Certain United States Federal Income Tax Consequences to Non-U.S. Holders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5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Selling Stockholders</w:t>
              </w:r>
            </w:hyperlink>
          </w:p>
        </w:tc>
        <w:tc>
          <w:tcPr>
            <w:tcW w:w="4120" w:type="dxa"/>
            <w:vAlign w:val="bottom"/>
            <w:tcBorders>
              <w:top w:val="single" w:sz="8" w:color="0000EE"/>
            </w:tcBorders>
            <w:gridSpan w:val="9"/>
          </w:tcPr>
          <w:p>
            <w:pPr>
              <w:spacing w:after="0"/>
              <w:rPr>
                <w:sz w:val="17"/>
                <w:szCs w:val="17"/>
                <w:color w:val="auto"/>
              </w:rPr>
            </w:pPr>
          </w:p>
        </w:tc>
        <w:tc>
          <w:tcPr>
            <w:tcW w:w="294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8560" w:type="dxa"/>
            <w:vAlign w:val="bottom"/>
            <w:gridSpan w:val="1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4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Legal Matters</w:t>
              </w:r>
            </w:hyperlink>
          </w:p>
        </w:tc>
        <w:tc>
          <w:tcPr>
            <w:tcW w:w="714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756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Where You Can Find More Information</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2860" w:type="dxa"/>
            <w:vAlign w:val="bottom"/>
            <w:gridSpan w:val="1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Incorporation of Certain Information by Reference</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We and the Selling Stockholders have not authorized anyone to provide any information or make any representations other than those contained in this prospectus, the related registration statement, in any applicable prospectus supplement or in any of the materials that we have incorporated by reference into this prospectus and any applicable prospectus supplement. Neither we nor the Selling Stockholders have authorized anyone to provide you with different information. The Selling Stockholders are not making an offer of these securities in any jurisdiction where the offer is not permitted. You should not assume that the information in this prospectus, any applicable prospectus supplement or any documents incorporated by reference is accurate as of any date other than the date of the applicable document. Since the respective dates of this prospectus and the documents incorporated by reference into this prospectus, our business, financial condition, results of operations and prospects may have changed.</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March 10, 2022, Post distributed 80.1% of its ownership interest in BellRing Brands, Inc. (formerly known as BellRing Distribution, LLC) (“BellRing”) to Post’s shareholders (the “Distribution”). Pursuant to certain related transactions, BellRing Intermediate Holdings, Inc. (formerly known as BellRing Brands, Inc.) (“Old BellRing”) became a wholly-owned subsidiary of BellRing.</w:t>
      </w:r>
    </w:p>
    <w:p>
      <w:pPr>
        <w:spacing w:after="0" w:line="184"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(the “Exchange Act”), pursuant to Rule 12g-3(a) promulgated thereunder. The terms “Company,” “BellRing,” “we,” “us” and “our” refer to (i) Old BellRing and its consolidated subsidiaries during the periods prior to the Spin-off and (ii) BellRing and its consolidated subsidiaries during the periods subsequent to the Spin-off, in each case, unless otherwise stated or the context otherwise indicates.</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320" w:top="459" w:right="5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This prospectus is part of a registration statement on Form S-3 that we filed with the SEC using the “shelf” registration process. By using this shelf registration process, the Selling Stockholders may sell the securities offered by them, in each case from time to time in one or more offerings, as described in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and Industry Data</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prospectus and the documents incorporated by reference herein include industry and trade association data, forecasts and information that BellRing has prepared based, in part, upon data, forecasts and information obtained from independent trade associations, industry publications and surveys and other independent sources available to BellRing. Some data also is based on good faith estimates, which are derived from our management’s knowledge of the industry and from independent sources. These third party publications and surveys generally state that the information included therein has been obtained from sources believed to be reliable, but that the publications and surveys can give no assurance as to the accuracy or completeness of such information. We have not independently verified any of the data from third party sources nor have we ascertained the underlying economic assumptions on which such data is based. Similarly, we believe our internal research is reliable, even though such research has not been verified by any independent sources, and we cannot guarantee its accuracy or completeness. Accordingly, investors should not place undue reliance on this information.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Trademarks, Tradenames and Service Marks</w:t>
      </w:r>
    </w:p>
    <w:p>
      <w:pPr>
        <w:spacing w:after="0" w:line="121"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6"/>
          <w:szCs w:val="16"/>
          <w:color w:val="auto"/>
        </w:rPr>
        <w:t xml:space="preserve">We own or have rights to use logos, trademarks, trade names, service marks and copyrights that we use in conjunction with the operation of our business and that appear in this prospectus and any accompanying prospectus supplement (or in documents we have incorporated by reference). Other logos, trademarks, trade names, service marks and copyrights appearing in this prospectus and any accompanying prospectus supplement (or in documents we have incorporated by reference) are the property of their respective owners. We do not intend our use or display of other companies’ logos, trademarks, service marks, copyrights or trade names to imply a relationship with, or endorsement or sponsorship of us by, any other companies. Solely for convenience, trademarks, trade names and copyrights referred to in this prospectus and any accompanying prospectus supplement (or in documents we have incorporated by reference) may appear without the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or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symbols, but the absence of such symbols does not indicate the registration status of the trademarks and is not intended to indicate, in any way, that we will not assert, to the fullest extent under applicable law, our rights or the right of the applicable licensor to such copyrights, trademarks and trade names.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BELLRING BRANDS, INC.</w:t>
      </w:r>
    </w:p>
    <w:p>
      <w:pPr>
        <w:spacing w:after="0" w:line="229"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 xml:space="preserve">We are a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target a broad range of consumers and compete in all major product forms, including ready-to-drink (“RTD”) protein shakes, other RTD beverages and powders. Our products are distributed across a diverse network of channels including club, food, drug and mass, eCommerce, specialty and convenience.</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We were incorporated in the State of Delaware on March 20, 2019 in connection with our initial public offering (the “IPO”). Upon completion of a series of transactions in connection with the IPO, BellRing Brands, LLC became the holder of Post’s active nutrition business, which, effective as of Post’s quarter ended June 30, 2015, and until the completion of the IPO, had been comprised of Premier Nutrition Company, LLC, Dymatize Enterprises, LLC,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Active Nutrition International GmbH.</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Our principal executive offices are located at 2503 S. Hanley Road, St. Louis, Missouri 63144 and our telephone number is (314) 644-7600. Our website is </w:t>
      </w:r>
      <w:r>
        <w:rPr>
          <w:rFonts w:ascii="Arial" w:cs="Arial" w:eastAsia="Arial" w:hAnsi="Arial"/>
          <w:sz w:val="18"/>
          <w:szCs w:val="18"/>
          <w:i w:val="1"/>
          <w:iCs w:val="1"/>
          <w:color w:val="auto"/>
        </w:rPr>
        <w:t>www.bellring.com</w:t>
      </w:r>
      <w:r>
        <w:rPr>
          <w:rFonts w:ascii="Arial" w:cs="Arial" w:eastAsia="Arial" w:hAnsi="Arial"/>
          <w:sz w:val="18"/>
          <w:szCs w:val="18"/>
          <w:color w:val="auto"/>
        </w:rPr>
        <w:t>. Information contained on our website or that can be accessed through our website is not part of, and is not incorporated by reference in, this prospectus.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An investment in our common stock involves a high degree of risk. Before investing in our common stock, in addition to the risks and uncertainties described below under “Special Note Regarding Forward-Looking Statements,” you should carefully consider the risks and uncertainties discussed under “Risk Factors,” “Management’s Discussion and Analysis of Financial Condition and Results of Operations” and our audited consolidated financial statements and related notes thereto in our Annual Report on Form 10-K for the fiscal year ended September 30, 2021 filed with the SEC on November 19, 2021 (the “Annual Report”), and “Risk Factors,” “Management’s Discussion and Analysis of Financial Condition and Results of Operations” and our unaudited condensed consolidated financial statements and related notes thereto in our Quarterly Reports on Form 10-Q for the quarterly periods ended December 31, 2021, March 31, 2022 and June 30, 2022 filed with the SEC on February 4, 2022, May 6, 2022 and August 5, 2022, respectively (collectively, the “Quarterly Reports”), each of which is incorporated by reference in this prospectus, and under “Risk Factors” or any similar caption in the other documents and reports that we file with the SEC after the date of this prospectus that are incorporated or deemed to be incorporated by reference in this prospectus, as well as any risks and uncertainties described in any applicable prospectus supplement or free writing prospectus that we provide to you in connection with an offering of common stock pursuant to this prospectus. Any of these risks could materially and adversely affect our business, financial condition, results of operations or cash flows. The selected risks incorporated by reference in this prospectus, however, are not the only risks facing us. Additional risks and uncertainties not currently known to us or those we currently view to be immaterial may also materially and adversely affect our business, financial condition, results of operations or cash flows. In such a case, the trading price of our common stock could decline and you may lose all or part of your investment.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Certain matters we discuss in this prospectus and in any prospectus supplement or free writing prospectus that we may provide to you in connection with an offering of our common stock described in this prospectus, and in the documents we incorporate or that are deemed to be incorporated by reference herein or therein, relate to future events and our intentions, beliefs, expectations and predictions for the future, including statements concerning future business conditions and prospects, growth opportunities and estimates of growth and the outlook for our business, and, in each case, are based upon information currently available. Any such statements, other than statements of historical fact, are forward-looking statements. When used in this document, words such as “believe,” “should,” “could,” “potential,” “continue,” “expect,” “project,” “estimate,” “predict,” “anticipate,” “aim,” “intend,” “plan,” “forecast,” “target,” “is likely,” “will,” “can,” “may” or “would” or the negative of these terms and similar expressions as they relate to us are intended to identify forward-looking statements within the meaning of the U.S. Private Securities Litigation Reform Act of 1995. These forward-looking statements are based upon current assumptions and expectations of our management, and reflect our current views with respect to future events, are not guarantees of future performance and involve risks and uncertainties that are difficult to predict. Further, certain forward-looking statements are based upon assumptions as to future events that may not prove to be accurate.</w:t>
      </w:r>
    </w:p>
    <w:p>
      <w:pPr>
        <w:spacing w:after="0" w:line="18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Such forward-looking statements are subject to risks and uncertainties that could cause our actual results, performance and achievements to differ materially from those expressed in, or implied by, these statements included in this prospectus, any accompanying prospectus supplement or free writing prospectus, and in the documents we incorporate or that are deemed to be incorporated by reference herein or therein. These forward-looking statements are subject to various risks and uncertainties, many of which are outside of our control. You should understand that the following important factors, in addition to those discussed herein under the caption “Risk Factors” in this prospectus and “Risk Factors” in our Annual Report and Quarterly Reports, each of which are incorporated by reference herein, could affect our future results and could cause those results or other outcomes to differ materially from those expressed or implied in our forward-looking statements:</w:t>
      </w:r>
    </w:p>
    <w:p>
      <w:pPr>
        <w:spacing w:after="0" w:line="83"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dependence on sales from our RTD protein shakes;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continue to compete in our product categories and our ability to retain our market position and favorable perceptions of our brands;</w:t>
      </w:r>
    </w:p>
    <w:p>
      <w:pPr>
        <w:spacing w:after="0" w:line="75"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disruptions or inefficiencies in our supply chain, including as a result of our reliance on third party suppliers or manufacturers for the manufacturing of many of our products, pandemics (including the COVID-19 pandemic) and other outbreaks of contagious diseases, labor shortages, fires and evacuations related thereto, changes in weather conditions, natural disasters, agricultural diseases and pests and other events beyond our control;</w:t>
      </w:r>
    </w:p>
    <w:p>
      <w:pPr>
        <w:spacing w:after="0" w:line="92"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for the manufacturing of most of our products, including one manufacturer for the substantial majority of our RTD protein shakes;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third party contract manufacturers to produce an amount of our products that enables us to meet customer and consumer demand for the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volatility in the cost or availability of inputs to our business (including freight, raw materials, packaging, energy, labor and other supplies);</w:t>
      </w:r>
    </w:p>
    <w:p>
      <w:pPr>
        <w:spacing w:after="0" w:line="75"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the COVID-19 pandemic, including negative impacts on the global economy and capital markets, the health of our employees, our ability and the ability of our third party contract manufacturers to manufacture and deliver our products, operating costs, demand for our on-the-go products and our operations generally;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anticipate and respond to changes in consumer and customer preferences and behaviors and introduce new products;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130"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the net selling prices of our products and manage promotional activities with respect to our products;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high leverage, our ability to obtain additional financing (including both secured and unsecured debt) and our ability to service our outstanding debt (including covenants that restrict the operation of our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accuracy of our market data and attributes and related information;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our products;</w:t>
      </w:r>
    </w:p>
    <w:p>
      <w:pPr>
        <w:spacing w:after="0" w:line="130"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economic conditions, including as a result of the ongoing conflict in Ukraine, disruptions in the U.S. and global capital and credit markets, changes in interest rates, volatility in the market value of derivatives and fluctuations in foreign currency exchange rates;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risks related to our ongoing relationship with Post following the Spin-off, including our obligations under various agreements with Post;</w:t>
      </w:r>
    </w:p>
    <w:p>
      <w:pPr>
        <w:spacing w:after="0" w:line="153" w:lineRule="exact"/>
        <w:rPr>
          <w:rFonts w:ascii="Arial" w:cs="Arial" w:eastAsia="Arial" w:hAnsi="Arial"/>
          <w:sz w:val="16"/>
          <w:szCs w:val="16"/>
          <w:color w:val="auto"/>
        </w:rPr>
      </w:pPr>
    </w:p>
    <w:p>
      <w:pPr>
        <w:ind w:left="1080" w:right="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conflicting interests or the appearance of conflicting interests resulting from certain of our directors also serving as officers or directors of Post;</w:t>
      </w:r>
    </w:p>
    <w:p>
      <w:pPr>
        <w:spacing w:after="0" w:line="75"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risks related to the previously completed Spin-off, including our inability to take certain actions because such actions could jeopardize the tax-free status of the Distribution and our possible responsibility for U.S. federal tax liabilities related to the Distribution;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 and to continue to use third party intellectual property subject to intellectual property licenses;</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identify, complete and integrate or otherwise effectively execute acquisitions or other strategic transactions and effectively manage our growth;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of 2002;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any guidance we may give regarding our performance;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hire and retain talented personnel, employee absenteeism, labor strikes, work stoppages or unionization efforts.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59" w:right="5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other factors besides those listed here could adversely affect our business, financial condition, results of operations and cash flows. Other unknown or unpredictable factors also could have a material adverse effect on our actual future results, performance or achievements. As a result of the foregoing, readers are cautioned not to place undue reliance on these forward-looking statements, which speak only as of their dates. We do not undertake, and expressly disclaim, any duty to update any forward-looking statement whether as a result of new information, future events or changes in its respective expectations, except as required by law.</w:t>
      </w:r>
    </w:p>
    <w:p>
      <w:pPr>
        <w:spacing w:after="0" w:line="18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Because forward-looking statements are based on estimates and assumptions that are subject to significant business, economic and competitive uncertainties, many of which are beyond our control or are subject to change, actual results could be materially different and any or all of these forward-looking statements may turn out to be wrong. Forward-looking statements speak only as of the date made and can be affected by assumptions we might make or by known or unknown risks and uncertainties. Many factors mentioned in this prospectus, any accompanying prospectus supplement or free writing prospectus and in the documents we incorporate or are deemed to be incorporated by reference herein or therein, will be important in determining future results. Consequently, we cannot assure you that expectations or forecasts expressed in such forward-looking statements will be achieved. Actual future results may vary materially.</w:t>
      </w:r>
    </w:p>
    <w:p>
      <w:pPr>
        <w:spacing w:after="0" w:line="19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discuss many of these risks in greater detail under “Risk Factors” in our Annual Report and Quarterly Reports, each of which is incorporated by reference herein. Unless required by U.S. federal securities laws, we neither intend nor assume any obligation to update these forward-looking statements, which speak only as of their dates.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will not receive any cash proceeds from the sale of any shares of our common stock by the Selling Stockholders.</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39"/>
          </w:cols>
          <w:pgMar w:left="320" w:top="45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We do not anticipate any payment of quarterly dividends for the foreseeable future. The declaration and payment of dividends will be at the discretion of our board of directors and will be dependent upon our future earnings, financial condition and capital requirements.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00"/>
          </w:cols>
          <w:pgMar w:left="320" w:top="459" w:right="9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following is a description of the material terms of, and is qualified in its entirety by, our certificate of incorporation and bylaws, each as in effect as of the date of this prospectus, copies of which are incorporated by reference as exhibits to the registration statement of which this prospectus is a part, and the applicable provisions of Delaware law.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Our certificate of incorporation provides that we may issue up to 500 million shares of common stock, par value $0.01 per share, and 50 million shares of preferred stock, par value $0.01 per share. Our common stock is listed on the NYSE under the ticker symbol “BRBR”.</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holders of our common stock are entitled to one vote for each share held by such holder on the applicable record date on all matters on which stockholders are generally entitled to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holders of our common stock are entitled to receive dividends when, as and if declared by our board of directors out of legally available funds.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or Dissolution</w:t>
      </w:r>
    </w:p>
    <w:p>
      <w:pPr>
        <w:spacing w:after="0" w:line="117"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Upon our liquidation or dissolution, the holders of our common stock will be entitled to share ratably in those of our assets that are legally available for distribution to stockholders after payment of liabilities and subject to the special rights and preferences, if any, of any holders of our preferred stock then outstanding.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There are no preemptive rights, redemption or sinking fund provisions applicable to our common stock, and the outstanding shares of our common stock are fully paid and non-assessable.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rights of holders of our common stock may be materially limited or qualified by the rights, powers and preferences of any preferred stock that we may issue in the future.</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authorized to issue up to 50 million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(including voting powers), designations, preferences and rights of the shares. Our board of directors also is authorized to designate any qualifications, limitations or restrictions on the shares without any further vote or action by our stockholders, subject to applicable rules of the NYSE and Delaware law.</w:t>
      </w:r>
    </w:p>
    <w:p>
      <w:pPr>
        <w:spacing w:after="0" w:line="17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Authorizing our board of directors to establish preferred stock eliminates delays associated with seeking stockholder approval of the creation of a particular class or series of preferred stock. The rights of the holders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our common stock are subject to the rights of the holders of any shares of our preferred stock issued at any time, including in the future. The issuance of preferred stock, while providing desirable flexibility in connection with possible acquisitions and other corporate purposes, may have the effect of delaying, deferring or preventing a change in control and may adversely affect the voting and other rights of the holders of our common stock, which could have an adverse impact on the market price of our common stock. These provisions also could make it more difficult for our stockholders to effect certain corporate actions, including the election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Opportunities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General Corporation Law of the State of Delaware (the “DGCL”) permits the adoption of a provision in a corporation’s certificate of incorporation renouncing any interests or expectancy of a corporation in, or in being offered an opportunity to participate in, specified business opportunities or specified classes or categories of business opportunities that are presented to the corporation or to one or more of its directors, officers or stockholders.</w:t>
      </w:r>
    </w:p>
    <w:p>
      <w:pPr>
        <w:spacing w:after="0" w:line="18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certificate of incorporation includes certain provisions regulating and defining the conduct of our affairs to the extent that they may involve Post and its directors, officers, employees, agents and affiliates (except that we and our subsidiaries are not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provide that we renounce any interest or expectancy to participate in any business of Post or its affiliates.</w:t>
      </w:r>
    </w:p>
    <w:p>
      <w:pPr>
        <w:spacing w:after="0" w:line="17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Moreover, our certificate of incorporation provides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are not deemed affiliates of Post or its affiliates for the purposes of the provision) or (ii) Post or its affiliates. The provision generally provides that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or any person controlled by us because such person has directed or intends to direct such opportunity to Post or one of its affiliates. This renunciation does not extend to corporate opportunities expressly offered to one of our directors, officers, managers, employees or agents, solely in his or her capacity as our director, officer, manager, employee or agent.</w:t>
      </w:r>
    </w:p>
    <w:p>
      <w:pPr>
        <w:spacing w:after="0" w:line="185"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These provisions in our certificate of incorporation cease to apply at such time as (i) we and Post and its affiliates are no longer affiliates of one another and (ii) none of the directors, officers, employees, agents or affiliates of Post serve as our directors, officers, managers, employees or agents.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certificate of incorporation and bylaws contain certain provisions that are intended to enhance the likelihood of continuity and stability in the composition of our board of directors and which may have the effect of delaying, deferring or preventing a future takeover or change in control unless such takeover or change in control is approved by our board of directors.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provisions include: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 Special Meetings of Stockholders</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certificate of incorporation and bylaws provide that stockholder action can be taken only at an annual or special meeting of stockholders and cannot be taken by any consent in lieu of a meeting. Our bylaws also provide that, except as otherwise required by law, special meetings of the stockholders can only be called by the affirmative vote of a majority of our entire board of directors, the Chairperson of the board of directors or our President. Except as described above, stockholders are not permitted to call a special meeting or to require the board of directors to call a special meeting.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bylaws contain provisions requiring that advance notice be delivered to us of any business to be brought by a stockholder before an annual meeting and providing for procedures to be followed by stockholders in nominating persons for election to our board of directors. Ordinarily, the stockholder must give notice in writing to our Secretary not less than 90 days nor more than 120 days prior to the date of the first anniversary of the prior year’s annual meeting (and for purposes of calculating this date with respect to the first annual meeting, the annual meeting for the prior year shall be deemed to have been held on the date of the most recent annual meeting of stockholders of BellRing held before the date the Spin-off was completed) except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of the date of the annual meeting is first made. For stockholder proposals, the notice must include a description of the proposal, the reasons for the proposal and other specified matters. Our board of directors may reject any proposals or nominations that have not followed these procedures or that are not a proper subject for stockholder action in accordance with the provisions of applicable law. Although our bylaws do not otherwise give the board of directors the power to approve or disapprove stockholder nominations of candidates or proposals regarding other business to be conducted at a special or annual meeting, our bylaws may have the effect of precluding the conduct of certain business or the nomination of certain individuals at a meeting if the proper procedures are not followed or may discourage or deter a potential acquirer from conducting a solicitation of proxies to elect its own slate of directors or otherwise attempting to obtain control of us.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and Not Stockholders, Fix the Size of Our Board of Directors</w:t>
      </w:r>
    </w:p>
    <w:p>
      <w:pPr>
        <w:spacing w:after="0" w:line="117" w:lineRule="exact"/>
        <w:rPr>
          <w:sz w:val="20"/>
          <w:szCs w:val="20"/>
          <w:color w:val="auto"/>
        </w:rPr>
      </w:pPr>
    </w:p>
    <w:p>
      <w:pPr>
        <w:ind w:left="120" w:right="720" w:firstLine="440"/>
        <w:spacing w:after="0" w:line="308" w:lineRule="auto"/>
        <w:rPr>
          <w:sz w:val="20"/>
          <w:szCs w:val="20"/>
          <w:color w:val="auto"/>
        </w:rPr>
      </w:pPr>
      <w:r>
        <w:rPr>
          <w:rFonts w:ascii="Arial" w:cs="Arial" w:eastAsia="Arial" w:hAnsi="Arial"/>
          <w:sz w:val="17"/>
          <w:szCs w:val="17"/>
          <w:color w:val="auto"/>
        </w:rPr>
        <w:t>Our certificate of incorporation and bylaws provide that the number of directors will be fixed from time to time exclusively pursuant to a resolution adopted by our board of directors, but in no event will it consist of less than five nor more than twelve directors.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Vacancies and Newly-Created Directorships on Our Board of Directors</w:t>
      </w:r>
    </w:p>
    <w:p>
      <w:pPr>
        <w:spacing w:after="0" w:line="117"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color w:val="auto"/>
        </w:rPr>
        <w:t>Subject to the special rights of holders of any outstanding series of our preferred stock, any vacancy on our board of directors occurring for any reason, and any newly created directorships which occur by reason of an increase in the number of directors, will be filled only by the majority of the remaining directors, even if less than a quorum or by a sole remaining director. These provisions could make it more difficult for our stockholders to affect the composition of the board of directors.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 Removal of Directors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certificate of incorporation and bylaws provide that our board of directors is divided into three classes of directors serving staggered three-year terms. The number of directors assigned to each class is as equal as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reasonably possible. The first class of directors will hold office until the first annual stockholders’ meeting for election of directors following the Spin-off, the second class of directors will hold office until the second annual stockholders’ meeting for election of directors following the Spin-off and the third class of directors will hold office until the third annual stockholders’ meeting for election of directors following the Spin-off. Each class will thereafter hold office until the third annual stockholders’ meeting for election of directors following the most recent election of such class and until their successors are duly elected and qualified. With only a portion of our board of directors up for election each year, the existence of a classified board of directors could render more difficult or discourage an attempt to obtain control of us because it would take more than one annual meeting to do so. In addition, our certificate of incorporation provides that our directors may only be removed for cause, which could also make it more difficult to change the composition of our board of directors.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authorized but unissued shares of common stock and preferred stock are available for future issuance without stockholder approval, subject to applicable rules of the NYSE and Delaware law. These additional shares may be utilized for a variety of corporate purposes, including future public offerings or private offerings to raise additional capital, corporate acquisitions and employee benefit plans and equity grants. The existence of authorized but unissued shares of common stock and preferred stock could render more difficult or discourage an attempt to obtain control of a majority of our common stock by means of a proxy contest, tender offer, merger or otherwise. We do not intend to solicit approval of stockholders for issuance of authorized but unissued shares of our common stock and preferred stock, unless our board of directors believes that approval is advisable or is required by applicable rules of the NYSE or Delaware law.</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to Certificate of Incorporation and Bylaws</w:t>
      </w:r>
    </w:p>
    <w:p>
      <w:pPr>
        <w:spacing w:after="0" w:line="12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DGCL generally provides that a corporation may amend its certificate of incorporation upon a resolution of its board of directors proposing the amendment and its submission to the stockholders for their approval upon the affirmative vote of holders of a majority of the voting power entitled to vote thereon. Our certificate of incorporation provides that it may be amended in accordance with and upon the vote prescribed by Delaware law, except that the indemnification provisions of the certificate of incorporation may be amended (or a provision inconsistent with the indemnification provisions adopted) only upon the affirmative vote of not less than 85% of all of the voting power of all of the outstanding shares of our common stock then entitled to vote in the election of directors, voting together as a single class.</w:t>
      </w:r>
    </w:p>
    <w:p>
      <w:pPr>
        <w:spacing w:after="0" w:line="17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DGCL provides that the power to adopt, amend or repeal the bylaws of a corporation is held by the stockholders of the corporation, except that a corporation may, in its certificate of incorporation, confer the power to adopt, amend or repeal its bylaws upon the board of directors of the corporation, but the fact that such power has been so conferred upon the board of directors will not divest the stockholders of such power or limit their power to adopt, amend or repeal the bylaws. Our certificate of incorporation and bylaws provide that our board of directors may amend, alter, change or repeal any provision of the bylaws. Our certificate of incorporation and bylaws also provide that stockholders may amend, alter, change or repeal any provision of the bylaws upon the affirmative vote of a majority of all of the voting power entitled to vote thereon.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DGCL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76"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130" w:lineRule="exact"/>
        <w:rPr>
          <w:rFonts w:ascii="Arial" w:cs="Arial" w:eastAsia="Arial" w:hAnsi="Arial"/>
          <w:sz w:val="18"/>
          <w:szCs w:val="18"/>
          <w:color w:val="auto"/>
        </w:rPr>
      </w:pPr>
    </w:p>
    <w:p>
      <w:pPr>
        <w:ind w:left="5540" w:right="2280" w:hanging="4884"/>
        <w:spacing w:after="0" w:line="449" w:lineRule="auto"/>
        <w:tabs>
          <w:tab w:leader="none" w:pos="10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 12</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respect of certain unlawful dividend payments or stock redemptions or repurchases;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22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DGCL permits a corporation, under specified circumstances, to indemnify its directors, officers, employees and agents against expenses (including attorneys’ fees), judgments, fines and amounts paid in settlements actually and reasonably incurred by them in connection with any action, suit or proceeding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or suit (i.e., one by or in the right of the corporation), indemnification may be made only for expenses actually and reasonably incurred by directors, officers, employees and agents in connection with the defense or settlement of an action or suit, and only with respect to a matter as to which they have acted in good faith and in a manner they reasonably believed to be in or not opposed to the best interests of the corporation, except that no indemnification will be made if such person has been adjudged liable to the corporation, unless and only to the extent that the court in which the action or suit was brought determines upon application that the defendant directors, officers, employees or agents are fairly and reasonably entitled to indemnity for such expenses despite such adjudication of liability. The DGCL also permits corporations to advance expenses incurred by an officer or director of the corporation in defending any civil, criminal, administrative or investigative action, suit or proceeding in advance of the final disposition of such action, suit or proceeding upon receipt of an undertaking by or on behalf of such director or officer to repay such amount if it shall ultimately be determined that such person is not entitled to be indemnified by the corporation.</w:t>
      </w:r>
    </w:p>
    <w:p>
      <w:pPr>
        <w:spacing w:after="0" w:line="184"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Our certificate of incorporation limits the liability of directors to the fullest extent permitted by the DGCL and provides that we will provide our directors and officers with customary indemnification and advancement. We have entered into customary indemnification agreements with each of our directors and certain of our executive officers that provide them, in general, with customary indemnification and advancement in connection with their service to us or on our behalf.</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DGCL permits a corporation to require, and not prohibit, in its certificate of incorporation or bylaws, internal corporate claims to be brought (only) in Delaware. Under Section 115 of the DGCL, “internal corporate claims” means claims, including claims in the right of the corporation, (i) that are based upon a violation of a duty by a current or former director or officer or stockholder in such capacity or (ii) as to which the DGCL confers jurisdiction upon the Court of Chancery.</w:t>
      </w:r>
    </w:p>
    <w:p>
      <w:pPr>
        <w:spacing w:after="0" w:line="187"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Section 12 of our certificate of incorporation provides that, unless we consent in writing to the selection of an alternative forum, the Court of Chancery (or, if the Court of Chancery does not have subject matter jurisdiction, the federal district court for the State of Delaware) is the exclusive forum for the following types of actions or proceedings under Delaware statutory or common law:</w:t>
      </w:r>
    </w:p>
    <w:p>
      <w:pPr>
        <w:spacing w:after="0" w:line="8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DGCL;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25"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Section 12 does not apply to suits brought to enforce a duty or liability created by the Exchange Act, for which the U.S. federal courts have exclusive jurisdiction. Our certificate of incorporation also provides that U.S. federal courts will, to the fullest extent permitted by law, be the sole and exclusive forum for the resolution of any complaint asserting a cause of action or proceeding arising under the Securities Act of 1933, as amended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“Securities Act”). Further, to the fullest extent permitted by law, any person or entity purchasing or otherwise acquiring or holding any interest in our common stock will be deemed to have notice of Section 12 of our certificate of incorporation.</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Although our certificate of incorporation contains the exclusive forum provision described above, it is possible that a court could find that such a provision is inapplicable for a particular claim or action or that such provision is unenforceable. The exclusive forum provision does not relieve us of our duties to comply with the federal securities laws and the rules and regulations thereunder, and our stockholders will not be deemed to have waived our compliance with these laws, rules and regulations.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320" w:top="459" w:right="5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UNITED STATES FEDERAL INCOME TAX CONSEQUENCES TO NON-U.S. HOLDERS</w:t>
      </w:r>
    </w:p>
    <w:p>
      <w:pPr>
        <w:spacing w:after="0" w:line="229" w:lineRule="exact"/>
        <w:rPr>
          <w:sz w:val="20"/>
          <w:szCs w:val="20"/>
          <w:color w:val="auto"/>
        </w:rPr>
      </w:pPr>
    </w:p>
    <w:p>
      <w:pPr>
        <w:ind w:left="120" w:right="640" w:firstLine="440"/>
        <w:spacing w:after="0" w:line="308" w:lineRule="auto"/>
        <w:rPr>
          <w:sz w:val="20"/>
          <w:szCs w:val="20"/>
          <w:color w:val="auto"/>
        </w:rPr>
      </w:pPr>
      <w:r>
        <w:rPr>
          <w:rFonts w:ascii="Arial" w:cs="Arial" w:eastAsia="Arial" w:hAnsi="Arial"/>
          <w:sz w:val="17"/>
          <w:szCs w:val="17"/>
          <w:color w:val="auto"/>
        </w:rPr>
        <w:t>The following is a summary of certain U.S. federal income tax consequences of the ownership and disposition of our common stock. This summary deals only with common stock that is held as a capital asset by a non-U.S. holder (as defined below).</w:t>
      </w:r>
    </w:p>
    <w:p>
      <w:pPr>
        <w:spacing w:after="0" w:line="14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 “non-U.S. holder” means a beneficial owner of our common stock (other than an entity or arrangement treated as a partnership for U.S. federal income tax purposes) that is not, for U.S. federal income tax purposes, any of the following:</w:t>
      </w:r>
    </w:p>
    <w:p>
      <w:pPr>
        <w:spacing w:after="0" w:line="76"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U.S. and one or more U.S. persons have the authority to control all substantial decisions of the trust or (2) has a valid election in effect under applicable U.S. Treasury regulations to be treated as a U.S. person.</w:t>
      </w:r>
    </w:p>
    <w:p>
      <w:pPr>
        <w:spacing w:after="0" w:line="184"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This summary is based upon provisions of the Internal Revenue Code of 1986, as amended (the “Code”), and regulations, rulings and judicial decisions as of the date hereof. Those authorities may be changed, perhaps retroactively, so as to result in U.S. federal income tax consequences different from those summarized below. This summary does not address all of the U.S. federal income tax consequences that may be relevant to you in light of your particular circumstances, nor does it address the Medicare tax on net investment income, U.S. federal estate and gift taxes or the effects of any state, local or non-U.S. tax laws. In addition, it does not represent a detailed description of the U.S. federal income tax consequences applicable to you if you are subject to special treatment under the U.S. federal income tax laws (including if you are subject to the alternative minimum tax, a financial institution, a broker or dealer in securities, a tax-exempt organization, hold our common stock as part of a hedge, straddle or other risk reduction strategy or as part of a conversion transaction or other integrated investment, a U.S. expatriate, foreign pension fund, “controlled foreign corporation,” “passive foreign investment company” or a partnership or other pass-through entity for U.S. federal income tax purposes). We cannot assure you that a change in law will not alter significantly the tax considerations that we describe in this summary.</w:t>
      </w:r>
    </w:p>
    <w:p>
      <w:pPr>
        <w:spacing w:after="0" w:line="16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common stock, the tax treatment of a partner generally will depend upon the status of the partner and the activities of the partnership. If you are a partnership or a partner of a partnership considering an investment in our common stock, you should consult your tax advisors.</w:t>
      </w:r>
    </w:p>
    <w:p>
      <w:pPr>
        <w:spacing w:after="0" w:line="180"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If you are considering the purchase of our common stock, you should consult your own tax advisors concerning the particular U.S. federal income tax consequences to you of the ownership and disposition of our common stock, as well as the consequences to you arising under other U.S. federal tax laws and the laws of any other taxing jurisdiction.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do not anticipate any payment of quarterly dividends for the foreseeable future. However in the event that we make a distribution of cash or other property (other than certain pro rata distributions of our stock) in respect of our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basis of a non-U.S. holder’s common stock, and to the extent the amount of the distribution exceeds a non-U.S. holder’s adjusted tax basis in our common stock, the excess will be treated as gain from the disposition of our common stock (the tax treatment of which is discussed below under “— Gain on Disposition of Common Stock”).</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Dividends paid to a non-U.S. holder generally will be subject to withholding of U.S. federal income tax at a 30% rate on the gross amount of the dividend (or such lower rate as may be specified by an applicable income tax treaty). However, dividends that are effectively connected with the conduct of a trade or business by the non-U.S. holder within the U.S. (and, if required by an applicable income tax treaty, are attributable to a U.S. permanent establishment) are not subject to the withholding tax, provided certain certification and disclosure requirements are satisfied. Instead, such dividends are subject to U.S. federal income tax on a net income basis generally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7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 non-U.S. holder who wishes to claim the benefit of an applicable treaty rate and avoid backup withholding, as discussed below, for dividends will be required (a) to provide the applicable withholding agent with a properly executed Internal Revenue Service (“IRS”) Form W-BEN or Form W-8BEN-E (or other applicable form) certifying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 non-U.S. holder eligible for a reduced rate of U.S. federal withholding tax pursuant to an income tax treaty may obtain a refund of any excess amounts withheld by timely filing an appropriate claim for refund with the IRS.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Subject to the discussion of backup withholding below, any gain realized by a non-U.S. holder on the sale or other disposition of our common stock generally will not be subject to U.S. federal income tax unless:</w:t>
      </w:r>
    </w:p>
    <w:p>
      <w:pPr>
        <w:spacing w:after="0" w:line="76" w:lineRule="exact"/>
        <w:rPr>
          <w:sz w:val="20"/>
          <w:szCs w:val="20"/>
          <w:color w:val="auto"/>
        </w:rPr>
      </w:pPr>
    </w:p>
    <w:p>
      <w:pPr>
        <w:ind w:left="1080" w:right="2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U.S. (and, if required by an applicable income tax treaty, is attributable to a U.S. permanent establishment of the non-U.S. holder);</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U.S. for 183 days or more in the taxable year of that disposition, and certain other conditions are met; or</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and certain other conditions are met.</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 non-U.S. holder described in the first bullet point immediately above will be subject to tax on the gain derived from the sale or other disposition generally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U.S..</w:t>
      </w:r>
    </w:p>
    <w:p>
      <w:pPr>
        <w:spacing w:after="0" w:line="19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Generally, a corporation is a “United States real property holding corporation” if the fair market value of its U.S. real property interests equals or exceeds 50% of the sum of the fair market value of its worldwide real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property interests and its other assets used or held for use in a trade or business (all as determined for U.S. federal income tax purposes). We believe we are not and do not anticipate becoming a “United States real property holding corporation” for U.S. federal income tax purposes.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 non-U.S. holder will not be subject to backup withholding on distributions received if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or other disposition of our common stock within the U.S. or conducted through certain U.S.-related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87"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Backup withholding is not an additional tax and any amounts withheld under the backup withholding rules will be allowed as a refund or a credit against a non-U.S. holder’s U.S. federal income tax liability provided the required information is timely furnished to the IRS.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Under Sections 1471 through 1474 of the Code (such Sections commonly referred to as “FATCA”), a 30% U.S.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U.S. beneficial owners of such entity (if any). If a dividend payment is both subject to withholding under FATCA and subject to the withholding tax discussed above under “—Dividends,”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common stock.</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The Selling Stockholders listed in the table below may, from time to time, offer and sell any or all of the shares of our common stock set forth below pursuant to this prospectus. Additional selling stockholders may be added from time to time by amendment or supplement to this prospectus. When we refer to the “Selling Stockholders” in this prospectus, we refer to Post and any selling stockholders identified in supplements to this prospectus.</w:t>
      </w:r>
    </w:p>
    <w:p>
      <w:pPr>
        <w:spacing w:after="0" w:line="18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Our registration of the shares of our common stock does not necessarily mean that the Selling Stockholders will sell all or any of such shares of our common stock. The following table sets forth certain information provided by or on behalf of Post as of August 1, 2022 concerning the common stock that may be offered from time to time by any Selling Stockholder pursuant to this prospectus. Our calculation of the percentage of beneficial ownership is based on 136,362,031 shares of our common stock outstanding as of August 1, 2022. The number of shares and percentages of beneficial ownership after this offering set forth below assumes that the Selling Stockholders sell all 19,397,339 shares of our common stock offered by this prospectus.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2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93"/>
              </w:rPr>
              <w:t>Common Stock</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420" w:type="dxa"/>
            <w:vAlign w:val="bottom"/>
            <w:gridSpan w:val="4"/>
            <w:vMerge w:val="continue"/>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58"/>
        </w:trPr>
        <w:tc>
          <w:tcPr>
            <w:tcW w:w="17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420" w:type="dxa"/>
            <w:vAlign w:val="bottom"/>
            <w:gridSpan w:val="4"/>
          </w:tcPr>
          <w:p>
            <w:pPr>
              <w:jc w:val="center"/>
              <w:ind w:right="500"/>
              <w:spacing w:after="0" w:line="158" w:lineRule="exact"/>
              <w:rPr>
                <w:sz w:val="20"/>
                <w:szCs w:val="20"/>
                <w:color w:val="auto"/>
              </w:rPr>
            </w:pPr>
            <w:r>
              <w:rPr>
                <w:rFonts w:ascii="Arial" w:cs="Arial" w:eastAsia="Arial" w:hAnsi="Arial"/>
                <w:sz w:val="14"/>
                <w:szCs w:val="14"/>
                <w:b w:val="1"/>
                <w:bCs w:val="1"/>
                <w:color w:val="auto"/>
                <w:w w:val="93"/>
              </w:rPr>
              <w:t>Beneficially Owned</w:t>
            </w:r>
          </w:p>
        </w:tc>
        <w:tc>
          <w:tcPr>
            <w:tcW w:w="12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0"/>
              </w:rPr>
              <w:t>Shares to be</w:t>
            </w:r>
          </w:p>
        </w:tc>
        <w:tc>
          <w:tcPr>
            <w:tcW w:w="162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62"/>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Selling Stockholder</w:t>
            </w:r>
          </w:p>
        </w:tc>
        <w:tc>
          <w:tcPr>
            <w:tcW w:w="4020" w:type="dxa"/>
            <w:vAlign w:val="bottom"/>
          </w:tcPr>
          <w:p>
            <w:pPr>
              <w:spacing w:after="0"/>
              <w:rPr>
                <w:sz w:val="14"/>
                <w:szCs w:val="14"/>
                <w:color w:val="auto"/>
              </w:rPr>
            </w:pPr>
          </w:p>
        </w:tc>
        <w:tc>
          <w:tcPr>
            <w:tcW w:w="24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6"/>
              </w:rPr>
              <w:t>Prior to Offering</w:t>
            </w: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Sold in this</w:t>
            </w:r>
          </w:p>
        </w:tc>
        <w:tc>
          <w:tcPr>
            <w:tcW w:w="520" w:type="dxa"/>
            <w:vAlign w:val="bottom"/>
          </w:tcPr>
          <w:p>
            <w:pPr>
              <w:spacing w:after="0"/>
              <w:rPr>
                <w:sz w:val="14"/>
                <w:szCs w:val="14"/>
                <w:color w:val="auto"/>
              </w:rPr>
            </w:pPr>
          </w:p>
        </w:tc>
        <w:tc>
          <w:tcPr>
            <w:tcW w:w="1100" w:type="dxa"/>
            <w:vAlign w:val="bottom"/>
            <w:gridSpan w:val="2"/>
          </w:tcPr>
          <w:p>
            <w:pPr>
              <w:jc w:val="center"/>
              <w:ind w:right="499"/>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33"/>
        </w:trPr>
        <w:tc>
          <w:tcPr>
            <w:tcW w:w="1760" w:type="dxa"/>
            <w:vAlign w:val="bottom"/>
            <w:tcBorders>
              <w:bottom w:val="single" w:sz="8" w:color="auto"/>
            </w:tcBorders>
            <w:vMerge w:val="continue"/>
          </w:tcPr>
          <w:p>
            <w:pPr>
              <w:spacing w:after="0"/>
              <w:rPr>
                <w:sz w:val="11"/>
                <w:szCs w:val="11"/>
                <w:color w:val="auto"/>
              </w:rPr>
            </w:pPr>
          </w:p>
        </w:tc>
        <w:tc>
          <w:tcPr>
            <w:tcW w:w="4020" w:type="dxa"/>
            <w:vAlign w:val="bottom"/>
          </w:tcPr>
          <w:p>
            <w:pPr>
              <w:spacing w:after="0"/>
              <w:rPr>
                <w:sz w:val="11"/>
                <w:szCs w:val="11"/>
                <w:color w:val="auto"/>
              </w:rPr>
            </w:pPr>
          </w:p>
        </w:tc>
        <w:tc>
          <w:tcPr>
            <w:tcW w:w="122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4"/>
                <w:szCs w:val="14"/>
                <w:b w:val="1"/>
                <w:bCs w:val="1"/>
                <w:color w:val="auto"/>
              </w:rPr>
              <w:t>Number</w:t>
            </w:r>
          </w:p>
        </w:tc>
        <w:tc>
          <w:tcPr>
            <w:tcW w:w="7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Percentage</w:t>
            </w:r>
          </w:p>
        </w:tc>
        <w:tc>
          <w:tcPr>
            <w:tcW w:w="500" w:type="dxa"/>
            <w:vAlign w:val="bottom"/>
          </w:tcPr>
          <w:p>
            <w:pPr>
              <w:spacing w:after="0"/>
              <w:rPr>
                <w:sz w:val="11"/>
                <w:szCs w:val="11"/>
                <w:color w:val="auto"/>
              </w:rPr>
            </w:pPr>
          </w:p>
        </w:tc>
        <w:tc>
          <w:tcPr>
            <w:tcW w:w="12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5"/>
              </w:rPr>
              <w:t>Offering</w:t>
            </w:r>
          </w:p>
        </w:tc>
        <w:tc>
          <w:tcPr>
            <w:tcW w:w="52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4"/>
              </w:rPr>
              <w:t>Number</w:t>
            </w:r>
          </w:p>
        </w:tc>
        <w:tc>
          <w:tcPr>
            <w:tcW w:w="3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20"/>
        </w:trPr>
        <w:tc>
          <w:tcPr>
            <w:tcW w:w="1760" w:type="dxa"/>
            <w:vAlign w:val="bottom"/>
            <w:vMerge w:val="restart"/>
            <w:shd w:val="clear" w:color="auto" w:fill="CCEEFF"/>
          </w:tcPr>
          <w:p>
            <w:pPr>
              <w:spacing w:after="0" w:line="223" w:lineRule="exact"/>
              <w:rPr>
                <w:sz w:val="20"/>
                <w:szCs w:val="20"/>
                <w:color w:val="auto"/>
              </w:rPr>
            </w:pPr>
            <w:r>
              <w:rPr>
                <w:rFonts w:ascii="Arial" w:cs="Arial" w:eastAsia="Arial" w:hAnsi="Arial"/>
                <w:sz w:val="17"/>
                <w:szCs w:val="17"/>
                <w:color w:val="auto"/>
              </w:rPr>
              <w:t>Post Holdings, Inc.</w:t>
            </w:r>
            <w:r>
              <w:rPr>
                <w:rFonts w:ascii="Arial" w:cs="Arial" w:eastAsia="Arial" w:hAnsi="Arial"/>
                <w:sz w:val="25"/>
                <w:szCs w:val="25"/>
                <w:color w:val="auto"/>
                <w:vertAlign w:val="superscript"/>
              </w:rPr>
              <w:t>(1)</w:t>
            </w:r>
          </w:p>
        </w:tc>
        <w:tc>
          <w:tcPr>
            <w:tcW w:w="40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60" w:type="dxa"/>
            <w:vAlign w:val="bottom"/>
            <w:vMerge w:val="continue"/>
            <w:shd w:val="clear" w:color="auto" w:fill="CCEEFF"/>
          </w:tcPr>
          <w:p>
            <w:pPr>
              <w:spacing w:after="0"/>
              <w:rPr>
                <w:sz w:val="17"/>
                <w:szCs w:val="17"/>
                <w:color w:val="auto"/>
              </w:rPr>
            </w:pPr>
          </w:p>
        </w:tc>
        <w:tc>
          <w:tcPr>
            <w:tcW w:w="402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19,397,339</w:t>
            </w:r>
          </w:p>
        </w:tc>
        <w:tc>
          <w:tcPr>
            <w:tcW w:w="34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14.2%</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19,397,339</w:t>
            </w:r>
          </w:p>
        </w:tc>
        <w:tc>
          <w:tcPr>
            <w:tcW w:w="3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ind w:left="4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00" w:hanging="424"/>
        <w:spacing w:after="0" w:line="308"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2503 S. Hanley Road, St. Louis, Missouri 63144. Post is a publicly traded company. For information regarding our relationship with Post, refer to “Explanatory Note” and “BellRing Brands, Inc.” in this prospectus and to the documents incorporated herein by reference.</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We are registering 19,397,339 shares of our common stock for possible sale by the Selling Stockholders from time to time. We are required to pay all fees and expenses incident to the registration of the shares of our common stock to be offered and sold pursuant to this prospectus.</w:t>
      </w:r>
    </w:p>
    <w:p>
      <w:pPr>
        <w:spacing w:after="0" w:line="14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shares of our common stock beneficially owned by the Selling Stockholders covered by this prospectus may be offered and sold from time to time by the Selling Stockholders. The term “Selling Stockholders” includes donees, pledgees, transferees or other successors in interest selling securities received after the date of this prospectus from a Selling Stockholder as a gift, pledge, partnership distribution or other transfer. The Selling Stockholders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including pursuant to one or more “10b5-1” trading plans or similar plans.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Selling Stockholders may sell their shares of our common stock by one or more of the following methods:</w:t>
      </w:r>
    </w:p>
    <w:p>
      <w:pPr>
        <w:spacing w:after="0" w:line="131"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sales on any national securities exchange or quotation service on which the shares may be listed or quoted at the time of sale;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distribution in accordance with the rules of the NYSE;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or through underwriters or broker-dealers;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transactions other than on a national securities exchange or through a market maker;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debt-for-equity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options or hedging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directly to or 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combination of any of the above methods of sale;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distribution of securities may be effected from time to time in one or more transactions, including block transactions and transactions on the NYSE or any other organized market where the securities may be traded. In addition, any shares that qualify for sale pursuant to Rule 144 or another exemption from registration under the Securities Act may be sold under Rule 144 or pursuant to such exemption rather than pursuant to this prospectus.</w:t>
      </w:r>
    </w:p>
    <w:p>
      <w:pPr>
        <w:spacing w:after="0" w:line="149"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In connection with distributions of the shares or otherwise, the Selling Stockholders may enter into hedging transactions with broker-dealers or other financial institutions. In connection with such transactions, broker-dealers or other financial institutions may engage in short sales of shares of common stock in the course of (i) hedging transactions or (ii) hedging the positions they assume with Selling Stockholders. The Selling Stockholders also may sell shares of common stock short and redeliver the shares to close out such short positions. The Selling Stockholders also may enter into option or other transactions with broker-dealers or other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spacing w:after="0" w:line="301" w:lineRule="auto"/>
        <w:rPr>
          <w:sz w:val="20"/>
          <w:szCs w:val="20"/>
          <w:color w:val="auto"/>
        </w:rPr>
      </w:pPr>
      <w:r>
        <w:rPr>
          <w:rFonts w:ascii="Arial" w:cs="Arial" w:eastAsia="Arial" w:hAnsi="Arial"/>
          <w:sz w:val="16"/>
          <w:szCs w:val="16"/>
          <w:color w:val="auto"/>
        </w:rPr>
        <w:t>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Stockholders also may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5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 Selling Stockholder may enter into derivative transactions with third parties or sell securities not covered by this prospectus to third parties in privately negotiated transactions. If the applicable prospectus supplement indicates (in connection with those derivatives), third parties may sell securities covered by this prospectus and the applicable prospectus supplement, including in short sale transactions. If so, the third party may use securities pledged by any Selling Stockholder or borrowed from any Selling Stockholder or others to settle those sales or to close out any related open borrowings of stock and may use securities received from any Selling Stockholder in settlement of those derivatives to close out any related open borrowings of stock. In addition, any Selling Stockholder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78"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w:t>
      </w:r>
    </w:p>
    <w:p>
      <w:pPr>
        <w:spacing w:after="0" w:line="12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In offering the shares covered by this prospectus, the Selling Stockholders and any broker-dealers who execute sales for the Selling Stockholders may be deemed to be “underwriters” within the meaning of the Securities Act in connection with such sales. Any profits realized by the Selling Stockholders and the compensation of any broker-dealer may be deemed to be underwriting discounts and commissions.</w:t>
      </w:r>
    </w:p>
    <w:p>
      <w:pPr>
        <w:spacing w:after="0" w:line="16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we will make copies of this prospectus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To the extent required, this prospectus will be amended or supplemented from time to time to describe a specific plan of distribution, including (as applicable) to set forth the number of shares being offered and the terms of the offering, including the name of any underwriter, dealer or agent, any underwriting discount, commission or other item constituting compensation and the proposed selling price to the public.</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validity of the shares of our common stock offered hereby will be passed upon for us by Simpson Thacher &amp; Bartlett LLP, New York, New</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York.</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The financial statements of BellRing Brands, Inc. and management’s assessment of the effectiveness of internal control over financial reporting (which is included in Management’s Report on Internal Control over Financial Reporting) incorporated in this Prospectus by reference to BellRing Brands, Inc.’s Annual Report on Form 10-K for the year ended September 30, 2021 have been so incorporated in reliance on the report of PricewaterhouseCoopers LLP, an independent registered public accounting firm, given on the authority of said firm as experts in auditing and accounting.</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We are subject to the information and reporting requirements of the Exchange Act and, in accordance with this law, file periodic reports, proxy statements and other information with the SEC. The SEC maintains an Internet website that contains reports, proxy statements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We also maintain a website at </w:t>
      </w:r>
      <w:r>
        <w:rPr>
          <w:rFonts w:ascii="Arial" w:cs="Arial" w:eastAsia="Arial" w:hAnsi="Arial"/>
          <w:sz w:val="18"/>
          <w:szCs w:val="18"/>
          <w:i w:val="1"/>
          <w:iCs w:val="1"/>
          <w:color w:val="auto"/>
        </w:rPr>
        <w:t>www.bellring.com</w:t>
      </w:r>
      <w:r>
        <w:rPr>
          <w:rFonts w:ascii="Arial" w:cs="Arial" w:eastAsia="Arial" w:hAnsi="Arial"/>
          <w:sz w:val="18"/>
          <w:szCs w:val="18"/>
          <w:color w:val="auto"/>
        </w:rPr>
        <w:t>.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disclose important information to you by referring you to documents that we have previously filed with the SEC or documents that we will file with the SEC in the future. The information incorporated by reference is considered to be part of this prospectus, and later information that we file with the SEC will automatically update and supersede this information. We incorporate by reference the documents listed below (other than any portions thereof, which under the Exchange Act and applicable SEC rules, are not deemed “filed” under the Exchange Act):</w:t>
      </w:r>
    </w:p>
    <w:p>
      <w:pPr>
        <w:spacing w:after="0" w:line="77" w:lineRule="exact"/>
        <w:rPr>
          <w:sz w:val="20"/>
          <w:szCs w:val="20"/>
          <w:color w:val="auto"/>
        </w:rPr>
      </w:pPr>
    </w:p>
    <w:p>
      <w:pPr>
        <w:ind w:left="1080" w:right="10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9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September 30, 2021 filed with the SEC on November 19, 2021 (including information specifically incorporated by reference into such Annual Report on Form 10-K from our Proxy Statement for our 2022 Annual Meeting of Stockholders filed on December 29, 2021);</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4"/>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December 31, 2021, March 31, 2022, and June 30, 2022, filed with the SEC on </w:t>
      </w:r>
      <w:hyperlink r:id="rId99">
        <w:r>
          <w:rPr>
            <w:rFonts w:ascii="Arial" w:cs="Arial" w:eastAsia="Arial" w:hAnsi="Arial"/>
            <w:sz w:val="18"/>
            <w:szCs w:val="18"/>
            <w:u w:val="single" w:color="auto"/>
            <w:color w:val="0000EE"/>
          </w:rPr>
          <w:t>February 4,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00">
        <w:r>
          <w:rPr>
            <w:rFonts w:ascii="Arial" w:cs="Arial" w:eastAsia="Arial" w:hAnsi="Arial"/>
            <w:sz w:val="18"/>
            <w:szCs w:val="18"/>
            <w:u w:val="single" w:color="auto"/>
            <w:color w:val="0000EE"/>
          </w:rPr>
          <w:t xml:space="preserve">May 6, 2022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101">
        <w:r>
          <w:rPr>
            <w:rFonts w:ascii="Arial" w:cs="Arial" w:eastAsia="Arial" w:hAnsi="Arial"/>
            <w:sz w:val="18"/>
            <w:szCs w:val="18"/>
            <w:u w:val="single" w:color="auto"/>
            <w:color w:val="0000EE"/>
          </w:rPr>
          <w:t>August 5,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 and</w:t>
      </w:r>
    </w:p>
    <w:p>
      <w:pPr>
        <w:spacing w:after="0" w:line="75" w:lineRule="exact"/>
        <w:rPr>
          <w:rFonts w:ascii="Arial" w:cs="Arial" w:eastAsia="Arial" w:hAnsi="Arial"/>
          <w:sz w:val="18"/>
          <w:szCs w:val="18"/>
          <w:color w:val="0000EE"/>
        </w:rPr>
      </w:pPr>
    </w:p>
    <w:p>
      <w:pPr>
        <w:ind w:left="1080" w:right="40" w:hanging="424"/>
        <w:spacing w:after="0" w:line="286" w:lineRule="auto"/>
        <w:tabs>
          <w:tab w:leader="none" w:pos="1080" w:val="left"/>
        </w:tabs>
        <w:numPr>
          <w:ilvl w:val="0"/>
          <w:numId w:val="34"/>
        </w:numPr>
        <w:rPr>
          <w:rFonts w:ascii="Arial" w:cs="Arial" w:eastAsia="Arial" w:hAnsi="Arial"/>
          <w:sz w:val="17"/>
          <w:szCs w:val="17"/>
          <w:color w:val="0000EE"/>
        </w:rPr>
      </w:pPr>
      <w:r>
        <w:rPr>
          <w:rFonts w:ascii="Arial" w:cs="Arial" w:eastAsia="Arial" w:hAnsi="Arial"/>
          <w:sz w:val="17"/>
          <w:szCs w:val="17"/>
          <w:color w:val="auto"/>
        </w:rPr>
        <w:t xml:space="preserve">our Current Reports on Form 8-K filed with the SEC on </w:t>
      </w:r>
      <w:hyperlink r:id="rId102">
        <w:r>
          <w:rPr>
            <w:rFonts w:ascii="Arial" w:cs="Arial" w:eastAsia="Arial" w:hAnsi="Arial"/>
            <w:sz w:val="17"/>
            <w:szCs w:val="17"/>
            <w:u w:val="single" w:color="auto"/>
            <w:color w:val="0000EE"/>
          </w:rPr>
          <w:t>October 27, 2021</w:t>
        </w:r>
      </w:hyperlink>
      <w:r>
        <w:rPr>
          <w:rFonts w:ascii="Arial" w:cs="Arial" w:eastAsia="Arial" w:hAnsi="Arial"/>
          <w:sz w:val="17"/>
          <w:szCs w:val="17"/>
          <w:color w:val="auto"/>
        </w:rPr>
        <w:t xml:space="preserve">, </w:t>
      </w:r>
      <w:hyperlink r:id="rId103">
        <w:r>
          <w:rPr>
            <w:rFonts w:ascii="Arial" w:cs="Arial" w:eastAsia="Arial" w:hAnsi="Arial"/>
            <w:sz w:val="17"/>
            <w:szCs w:val="17"/>
            <w:u w:val="single" w:color="auto"/>
            <w:color w:val="0000EE"/>
          </w:rPr>
          <w:t>December 17, 2021</w:t>
        </w:r>
      </w:hyperlink>
      <w:r>
        <w:rPr>
          <w:rFonts w:ascii="Arial" w:cs="Arial" w:eastAsia="Arial" w:hAnsi="Arial"/>
          <w:sz w:val="17"/>
          <w:szCs w:val="17"/>
          <w:color w:val="auto"/>
        </w:rPr>
        <w:t xml:space="preserve">, </w:t>
      </w:r>
      <w:hyperlink r:id="rId104">
        <w:r>
          <w:rPr>
            <w:rFonts w:ascii="Arial" w:cs="Arial" w:eastAsia="Arial" w:hAnsi="Arial"/>
            <w:sz w:val="17"/>
            <w:szCs w:val="17"/>
            <w:u w:val="single" w:color="auto"/>
            <w:color w:val="0000EE"/>
          </w:rPr>
          <w:t>February 14, 2022</w:t>
        </w:r>
      </w:hyperlink>
      <w:r>
        <w:rPr>
          <w:rFonts w:ascii="Arial" w:cs="Arial" w:eastAsia="Arial" w:hAnsi="Arial"/>
          <w:sz w:val="17"/>
          <w:szCs w:val="17"/>
          <w:color w:val="auto"/>
        </w:rPr>
        <w:t xml:space="preserve">, </w:t>
      </w:r>
      <w:hyperlink r:id="rId105">
        <w:r>
          <w:rPr>
            <w:rFonts w:ascii="Arial" w:cs="Arial" w:eastAsia="Arial" w:hAnsi="Arial"/>
            <w:sz w:val="17"/>
            <w:szCs w:val="17"/>
            <w:u w:val="single" w:color="auto"/>
            <w:color w:val="0000EE"/>
          </w:rPr>
          <w:t>February 22, 2022</w:t>
        </w:r>
      </w:hyperlink>
      <w:r>
        <w:rPr>
          <w:rFonts w:ascii="Arial" w:cs="Arial" w:eastAsia="Arial" w:hAnsi="Arial"/>
          <w:sz w:val="17"/>
          <w:szCs w:val="17"/>
          <w:color w:val="auto"/>
        </w:rPr>
        <w:t xml:space="preserve">, </w:t>
      </w:r>
      <w:hyperlink r:id="rId106">
        <w:r>
          <w:rPr>
            <w:rFonts w:ascii="Arial" w:cs="Arial" w:eastAsia="Arial" w:hAnsi="Arial"/>
            <w:sz w:val="17"/>
            <w:szCs w:val="17"/>
            <w:u w:val="single" w:color="auto"/>
            <w:color w:val="0000EE"/>
          </w:rPr>
          <w:t>February 24, 2022</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February 28, 2022</w:t>
        </w:r>
        <w:r>
          <w:rPr>
            <w:rFonts w:ascii="Arial" w:cs="Arial" w:eastAsia="Arial" w:hAnsi="Arial"/>
            <w:sz w:val="17"/>
            <w:szCs w:val="17"/>
            <w:color w:val="0000EE"/>
          </w:rPr>
          <w:t xml:space="preserve"> </w:t>
        </w:r>
        <w:r>
          <w:rPr>
            <w:rFonts w:ascii="Arial" w:cs="Arial" w:eastAsia="Arial" w:hAnsi="Arial"/>
            <w:sz w:val="17"/>
            <w:szCs w:val="17"/>
            <w:color w:val="000000"/>
          </w:rPr>
          <w:t>(as to the Form 8-Ks including Item 1.01, Item 5.04 and Item 8.01 only),</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March 1, 2022</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March 8,</w:t>
        </w:r>
      </w:hyperlink>
      <w:r>
        <w:rPr>
          <w:rFonts w:ascii="Arial" w:cs="Arial" w:eastAsia="Arial" w:hAnsi="Arial"/>
          <w:sz w:val="17"/>
          <w:szCs w:val="17"/>
          <w:color w:val="0000EE"/>
        </w:rPr>
        <w:t xml:space="preserve"> </w:t>
      </w:r>
      <w:hyperlink r:id="rId106">
        <w:r>
          <w:rPr>
            <w:rFonts w:ascii="Arial" w:cs="Arial" w:eastAsia="Arial" w:hAnsi="Arial"/>
            <w:sz w:val="17"/>
            <w:szCs w:val="17"/>
            <w:u w:val="single" w:color="auto"/>
            <w:color w:val="0000EE"/>
          </w:rPr>
          <w:t>2022</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107">
        <w:r>
          <w:rPr>
            <w:rFonts w:ascii="Arial" w:cs="Arial" w:eastAsia="Arial" w:hAnsi="Arial"/>
            <w:sz w:val="17"/>
            <w:szCs w:val="17"/>
            <w:u w:val="single" w:color="auto"/>
            <w:color w:val="0000EE"/>
          </w:rPr>
          <w:t>March 10, 2022</w:t>
        </w:r>
      </w:hyperlink>
      <w:hyperlink r:id="rId106">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108">
        <w:r>
          <w:rPr>
            <w:rFonts w:ascii="Arial" w:cs="Arial" w:eastAsia="Arial" w:hAnsi="Arial"/>
            <w:sz w:val="17"/>
            <w:szCs w:val="17"/>
            <w:u w:val="single" w:color="auto"/>
            <w:color w:val="0000EE"/>
          </w:rPr>
          <w:t>March 10, 2022</w:t>
        </w:r>
      </w:hyperlink>
      <w:hyperlink r:id="rId106">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109">
        <w:r>
          <w:rPr>
            <w:rFonts w:ascii="Arial" w:cs="Arial" w:eastAsia="Arial" w:hAnsi="Arial"/>
            <w:sz w:val="17"/>
            <w:szCs w:val="17"/>
            <w:u w:val="single" w:color="auto"/>
            <w:color w:val="0000EE"/>
          </w:rPr>
          <w:t>March 16, 2022</w:t>
        </w:r>
      </w:hyperlink>
      <w:hyperlink r:id="rId106">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110">
        <w:r>
          <w:rPr>
            <w:rFonts w:ascii="Arial" w:cs="Arial" w:eastAsia="Arial" w:hAnsi="Arial"/>
            <w:sz w:val="17"/>
            <w:szCs w:val="17"/>
            <w:u w:val="single" w:color="auto"/>
            <w:color w:val="0000EE"/>
          </w:rPr>
          <w:t>April 6, 2022</w:t>
        </w:r>
      </w:hyperlink>
      <w:hyperlink r:id="rId106">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111">
        <w:r>
          <w:rPr>
            <w:rFonts w:ascii="Arial" w:cs="Arial" w:eastAsia="Arial" w:hAnsi="Arial"/>
            <w:sz w:val="17"/>
            <w:szCs w:val="17"/>
            <w:u w:val="single" w:color="auto"/>
            <w:color w:val="0000EE"/>
          </w:rPr>
          <w:t xml:space="preserve">May 23, 2022 </w:t>
        </w:r>
      </w:hyperlink>
      <w:hyperlink r:id="rId106">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68">
        <w:r>
          <w:rPr>
            <w:rFonts w:ascii="Arial" w:cs="Arial" w:eastAsia="Arial" w:hAnsi="Arial"/>
            <w:sz w:val="17"/>
            <w:szCs w:val="17"/>
            <w:u w:val="single" w:color="auto"/>
            <w:color w:val="0000EE"/>
          </w:rPr>
          <w:t>August 8, 2022</w:t>
        </w:r>
      </w:hyperlink>
      <w:hyperlink r:id="rId106">
        <w:r>
          <w:rPr>
            <w:rFonts w:ascii="Arial" w:cs="Arial" w:eastAsia="Arial" w:hAnsi="Arial"/>
            <w:sz w:val="17"/>
            <w:szCs w:val="17"/>
            <w:color w:val="000000"/>
          </w:rPr>
          <w:t>.</w:t>
        </w:r>
      </w:hyperlink>
    </w:p>
    <w:p>
      <w:pPr>
        <w:spacing w:after="0" w:line="165" w:lineRule="exact"/>
        <w:rPr>
          <w:rFonts w:ascii="Arial" w:cs="Arial" w:eastAsia="Arial" w:hAnsi="Arial"/>
          <w:sz w:val="17"/>
          <w:szCs w:val="17"/>
          <w:color w:val="0000EE"/>
        </w:rPr>
      </w:pPr>
    </w:p>
    <w:p>
      <w:pPr>
        <w:ind w:left="120" w:right="80" w:firstLine="440"/>
        <w:spacing w:after="0" w:line="286" w:lineRule="auto"/>
        <w:rPr>
          <w:sz w:val="20"/>
          <w:szCs w:val="20"/>
          <w:color w:val="auto"/>
        </w:rPr>
      </w:pPr>
      <w:r>
        <w:rPr>
          <w:rFonts w:ascii="Arial" w:cs="Arial" w:eastAsia="Arial" w:hAnsi="Arial"/>
          <w:sz w:val="17"/>
          <w:szCs w:val="17"/>
          <w:color w:val="auto"/>
        </w:rPr>
        <w:t>We also incorporate by reference all documents that we subsequently file with the SEC pursuant to Sections 13(a), 13(c), 14 or 15(d) of the Exchange Act on or after the date of this prospectus and prior to the termination of the offering of the shares hereunder. Nothing in this prospectus shall be deemed to incorporate information furnished but not filed with the SEC, unless specifically noted otherwise.</w:t>
      </w:r>
    </w:p>
    <w:p>
      <w:pPr>
        <w:spacing w:after="0" w:line="98" w:lineRule="exact"/>
        <w:rPr>
          <w:rFonts w:ascii="Arial" w:cs="Arial" w:eastAsia="Arial" w:hAnsi="Arial"/>
          <w:sz w:val="17"/>
          <w:szCs w:val="17"/>
          <w:color w:val="0000EE"/>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Any statement made in this prospectus or in a document incorporated by reference into this prospectus will be deemed to be modified or superseded for purposes of this prospectus to the extent that a statement contained in this prospectus or in any other subsequently filed document that also is incorporated by reference modifies or supersedes that statement. Any statement so modified or superseded will not be deemed, except as so modified or superseded, to constitute a part of this prospectus.</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(314) 644-7600</w:t>
      </w:r>
    </w:p>
    <w:p>
      <w:pPr>
        <w:spacing w:after="0" w:line="21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addition, you may access the documents incorporated by reference herein free of charge on the SEC’s website. See also “Where You Can Find More Information.”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40"/>
          </w:cols>
          <w:pgMar w:left="320" w:top="459" w:right="5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520"/>
        <w:spacing w:after="0"/>
        <w:rPr>
          <w:sz w:val="20"/>
          <w:szCs w:val="20"/>
          <w:color w:val="auto"/>
        </w:rPr>
      </w:pPr>
      <w:r>
        <w:rPr>
          <w:rFonts w:ascii="Arial" w:cs="Arial" w:eastAsia="Arial" w:hAnsi="Arial"/>
          <w:sz w:val="29"/>
          <w:szCs w:val="29"/>
          <w:b w:val="1"/>
          <w:bCs w:val="1"/>
          <w:color w:val="auto"/>
        </w:rPr>
        <w:t>10,808,473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340360</wp:posOffset>
            </wp:positionV>
            <wp:extent cx="1380490" cy="6686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138049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2519"/>
        <w:spacing w:after="0"/>
        <w:rPr>
          <w:sz w:val="20"/>
          <w:szCs w:val="20"/>
          <w:color w:val="auto"/>
        </w:rPr>
      </w:pPr>
      <w:r>
        <w:rPr>
          <w:rFonts w:ascii="Arial" w:cs="Arial" w:eastAsia="Arial" w:hAnsi="Arial"/>
          <w:sz w:val="43"/>
          <w:szCs w:val="43"/>
          <w:b w:val="1"/>
          <w:bCs w:val="1"/>
          <w:color w:val="auto"/>
        </w:rPr>
        <w:t>BellRing Brands, Inc.</w:t>
      </w:r>
    </w:p>
    <w:p>
      <w:pPr>
        <w:spacing w:after="0" w:line="200" w:lineRule="exact"/>
        <w:rPr>
          <w:sz w:val="20"/>
          <w:szCs w:val="20"/>
          <w:color w:val="auto"/>
        </w:rPr>
      </w:pPr>
    </w:p>
    <w:p>
      <w:pPr>
        <w:spacing w:after="0" w:line="257"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723265</wp:posOffset>
            </wp:positionV>
            <wp:extent cx="1474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Prospectus</w:t>
      </w:r>
    </w:p>
    <w:p>
      <w:pPr>
        <w:spacing w:after="0" w:line="215"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J.P. Morgan</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Barclays</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Morgan Stanley</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Citigroup</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1617345</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1677670</wp:posOffset>
            </wp:positionV>
            <wp:extent cx="699516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0" w:name="page61"/>
    <w:bookmarkEnd w:id="60"/>
    <w:p>
      <w:pPr>
        <w:ind w:left="10120"/>
        <w:spacing w:after="0"/>
        <w:rPr>
          <w:sz w:val="20"/>
          <w:szCs w:val="20"/>
          <w:color w:val="auto"/>
        </w:rPr>
      </w:pPr>
      <w:r>
        <w:rPr>
          <w:rFonts w:ascii="Arial" w:cs="Arial" w:eastAsia="Arial" w:hAnsi="Arial"/>
          <w:sz w:val="17"/>
          <w:szCs w:val="17"/>
          <w:b w:val="1"/>
          <w:bCs w:val="1"/>
          <w:color w:val="auto"/>
        </w:rPr>
        <w:t>Exhibit 107</w:t>
      </w:r>
    </w:p>
    <w:p>
      <w:pPr>
        <w:spacing w:after="0" w:line="24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prospectus to which this Exhibit is attached is a preliminary prospectus for the related offering. The maximum aggregate amount of securities to which the prospectus relates is 19,397,339 shares of common stock.</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lowerRoman"/>
      <w:start w:val="1"/>
    </w:lvl>
  </w:abstractNum>
  <w:abstractNum w:abstractNumId="2">
    <w:nsid w:val="3F2DBA31"/>
    <w:multiLevelType w:val="hybridMultilevel"/>
    <w:lvl w:ilvl="0">
      <w:lvlJc w:val="left"/>
      <w:lvlText w:val="(%1)"/>
      <w:numFmt w:val="lowerRoman"/>
      <w:start w:val="3"/>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lowerRoman"/>
      <w:start w:val="2"/>
    </w:lvl>
  </w:abstractNum>
  <w:abstractNum w:abstractNumId="5">
    <w:nsid w:val="62BBD95A"/>
    <w:multiLevelType w:val="hybridMultilevel"/>
    <w:lvl w:ilvl="0">
      <w:lvlJc w:val="left"/>
      <w:lvlText w:val="(%1)"/>
      <w:numFmt w:val="decimal"/>
      <w:start w:val="1"/>
    </w:lvl>
    <w:lvl w:ilvl="1">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lowerLetter"/>
      <w:start w:val="2"/>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lowerRoman"/>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4"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jpe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112" Type="http://schemas.openxmlformats.org/officeDocument/2006/relationships/image" Target="media/image75.png"/><Relationship Id="rId113"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jpe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52" Type="http://schemas.openxmlformats.org/officeDocument/2006/relationships/hyperlink" Target="http://www.sec.gov/Archives/edgar/data/1772016/000177201621000118/brbr-20210930.htm" TargetMode="External"/><Relationship Id="rId53" Type="http://schemas.openxmlformats.org/officeDocument/2006/relationships/hyperlink" Target="http://www.sec.gov/Archives/edgar/data/1772016/000119312521368542/d211699ddef14a.htm" TargetMode="External"/><Relationship Id="rId55" Type="http://schemas.openxmlformats.org/officeDocument/2006/relationships/hyperlink" Target="http://www.sec.gov/Archives/edgar/data/1772016/000177201622000028/brbr-20211231.htm" TargetMode="External"/><Relationship Id="rId56" Type="http://schemas.openxmlformats.org/officeDocument/2006/relationships/hyperlink" Target="http://www.sec.gov/Archives/edgar/data/1772016/000177201622000039/brbr-20220331.htm" TargetMode="External"/><Relationship Id="rId57" Type="http://schemas.openxmlformats.org/officeDocument/2006/relationships/hyperlink" Target="http://www.sec.gov/Archives/edgar/data/1772016/000177201622000050/brbr-20220630.htm" TargetMode="External"/><Relationship Id="rId58" Type="http://schemas.openxmlformats.org/officeDocument/2006/relationships/hyperlink" Target="http://www.sec.gov/Archives/edgar/data/1772016/000119312521308736/d232418d8k.htm" TargetMode="External"/><Relationship Id="rId59" Type="http://schemas.openxmlformats.org/officeDocument/2006/relationships/hyperlink" Target="http://www.sec.gov/Archives/edgar/data/1772016/000119312521359836/d243174d8k.htm" TargetMode="External"/><Relationship Id="rId60" Type="http://schemas.openxmlformats.org/officeDocument/2006/relationships/hyperlink" Target="http://www.sec.gov/Archives/edgar/data/1772016/000177201622000032/brbr-20220211.htm" TargetMode="External"/><Relationship Id="rId61" Type="http://schemas.openxmlformats.org/officeDocument/2006/relationships/hyperlink" Target="http://www.sec.gov/Archives/edgar/data/1772016/000119312522047864/d234626d8k.htm" TargetMode="External"/><Relationship Id="rId62" Type="http://schemas.openxmlformats.org/officeDocument/2006/relationships/hyperlink" Target="http://www.sec.gov/Archives/edgar/data/1772016/000119312522069355/d264262d8k.htm" TargetMode="External"/><Relationship Id="rId63" Type="http://schemas.openxmlformats.org/officeDocument/2006/relationships/hyperlink" Target="http://www.sec.gov/Archives/edgar/data/1772016/000119312522072017/d212065d8k.htm" TargetMode="External"/><Relationship Id="rId64" Type="http://schemas.openxmlformats.org/officeDocument/2006/relationships/hyperlink" Target="http://www.sec.gov/Archives/edgar/data/1772016/000119312522072132/d319129d8k12b.htm" TargetMode="External"/><Relationship Id="rId65" Type="http://schemas.openxmlformats.org/officeDocument/2006/relationships/hyperlink" Target="http://www.sec.gov/Archives/edgar/data/1772016/000119312522077298/d281734d8k12ba.htm" TargetMode="External"/><Relationship Id="rId66" Type="http://schemas.openxmlformats.org/officeDocument/2006/relationships/hyperlink" Target="http://www.sec.gov/Archives/edgar/data/1772016/000119312522097537/d315936d8k.htm" TargetMode="External"/><Relationship Id="rId67" Type="http://schemas.openxmlformats.org/officeDocument/2006/relationships/hyperlink" Target="http://www.sec.gov/Archives/edgar/data/1772016/000177201622000041/brbr-20220523.htm" TargetMode="External"/><Relationship Id="rId68" Type="http://schemas.openxmlformats.org/officeDocument/2006/relationships/hyperlink" Target="http://www.sec.gov/ix?doc=/Archives/edgar/data/0001772016/000119312522214951/d308888d8k.htm" TargetMode="External"/><Relationship Id="rId98" Type="http://schemas.openxmlformats.org/officeDocument/2006/relationships/hyperlink" Target="http://www.sec.gov/ix?doc=/Archives/edgar/data/1772016/000177201621000118/brbr-20210930.htm" TargetMode="External"/><Relationship Id="rId99" Type="http://schemas.openxmlformats.org/officeDocument/2006/relationships/hyperlink" Target="http://www.sec.gov/ix?doc=/Archives/edgar/data/1772016/000177201622000028/brbr-20211231.htm" TargetMode="External"/><Relationship Id="rId100" Type="http://schemas.openxmlformats.org/officeDocument/2006/relationships/hyperlink" Target="http://www.sec.gov/ix?doc=/Archives/edgar/data/1772016/000177201622000039/brbr-20220331.htm" TargetMode="External"/><Relationship Id="rId101" Type="http://schemas.openxmlformats.org/officeDocument/2006/relationships/hyperlink" Target="http://www.sec.gov/ix?doc=/Archives/edgar/data/1772016/000177201622000050/brbr-20220630.htm" TargetMode="External"/><Relationship Id="rId102" Type="http://schemas.openxmlformats.org/officeDocument/2006/relationships/hyperlink" Target="http://www.sec.gov/ix?doc=/Archives/edgar/data/1772016/000119312521308736/d232418d8k.htm" TargetMode="External"/><Relationship Id="rId103" Type="http://schemas.openxmlformats.org/officeDocument/2006/relationships/hyperlink" Target="http://www.sec.gov/ix?doc=/Archives/edgar/data/1772016/000119312521359836/d243174d8k.htm" TargetMode="External"/><Relationship Id="rId104" Type="http://schemas.openxmlformats.org/officeDocument/2006/relationships/hyperlink" Target="http://www.sec.gov/ix?doc=/Archives/edgar/data/1772016/000177201622000032/brbr-20220211.htm" TargetMode="External"/><Relationship Id="rId105" Type="http://schemas.openxmlformats.org/officeDocument/2006/relationships/hyperlink" Target="http://www.sec.gov/ix?doc=/Archives/edgar/data/1772016/000119312522047864/d234626d8k.htm" TargetMode="External"/><Relationship Id="rId106" Type="http://schemas.openxmlformats.org/officeDocument/2006/relationships/hyperlink" Target="http://www.sec.gov/ix?doc=/Archives/edgar/data/1772016/000119312522069355/d264262d8k.htm" TargetMode="External"/><Relationship Id="rId107" Type="http://schemas.openxmlformats.org/officeDocument/2006/relationships/hyperlink" Target="http://www.sec.gov/ix?doc=/Archives/edgar/data/1772016/000119312522072017/d212065d8k.htm" TargetMode="External"/><Relationship Id="rId108" Type="http://schemas.openxmlformats.org/officeDocument/2006/relationships/hyperlink" Target="http://www.sec.gov/ix?doc=/Archives/edgar/data/1772016/000119312522072132/d319129d8k12b.htm" TargetMode="External"/><Relationship Id="rId109" Type="http://schemas.openxmlformats.org/officeDocument/2006/relationships/hyperlink" Target="http://www.sec.gov/ix?doc=/Archives/edgar/data/1772016/000119312522077298/d281734d8k12ba.htm" TargetMode="External"/><Relationship Id="rId110" Type="http://schemas.openxmlformats.org/officeDocument/2006/relationships/hyperlink" Target="http://www.sec.gov/ix?doc=/Archives/edgar/data/1772016/000119312522097537/d315936d8k.htm" TargetMode="External"/><Relationship Id="rId111" Type="http://schemas.openxmlformats.org/officeDocument/2006/relationships/hyperlink" Target="http://www.sec.gov/ix?doc=/Archives/edgar/data/1772016/000177201622000041/brbr-202205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2022-08-09T04:20:17Z</dcterms:created>
  <dcterms:modified xsi:type="dcterms:W3CDTF">2022-08-09T04:20:17Z</dcterms:modified>
</cp:coreProperties>
</file>