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333-266656</w:t>
      </w:r>
    </w:p>
    <w:p>
      <w:pPr>
        <w:spacing w:after="0" w:line="135" w:lineRule="exact"/>
        <w:rPr>
          <w:sz w:val="24"/>
          <w:szCs w:val="24"/>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This preliminary prospectus supplement and the accompanying prospectus are not an offer to sell these securities nor are they soliciting offers to buy these securities in any jurisdiction where the offer or sale is not permitted.</w:t>
      </w:r>
    </w:p>
    <w:p>
      <w:pPr>
        <w:spacing w:after="0" w:line="1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21, 2022.</w:t>
      </w:r>
    </w:p>
    <w:p>
      <w:pPr>
        <w:spacing w:after="0" w:line="11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August 8, 2022)</w:t>
      </w:r>
    </w:p>
    <w:p>
      <w:pPr>
        <w:spacing w:after="0" w:line="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4,597,339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100965</wp:posOffset>
            </wp:positionV>
            <wp:extent cx="13804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BellRing Brands, Inc.</w:t>
      </w:r>
    </w:p>
    <w:p>
      <w:pPr>
        <w:spacing w:after="0" w:line="1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180340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8" w:lineRule="exact"/>
        <w:rPr>
          <w:sz w:val="24"/>
          <w:szCs w:val="24"/>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 identified in this prospectus supplement is offering 4,597,339 shares of our common stock. We registered such shares and are offering such shares pursuant to the terms of a registration rights agreement between us and Post Holdings, Inc. (“Post”).</w:t>
      </w:r>
    </w:p>
    <w:p>
      <w:pPr>
        <w:spacing w:after="0" w:line="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All 4,597,339 shares of our common stock that are being offered and sold in this offering are currently held by Post. In connection with this</w:t>
      </w:r>
    </w:p>
    <w:p>
      <w:pPr>
        <w:spacing w:after="0" w:line="27" w:lineRule="exact"/>
        <w:rPr>
          <w:sz w:val="24"/>
          <w:szCs w:val="24"/>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offering, Post expects to exchange 4,597,339 shares of our common stock for $ million in aggregate principal amount of outstanding indebtedness of Post held by the selling stockholder (or one of its affiliates) identified in this prospectus supplement pursuant to a debt-for-equity exchange agreement to be dated on or about the date of this prospectus supplement. We refer to this exchange between Post and the selling stockholder as the “debt-for-equity exchange.” The selling stockholder then expects to sell those shares of common stock to the underwriters for cash. The selling stockholder is also acting as an underwriter in this offering. The debt-for-equity exchange between Post and the selling stockholder is expected to occur on or before the settlement date of this offering, and the consummation of the debt-for-equity exchange is a condition to the settlement of the selling stockholder’s sale of the shares to the underwriters. As a result, the consummation of the debt-for-equity exchange is also ultimately a condition to the settlement of the underwriters’ sale of the shares to prospective investors. The selling stockholder will receive all of the net proceeds from the sale of the shares of our common stock offered pursuant to this prospectus supplement. Neither we nor Post will receive any proceeds from the sale of shares in this offering. As a result of the debt-for-equity exchange, Post may be deemed to be a selling stockholder in this offering solely for U.S. federal securities law purposes.</w:t>
      </w:r>
    </w:p>
    <w:p>
      <w:pPr>
        <w:spacing w:after="0" w:line="301" w:lineRule="exact"/>
        <w:rPr>
          <w:sz w:val="24"/>
          <w:szCs w:val="24"/>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part of and subject to the completion of the offering, we intend to concurrently repurchase from the underwriters 925,000 shares out of the aggregate 4,597,339 shares of our common stock that are the subject of the offering (the “Concurrent Share Repurchase”). The price per share to be paid by us will equal the price at which the underwriters will purchase the shares from the selling stockholder in the offering. No underwriting discount or commissions will be paid to the underwriters with respect to the shares we intend to repurchase in the Concurrent Share Repurchase.</w:t>
      </w:r>
    </w:p>
    <w:p>
      <w:pPr>
        <w:spacing w:after="0" w:line="72" w:lineRule="exact"/>
        <w:rPr>
          <w:sz w:val="24"/>
          <w:szCs w:val="24"/>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(the “NYSE”) under the ticker symbol “BRBR”. On November 18, 2022, the closing sales price of our common stock as reported on the NYSE was $22.45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8" w:lineRule="exact"/>
        <w:rPr>
          <w:sz w:val="24"/>
          <w:szCs w:val="24"/>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Investing in shares of our common stock involves significant risks. See “</w:t>
      </w:r>
      <w:r>
        <w:rPr>
          <w:rFonts w:ascii="Times New Roman" w:cs="Times New Roman" w:eastAsia="Times New Roman" w:hAnsi="Times New Roman"/>
          <w:sz w:val="19"/>
          <w:szCs w:val="19"/>
          <w:b w:val="1"/>
          <w:bCs w:val="1"/>
          <w:i w:val="1"/>
          <w:iCs w:val="1"/>
          <w:u w:val="single" w:color="auto"/>
          <w:color w:val="0000EE"/>
        </w:rPr>
        <w:t>Risk Factors</w:t>
      </w:r>
      <w:r>
        <w:rPr>
          <w:rFonts w:ascii="Times New Roman" w:cs="Times New Roman" w:eastAsia="Times New Roman" w:hAnsi="Times New Roman"/>
          <w:sz w:val="19"/>
          <w:szCs w:val="19"/>
          <w:b w:val="1"/>
          <w:bCs w:val="1"/>
          <w:i w:val="1"/>
          <w:iCs w:val="1"/>
          <w:color w:val="auto"/>
        </w:rPr>
        <w:t>” beginning on page S-9 of this prospectus supplement and in the reports we file with the United States (the “U.S.”) Securities and Exchange Commission (the “SEC”), pursuant to the Securities Exchange Act of 1934, as amended (the “Exchange Act”), incorporated by reference in this prospectus supplement or the accompanying prospectus, to read about factors you should consider before buying shares of our common stock.</w:t>
      </w:r>
    </w:p>
    <w:p>
      <w:pPr>
        <w:spacing w:after="0" w:line="55" w:lineRule="exact"/>
        <w:rPr>
          <w:sz w:val="24"/>
          <w:szCs w:val="24"/>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51" w:lineRule="exact"/>
        <w:rPr>
          <w:sz w:val="24"/>
          <w:szCs w:val="24"/>
          <w:color w:val="auto"/>
        </w:rPr>
      </w:pPr>
    </w:p>
    <w:p>
      <w:pPr>
        <w:ind w:left="560"/>
        <w:spacing w:after="0"/>
        <w:tabs>
          <w:tab w:leader="none" w:pos="9760" w:val="left"/>
        </w:tabs>
        <w:rPr>
          <w:sz w:val="20"/>
          <w:szCs w:val="20"/>
          <w:color w:val="auto"/>
        </w:rPr>
      </w:pPr>
      <w:r>
        <w:rPr>
          <w:rFonts w:ascii="Times New Roman" w:cs="Times New Roman" w:eastAsia="Times New Roman" w:hAnsi="Times New Roman"/>
          <w:sz w:val="18"/>
          <w:szCs w:val="18"/>
          <w:color w:val="auto"/>
        </w:rPr>
        <w:t>The underwriters have agreed to purchase the shares of our common stock from the selling stockholder at a price of $</w:t>
      </w:r>
      <w:r>
        <w:rPr>
          <w:sz w:val="20"/>
          <w:szCs w:val="20"/>
          <w:color w:val="auto"/>
        </w:rPr>
        <w:tab/>
      </w:r>
      <w:r>
        <w:rPr>
          <w:rFonts w:ascii="Times New Roman" w:cs="Times New Roman" w:eastAsia="Times New Roman" w:hAnsi="Times New Roman"/>
          <w:sz w:val="17"/>
          <w:szCs w:val="17"/>
          <w:color w:val="auto"/>
        </w:rPr>
        <w:t>per share, which</w:t>
      </w:r>
    </w:p>
    <w:p>
      <w:pPr>
        <w:spacing w:after="0" w:line="27" w:lineRule="exact"/>
        <w:rPr>
          <w:sz w:val="24"/>
          <w:szCs w:val="24"/>
          <w:color w:val="auto"/>
        </w:rPr>
      </w:pPr>
    </w:p>
    <w:p>
      <w:pPr>
        <w:ind w:left="120"/>
        <w:spacing w:after="0"/>
        <w:tabs>
          <w:tab w:leader="none" w:pos="1900" w:val="left"/>
        </w:tabs>
        <w:rPr>
          <w:sz w:val="20"/>
          <w:szCs w:val="20"/>
          <w:color w:val="auto"/>
        </w:rPr>
      </w:pPr>
      <w:r>
        <w:rPr>
          <w:rFonts w:ascii="Times New Roman" w:cs="Times New Roman" w:eastAsia="Times New Roman" w:hAnsi="Times New Roman"/>
          <w:sz w:val="18"/>
          <w:szCs w:val="18"/>
          <w:color w:val="auto"/>
        </w:rPr>
        <w:t>will result in $</w:t>
      </w:r>
      <w:r>
        <w:rPr>
          <w:sz w:val="20"/>
          <w:szCs w:val="20"/>
          <w:color w:val="auto"/>
        </w:rPr>
        <w:tab/>
      </w:r>
      <w:r>
        <w:rPr>
          <w:rFonts w:ascii="Times New Roman" w:cs="Times New Roman" w:eastAsia="Times New Roman" w:hAnsi="Times New Roman"/>
          <w:sz w:val="17"/>
          <w:szCs w:val="17"/>
          <w:color w:val="auto"/>
        </w:rPr>
        <w:t>of proceeds to the selling stockholder before expenses. The underwriters propose to offer the shares of our common stock from</w:t>
      </w:r>
    </w:p>
    <w:p>
      <w:pPr>
        <w:spacing w:after="0" w:line="9" w:lineRule="exact"/>
        <w:rPr>
          <w:sz w:val="24"/>
          <w:szCs w:val="24"/>
          <w:color w:val="auto"/>
        </w:rPr>
      </w:pPr>
    </w:p>
    <w:p>
      <w:pPr>
        <w:ind w:left="120" w:right="280"/>
        <w:spacing w:after="0" w:line="290" w:lineRule="auto"/>
        <w:rPr>
          <w:sz w:val="20"/>
          <w:szCs w:val="20"/>
          <w:color w:val="auto"/>
        </w:rPr>
      </w:pPr>
      <w:r>
        <w:rPr>
          <w:rFonts w:ascii="Times New Roman" w:cs="Times New Roman" w:eastAsia="Times New Roman" w:hAnsi="Times New Roman"/>
          <w:sz w:val="17"/>
          <w:szCs w:val="17"/>
          <w:color w:val="auto"/>
        </w:rPr>
        <w:t>time to time for sale in one or more transactions on the NYSE, in the over-the-counter market, through negotiated transactions or otherwise at market prices prevailing at the time of sale, at prices related to prevailing market prices or at negotiated prices. See “Underwriting (Conflicts of Interest).”</w:t>
      </w:r>
    </w:p>
    <w:p>
      <w:pPr>
        <w:spacing w:after="0" w:line="49"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952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underwriters expect to deliver the shares of our common stock against payment in New York, New York on or about</w:t>
            </w: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 2022.</w:t>
            </w:r>
          </w:p>
        </w:tc>
      </w:tr>
      <w:tr>
        <w:trPr>
          <w:trHeight w:val="230"/>
        </w:trPr>
        <w:tc>
          <w:tcPr>
            <w:tcW w:w="1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3120" w:type="dxa"/>
            <w:vAlign w:val="bottom"/>
            <w:gridSpan w:val="2"/>
          </w:tcPr>
          <w:p>
            <w:pPr>
              <w:spacing w:after="0"/>
              <w:rPr>
                <w:sz w:val="19"/>
                <w:szCs w:val="19"/>
                <w:color w:val="auto"/>
              </w:rPr>
            </w:pPr>
          </w:p>
        </w:tc>
      </w:tr>
      <w:tr>
        <w:trPr>
          <w:trHeight w:val="410"/>
        </w:trPr>
        <w:tc>
          <w:tcPr>
            <w:tcW w:w="1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184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2440" w:type="dxa"/>
            <w:vAlign w:val="bottom"/>
            <w:gridSpan w:val="2"/>
          </w:tcPr>
          <w:p>
            <w:pPr>
              <w:ind w:left="480"/>
              <w:spacing w:after="0"/>
              <w:rPr>
                <w:sz w:val="20"/>
                <w:szCs w:val="20"/>
                <w:color w:val="auto"/>
              </w:rPr>
            </w:pPr>
            <w:r>
              <w:rPr>
                <w:rFonts w:ascii="Times New Roman" w:cs="Times New Roman" w:eastAsia="Times New Roman" w:hAnsi="Times New Roman"/>
                <w:sz w:val="22"/>
                <w:szCs w:val="22"/>
                <w:b w:val="1"/>
                <w:bCs w:val="1"/>
                <w:color w:val="auto"/>
              </w:rPr>
              <w:t>Morgan Stanley</w:t>
            </w:r>
          </w:p>
        </w:tc>
        <w:tc>
          <w:tcPr>
            <w:tcW w:w="1940" w:type="dxa"/>
            <w:vAlign w:val="bottom"/>
            <w:gridSpan w:val="2"/>
          </w:tcPr>
          <w:p>
            <w:pPr>
              <w:ind w:left="480"/>
              <w:spacing w:after="0"/>
              <w:rPr>
                <w:sz w:val="20"/>
                <w:szCs w:val="20"/>
                <w:color w:val="auto"/>
              </w:rPr>
            </w:pPr>
            <w:r>
              <w:rPr>
                <w:rFonts w:ascii="Times New Roman" w:cs="Times New Roman" w:eastAsia="Times New Roman" w:hAnsi="Times New Roman"/>
                <w:sz w:val="22"/>
                <w:szCs w:val="22"/>
                <w:b w:val="1"/>
                <w:bCs w:val="1"/>
                <w:color w:val="auto"/>
              </w:rPr>
              <w:t>Citigroup</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r>
    </w:tbl>
    <w:p>
      <w:pPr>
        <w:spacing w:after="0" w:line="74" w:lineRule="exact"/>
        <w:rPr>
          <w:sz w:val="24"/>
          <w:szCs w:val="24"/>
          <w:color w:val="auto"/>
        </w:rPr>
      </w:pPr>
    </w:p>
    <w:p>
      <w:pPr>
        <w:sectPr>
          <w:pgSz w:w="11900" w:h="16838" w:orient="portrait"/>
          <w:cols w:equalWidth="0" w:num="1">
            <w:col w:w="11140"/>
          </w:cols>
          <w:pgMar w:left="320" w:top="226" w:right="439" w:bottom="1440" w:gutter="0" w:footer="0" w:header="0"/>
        </w:sectPr>
      </w:pPr>
    </w:p>
    <w:p>
      <w:pPr>
        <w:ind w:left="386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Prospectus Supplement dated</w:t>
      </w:r>
      <w:r>
        <w:rPr>
          <w:sz w:val="20"/>
          <w:szCs w:val="20"/>
          <w:color w:val="auto"/>
        </w:rPr>
        <w:tab/>
      </w:r>
      <w:r>
        <w:rPr>
          <w:rFonts w:ascii="Times New Roman" w:cs="Times New Roman" w:eastAsia="Times New Roman" w:hAnsi="Times New Roman"/>
          <w:sz w:val="18"/>
          <w:szCs w:val="18"/>
          <w:b w:val="1"/>
          <w:bCs w:val="1"/>
          <w:color w:val="auto"/>
        </w:rPr>
        <w:t>, 2022.</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5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6000" w:type="dxa"/>
            <w:vAlign w:val="bottom"/>
            <w:gridSpan w:val="8"/>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1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Basis of Presentation</w:t>
            </w:r>
          </w:p>
        </w:tc>
        <w:tc>
          <w:tcPr>
            <w:tcW w:w="702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Trademarks, Tradenames and Service Marks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Presentation of Certain Financial Measures</w:t>
            </w:r>
          </w:p>
        </w:tc>
        <w:tc>
          <w:tcPr>
            <w:tcW w:w="53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120" w:type="dxa"/>
            <w:vAlign w:val="bottom"/>
          </w:tcPr>
          <w:p>
            <w:pPr>
              <w:spacing w:after="0"/>
              <w:rPr>
                <w:sz w:val="17"/>
                <w:szCs w:val="17"/>
                <w:color w:val="auto"/>
              </w:rPr>
            </w:pPr>
          </w:p>
        </w:tc>
        <w:tc>
          <w:tcPr>
            <w:tcW w:w="31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4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1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360" w:type="dxa"/>
            <w:vAlign w:val="bottom"/>
            <w:gridSpan w:val="2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Consequences to Non-U.S. Holders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20" w:type="dxa"/>
            <w:vAlign w:val="bottom"/>
          </w:tcPr>
          <w:p>
            <w:pPr>
              <w:spacing w:after="0"/>
              <w:rPr>
                <w:sz w:val="17"/>
                <w:szCs w:val="17"/>
                <w:color w:val="auto"/>
              </w:rPr>
            </w:pPr>
          </w:p>
        </w:tc>
        <w:tc>
          <w:tcPr>
            <w:tcW w:w="562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29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196"/>
        </w:trPr>
        <w:tc>
          <w:tcPr>
            <w:tcW w:w="120" w:type="dxa"/>
            <w:vAlign w:val="bottom"/>
          </w:tcPr>
          <w:p>
            <w:pPr>
              <w:spacing w:after="0"/>
              <w:rPr>
                <w:sz w:val="17"/>
                <w:szCs w:val="17"/>
                <w:color w:val="auto"/>
              </w:rPr>
            </w:pPr>
          </w:p>
        </w:tc>
        <w:tc>
          <w:tcPr>
            <w:tcW w:w="25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98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56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669"/>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Explanatory Note</w:t>
            </w:r>
          </w:p>
        </w:tc>
        <w:tc>
          <w:tcPr>
            <w:tcW w:w="7260" w:type="dxa"/>
            <w:vAlign w:val="bottom"/>
            <w:gridSpan w:val="19"/>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120" w:type="dxa"/>
            <w:vAlign w:val="bottom"/>
          </w:tcPr>
          <w:p>
            <w:pPr>
              <w:spacing w:after="0"/>
              <w:rPr>
                <w:sz w:val="17"/>
                <w:szCs w:val="17"/>
                <w:color w:val="auto"/>
              </w:rPr>
            </w:pPr>
          </w:p>
        </w:tc>
        <w:tc>
          <w:tcPr>
            <w:tcW w:w="1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9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Trademarks, Tradenames and Service Marks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BellRing Brands, Inc.</w:t>
            </w:r>
          </w:p>
        </w:tc>
        <w:tc>
          <w:tcPr>
            <w:tcW w:w="53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5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9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0" w:type="dxa"/>
            <w:vAlign w:val="bottom"/>
            <w:tcBorders>
              <w:top w:val="single" w:sz="8" w:color="0000EE"/>
            </w:tcBorders>
          </w:tcPr>
          <w:p>
            <w:pPr>
              <w:spacing w:after="0"/>
              <w:rPr>
                <w:sz w:val="17"/>
                <w:szCs w:val="17"/>
                <w:color w:val="auto"/>
              </w:rPr>
            </w:pPr>
          </w:p>
        </w:tc>
        <w:tc>
          <w:tcPr>
            <w:tcW w:w="734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Consequences to Non-U.S. Holders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4120" w:type="dxa"/>
            <w:vAlign w:val="bottom"/>
            <w:tcBorders>
              <w:top w:val="single" w:sz="8" w:color="0000EE"/>
            </w:tcBorders>
            <w:gridSpan w:val="15"/>
          </w:tcPr>
          <w:p>
            <w:pPr>
              <w:spacing w:after="0"/>
              <w:rPr>
                <w:sz w:val="17"/>
                <w:szCs w:val="17"/>
                <w:color w:val="auto"/>
              </w:rPr>
            </w:pPr>
          </w:p>
        </w:tc>
        <w:tc>
          <w:tcPr>
            <w:tcW w:w="29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70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2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2860" w:type="dxa"/>
            <w:vAlign w:val="bottom"/>
            <w:gridSpan w:val="21"/>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and the accompanying prospectus or in any free writing prospectus that we authorize to be delivered to you. We, Post, the selling stockholder and the underwriters (and any of our or their affiliates) have not authorized anyone to provide any information or to make any representations other than those contained, or incorporated by reference, in this prospectus supplement and the accompanying prospectus or in any free writing prospectus we have prepared. We, Post, the selling stockholder and the underwriters (and any of our or their affiliates) take no responsibility for, and can provide no assurance as to the reliability of, any other information that others may provide to you. The selling stockholder and the underwriters are offering to sell, and seeking offers to buy, these securities only in jurisdictions where offers and sales are permitted. You should assume that the information contained, or incorporated by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reference, in this prospectus supplement and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cash flows and prospects may have changed since that date.</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document has two parts, a prospectus supplement and an accompanying prospectus, dated August 8, 2022. This prospectus supplement and the accompanying prospectus are part of a registration statement that we filed with the SEC,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18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our common stock in certain jurisdictions may be restricted by law. Neither the selling stockholder nor the underwriter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are making an offer of our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our common stock. None of us, Post, the selling stockholder or the underwriter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(nor any of our or their affiliates) are making any representation to you regarding the legality of an investment in our common stock by you under applicable investment or similar laws.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second quarter of the fiscal year ended September 30, 2022, Post completed its previously announced distribution of 80.1% of its ownership interest in BellRing Brands, Inc. (formerly known as BellRing Distribution, LLC) (“BellRing”) to Post’s shareholders. On March 9, 2022, pursuant to the Transaction Agreement and Plan of Merger, dated as of October 26, 2021, as amended by Amendment No. 1, dated as of February 28, 2022, by and among Post, BellRing Intermediate Holdings, Inc. (formerly known as BellRing Brands, Inc.) (“Old BellRing”), BellRing and BellRing Merger Sub Corporation, a wholly-owned subsidiary of BellRing (“BellRing Merger Sub”), Post contributed its share of Old BellRing Class B common stock, $0.01 par value per share (“Old BellRing Class B Common Stock”), all of its non-voting membership units (“BellRing LLC units”) in BellRing Brands, LLC (“BellRing LLC”) and $550.4 million of cash to BellRing in exchange for certain limited liability company interests of BellRing (prior to the conversion of BellRing into a Delaware corporation) and the right to receive $840.0 million in aggregate principal amount of BellRing’s 7.00% Senior Notes maturing in March 2030 (the “Senior Notes”).</w:t>
      </w:r>
    </w:p>
    <w:p>
      <w:pPr>
        <w:spacing w:after="0" w:line="18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78,076,841, or 80.1%, of its shares of BellRing common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stock, par value $0.01 per share,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March 10, 2022, 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$0.01 par value per share (“Old BellRing Class A Common Stock” and, together with the Old BellRing Class B Common Stock, the “Old BellRing Common Stock”) was converted into one share of BellRing common stock plus $2.97 in cash. As a result of the transactions described above (collectively, the “Spin-off”), BellRing became the new public parent company of, and successor issuer to, Old BellRing, and shares of BellRing common stock were deemed to be registered under Section 12(b) of the Exchange Act pursuant to Rule 12g-3(a) promulgated thereunder.</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this prospectus supplement, the terms “Company,” “BellRing,” “we,” “us” and “our” refer to (i) Old BellRing and its consolidated subsidiaries during the periods prior to the Spin-off and (ii) BellRing and its consolidated subsidiaries during the periods subsequent to the Spin-off, in each case, unless otherwise stated or the context otherwise indicates. The term “common stock” generally refers to Old BellRing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or incorporated by reference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229" w:lineRule="exact"/>
        <w:rPr>
          <w:sz w:val="20"/>
          <w:szCs w:val="20"/>
          <w:color w:val="auto"/>
        </w:rPr>
      </w:pPr>
    </w:p>
    <w:p>
      <w:pPr>
        <w:ind w:left="120" w:righ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We own or have rights to use logos, trademarks, trade names, service marks and copyrights that we use in conjunction with the operation of our business and that appear in this prospectus supplement and the accompanying prospectus (or in documents we have incorporated by reference). Other logos, trademarks, trade names, service marks and copyrights appearing in this prospectus supplement and the accompanying prospectus (or in documents we have incorporated by reference) are the property of their respective owners. We do not intend our use or display of other companies’ logos, trademarks, service marks, copyrights or trade names to imply a relationship with, or endorsement or sponsorship of us by, any other companies. Solely for convenience, trademarks, trade names and copyrights referred to in this prospectus supplement and the accompanying prospectus (or in documents we have incorporated by reference)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copyrights, trademarks and trade names.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CERTAIN FINANCIAL MEASURES</w:t>
      </w:r>
    </w:p>
    <w:p>
      <w:pPr>
        <w:spacing w:after="0" w:line="22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contains, or incorporates by reference, certain financial measures, including Adjusted EBITDA, that are not recognized under generally accepted accounting principles in the U.S. (“GAAP”).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Adjusted EBITDA has been presented in this prospectus supplement as a supplemental measure of financial performance that is not required by, or presented in accordance with, GAAP. This non-GAAP financial measure is included in this prospectus supplement because it is a key metric used by our management to assess our financial performance. We use this measure to supplement GAAP measures of performance in order to evaluate our operating performance and our ability to service debt. We believe this measure is useful to investors in evaluating our operating performance and liquidity because</w:t>
      </w:r>
    </w:p>
    <w:p>
      <w:pPr>
        <w:spacing w:after="0" w:line="3" w:lineRule="exact"/>
        <w:rPr>
          <w:sz w:val="20"/>
          <w:szCs w:val="20"/>
          <w:color w:val="auto"/>
        </w:rPr>
      </w:pPr>
    </w:p>
    <w:p>
      <w:pPr>
        <w:jc w:val="both"/>
        <w:ind w:left="120" w:right="40" w:hanging="4"/>
        <w:spacing w:after="0" w:line="253"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are required to comply with certain covenants and limitations that are based on variations of Adjusted EBITDA in our financing documents.</w:t>
      </w:r>
    </w:p>
    <w:p>
      <w:pPr>
        <w:spacing w:after="0" w:line="189"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Adjusted EBITDA is a non-GAAP measure of our financial performance and should not be considered as an alternative to net earnings available to common stockholders as a measure of financial performance or any other performance measures derived in accordance with GAAP, nor should it be construed as an inference that our future results will be unaffected by unusual or other items. Additionally, Adjusted EBITDA is not intended to be a measure of free cash flow for management’s discretionary use, as (i) it does not reflect certain cash requirements such as cash expenditures, or future requirements, for capital expenditures or contractual commitments; (ii) it does not reflect changes in, or cash requirements for, working capital needs;</w:t>
      </w:r>
    </w:p>
    <w:p>
      <w:pPr>
        <w:spacing w:after="0" w:line="3" w:lineRule="exact"/>
        <w:rPr>
          <w:sz w:val="20"/>
          <w:szCs w:val="20"/>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significant interest expense, or the cash requirements necessary to service interest or principal payments, on indebtedness;</w:t>
      </w:r>
    </w:p>
    <w:p>
      <w:pPr>
        <w:spacing w:after="0" w:line="9" w:lineRule="exact"/>
        <w:rPr>
          <w:rFonts w:ascii="Times New Roman" w:cs="Times New Roman" w:eastAsia="Times New Roman" w:hAnsi="Times New Roman"/>
          <w:sz w:val="18"/>
          <w:szCs w:val="18"/>
          <w:color w:val="auto"/>
        </w:rPr>
      </w:pPr>
    </w:p>
    <w:p>
      <w:pPr>
        <w:ind w:left="120" w:right="20" w:hanging="4"/>
        <w:spacing w:after="0" w:line="252" w:lineRule="auto"/>
        <w:tabs>
          <w:tab w:leader="none" w:pos="4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 (v) it does not reflect the impact of earnings or charges resulting from matters we consider not to be indicative of our ongoing operations; and (vi) other companies in the industry may calculate Adjusted EBITDA differently, limiting its usefulness as a comparative benchmark measure. Our management compensates for these limitations by relying on our GAAP results in addition to using Adjusted EBITDA. Our presentation of Adjusted EBITDA is not necessarily comparable to other similarly titled captions of other companies due to different methods of calculation. For additional discussion regarding the limitations of Adjusted EBITDA as a measure of financial performance, see “Prospectus Supplement Summary—Summary Historical Condensed Consolidated Financial and Other Data.”</w:t>
      </w:r>
    </w:p>
    <w:p>
      <w:pPr>
        <w:spacing w:after="0" w:line="18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calculating Adjusted EBITDA, we make certain adjustments that are based on assumptions and estimates that may prove to have been inaccurate. Accordingly, you should not view our presentation of these adjustments as a projection that we will achieve these benefits but rather only as an indication of our current expectations.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For a definition of Adjusted EBITDA and reconciliations to the most directly comparable measure under GAAP, see “Prospectus Supplement Summary—Summary Historical Condensed Consolidated Financial and Other Data.”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This summary highlights selected information contained or incorporated by reference in this prospectus supplement and the accompanying prospectus. This summary is not complete and does not contain all of the information that you should consider before making your investment decision. Before you decide to invest in shares of our common stock, you should carefully read this entire prospectus supplement, the accompanying prospectus and the information incorporated by reference herein and therein, including any free writing prospectus prepared by us or on our behalf, including the sections entitled “Special Note Regarding Forward-Looking Statements” and “Risk Factors” included in this prospectus supplement and the accompanying prospectus, the sections entitled “Risk Factors” and “Management’s Discussion and Analysis of Financial Condition and Results of Operations” and the </w:t>
      </w:r>
      <w:hyperlink r:id="rId18">
        <w:r>
          <w:rPr>
            <w:rFonts w:ascii="Times New Roman" w:cs="Times New Roman" w:eastAsia="Times New Roman" w:hAnsi="Times New Roman"/>
            <w:sz w:val="18"/>
            <w:szCs w:val="18"/>
            <w:i w:val="1"/>
            <w:iCs w:val="1"/>
            <w:u w:val="single" w:color="auto"/>
            <w:color w:val="0000EE"/>
          </w:rPr>
          <w:t>audited consolidated financial statements and related notes</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thereto in our Annual Report on Form 10-K for the fiscal year ended September 30, 2022 filed with the SEC on November 17, 2022 (the “Annual Report”), which is incorporated by reference in this prospectus supplement and the accompanying prospectus.</w:t>
      </w: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other RTD beverages and powders. Our products are distributed across a diverse network of channels including club, food, drug and mass, eCommerce, specialty and convenience.</w:t>
      </w:r>
    </w:p>
    <w:p>
      <w:pPr>
        <w:spacing w:after="0" w:line="180"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2503 S. Hanley Road, St. Louis, Missouri 63144 and our telephone number is (314) 644-7600. Our website is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Information contained on our website or that can be accessed through our website is not part of, and is not incorporated by reference in, this prospectus supplement.</w:t>
      </w: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Underwriting and Debt-for-Equity Exchange</w:t>
      </w:r>
    </w:p>
    <w:p>
      <w:pPr>
        <w:spacing w:after="0" w:line="229" w:lineRule="exact"/>
        <w:rPr>
          <w:sz w:val="20"/>
          <w:szCs w:val="20"/>
          <w:color w:val="auto"/>
        </w:rPr>
      </w:pPr>
    </w:p>
    <w:p>
      <w:pPr>
        <w:ind w:left="720"/>
        <w:spacing w:after="0"/>
        <w:tabs>
          <w:tab w:leader="none" w:pos="8860" w:val="left"/>
        </w:tabs>
        <w:rPr>
          <w:sz w:val="20"/>
          <w:szCs w:val="20"/>
          <w:color w:val="auto"/>
        </w:rPr>
      </w:pPr>
      <w:r>
        <w:rPr>
          <w:rFonts w:ascii="Times New Roman" w:cs="Times New Roman" w:eastAsia="Times New Roman" w:hAnsi="Times New Roman"/>
          <w:sz w:val="18"/>
          <w:szCs w:val="18"/>
          <w:color w:val="auto"/>
        </w:rPr>
        <w:t>In connection with this offering, Post expects to exchange 4,597,339 shares of our common stock for $</w:t>
      </w:r>
      <w:r>
        <w:rPr>
          <w:sz w:val="20"/>
          <w:szCs w:val="20"/>
          <w:color w:val="auto"/>
        </w:rPr>
        <w:tab/>
      </w:r>
      <w:r>
        <w:rPr>
          <w:rFonts w:ascii="Times New Roman" w:cs="Times New Roman" w:eastAsia="Times New Roman" w:hAnsi="Times New Roman"/>
          <w:sz w:val="18"/>
          <w:szCs w:val="18"/>
          <w:color w:val="auto"/>
        </w:rPr>
        <w:t>in aggregate principal</w:t>
      </w:r>
    </w:p>
    <w:p>
      <w:pPr>
        <w:spacing w:after="0" w:line="27" w:lineRule="exact"/>
        <w:rPr>
          <w:sz w:val="20"/>
          <w:szCs w:val="20"/>
          <w:color w:val="auto"/>
        </w:rPr>
      </w:pPr>
    </w:p>
    <w:p>
      <w:pPr>
        <w:ind w:left="300"/>
        <w:spacing w:after="0" w:line="251" w:lineRule="auto"/>
        <w:rPr>
          <w:sz w:val="20"/>
          <w:szCs w:val="20"/>
          <w:color w:val="auto"/>
        </w:rPr>
      </w:pPr>
      <w:r>
        <w:rPr>
          <w:rFonts w:ascii="Times New Roman" w:cs="Times New Roman" w:eastAsia="Times New Roman" w:hAnsi="Times New Roman"/>
          <w:sz w:val="18"/>
          <w:szCs w:val="18"/>
          <w:color w:val="auto"/>
        </w:rPr>
        <w:t>amount of outstanding indebtedness of Post held by the selling stockholder or one of its affiliates, pursuant to a debt-for-equity exchange agreement to be dated on or about the date of this prospectus supplement. The selling stockholder then expects to sell those shares of common stock to the underwriters for cash. The debt-for-equity exchange between Post and the selling stockholder is expected to occur on or before the settlement date of this offering, and the consummation of the debt-for-equity exchange is a condition to the settlement of the selling stockholder’s sale of the shares to the underwriters. Therefore, the consummation of the debt-for-equity exchange is also ultimately a condition to the settlement of the underwriters’ sale of the shares to prospective investors. As a result of the debt-for-equity exchange, Post may be deemed to be a selling stockholder in this offering solely for U.S. federal securities law purposes. We do not guarantee, or otherwise have any obligations in respect of, the Post indebtedness being exchanged for shares of our common stock in connection with the debt-for-equity exchange.</w:t>
      </w:r>
    </w:p>
    <w:p>
      <w:pPr>
        <w:spacing w:after="0" w:line="194"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If the amount of shares of our common stock to be sold by the selling stockholder in this offering is not sufficient to satisfy the aggregate principal amount of the indebtedness of Post held by the selling stockholder or one of its affiliates (excluding any accrued interest), any remaining aggregate principal amount of such indebtedness will be paid with cash on hand by Post. See “Underwriting (Conflicts of Interest)—The Debt-for-Equity Exchange” for additional information.</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978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Upon completion of the debt-for-equity exchange, it is expected that Post will no longer own any shares of our common stock. See “Selling Stockholder.”</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selling stockholder is also acting as an underwriter in this offering. See “Underwriting (Conflicts of Interest).”</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Concurrent Share Repurchase</w:t>
      </w:r>
    </w:p>
    <w:p>
      <w:pPr>
        <w:spacing w:after="0" w:line="22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As part of and subject to the completion of the offering, we intend to concurrently repurchase from the underwriters 925,000 shares out of the aggregate 4,597,339 shares of our common stock that are the subject of the offering. The price per share to be paid by us will equal the price at which the underwriters will purchase the shares from the selling stockholder in the offering. The Concurrent Share Repurchase is part of, and as a result, conditioned on the closing of the offering and therefore there can be no assurance that the Concurrent Share Repurchase will be completed.</w:t>
      </w:r>
    </w:p>
    <w:p>
      <w:pPr>
        <w:spacing w:after="0" w:line="180"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The Concurrent Share Repurchase is being made pursuant to the previously announced share repurchase program of up to $50.0 million. We intend to fund the Concurrent Share Repurchase with cash on hand and, to the extent necessary, borrowings under our revolving credit facility. As a result, the funding of the share repurchase will, if completed, decrease the amount of cash on our balance sheet.</w:t>
      </w:r>
    </w:p>
    <w:p>
      <w:pPr>
        <w:spacing w:after="0" w:line="176"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description of, and the other information in this prospectus supplement regarding, the Concurrent Share Repurchase are included in this prospectus supplement for informational purposes only. Nothing in this prospectus supplement should be construed as an offer to sell, or the solicitation of an offer to buy, any of our common stock subject to the Concurrent Share Repurchase.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876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the selling stockholder</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outstanding</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4,597,339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135,295,583 shares (as of September 30, 2022).</w:t>
      </w:r>
    </w:p>
    <w:p>
      <w:pPr>
        <w:spacing w:after="0" w:line="266"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Neither we nor Post will receive any proceeds from the sale of shares of our common stock being sold in this offering. The selling stockholder will receive all of the net proceeds from the sale of shares of our common stock offered pursuant to this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 and “Selling Stockholder.”</w:t>
      </w:r>
    </w:p>
    <w:p>
      <w:pPr>
        <w:spacing w:after="0" w:line="25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All 4,597,339 shares of our common stock that are being offered and sold in this offering are currently held by Post. The selling stockholder identified in this prospectus supplement expects to acquire the shares of our common stock being sold in this offering from Post in exchange for outstanding indebtedness of Post held by the selling stockholder or one of its affiliates on or before the settlement date of this offering, prior to the settlement of the selling stockholder’s sale of the shares to the underwriters. See “Selling Stockholder” and “Underwriting (Conflicts of Interest)—The Debt-for-Equity Exchange.” As a result of the debt-for-equity exchange, Post may be deemed to be a selling stockholder in this offering solely for U.S. federal securities law purposes.</w:t>
      </w:r>
    </w:p>
    <w:p>
      <w:pPr>
        <w:spacing w:after="0" w:line="200" w:lineRule="exact"/>
        <w:rPr>
          <w:sz w:val="20"/>
          <w:szCs w:val="20"/>
          <w:color w:val="auto"/>
        </w:rPr>
      </w:pPr>
    </w:p>
    <w:p>
      <w:pPr>
        <w:sectPr>
          <w:pgSz w:w="11900" w:h="16838" w:orient="portrait"/>
          <w:cols w:equalWidth="0" w:num="2">
            <w:col w:w="3860" w:space="480"/>
            <w:col w:w="6800"/>
          </w:cols>
          <w:pgMar w:left="320" w:top="455" w:right="439" w:bottom="1440" w:gutter="0" w:footer="0" w:header="0"/>
          <w:type w:val="continuous"/>
        </w:sectPr>
      </w:pP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Because J.P. Morgan Securities LLC, an underwriter in this offering, will receive 5% or</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more of the net proceeds of this offering as the selling stockholder, J.P. Morgan Securities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LLC is deemed to have a “conflict of interest” within the meaning of Rule 5121 (“Rule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5121”) of the Financial Industry Regulatory Authority, Inc. (“FINRA”). Accordingly, this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offering will be conducted in compliance with the requirements of Rule 5121.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appointment of a “qualified independent underwriter” is not required in connection with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this offering because a “bona fide public market,” as defined in Rule 5121, exists for our</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common stock. See “Underwriting (Conflicts of Interest).”</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You should carefully read and consider the information set forth under “Risk Factors”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herein, in the accompanying prospectus and in the documents incorporated by reference</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herein, including our Annual Report, before deciding to invest in our common stock.</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Concurrent Share Repurchase</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As part of and subject to the completion of the offering, we intend to concurrently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repurchase from the underwriters 925,000 shares out of the aggregate 4,597,339 shares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our common stock that are the subject of the offering. The price per share to be paid by us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will equal the price at which the underwriters will purchase the shares from the selling</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stockholder in the offering. See “—Concurrent Share Repurchase.”</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2609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998970" cy="2609850"/>
                    </a:xfrm>
                    <a:prstGeom prst="rect">
                      <a:avLst/>
                    </a:prstGeom>
                    <a:noFill/>
                  </pic:spPr>
                </pic:pic>
              </a:graphicData>
            </a:graphic>
          </wp:anchor>
        </w:drawing>
      </w:r>
    </w:p>
    <w:p>
      <w:pPr>
        <w:sectPr>
          <w:pgSz w:w="11900" w:h="16838" w:orient="portrait"/>
          <w:cols w:equalWidth="0" w:num="1">
            <w:col w:w="10880"/>
          </w:cols>
          <w:pgMar w:left="320" w:top="455" w:right="69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currently anticipate paying any dividends on our common stock. We expect to retain all future earnings for use in the operation and expansion of our business. Any decision to declare and pay dividends in the future will be made at the sole discretion of our board of directors and will depend on various factors. Our ability to pay dividends on our common stock may be restricted by the documents governing our and our subsidiaries’ existing and future outstanding indebtedness. See “Dividend Policy.”</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NYSE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“BRBR”.</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50"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is based on 135,295,583 shares of our common stock outstanding as of September 30, 2022 and does not reflect:</w:t>
      </w:r>
    </w:p>
    <w:p>
      <w:pPr>
        <w:spacing w:after="0" w:line="67" w:lineRule="exact"/>
        <w:rPr>
          <w:sz w:val="20"/>
          <w:szCs w:val="20"/>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258,987 shares of common stock that may be issued upon the exercise of outstanding options at an average weighted exercise price of $17.74; and</w:t>
      </w:r>
    </w:p>
    <w:p>
      <w:pPr>
        <w:spacing w:after="0" w:line="67" w:lineRule="exact"/>
        <w:rPr>
          <w:rFonts w:ascii="Times New Roman" w:cs="Times New Roman" w:eastAsia="Times New Roman" w:hAnsi="Times New Roman"/>
          <w:sz w:val="18"/>
          <w:szCs w:val="18"/>
          <w:color w:val="auto"/>
        </w:rPr>
      </w:pPr>
    </w:p>
    <w:p>
      <w:pPr>
        <w:jc w:val="both"/>
        <w:ind w:left="1240" w:right="22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1,555,539 shares of common stock that may be issued upon the vesting of outstanding restricted stock units and performance stock units under the BellRing Brands, Inc. 2019 Long-Term Incentive Plan (the “LTIP”) (assuming maximum payments under the LTIP).</w:t>
      </w:r>
    </w:p>
    <w:p>
      <w:pPr>
        <w:spacing w:after="0" w:line="28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80"/>
          </w:cols>
          <w:pgMar w:left="320" w:top="455" w:right="6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47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Condensed Consolidated Financial and Other Data</w:t>
      </w:r>
    </w:p>
    <w:p>
      <w:pPr>
        <w:spacing w:after="0" w:line="229"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color w:val="auto"/>
        </w:rPr>
        <w:t>The following tables set forth our summary condensed consolidated financial data as of the dates and for the periods indicated. The summary historical condensed consolidated financial data as of September 30, 2022 and 2021 and for the years ended September 30, 2022, 2021 and 2020 is derived from our audited consolidated financial statements and related notes thereto incorporated by reference in this prospectus supplement. Our historical results are not necessarily indicative of the results expected for any future period.</w:t>
      </w:r>
    </w:p>
    <w:p>
      <w:pPr>
        <w:spacing w:after="0" w:line="180"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Prior to the Spin-off on March 10, 2022, the financial results of BellRing LLC and its subsidiaries were consolidated with Old BellRing and a portion of the consolidated net earnings of BellRing LLC was allocated to the redeemable noncontrolling interest (the “NCI”). The calculation of the redeemable NCI was based on Post’s ownership percentage of BellRing LLC units during each period prior to the Spin-off and reflected the entitlement of Post to a portion of the consolidated net earnings of BellRing LLC prior to the Spin-off. As a result of the Spin-off, Post’s remaining ownership of BellRing no longer represented a NCI to BellRing. All intercompany balances and transactions have been eliminated.</w:t>
      </w:r>
    </w:p>
    <w:p>
      <w:pPr>
        <w:spacing w:after="0" w:line="183"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You should read the information contained in this table in conjunction with “Management’s Discussion and Analysis of Financial Condition and Results of Operations” and our audited consolidated financial statements and the accompanying notes thereto in our Annual Report, which is incorporated by reference in this prospectus supplement.</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3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1,371.5</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1,247.1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988.3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650.3</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338.0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151.8</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3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and refinancing of debt, net(1)</w:t>
            </w: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109.3</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including redeemable noncontrolling interest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100.1</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information:</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260" w:type="dxa"/>
            <w:vAlign w:val="bottom"/>
            <w:gridSpan w:val="2"/>
          </w:tcPr>
          <w:p>
            <w:pPr>
              <w:jc w:val="right"/>
              <w:ind w:right="2900"/>
              <w:spacing w:after="0"/>
              <w:rPr>
                <w:sz w:val="20"/>
                <w:szCs w:val="20"/>
                <w:color w:val="auto"/>
              </w:rPr>
            </w:pPr>
            <w:r>
              <w:rPr>
                <w:rFonts w:ascii="Times New Roman" w:cs="Times New Roman" w:eastAsia="Times New Roman" w:hAnsi="Times New Roman"/>
                <w:sz w:val="18"/>
                <w:szCs w:val="18"/>
                <w:color w:val="auto"/>
              </w:rPr>
              <w:t>S-5</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4"/>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 (as of year end)</w:t>
            </w:r>
          </w:p>
        </w:tc>
        <w:tc>
          <w:tcPr>
            <w:tcW w:w="9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(excluding cash, cash equivalents and current portion of long-term debt)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242.0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707.2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current portion</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929.5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deficit(2)</w:t>
            </w:r>
          </w:p>
        </w:tc>
        <w:tc>
          <w:tcPr>
            <w:tcW w:w="2380" w:type="dxa"/>
            <w:vAlign w:val="bottom"/>
            <w:gridSpan w:val="7"/>
          </w:tcPr>
          <w:p>
            <w:pPr>
              <w:jc w:val="right"/>
              <w:ind w:right="250"/>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Pr>
          <w:p>
            <w:pPr>
              <w:spacing w:after="0"/>
              <w:rPr>
                <w:sz w:val="20"/>
                <w:szCs w:val="20"/>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(3,062.8)</w:t>
            </w:r>
          </w:p>
        </w:tc>
        <w:tc>
          <w:tcPr>
            <w:tcW w:w="0" w:type="dxa"/>
            <w:vAlign w:val="bottom"/>
          </w:tcPr>
          <w:p>
            <w:pPr>
              <w:spacing w:after="0"/>
              <w:rPr>
                <w:sz w:val="1"/>
                <w:szCs w:val="1"/>
                <w:color w:val="auto"/>
              </w:rPr>
            </w:pPr>
          </w:p>
        </w:tc>
      </w:tr>
      <w:tr>
        <w:trPr>
          <w:trHeight w:val="373"/>
        </w:trPr>
        <w:tc>
          <w:tcPr>
            <w:tcW w:w="7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60" w:type="dxa"/>
            <w:vAlign w:val="bottom"/>
            <w:gridSpan w:val="1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cash flows data</w:t>
            </w:r>
          </w:p>
        </w:tc>
        <w:tc>
          <w:tcPr>
            <w:tcW w:w="9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21.3</w:t>
            </w:r>
          </w:p>
        </w:tc>
        <w:tc>
          <w:tcPr>
            <w:tcW w:w="80" w:type="dxa"/>
            <w:vAlign w:val="bottom"/>
          </w:tcPr>
          <w:p>
            <w:pPr>
              <w:spacing w:after="0"/>
              <w:rPr>
                <w:sz w:val="18"/>
                <w:szCs w:val="18"/>
                <w:color w:val="auto"/>
              </w:rPr>
            </w:pP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(135.0)</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(120.9)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$ 271.4</w:t>
            </w:r>
          </w:p>
        </w:tc>
        <w:tc>
          <w:tcPr>
            <w:tcW w:w="80" w:type="dxa"/>
            <w:vAlign w:val="bottom"/>
          </w:tcPr>
          <w:p>
            <w:pPr>
              <w:spacing w:after="0"/>
              <w:rPr>
                <w:sz w:val="20"/>
                <w:szCs w:val="20"/>
                <w:color w:val="auto"/>
              </w:rPr>
            </w:pP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233.9</w:t>
            </w:r>
          </w:p>
        </w:tc>
        <w:tc>
          <w:tcPr>
            <w:tcW w:w="8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right="80" w:hanging="422"/>
        <w:spacing w:after="0" w:line="25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September 30, 2021, BellRing recognized $1.6 million of losses related to refinancing fees incurred in conjunction with the refinancing of the BellRing LLC credit agreement. During the year ended September 30, 2022, BellRing recognized a $17.6 million loss related to the termination of its credit agreement entered into on October 21, 2019 (as subsequently amended, the “Old Credit Agreement”). This loss included (i) a $6.9 million write-off of unamortized discounts and debt extinguishment fees, (ii) a $6.1 million write-off of unamortized net hedging losses recorded within accumulated other comprehensive income or loss related to the term B loan facility under the Old Credit Agreement and (iii) a $4.6 million write-off of debt issuance costs and deferred financing fees. See Note 14 within “Notes to Consolidated Financial Statements” in our Annual Report, incorporated by reference into this prospectus supplement, for additional information on the debt.</w:t>
      </w:r>
    </w:p>
    <w:p>
      <w:pPr>
        <w:ind w:left="720" w:right="200" w:hanging="422"/>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21, 2019, BellRing completed an initial public offering (“IPO”). Additionally, on March 10, 2022, BellRing completed the Spin-off. For additional information about the IPO and the Spin-off, see Note 1 within “Notes to Consolidated Financial Statements” in our Annual Report, incorporated by reference into this prospectus supplement.</w:t>
      </w:r>
    </w:p>
    <w:p>
      <w:pPr>
        <w:spacing w:after="0" w:line="1" w:lineRule="exact"/>
        <w:rPr>
          <w:rFonts w:ascii="Times New Roman" w:cs="Times New Roman" w:eastAsia="Times New Roman" w:hAnsi="Times New Roman"/>
          <w:sz w:val="18"/>
          <w:szCs w:val="18"/>
          <w:color w:val="auto"/>
        </w:rPr>
      </w:pPr>
    </w:p>
    <w:p>
      <w:pPr>
        <w:ind w:left="720" w:right="40" w:hanging="422"/>
        <w:spacing w:after="0" w:line="25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earnings available to common stockholders, plus income tax expense, interest expense, depreciation and amortization and net earnings attributable to redeemable noncontrolling interest, as further adjusted to eliminate the impact of a number of items that are non-cash items, unusual items which we do not expect to recur or continue at the same level or other items which we do not believe to be reflective of ongoing operating performance. Adjusted EBITDA represents a supplemental measure of our operating performance and our ability to service debt. We believe that Adjusted EBITDA is useful to investors in evaluating our operating performance and our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are required to comply with certain covenants and limitations that are based on variations of Adjusted EBITDA</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9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00"/>
        <w:spacing w:after="0" w:line="282" w:lineRule="auto"/>
        <w:rPr>
          <w:sz w:val="20"/>
          <w:szCs w:val="20"/>
          <w:color w:val="auto"/>
        </w:rPr>
      </w:pPr>
      <w:r>
        <w:rPr>
          <w:rFonts w:ascii="Times New Roman" w:cs="Times New Roman" w:eastAsia="Times New Roman" w:hAnsi="Times New Roman"/>
          <w:sz w:val="18"/>
          <w:szCs w:val="18"/>
          <w:color w:val="auto"/>
        </w:rPr>
        <w:t>in our financing documents. You are encouraged to evaluate each adjustment and the reasons we consider them appropriate for supplemental analysis.</w:t>
      </w:r>
    </w:p>
    <w:p>
      <w:pPr>
        <w:spacing w:after="0" w:line="189" w:lineRule="exact"/>
        <w:rPr>
          <w:sz w:val="20"/>
          <w:szCs w:val="20"/>
          <w:color w:val="auto"/>
        </w:rPr>
      </w:pPr>
    </w:p>
    <w:p>
      <w:pPr>
        <w:ind w:left="720" w:right="30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67"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cash expenditures, or future requirements, for capital expenditures or contractual commitments;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working capital needs;</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significant interest expense, or the cash requirements necessary to service interest or principal payments, on indebtedness;</w:t>
      </w:r>
    </w:p>
    <w:p>
      <w:pPr>
        <w:spacing w:after="0" w:line="67" w:lineRule="exact"/>
        <w:rPr>
          <w:rFonts w:ascii="Times New Roman" w:cs="Times New Roman" w:eastAsia="Times New Roman" w:hAnsi="Times New Roman"/>
          <w:sz w:val="18"/>
          <w:szCs w:val="18"/>
          <w:color w:val="auto"/>
        </w:rPr>
      </w:pPr>
    </w:p>
    <w:p>
      <w:pPr>
        <w:ind w:left="1240" w:right="8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of earnings or charges resulting from matters we consider not to be indicative of our ongoing operations; and</w:t>
      </w:r>
    </w:p>
    <w:p>
      <w:pPr>
        <w:spacing w:after="0" w:line="67"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the industry may calculate Adjusted EBITDA differently, limiting its usefulness as a comparative benchmark measure.</w:t>
      </w:r>
    </w:p>
    <w:p>
      <w:pPr>
        <w:spacing w:after="0" w:line="54" w:lineRule="exact"/>
        <w:rPr>
          <w:sz w:val="20"/>
          <w:szCs w:val="20"/>
          <w:color w:val="auto"/>
        </w:rPr>
      </w:pPr>
    </w:p>
    <w:p>
      <w:pPr>
        <w:ind w:left="720" w:right="300"/>
        <w:spacing w:after="0" w:line="258"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You should compensate for these limitations by relying primarily on our GAAP results and using Adjusted EBITDA only supplementally. In addition, in evaluating Adjusted EBITDA, you should be aware that in the future we may incur expenses similar to the adjustments used in deriving Adjusted EBITDA and the presentation of Adjusted EBITDA should not be construed as an inference that our future results will be unaffected by unusual or non-recurring items.</w:t>
      </w:r>
    </w:p>
    <w:p>
      <w:pPr>
        <w:spacing w:after="0" w:line="75" w:lineRule="exact"/>
        <w:rPr>
          <w:sz w:val="20"/>
          <w:szCs w:val="20"/>
          <w:color w:val="auto"/>
        </w:rPr>
      </w:pPr>
    </w:p>
    <w:p>
      <w:pPr>
        <w:ind w:left="720" w:right="7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earnings available to common stockholders, the most directly comparable GAAP performance measure, to Adjusted EBITDA, in each case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11"/>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including accelerated depreciation and amortization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redeemable noncontrolling interest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Separation costs(a)</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facility closure costs, excluding accelerated depreciation(b)</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compensation(c)</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matters (d)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(gain) on intercompany loans(e)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and refinancing of debt, net(a)</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Mark-to-market adjustments on commodity hedges(f)</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Resolution of dispute with former contract manufacturer(g)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tax receivable agreement liability(h)</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233.9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197.2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7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724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S-7</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09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998970" cy="200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422"/>
        <w:spacing w:after="0" w:line="276"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incurred (i) to effect the IPO, (ii) to effect the Spin-off and (iii) to support BellRing’s transition into a separate stand-alone, publicly-traded entity, as the amount and frequency of such expenses are not consistent. See footnote (1) above for additional information.</w:t>
      </w: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costs associated with facility closures.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expenses related to stock-based compensation.</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adjustments related to estimates for ongoing legal matters.</w:t>
      </w:r>
    </w:p>
    <w:p>
      <w:pPr>
        <w:spacing w:after="0" w:line="9" w:lineRule="exact"/>
        <w:rPr>
          <w:rFonts w:ascii="Times New Roman" w:cs="Times New Roman" w:eastAsia="Times New Roman" w:hAnsi="Times New Roman"/>
          <w:sz w:val="18"/>
          <w:szCs w:val="18"/>
          <w:color w:val="auto"/>
        </w:rPr>
      </w:pPr>
    </w:p>
    <w:p>
      <w:pPr>
        <w:ind w:left="720" w:right="260" w:hanging="422"/>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foreign currency losses (gains) on intercompany loans and related interest denominated in currencies other than the functional currency of the respective legal entity.</w:t>
      </w: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non-cash mark-to-market adjustments on commodity hedges.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non-cash write-offs recorded in connection with the resolution of a dispute with a former contract manufacturer.</w:t>
      </w:r>
    </w:p>
    <w:p>
      <w:pPr>
        <w:spacing w:after="0" w:line="9" w:lineRule="exact"/>
        <w:rPr>
          <w:rFonts w:ascii="Times New Roman" w:cs="Times New Roman" w:eastAsia="Times New Roman" w:hAnsi="Times New Roman"/>
          <w:sz w:val="18"/>
          <w:szCs w:val="18"/>
          <w:color w:val="auto"/>
        </w:rPr>
      </w:pPr>
    </w:p>
    <w:p>
      <w:pPr>
        <w:ind w:left="720" w:right="40" w:hanging="422"/>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adjustment to Old BellRing’s tax receivable agreement with Post. While the tax receivable agreement between Old BellRing and Post remains in effect following the Spin-off with respect to periods prior to the completion of the Spin-off, the tax receivable agreement is no longer applicable for tax benefits that accrue with respect to periods after the completion of the Spin-off.</w:t>
      </w:r>
    </w:p>
    <w:p>
      <w:pPr>
        <w:spacing w:after="0" w:line="3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800"/>
          </w:cols>
          <w:pgMar w:left="320" w:top="455" w:right="7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and uncertainties described below, together with all of the other information included or incorporated by reference in this prospectus supplement and the accompanying prospectus, including the risks and uncertainties discussed under “Prospectus Supplement Summary—Summary Historical Condensed Consolidated Financial and Other Data” contained elsewhere in this prospectus supplement, “Risk Factors,” “Management’s Discussion and Analysis of Financial Condition and Results of Operations” and our audited consolidated financial statements and related notes thereto in our Annual Report, which is incorporated by reference in this prospectus supplement and the accompanying prospectus, before investing in our common stock. If any of the risks described below actually occur, our business, financial condition, results of operations, cash flows or prospects could be materially adversely affected. In any such case, the trading price of our common stock could decline and you could lose all or part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you may lose all or part of your investment.</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fluctuate significantly, and you may not be able to resell your shares of common stock at or above the price at which your shares were acquired. Those fluctuations could be based on various factors, including those described under “Risk Factors” in our Annual Report, which is incorporated by reference in this prospectus supplement, and the following:</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performance of our competitors and fluctuations in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research analysts who follow us or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services, strategic investments or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competitors to meet analysts’ projections or guidance we or our competitors may give to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new interpretations or applications of laws and regulations, that are applicable to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arrival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publicly traded;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shares of our common stock, including sales, distributions or issuances by us or our officers, directors and significant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developments affecting us, the industry in which we operate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national or local economic, legal and regulatory factors unrelated to our performance;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natural disasters, war, including the ongoing conflict in Ukraine, acts of terrorism or responses to these events.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in recent years the stock market has experienced significant price and volume fluctuations that have affected and continue to affect the market prices of equity securities of many companies. These fluctuations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have often been unrelated or disproportionate to the operating performance of those companies. These broad market fluctuations, as well as general economic, political and market conditions such as recessions or interest rate changes, may cause declines in the market price of our common stock and you may not realize any return on your investment and may lose some or all of your investment.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we primarily operate in a single industry, we are especially vulnerable to these factors to the extent that they affect our industry or products. In the past, securities class action litigation has often been initiated against companies following periods of volatility in their stock price. This type of litigation could result in substantial costs and divert our management’s attention and resources, and also could require us to make substantial payments to satisfy judgments or to settle litigation.</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None of the proceeds from the sale of shares of our common stock by the selling stockholder in this offering will be available to us to fund our operations.</w:t>
      </w:r>
    </w:p>
    <w:p>
      <w:pPr>
        <w:spacing w:after="0" w:line="5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by the selling stockholder in this offering. The selling stockholder will receive all proceeds from the sale of such shares. Consequently, none of the proceeds from such sale by the selling stockholder will be available to us to fund our operations, capital expenditures, compensation plans or acquisition opportunities. See “Use of Proceeds.”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our business, our stock price and trading volume could decline.</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securities or industry analysts publish about our company and business. If one or more of the analysts who cover us downgrades our common stock or publishes inaccurate or unfavorable research about our business, our stock price could decline. If one or more of these analysts ceases coverage of us or fails to publish reports on us regularly, demand for our common stock could decrease, which could cause our stock price and trading volume to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declare or pay any dividends on our common stock for the foreseeable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We have not paid cash dividends to date and have no current plans to pay any cash dividends for the foreseeable future. As a result of our current dividend policy, you may not receive any return on an investment in shares of our common stock unless you sell shares of our common stock for a price greater than that which you paid for it. Any future determination to declare and pay cash dividends will be at the discretion of our board of directors and will depend on, among other things, our financial condition, results of operations, cash requirements, contractual restrictions, restrictions in our debt agreements and such other factors as our board of directors deems relevant. Our ability to pay dividends depends on our receipt of cash dividends from our operating subsidiaries, including Old BellRing and BellRing LLC, which may further restrict our ability to pay dividends as a result of the laws of their jurisdictions of organization or agreements of our subsidiaries. See “Dividend Policy.”</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5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such sales could occur, could substantially decrease the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2022, we had a total of 135,295,583 shares of our common stock outstanding. Of the outstanding shares, the 78,076,841 shares of common stock distributed in the Distribution, the 38,887,851 shares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40"/>
          </w:cols>
          <w:pgMar w:left="320" w:top="45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of common stock issued in the Merger, the 14,000,000 shares of common stock sold in a secondary offering in August 2022 and the 3,672,339 shares of common stock sold in this offering will be freely tradable without restriction or further registration under the Securities Act of 1933, as amended (the “Securities Act”), except that any shares held by our affiliates, as that term is defined under Rule 144 of the Securities Act (“Rule 144”), including our directors, executive officers and other affiliates, may be sold in the public market only if they are registered under the Securities Act or are sold pursuant to an exemption from registration such as Rule 144.</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213,849 shares of common stock held by certain of our directors and executive officers after this offering, representing approximately 0.2%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and our directors and executive officers have signed lock-up agreements with the underwriters that, subject to certain exceptions, restrict the disposition of, or hedging with respect to, the shares of our common stock or securities convertible into or exchangeable for shares of common stock, each held by them for 60 days following the date of this prospectus supplement, except with the prior written consent of J.P. Morgan Securities LLC. See “Underwriting (Conflicts of Interest)” for a description of these lock-up agreements. J.P. Morgan Securities LLC may, in its sole discretion, release all or some portion of the shares subject to the 60 day lock-up agreements prior to the expiration of such period.</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 preserve the tax-free treatment of the Distribution, for the initial two-year period following the Distribution, we are prohibited, except in limited circumstances, from taking or failing to take certain actions that would prevent the Distribution and related transactions from being tax-free, including issuing any equity securities or securities that could possibly be converted into our equity securities, including as acquisition currency for a merger or acquisition (but excluding certain equity compensation for our employees). In the future and subject to the preceding considerations, however, we may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Certain matters we discuss in this prospectus supplement, the accompanying prospectus and the documents we incorporate or that are deemed to be incorporated by reference herein or therein relate to future events and our intentions, beliefs, expectations and predictions for the future, including statements concerning future business conditions and prospects, growth opportunities and estimates of growth and the outlook for our business, and, in each case, are based upon information currently available. Any such statements, other than statements of historical fact, are forward-looking statements. When used in this document, words such as “believe,” “should,” “could,” “potential,” “continue,” “expect,” “project,” “estimate,” “predict,” “anticipate,” “aim,” “intend,” “plan,” “forecast,” “target,” “is likely,” “will,” “can,” “may” or “would” or the negative of these terms and similar expressions as they relate to us are intended to identify forward-looking statements within the meaning of the U.S. Private Securities Litigation Reform Act of 1995. These forward-looking statements are based upon current assumptions and expectations of our management, and reflect our current views with respect to future events, are not guarantees of future performance and involve risks and uncertainties that are difficult to predict. Further, certain forward-looking statements are based upon assumptions as to future events that may not prove to be accurate.</w:t>
      </w:r>
    </w:p>
    <w:p>
      <w:pPr>
        <w:spacing w:after="0" w:line="19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Such forward-looking statements are subject to risks and uncertainties that could cause our actual results, performance and achievements to differ materially from those expressed in, or implied by, these statements included in this prospectus supplement, the accompanying prospectus and in the documents we incorporate or that are deemed to be incorporated by reference herein or therein. These forward-looking statements are subject to various risks and uncertainties, many of which are outside of our control. You should understand that the following important factors, in addition to those discussed herein under the caption “Risk Factors” in this prospectus supplement and “Risk Factors” in our Annual Report, which is incorporated by reference herein, could affect our future results and could cause those results or other outcomes to differ materially from those expressed or implied in our forward-looking statements:</w:t>
      </w:r>
    </w:p>
    <w:p>
      <w:pPr>
        <w:spacing w:after="0" w:line="9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for the manufacturing of most of our products, including one manufacturer for the majority of our RTD protein shakes;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 party contract manufacturers to produce an amount of our products that enables us to meet customer and consumer demand for the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 party intellectual property subject to intellectual property licenses;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other factors besides those listed here could adversely affect our business, financial condition, results of operations and cash flows. Other unknown or unpredictable factors also could have a material adverse effect on our actual future results, performance or achievements. As a result of the foregoing, readers are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40"/>
          </w:cols>
          <w:pgMar w:left="320" w:top="455"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cautioned not to place undue reliance on these forward-looking statements, which speak only as of their dates. We do not undertake, and expressly disclaim, any duty to update any forward-looking statement whether as a result of new information, future events or changes in its respective expectations, except as required by law.</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based on estimates and assumptions that are subject to significant business, economic and competitive uncertainties, many of which are beyond our control or are subject to change, actual results could be materially different and any or all of these forward-looking statements may turn out to be wrong. Forward-looking statements speak only as of the date made and can be affected by assumptions we might make or by known or unknown risks and uncertainties. Many factors mentioned in this prospectus supplement and the accompanying prospectus and the documents we incorporate by reference herein or therein will be important in determining future results. Consequently, we cannot assure you that expectations or forecasts expressed in such forward-looking statements will be achieved. Actual future results may vary materially.</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discuss many of these risks in greater detail under the heading “Risk Factors” in this prospectus supplement and under “Risk Factors” in our Annual Report, which is incorporated by reference herein. Unless required by U.S. federal securities laws, we neither intend nor assume any obligation to update these forward-looking statements, which speak only as of their dates.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selling stockholder will receive all of the net proceeds from the sale of shares of our common stock offered pursuant to this prospectus supplement. We will not receive any proceeds from the sale of shares of our common stock being sold in this offering. The selling stockholder will bear all commissions and discounts, if any, from the sale of shares of our common stock pursuant to this prospectus supplement. See “Selling Stockholder.”</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do not intend to pay cash dividends on our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ability to pay dividends depends on our receipt of cash dividends or distributions from our operating subsidiaries, including Old BellRing and BellRing LLC. The laws of our subsidiaries’ jurisdictions of organization or agreements entered into by our subsidiaries, including agreements governing their indebtedness, may restrict their ability to pay dividends or make distributions to us and further restrict our ability to pay dividends. In addition, cash distributions from BellRing LLC may be distributed from time to time at the discretion of its Board of Managers pro rata to its members according to the number of BellRing LLC units held by such members, subject to certain exceptions. BellRing LLC currently has one member, BellRing Intermediate Holdings, Inc. The indenture governing the Senior Notes and the credit agreement governing our revolving credit facility also include restrictions on our, Old BellRing’s, BellRing LLC’s and their subsidiaries’ respective ability to make distributions and will thus restrict our ability to pay dividends. See “Management’s Discussion and Analysis of Financial Condition and Results of Operations—Liquidity and Capital Resources” in our Annual Report, which is incorporated by reference in this prospectus supplement, for a description of the restrictions on our and our subsidiaries’ ability to pay dividends.</w:t>
      </w:r>
    </w:p>
    <w:p>
      <w:pPr>
        <w:spacing w:after="0" w:line="19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need to sell your shares of our common stock to realize a return on your investment, and you may not be able to sell your shares at or above the price you paid for them. See “Risk Factors—Risks Related to this Offering and Ownership of Our Common Stock—We may not declare or pay any dividends on our common stock for the foreseeable future.”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the following table and accompanying footnotes set forth information with respect to the beneficial ownership of our common stock, as of November 10, 2022, by Post, which as of such date is the beneficial owner of the shares to be sold in this offering and which may be deemed to be a selling stockholder in this offering, solely for U.S. federal securities law purposes, as a result of the debt-for-equity exchange with the selling stockholder, or one of its affiliates. The percentages of beneficial ownership provided in the table below are based on 135,295,583 shares of our common stock, par value $0.01 per share, outstanding as of November 10, 2022.</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 Morgan Securities LLC (the “selling stockholder”) is offering all of the shares of common stock being sold in this offering. Post expects to</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exchange 4,597,339 shares of common stock for $ in aggregate principal amount of outstanding indebtedness of Post held by the selling stockholder or one of its affiliates, pursuant to the debt-for-equity exchange agreement to be dated on or about the date of this prospectus supplement. The selling stockholder then expects to sell those shares to the underwriters for cash. The debt-for-equity exchange between Post and the selling stockholder is expected to occur on or before the settlement date of this offering, and the consummation of the debt-for-equity exchange is a condition to the settlement of the selling stockholder’s sale of the shares to the underwriters. Therefore, the consummation of the debt-for-equity exchange is also ultimately a condition to the settlement of the underwriters’ sale of the shares to prospective investors. See “Underwriting (Conflicts of Interest)—The Debt-for-Equity Exchange.”</w:t>
      </w:r>
    </w:p>
    <w:p>
      <w:pPr>
        <w:spacing w:after="0" w:line="18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To our knowledge, unless otherwise noted in the footnotes to the table below, and subject to applicable community property laws, the holder named in the table has sole voting and investment power with respect to its beneficially owned common stock.</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84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20" w:type="dxa"/>
            <w:vAlign w:val="bottom"/>
            <w:gridSpan w:val="2"/>
          </w:tcPr>
          <w:p>
            <w:pPr>
              <w:jc w:val="center"/>
              <w:ind w:left="626"/>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4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Debt-for-Equity Exchange,</w:t>
            </w:r>
          </w:p>
        </w:tc>
        <w:tc>
          <w:tcPr>
            <w:tcW w:w="2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Debt-for-Equity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4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the Concurrent Share</w:t>
            </w:r>
          </w:p>
        </w:tc>
        <w:tc>
          <w:tcPr>
            <w:tcW w:w="2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 the Concurrent</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4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Repurchase and this</w:t>
            </w:r>
          </w:p>
        </w:tc>
        <w:tc>
          <w:tcPr>
            <w:tcW w:w="2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Repurchase and this</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2"/>
          </w:tcPr>
          <w:p>
            <w:pPr>
              <w:jc w:val="center"/>
              <w:ind w:right="745"/>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vMerge w:val="continue"/>
          </w:tcPr>
          <w:p>
            <w:pPr>
              <w:spacing w:after="0"/>
              <w:rPr>
                <w:sz w:val="13"/>
                <w:szCs w:val="13"/>
                <w:color w:val="auto"/>
              </w:rPr>
            </w:pPr>
          </w:p>
        </w:tc>
        <w:tc>
          <w:tcPr>
            <w:tcW w:w="3480" w:type="dxa"/>
            <w:vAlign w:val="bottom"/>
          </w:tcPr>
          <w:p>
            <w:pPr>
              <w:spacing w:after="0"/>
              <w:rPr>
                <w:sz w:val="13"/>
                <w:szCs w:val="13"/>
                <w:color w:val="auto"/>
              </w:rPr>
            </w:pPr>
          </w:p>
        </w:tc>
        <w:tc>
          <w:tcPr>
            <w:tcW w:w="14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142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64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Post Holdings, Inc.</w:t>
            </w:r>
            <w:r>
              <w:rPr>
                <w:rFonts w:ascii="Times New Roman" w:cs="Times New Roman" w:eastAsia="Times New Roman" w:hAnsi="Times New Roman"/>
                <w:sz w:val="25"/>
                <w:szCs w:val="25"/>
                <w:color w:val="auto"/>
                <w:vertAlign w:val="superscript"/>
              </w:rPr>
              <w:t>(1)</w:t>
            </w:r>
          </w:p>
        </w:tc>
        <w:tc>
          <w:tcPr>
            <w:tcW w:w="34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4,597,339</w:t>
            </w:r>
          </w:p>
        </w:tc>
        <w:tc>
          <w:tcPr>
            <w:tcW w:w="64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760" w:type="dxa"/>
            <w:vAlign w:val="bottom"/>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2503 S. Hanley Road, St. Louis, Missouri 63144. Post is a publicly traded company. For information regarding our relationship with Post, refer to “Basis of Presentation” and “Prospectus Supplement Summary” in this prospectus supplement and to the documents incorporated herein by reference.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 TO NON-U.S. HOLDERS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summary of certain U.S. federal income tax consequences to non-U.S. holders (as defined in the prospectus accompanying this prospectus supplement) of the ownership and disposition of shares of our common stock as of the date hereof, please refer to “Certain United States Federal Income Tax Consequences to Non-U.S. Holders” in the prospectus accompanying this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J.P. Morgan Securities LLC is acting as representative for this offering. Subject to the terms and conditions set forth in an underwriting agreement among us, Post, the selling stockholder and the underwriters, the selling stockholder has agreed to sell to the underwriters, and the underwriters have agreed to purchase from the selling stockholder, 4,597,339 shares of common stock, and each of the underwriters has agreed, severally and not jointly, to purchase from the selling stockholder the number of shares of common stock set forth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600" w:type="dxa"/>
            <w:vAlign w:val="bottom"/>
            <w:vMerge w:val="restart"/>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104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90"/>
        </w:trPr>
        <w:tc>
          <w:tcPr>
            <w:tcW w:w="6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J.P. Morgan Securities LLC</w:t>
            </w: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7"/>
              </w:rPr>
              <w:t>4,597,339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The underwriting agreement also provides that if an underwriter defaults, the purchase commitments of non-defaulting underwriters may also be increased or the offering may be terminated.</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Post and the selling stockholder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As part of and subject to the completion of the offering, we intend to concurrently repurchase from the underwriters 925,000 shares out of the aggregate 4,597,339 shares of our common stock that are the subject of the offering. The price per share to be paid by us will equal the price at which the underwriters will purchase the shares from the selling stockholder in the offering. See “Prospectus Supplement Summary—Concurrent Share Repurchase.” No underwriting discount or commissions will be paid to the underwriters with respect to the shares we intend to repurchase in the Concurrent Share Repurchase.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560"/>
        <w:spacing w:after="0"/>
        <w:tabs>
          <w:tab w:leader="none" w:pos="8140" w:val="left"/>
        </w:tabs>
        <w:rPr>
          <w:sz w:val="20"/>
          <w:szCs w:val="20"/>
          <w:color w:val="auto"/>
        </w:rPr>
      </w:pPr>
      <w:r>
        <w:rPr>
          <w:rFonts w:ascii="Times New Roman" w:cs="Times New Roman" w:eastAsia="Times New Roman" w:hAnsi="Times New Roman"/>
          <w:sz w:val="18"/>
          <w:szCs w:val="18"/>
          <w:color w:val="auto"/>
        </w:rPr>
        <w:t>The underwriters have agreed to purchase the shares from the selling stockholder at a price of $</w:t>
      </w:r>
      <w:r>
        <w:rPr>
          <w:sz w:val="20"/>
          <w:szCs w:val="20"/>
          <w:color w:val="auto"/>
        </w:rPr>
        <w:tab/>
      </w:r>
      <w:r>
        <w:rPr>
          <w:rFonts w:ascii="Times New Roman" w:cs="Times New Roman" w:eastAsia="Times New Roman" w:hAnsi="Times New Roman"/>
          <w:sz w:val="17"/>
          <w:szCs w:val="17"/>
          <w:color w:val="auto"/>
        </w:rPr>
        <w:t>per share, which will result in</w:t>
      </w:r>
    </w:p>
    <w:p>
      <w:pPr>
        <w:spacing w:after="0" w:line="27" w:lineRule="exact"/>
        <w:rPr>
          <w:sz w:val="20"/>
          <w:szCs w:val="20"/>
          <w:color w:val="auto"/>
        </w:rPr>
      </w:pPr>
    </w:p>
    <w:p>
      <w:pPr>
        <w:ind w:left="120" w:right="140" w:hanging="4"/>
        <w:spacing w:after="0" w:line="251" w:lineRule="auto"/>
        <w:tabs>
          <w:tab w:leader="none" w:pos="9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proceeds to the selling stockholder before expenses. The underwriters propose to offer the shares of our common stock from time to time for sale in one or more transactions on the NYSE, in the over-the-counter market, through negotiated transactions or otherwise at market prices prevailing at the time of sale, at prices related to prevailing market prices or at negotiated prices. In connection with the sale of the shares of our common stock offered hereby, the underwriters may be deemed to have received compensation in the form of an underwriting discount. The underwriters may effect such transactions by selling shares of our common stock to or through dealers, and such dealers may receive compensation in the form of discounts, concessions or commissions from the underwriters and/or purchasers of shares of our common stock for whom they may act as agents or to whom they may sell as principal. The difference between the price at which the underwriters purchase shares and the price at which the underwriter resells such shares may be deemed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underwriting compensation. The aggregate maximum discount, commission or agency fees or other items constituting underwriting compensation to be received by any FINRA member or independent broker-dealer will not exceed 8% of the proceeds from this offering.</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 is expected to acquire the total number of shares being sold in this offering from Post pursuant to the debt-for-equity exchange. The pricing with respect to the debt-for-equity exchange will (i) be negotiated at arm’s length, (ii) involve a fixed dollar amount and (iii) not contain any variable component. See “—The Debt-for-Equity Exchange.”</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w:t>
      </w:r>
    </w:p>
    <w:p>
      <w:pPr>
        <w:spacing w:after="0" w:line="27" w:lineRule="exact"/>
        <w:rPr>
          <w:sz w:val="20"/>
          <w:szCs w:val="20"/>
          <w:color w:val="auto"/>
        </w:rPr>
      </w:pPr>
    </w:p>
    <w:p>
      <w:pPr>
        <w:ind w:left="920" w:hanging="80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We have also agreed to reimburse the underwriters for certain of their expenses in an amount up to $30,000.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redeemable or exchangeable for our common stock (such shares of common stock or such other securities collectively, the “Locked-Up Securities”) or (ii) enter into any swap or other arrangement that transfers to another, in whole or in part, any of the economic consequences of ownership of our common stock, whether any such transaction described in clause (i) or (ii) above is to be settled by delivery of our common stock or such other securities, in cash or otherwise, in each case without the prior consent of J.P. Morgan Securities LLC, for a period of 60 days after the date of this prospectus (the “Restricted Period”). Notwithstanding the foregoing, the underwriters have agreed that the foregoing restrictions will not apply to us with respect to (a) the sale of the shares of our common stock in this offering, (b) the issuance by us of any shares of common stock upon the exercise of an option or warrant or the conversion of a security outstanding on the date of this prospectus, (c) any grants under our equity or stock plans in accordance with the terms of such plans as described in this prospectus, as such plans may be amended, and the filing of any registration statement on Form S-8 with respect thereto, (d) the establishment of a trading plan pursuant to Rule 10b5-1 under the Exchange Act for the transfer of shares of our common stock subject to certain conditions and restrictions and (e) our common stock or rights to receive our common stock (including securities convertible into or exercisable or exchangeable for our common stock) issued or contemplated to be issued in connection with an acquisition or with a strategic or minority investment transaction subject to certain conditions and restrictions.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our executive officers and our directors have entered into lock-up agreements with the underwriters prior to the commencement of this offering pursuant to which, for a period of 60 days after the date of this prospectus, they may not, subject to customary exceptions, without the prior written consent of J.P. Morgan Securities LLC, directly or indirectly, subject to certain exceptions, (i) offer, pledge, sell, contract to sell, sell any option or contract to purchase, purchase any option or contract to sell, grant any option, right or warrant to purchase, lend, or otherwise transfer or dispose of, directly or indirectly, any shares of common stock beneficially owned or any other securities so owned convertible into or exercisable, redeemable or exchangeable for common stock (including, without limitation, stock options, warrants or such other securities which may be deemed to be beneficially owned by the signees in accordance with the rules and regulations of the SEC, and in each case are convertible into or exercisable, redeemable or exchangeable for common stock) or (ii) enter into any swap or other arrangement that transfers to another, in whole or in part, any of the economic consequences of ownership of our common stock, whether any such transaction described in clause (1) or (2) above is to be settled by delivery of common stock or such other securities, in cash or otherwise.</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notwithstanding the lock-up agreements applicable to our executive officers and our directors, the underwriters have agreed that our executive officers and directors may, subject to certain restrictions, (1) if the signee is a natural person, make transfers of shares of our common stock or any security convertible into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shares of our common stock as a bona fide gift or through the laws of succession, (2) make distributions of shares of our common stock or any security convertible into shares of our common stock to limited partners or stockholders, (3) make transfers of shares of our common stock or any security convertible into shares of our common stock to a trust for their or their immediate family’s direct or indirect benefit, (4) make transfer of shares of our common stock or any security convertible into shares of our common stock to a nominee or a custodian of a person or entity to whom a disposition or transfer would be permissible under clauses (1)-(3), (5) establish a trading plan that complies with Rule 10b5-1 under the Exchange Act, provided that such plan does not provide for the transfer of common stock during the Restricted Period, (6) surrender shares of our common stock or any security convertible into shares of our common stock to us in payment of the exercise price of any options, in all such cases pursuant to equity awards granted under a stock incentive or other equity plan which is described in this prospectus (including the documents incorporated herein by reference), (7) make sales or dispositions of shares of our common stock solely for the purpose of sufficiently covering tax obligations which arise from the exercise or vesting of stock options, stock-settled stock appreciation rights, restricted stock units or other equity interests, in all such cases pursuant to equity awards granted under a stock incentive or other equity award plan described in this prospectus (including the documents incorporated by reference herein), (8) make offers and sales of our common stock in this offering, (9) make transfers of shares of our common stock or any security convertible into shares of our common stock acquired in open market transactions following completion of the offering of common stock described herein, (10) make transfers of our common stock pursuant to a bona fide third-party tender offer, merger, consolidation or similar transaction involving a change of control, (11) make transfers of shares of our common stock or any security convertible into shares of our common stock pursuant to an order of a court or regulatory agency or to comply with any regulations related to ownership of our common stock or our securities convertible into shares of our common stock or (12) make any transfers to us or our subsidiaries pursuant to any call or put provisions of existing employment agreements and equity grant documents or upon death, disability or termination of employment.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NYSE under the ticker symbol “BRBR”.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shares of our common stock. However, the underwriters may engage in transactions that stabilize the price of our common stock, such as bids or purchases to peg, fix or maintain that price.</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our common stock in the open market. These transactions may include short sales, purchases in the open market to cover positions created by short sales and stabilizing transactions. Short sales involve the sale by the underwriters of a greater number of shares than they are required to purchase in the offering, and purchasing shares of common stock on the open market to cover positions created by short sales.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None of us, the selling stockholder and the underwriters (nor any of our or their affiliates) make any representation or prediction as to the direction or magnitude of any effect that the transactions described above may have on the price of our common stock. In addition, none of us, the selling stockholder and the underwriters (nor any of our or their affiliates) make any representation that the underwriters will engage in these transactions or that these transactions, once commenced, will not be discontinued without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J.P. Morgan Securities LLC, an underwriter in this offering, will receive 5% or more of the net proceeds of this offering as the selling stockholder, J.P. Morgan Securities LLC is deemed to have a “conflict of interest” under FINRA Rule 5121. Accordingly, this offering will be conducted in compliance with the requirements of Rule 5121. The appointment of a “qualified independent underwriter” is not required in connection with this offering because a “bona fide public market,” as defined in Rule 5121, exists for our common stock. In accordance with FINRA Rule 5121, such underwriters will not confirm any sales to any account over which they exercise discretionary authority without the specific written approval of the transaction from the account 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 The underwriters and their respective affiliates have provided, and may in the future provide, a variety of these services to us, Post and to persons and entities with relationships with us, for which they received or will receive customary fees and expenses.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accounts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J.P. Morgan Securities LLC, an underwriter in this offering, is also acting as the selling stockholder in this offering in connection with the debt-for-equity exchange described in following paragraph.</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Debt-for-Equity Exchange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Post and the selling stockholder or one of its affiliates expect to enter into a debt-for-equity exchange agreement on or about the date of this prospectus supplement. Under the debt-for-equity exchange agreement, Post expects to exchange the shares of common stock to be sold in this offering for certain existing indebtedness of Post held by the selling stockholder or one of its affiliates. The selling stockholder will then sell those shares to the underwriters for cash. Upon completion of the debt-for-equity exchange, the Post indebtedness exchanged in such debt-for-equity exchange will be retired. If the amount of the shares of common stock to be sold in this offering is not sufficient to satisfy the aggregate principal amount of the indebtedness of Post held by the selling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stockholder or one of its affiliates (excluding any accrued interest), any remaining aggregate principal amount of such indebtedness will be paid with cash on hand by Post.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pricing with respect to the debt-for-equity exchange will (i) be negotiated at arm’s length, (ii) involve a fixed dollar amount and (iii) not contain any variable component. The selling stockholder will acquire and sell the shares of common stock as principal for its own account, rather than on Post’s behalf. Under the debt-for-equity exchange agreement described above, the selling stockholder will become the owner of our shares of common stock that it acquires in the debt-for-equity exchange as of or before the settlement date of this offering and the Post indebtedness exchanged in such debt-for-equity exchange will be retired. The selling stockholder, and neither we nor Post, will receive the net proceeds from the sale of the shares in this offering.</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U.S. federal securities laws, the selling stockholder will be deemed to be an underwriter with respect to any shares of common stock that it acquires in the debt-for-equity exchange and sells in this offering; however, references to the underwriters in this prospectus supplement refer only to the underwriters listed in the first paragraph of this “Underwriting (Conflicts of Interest)” section and acting in their capacity as underwriters. Post may be deemed to be a selling stockholder solely for U.S. federal securities law purposes with respect to any shares of common stock that the selling stockholder acquires from Post in the debt-for-equity exchange and sells in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of common stock have been offered or will be offered pursuant to this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shares of common stock may be made to the public in that Member State at any time:</w:t>
      </w:r>
    </w:p>
    <w:p>
      <w:pPr>
        <w:spacing w:after="0" w:line="183" w:lineRule="exact"/>
        <w:rPr>
          <w:sz w:val="20"/>
          <w:szCs w:val="20"/>
          <w:color w:val="auto"/>
        </w:rPr>
      </w:pPr>
    </w:p>
    <w:p>
      <w:pPr>
        <w:ind w:left="800" w:hanging="244"/>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25"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us or any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No shares of common stock have been offered or will be offered pursuant to this offering to the public in the United Kingdom prior to the publication of a prospectus in relation to the shares of common stock which has been approved by the Financial Conduct Authority, except that the shares of common stock may be offered to the public in the United Kingdom at any time:</w:t>
      </w:r>
    </w:p>
    <w:p>
      <w:pPr>
        <w:spacing w:after="0" w:line="176" w:lineRule="exact"/>
        <w:rPr>
          <w:sz w:val="20"/>
          <w:szCs w:val="20"/>
          <w:color w:val="auto"/>
        </w:rPr>
      </w:pPr>
    </w:p>
    <w:p>
      <w:pPr>
        <w:ind w:left="5460" w:right="2560" w:hanging="4904"/>
        <w:spacing w:after="0" w:line="454" w:lineRule="auto"/>
        <w:tabs>
          <w:tab w:leader="none" w:pos="8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S-23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36"/>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of common stock shall require us or any underwriter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w:t>
      </w:r>
    </w:p>
    <w:p>
      <w:pPr>
        <w:spacing w:after="0" w:line="27" w:lineRule="exact"/>
        <w:rPr>
          <w:sz w:val="20"/>
          <w:szCs w:val="20"/>
          <w:color w:val="auto"/>
        </w:rPr>
      </w:pPr>
    </w:p>
    <w:p>
      <w:pPr>
        <w:ind w:left="120" w:hanging="4"/>
        <w:spacing w:after="0" w:line="251" w:lineRule="auto"/>
        <w:tabs>
          <w:tab w:leader="none" w:pos="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registered as a prospectus with the Monetary Authority of Singapore. Accordingly, each underwriter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of common stock, whether directly or indirectly, to any person in Singapore other than:</w:t>
      </w:r>
    </w:p>
    <w:p>
      <w:pPr>
        <w:spacing w:after="0" w:line="187" w:lineRule="exact"/>
        <w:rPr>
          <w:sz w:val="20"/>
          <w:szCs w:val="20"/>
          <w:color w:val="auto"/>
        </w:rPr>
      </w:pPr>
    </w:p>
    <w:p>
      <w:pPr>
        <w:ind w:left="120" w:right="260" w:firstLine="436"/>
        <w:spacing w:after="0" w:line="282" w:lineRule="auto"/>
        <w:tabs>
          <w:tab w:leader="none" w:pos="8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275(1A) of the SFA, and in accordance with the conditions specified in Section 275 of the SFA; or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 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120" w:right="20" w:firstLine="436"/>
        <w:spacing w:after="0" w:line="282" w:lineRule="auto"/>
        <w:tabs>
          <w:tab w:leader="none" w:pos="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auto"/>
        </w:rPr>
      </w:pPr>
    </w:p>
    <w:p>
      <w:pPr>
        <w:ind w:left="120" w:right="540" w:firstLine="436"/>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76" w:lineRule="exact"/>
        <w:rPr>
          <w:sz w:val="20"/>
          <w:szCs w:val="20"/>
          <w:color w:val="auto"/>
        </w:rPr>
      </w:pPr>
    </w:p>
    <w:p>
      <w:pPr>
        <w:ind w:left="120" w:right="20" w:firstLine="436"/>
        <w:spacing w:after="0" w:line="282" w:lineRule="auto"/>
        <w:tabs>
          <w:tab w:leader="none" w:pos="7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CMP Regulations 2018, unless otherwise specified before an offer of shares of common stock, the Company has determined, and hereby notifies all relevant persons (as defined in Section 309A(1) of the SFA), that the shares of common stock are “prescribed capital markets products” (as defined in the CMP Regulations 2018)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Excluded Investment Products (as defined in MAS Notice SFA 04-N12: Notice on the Sale of Investment Products and MAS Notice FAA-N16: Notice on Recommendations on Investment Products).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40"/>
          </w:cols>
          <w:pgMar w:left="320" w:top="45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common stock offered by this prospectus supplement will be passed upon for us by Simpson Thacher &amp; Bartlett LLP, New York, New York. Certain legal matters relating to this offering will be passed upon for the underwriters by Latham &amp; Watkins LLP, New York, New York.</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September 30, 2022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common stock offered by this prospectus supplement. This prospectus supplement and the accompanying prospectus are part of the registration statement and therefore do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supplement and the accompanying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We file annual, quarterly and special reports and other information with the SEC. Our filings with the SEC, including the filings that are incorporated by reference to this prospectus supplement and accompanying prospectus, are available to the public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Those filings will also be available to the public on, or accessible through, our corporate website at </w:t>
      </w:r>
      <w:r>
        <w:rPr>
          <w:rFonts w:ascii="Times New Roman" w:cs="Times New Roman" w:eastAsia="Times New Roman" w:hAnsi="Times New Roman"/>
          <w:sz w:val="17"/>
          <w:szCs w:val="17"/>
          <w:i w:val="1"/>
          <w:iCs w:val="1"/>
          <w:color w:val="auto"/>
        </w:rPr>
        <w:t>www.bellring.com</w:t>
      </w:r>
      <w:r>
        <w:rPr>
          <w:rFonts w:ascii="Times New Roman" w:cs="Times New Roman" w:eastAsia="Times New Roman" w:hAnsi="Times New Roman"/>
          <w:sz w:val="17"/>
          <w:szCs w:val="17"/>
          <w:color w:val="auto"/>
        </w:rPr>
        <w:t>. The information we file with the SEC or contained on or accessible through our corporate website or any other website that we may maintain is not part of this prospectus supplement, the accompanying prospectus or the registration statement of which this prospectus supplement and the accompanying prospectus are a part.</w:t>
      </w: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jc w:val="center"/>
        <w:ind w:left="5460" w:right="1160" w:hanging="4804"/>
        <w:spacing w:after="0" w:line="454" w:lineRule="auto"/>
        <w:tabs>
          <w:tab w:leader="none" w:pos="10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2022 filed with the SEC on November 17, 2022; S-27</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5">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December 29, 2021 (solely to the extent incorporated by reference into Part III of 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2021);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57">
        <w:r>
          <w:rPr>
            <w:rFonts w:ascii="Times New Roman" w:cs="Times New Roman" w:eastAsia="Times New Roman" w:hAnsi="Times New Roman"/>
            <w:sz w:val="18"/>
            <w:szCs w:val="18"/>
            <w:u w:val="single" w:color="auto"/>
            <w:color w:val="0000EE"/>
          </w:rPr>
          <w:t>April 6,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You should direct requests for those documents to BellRing Brands, Inc., 2503 S. Hanley Road, St. Louis, Missouri 63144; Attention: Corporate Secretary (telephone: (314) 644-7600).</w:t>
      </w:r>
    </w:p>
    <w:p>
      <w:pPr>
        <w:spacing w:after="0" w:line="180" w:lineRule="exact"/>
        <w:rPr>
          <w:rFonts w:ascii="Times New Roman" w:cs="Times New Roman" w:eastAsia="Times New Roman" w:hAnsi="Times New Roman"/>
          <w:sz w:val="18"/>
          <w:szCs w:val="18"/>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supplement will not be sent, however, unless those exhibits have been specifically referenced in this prospectus supplement.</w:t>
      </w:r>
    </w:p>
    <w:p>
      <w:pPr>
        <w:spacing w:after="0" w:line="94"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20"/>
          </w:cols>
          <w:pgMar w:left="320" w:top="455"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19,397,339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182245</wp:posOffset>
            </wp:positionV>
            <wp:extent cx="1380490" cy="668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Post Holdings, Inc. (“Post”) and any selling stockholders identified in supplements to this prospectus (together with Post, the “Selling Stockholders”) of up to 19,397,339 shares of our common stock in amounts, at prices and on terms that will be decided at the time of any such offering. We will not receive any proceeds from the sale of shares of common stock by the Selling Stockholders pursuant to this prospectus.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common stock may be offered on a delayed or continued basis directly by the Selling Stockholders through agents or dealers, as designated from time to time, through a combination of these methods or any other method as provided in an applicable prospectus supplement. This prospectus describes some of the general terms that may apply to our common stock. A prospectus supplement may also add, update or change information contained in this prospectus. If any underwriters, dealers or agents are involved in the sale of the common stock,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common stock may be sold without delivery of this prospectus and the applicable prospectus supplement describing the method and terms of the offering of such common stock. You should read this prospectus and any accompanying prospectus supplement, as well as the documents incorporated by reference herein or therein, carefully before you make your investment decision. Our common stock is listed on the New York Stock Exchange (the “NYSE”) under the ticker symbol “BRBR”. On August 5, 2022, the closing price of our common stock as reported on the NYSE was $24.96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right="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shares of our common stock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3 of this prospectus and any similar section contained in the applicable prospectus supplement concerning factors you should consider before investing in our common stock.</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Neither the United States (the “U.S.”) Securities and Exchange Commission (the “SEC” or the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8, 2022.</w:t>
      </w:r>
    </w:p>
    <w:p>
      <w:pPr>
        <w:sectPr>
          <w:pgSz w:w="11900" w:h="16838" w:orient="portrait"/>
          <w:cols w:equalWidth="0" w:num="1">
            <w:col w:w="11040"/>
          </w:cols>
          <w:pgMar w:left="320" w:top="455"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7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28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Explanatory Note</w:t>
            </w:r>
          </w:p>
        </w:tc>
        <w:tc>
          <w:tcPr>
            <w:tcW w:w="7280" w:type="dxa"/>
            <w:vAlign w:val="bottom"/>
            <w:gridSpan w:val="12"/>
          </w:tcPr>
          <w:p>
            <w:pPr>
              <w:spacing w:after="0"/>
              <w:rPr>
                <w:sz w:val="16"/>
                <w:szCs w:val="16"/>
                <w:color w:val="auto"/>
              </w:rPr>
            </w:pP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w:t>
            </w: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98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Trademarks, Tradenames and Service Marks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32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BellRing Brands, Inc.</w:t>
            </w:r>
          </w:p>
        </w:tc>
        <w:tc>
          <w:tcPr>
            <w:tcW w:w="536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5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0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68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38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Consequences to Non-U.S. Holders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5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4120" w:type="dxa"/>
            <w:vAlign w:val="bottom"/>
            <w:tcBorders>
              <w:top w:val="single" w:sz="8" w:color="0000EE"/>
            </w:tcBorders>
            <w:gridSpan w:val="9"/>
          </w:tcPr>
          <w:p>
            <w:pPr>
              <w:spacing w:after="0"/>
              <w:rPr>
                <w:sz w:val="17"/>
                <w:szCs w:val="17"/>
                <w:color w:val="auto"/>
              </w:rPr>
            </w:pP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714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6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2860" w:type="dxa"/>
            <w:vAlign w:val="bottom"/>
            <w:gridSpan w:val="1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We and the Selling Stockholders have not authorized anyone to provide any information or make any representations other than those contained in this prospectus, the related registration statement, in any applicable prospectus supplement or in any of the materials that we have incorporated by reference into this prospectus and any applicable prospectus supplement. Neither we nor the Selling Stockholders have authorized anyone to provide you with different information. The Selling Stockholders are not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10, 2022, Post distributed 80.1% of its ownership interest in BellRing Brands, Inc. (formerly known as BellRing Distribution, LLC) (“BellRing”) to Post’s shareholders (the “Distribution”). Pursuant to certain related transactions, BellRing Intermediate Holdings, Inc. (formerly known as BellRing Brands, Inc.) (“Old BellRing”) became a wholly-owned subsidiary of BellRing.</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 The terms “Company,” “BellRing,” “we,” “us” and “our” refer to (i) Old BellRing and its consolidated subsidiaries during the periods prior to the Spin-off and (ii) BellRing and its consolidated subsidiaries during the periods subsequent to the Spin-off, in each case, unless otherwise stated or the context otherwise indicates.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using the “shelf” registration process. By using this shelf registration process, the Selling Stockholders may sell the securities offered by them, in each case from time to time in one or more offerings, as described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include industry and trade association data, forecasts and information that BellRing has prepared based, in part, upon data, forecasts and information obtained from independent trade associations, industry publications and surveys and other independent sources available to BellRing. Some data also is based on good faith estimates, which are derived from our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and we cannot guarantee its accuracy or completeness. Accordingly, investors should not place undue reliance on this information.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121" w:lineRule="exact"/>
        <w:rPr>
          <w:sz w:val="20"/>
          <w:szCs w:val="20"/>
          <w:color w:val="auto"/>
        </w:rPr>
      </w:pPr>
    </w:p>
    <w:p>
      <w:pPr>
        <w:ind w:left="120" w:righ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We own or have rights to use logos, trademarks, trade names, service marks and copyrights that we use in conjunction with the operation of our business and that appear in this prospectus and any accompanying prospectus supplement (or in documents we have incorporated by reference). Other logos, trademarks, trade names, service marks and copyrights appearing in this prospectus and any accompanying prospectus supplement (or in documents we have incorporated by reference) are the property of their respective owners. We do not intend our use or display of other companies’ logos, trademarks, service marks, copyrights or trade names to imply a relationship with, or endorsement or sponsorship of us by, any other companies. Solely for convenience, trademarks, trade names and copyrights referred to in this prospectus and any accompanying prospectus supplement (or in documents we have incorporated by reference)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copyrights, trademarks and trade names.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other RTD beverages and powders. Our products are distributed across a diverse network of channels including club, food, drug and mass, eCommerce, specialty and convenience.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the State of Delaware on March 20, 2019 in connection with our initial public offering (the “IPO”). Upon completion of a series of transactions in connection with the IPO, BellRing Brands, LLC became the holder of Post’s active nutrition business, which, effective as of Post’s quarter ended June 30, 2015, and until the completion of the IPO, had been comprised of Premier Nutrition Company, LLC, Dymatize Enterprises, LLC,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GmbH.</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2503 S. Hanley Road, St. Louis, Missouri 63144 and our telephone number is (314) 644-7600. Our website is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Information contained on our website or that can be accessed through our website is not part of, and is not incorporated by reference in, this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Before investing in our common stock, in addition to the risks and uncertainties described below under “Special Note Regarding Forward-Looking Statements,” you should carefully consider the risks and uncertainties discussed under “Risk Factors,” “Management’s Discussion and Analysis of Financial Condition and Results of Operations” and our audited consolidated financial statements and related notes thereto in our Annual Report on Form 10-K for the fiscal year ended September 30, 2021 filed with the SEC on November 19, 2021 (the “Annual Report”), and “Risk Factors,” “Management’s Discussion and Analysis of Financial Condition and Results of Operations” and our unaudited condensed consolidated financial statements and related notes thereto in our Quarterly Reports on Form 10-Q for the quarterly periods ended December 31, 2021, March 31, 2022 and June 30, 2022 filed with the SEC on February 4, 2022, May 6, 2022 and August 5, 2022, respectively (collectively, the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and uncertainties described in any applicable prospectus supplement or free writing prospectus that we provide to you in connection with an offering of common stock pursuant to this prospectus. Any of these risks could materially and adversely affect our business, financial condition, results of operations or cash flows.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results of operations or cash flows. In such a case, the trading price of our common stock could decline and you may lose all or part of your investment.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Certain matters we discuss in this prospectus and in any prospectus supplement or free writing prospectus that we may provide to you in connection with an offering of our common stock described in this prospectus, and in the documents we incorporate or that are deemed to be incorporated by reference herein or therein, relate to future events and our intentions, beliefs, expectations and predictions for the future, including statements concerning future business conditions and prospects, growth opportunities and estimates of growth and the outlook for our business, and, in each case, are based upon information currently available. Any such statements, other than statements of historical fact, are forward-looking statements. When used in this document, words such as “believe,” “should,” “could,” “potential,” “continue,” “expect,” “project,” “estimate,” “predict,” “anticipate,” “aim,” “intend,” “plan,” “forecast,” “target,” “is likely,” “will,” “can,” “may” or “would” or the negative of these terms and similar expressions as they relate to us are intended to identify forward-looking statements within the meaning of the U.S. Private Securities Litigation Reform Act of 1995. These forward-looking statements are based upon current assumptions and expectations of our management, and reflect our current views with respect to future events, are not guarantees of future performance and involve risks and uncertainties that are difficult to predict. Further, certain forward-looking statements are based upon assumptions as to future events that may not prove to be accurate.</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Such forward-looking statements are subject to risks and uncertainties that could cause our actual results, performance and achievements to differ materially from those expressed in, or implied by, these statements included in this prospectus, any accompanying prospectus supplement or free writing prospectus, and in the documents we incorporate or that are deemed to be incorporated by reference herein or therein. These forward-looking statements are subject to various risks and uncertainties, many of which are outside of our control. You should understand that the following important factors, in addition to those discussed herein under the caption “Risk Factors” in this prospectus and “Risk Factors” in our Annual Report and Quarterly Reports, each of which are incorporated by reference herein, could affect our future results and could cause those results or other outcomes to differ materially from those expressed or implied in our forward-looking statements:</w:t>
      </w:r>
    </w:p>
    <w:p>
      <w:pPr>
        <w:spacing w:after="0" w:line="9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 party contract manufacturers to produce an amount of our products that enables us to meet customer and consumer demand for the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that limit customer and consumer demand for our products;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 party intellectual property subject to intellectual property licenses;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other factors besides those listed here could adversely affect our business, financial condition, results of operations and cash flows. Other unknown or unpredictable factors also could have a material adverse effect on our actual future results, performance or achievements. As a result of the foregoing, readers are cautioned not to place undue reliance on these forward-looking statements, which speak only as of their dates. We do not undertake, and expressly disclaim, any duty to update any forward-looking statement whether as a result of new information, future events or changes in its respective expectations, except as required by law.</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based on estimates and assumptions that are subject to significant business, economic and competitive uncertainties, many of which are beyond our control or are subject to change, actual results could be materially different and any or all of these forward-looking statements may turn out to be wrong. Forward-looking statements speak only as of the date made and can be affected by assumptions we might make or by known or unknown risks and uncertainties. Many factors mentioned in this prospectus, any accompanying prospectus supplement or free writing prospectus and in the documents we incorporate or are deemed to be incorporated by reference herein or therein, will be important in determining future results. Consequently, we cannot assure you that expectations or forecasts expressed in such forward-looking statements will be achieved. Actual future results may vary materially.</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discuss many of these risks in greater detail under “Risk Factors” in our Annual Report and Quarterly Reports, each of which is incorporated by reference herein. Unless required by U.S. federal securities laws, we neither intend nor assume any obligation to update these forward-looking statements, which speak only as of their dates.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not receive any cash proceeds from the sale of any shares of our common stock by the Selling Stockholders.</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39"/>
          </w:cols>
          <w:pgMar w:left="320" w:top="45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anticipate any payment of quarterly dividends for the foreseeable future. The declaration and payment of dividends will be at the discretion of our board of directors and will be dependent upon our future earnings, financial condition and capital requirements.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00"/>
          </w:cols>
          <w:pgMar w:left="320" w:top="455" w:right="9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certificate of incorporation and bylaws, each as in effect as of the date of this prospectus, copies of which are incorporated by reference as exhibits to the registration statement of which this prospectus is a part, and the applicable provisions of Delaware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we may issue up to 500 million shares of common stock, par value $0.01 per share, and 50 million shares of preferred stock, par value $0.01 per share. Our common stock is listed on the NYSE under the ticker symbol “BRBR”.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by such holder on the applicable record date on all matters on which stockholders are generally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receive dividends when, as and if declared by our board of directors out of legally available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p>
    <w:p>
      <w:pPr>
        <w:spacing w:after="0" w:line="12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Upon our liquidation or dissolution, the holders of our common stock will be entitled to share ratably in those of our assets that are legally available for distribution to stockholders after payment of liabilities and subject to the special rights and preferences, if any, of any holders of our preferred stock then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are no preemptive rights, redemption or sinking fund provisions applicable to our common stock, and the outstanding shares of our common stock are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rights of holders of our common stock may be materially limited or qualified by the rights, powers and preferences of any preferred stock that we may issue in the future.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authorized to issue up to 50 million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Our board of directors also is authorized to designate any qualifications, limitations or restrictions on the shares without any further vote or action by our stockholders, subject to applicable rules of the NYSE and Delaware law.</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Authorizing our board of directors to establish preferred stock eliminates delays associated with seeking stockholder approval of the creation of a particular class or series of preferred stock. The rights of the holders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common stock are subject to the rights of the holders of any shares of our preferred stock issued at any time, including in the future. The issuance of preferred stock, while providing desirable flexibility in connection with possible acquisitions and other corporate purposes, may have the effect of delaying, deferring or preventing a change in control and may adversely affect the voting and other rights of the holders of our common stock, which could have an adverse impact on the market price of our common stock. These provisions also could make it more difficult for our stockholders to effect certain corporate actions, including the election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General Corporation Law of the State of Delaware (the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includes certain provisions regulating and defining the conduct of our affairs to the extent that they may involve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Moreover, our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our director, officer, manager, employee or agent.</w:t>
      </w:r>
    </w:p>
    <w:p>
      <w:pPr>
        <w:spacing w:after="0" w:line="194"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These provisions in our certificate of incorporation cease to apply at such time as (i) we and Post and its affiliates are no longer affiliates of one another and (ii) none of the directors, officers, employees, agents or affiliates of Post serve as our directors, officers, managers, employees or agents.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are intended to enhance the likelihood of continuity and stability in the composition of our board of directors and which may have the effect of delaying, deferring or preventing a future takeover or change in control unless such takeover or change in control is approved by our board of directors.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Special Meetings of Stockholders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provide that stockholder action can be taken only at an annual or special meeting of stockholders and cannot be taken by any consent in lieu of a meeting. Our bylaws also provide that, except as otherwise required by law, special meetings of the stockholders can only be called by the affirmative vote of a majority of our entire board of directors, the Chairperson of the board of directors or our President. Except as described above, stockholders are not permitted to call a special meeting or to require the board of directors to call a special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bylaws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(and for purposes of calculating this date with respect to the first annual meeting, the annual meeting for the prior year shall be deemed to have been held on the date of the most recent annual meeting of stockholders of BellRing held before the date the Spin-off was completed)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For stockholder proposals, the notice must include a description of the proposal, the reasons for the proposal and other specified matters. Our board of directors may reject any proposals or nominations that have not followed these procedures or that are not a proper subject for stockholder action in accordance with the provisions of applicable law. Although our bylaws do not otherwise give the board of directors the power to approve or disapprove stockholder nominations of candidates or proposals regarding other business to be conducted at a special or annual meeting, our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Not Stockholders, Fix the Size of Our Board of Directors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number of directors will be fixed from time to time exclusively pursuant to a resolution adopted by our board of directors, but in no event will it consist of less than five nor more than twelve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Vacancies and Newly-Created Directorships on Our Board of Directors</w:t>
      </w:r>
    </w:p>
    <w:p>
      <w:pPr>
        <w:spacing w:after="0" w:line="121"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Subject to the special rights of holders of any outstanding series of our preferred stock, any vacancy on our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our stockholders to affect the composition of the board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 Removal of Directors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of directors is divided into three classes of directors serving staggered three-year terms. The number of directors assigned to each class is as equal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reasonably possible. The first class of directors will hold office until the first annual stockholders’ meeting for election of directors following the Spin-off, the second class of directors will hold office until the second annual stockholders’ meeting for election of directors following the Spin-off and the third class of directors will hold office until the third annual stockholders’ meeting for election of directors following the Spin-off. Each class will thereafter hold office until the third annual stockholders’ meeting for election of directors following the most recent election of such class and until their successors are duly elected and qualified. With only a portion of our board of directors up for election each year, the existence of a classified board of directors could render more difficult or discourage an attempt to obtain control of us because it would take more than one annual meeting to do so. In addition, our certificate of incorporation provides that our directors may only be removed for cause, which could also make it more difficult to change the composition of our board of directors.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stockholders for issuance of authorized but unissued shares of our common stock and preferred stock, unless our board of directors believes that approval is advisable or is required by applicable rules of the NYSE or Delaware law.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Bylaws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our common stock then entitled to vote in the election of directors, voting together as a single class.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certificate of incorporation and bylaws provide that our board of directors may amend, alter, change or repeal any provision of the bylaws. Our certificate of incorporation and bylaws also provide that stockholders may amend, alter, change or repeal any provision of the bylaws upon the affirmative vote of a majority of all of the voting power entitled to vote thereon.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5540" w:right="2280" w:hanging="4884"/>
        <w:spacing w:after="0" w:line="454" w:lineRule="auto"/>
        <w:tabs>
          <w:tab w:leader="none" w:pos="10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 12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certain unlawful dividend payments or stock redemptions or repurchases;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 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19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limits the liability of directors to the fullest extent permitted by the DGCL and provides that we will provide our directors and officers with customary indemnification and advancement. We have entered into customary indemnification agreements with each of our directors and certain of our executive officers that provide them, in general, with customary indemnification and advancement in connection with their service to us or on our behalf.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180"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Section 12 of our certificate of incorporation provides that, unless we consent in writing to the selection of an alternative forum,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Section 12 does not apply to suits brought to enforce a duty or liability created by the Exchange Act, for which the U.S. federal courts have exclusive jurisdiction. Our certificate of incorporation also provides that U.S. federal courts will, to the fullest extent permitted by law, be the sole and exclusive forum for the resolution of any complaint asserting a cause of action or proceeding arising under the Securities Act of 1933, as amended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“Securities Act”). Further, to the fullest extent permitted by law, any person or entity purchasing or otherwise acquiring or holding any interest in our common stock will be deemed to have notice of Section 12 of our certificate of incorporation.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our certificate of incorporation contains the exclusive forum provision described above, it is possible that a court could find that such a provision is inapplicable for a particular claim or action or that such provision is unenforceable. The exclusive forum provision does not relieve us of our duties to comply with the federal securities laws and the rules and regulations thereunder, and our stockholders will not be deemed to have waived our compliance with these laws, rules and regulations.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320" w:top="455" w:right="5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 TO NON-U.S. HOLDERS</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ownership and disposition of our common stock. This summary deals only with common stock that is held as a capital asset by a non-U.S. holder (as defined below).</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an entity or arrangement treated as a partnership for U.S. federal income tax purposes) that is not, for U.S. federal income tax purposes, any of the following:</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U.S. and one or more U.S. persons have the authority to control all substantial decisions of the trust or (2) has a valid election in effect under applicable U.S. Treasury regulations to be treated as a U.S. person.</w:t>
      </w:r>
    </w:p>
    <w:p>
      <w:pPr>
        <w:spacing w:after="0" w:line="17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In addition, it does not represent a detailed description of the U.S. federal income tax consequences applicable to you if you are subject to special treatment under the U.S. federal income tax laws (including if you are subject to the alternative minimum tax, a financial institution, a broker or dealer in securities, a tax-exempt organization, hold our common stock as part of a hedge, straddle or other risk reduction strategy or as part of a conversion transaction or other integrated investment,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common stock, you should consult your own tax advisors concerning the particular U.S. federal income tax consequences to you of the ownership and disposition of our common stock,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do not anticipate any payment of quarterly dividends for the foreseeable future. However in the event that we make a distribution of cash or other property (other than certain pro rata distributions of our stock) in respect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basis of a non-U.S. holder’s common stock, and to the extent the amount of the distribution exceeds a non-U.S. holder’s adjusted tax basis in our common stock, the excess will be treated as gain from the disposition of our common stock (the tax treatment of which is discussed below under “— Gain on Disposition of Common Stock”).</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on the gross amount of the dividend (or such lower rate as may be specified by an applicable income tax treaty). However, dividends that are effectively connected with the conduct of a trade or business by the non-U.S. holder within the U.S.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disposition of our common stock generally will not be subject to U.S. federal income tax unless:</w:t>
      </w:r>
    </w:p>
    <w:p>
      <w:pPr>
        <w:spacing w:after="0" w:line="67" w:lineRule="exact"/>
        <w:rPr>
          <w:sz w:val="20"/>
          <w:szCs w:val="20"/>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U.S. for 183 days or more in the taxable year of that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and certain other conditions are met.</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or other disposition generally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Generally, a corporation is a “United States real property holding corporation” if the fair market value of its U.S. real property interests equals or exceeds 50% of the sum of the fair market value of its worldwide real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property interests and its other assets used or held for use in a trade or business (all as determined for U.S. federal income tax purposes). We believe we are not and do not anticipate becoming a “United States real property holding corporation”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within the U.S.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listed in the table below may, from time to time, offer and sell any or all of the shares of our common stock set forth below pursuant to this prospectus. Additional selling stockholders may be added from time to time by amendment or supplement to this prospectus. When we refer to the “Selling Stockholders” in this prospectus, we refer to Post and any selling stockholders identified in supplements to this prospectus.</w:t>
      </w:r>
    </w:p>
    <w:p>
      <w:pPr>
        <w:spacing w:after="0" w:line="18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registration of the shares of our common stock does not necessarily mean that the Selling Stockholders will sell all or any of such shares of our common stock. The following table sets forth certain information provided by or on behalf of Post as of August 1, 2022 concerning the common stock that may be offered from time to time by any Selling Stockholder pursuant to this prospectus. Our calculation of the percentage of beneficial ownership is based on 136,362,031 shares of our common stock outstanding as of August 1, 2022. The number of shares and percentages of beneficial ownership after this offering set forth below assumes that the Selling Stockholders sell all 19,397,339 shares of our common stock offered by this prospectus.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2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60"/>
        </w:trPr>
        <w:tc>
          <w:tcPr>
            <w:tcW w:w="17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20" w:type="dxa"/>
            <w:vAlign w:val="bottom"/>
            <w:gridSpan w:val="4"/>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6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4020" w:type="dxa"/>
            <w:vAlign w:val="bottom"/>
          </w:tcPr>
          <w:p>
            <w:pPr>
              <w:spacing w:after="0"/>
              <w:rPr>
                <w:sz w:val="14"/>
                <w:szCs w:val="14"/>
                <w:color w:val="auto"/>
              </w:rPr>
            </w:pPr>
          </w:p>
        </w:tc>
        <w:tc>
          <w:tcPr>
            <w:tcW w:w="24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Sold in this</w:t>
            </w:r>
          </w:p>
        </w:tc>
        <w:tc>
          <w:tcPr>
            <w:tcW w:w="520" w:type="dxa"/>
            <w:vAlign w:val="bottom"/>
          </w:tcPr>
          <w:p>
            <w:pPr>
              <w:spacing w:after="0"/>
              <w:rPr>
                <w:sz w:val="14"/>
                <w:szCs w:val="14"/>
                <w:color w:val="auto"/>
              </w:rPr>
            </w:pPr>
          </w:p>
        </w:tc>
        <w:tc>
          <w:tcPr>
            <w:tcW w:w="1100" w:type="dxa"/>
            <w:vAlign w:val="bottom"/>
            <w:gridSpan w:val="2"/>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33"/>
        </w:trPr>
        <w:tc>
          <w:tcPr>
            <w:tcW w:w="1760" w:type="dxa"/>
            <w:vAlign w:val="bottom"/>
            <w:tcBorders>
              <w:bottom w:val="single" w:sz="8" w:color="auto"/>
            </w:tcBorders>
            <w:vMerge w:val="continue"/>
          </w:tcPr>
          <w:p>
            <w:pPr>
              <w:spacing w:after="0"/>
              <w:rPr>
                <w:sz w:val="11"/>
                <w:szCs w:val="11"/>
                <w:color w:val="auto"/>
              </w:rPr>
            </w:pPr>
          </w:p>
        </w:tc>
        <w:tc>
          <w:tcPr>
            <w:tcW w:w="4020" w:type="dxa"/>
            <w:vAlign w:val="bottom"/>
          </w:tcPr>
          <w:p>
            <w:pPr>
              <w:spacing w:after="0"/>
              <w:rPr>
                <w:sz w:val="11"/>
                <w:szCs w:val="11"/>
                <w:color w:val="auto"/>
              </w:rPr>
            </w:pPr>
          </w:p>
        </w:tc>
        <w:tc>
          <w:tcPr>
            <w:tcW w:w="122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50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5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176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Post Holdings, Inc.</w:t>
            </w:r>
            <w:r>
              <w:rPr>
                <w:rFonts w:ascii="Times New Roman" w:cs="Times New Roman" w:eastAsia="Times New Roman" w:hAnsi="Times New Roman"/>
                <w:sz w:val="25"/>
                <w:szCs w:val="25"/>
                <w:color w:val="auto"/>
                <w:vertAlign w:val="superscript"/>
              </w:rPr>
              <w:t>(1)</w:t>
            </w:r>
          </w:p>
        </w:tc>
        <w:tc>
          <w:tcPr>
            <w:tcW w:w="40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vMerge w:val="continue"/>
            <w:shd w:val="clear" w:color="auto" w:fill="CCEEFF"/>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19,397,339</w:t>
            </w:r>
          </w:p>
        </w:tc>
        <w:tc>
          <w:tcPr>
            <w:tcW w:w="3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14.2%</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19,397,339</w:t>
            </w:r>
          </w:p>
        </w:tc>
        <w:tc>
          <w:tcPr>
            <w:tcW w:w="3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2503 S. Hanley Road, St. Louis, Missouri 63144. Post is a publicly traded company. For information regarding our relationship with Post, refer to “Explanatory Note” and “BellRing Brands, Inc.” in this prospectus and to the documents incorporated herein by reference.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registering 19,397,339 shares of our common stock for possible sale by the Selling Stockholders from time to time. We are required to pay all fees and expenses incident to the registration of the shares of our common stock to be offered and sold pursuant to this prospectus.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of our common stock beneficially owned by the Selling Stockholders covered by this prospectus may be offered and sold from time to time by the Selling Stockholders.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including pursuant to one or more “10b5-1” trading plans or similar plans.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sell their shares of our common stock by one or more of the following methods: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on any national securities exchange or quotation service on which the shares may be listed or quoted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in accordance with the rules of the NYSE;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other than on a national securities exchange or through a market maker;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debt-for-equity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or hedging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or 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 above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distribution of securities may be effected from time to time in one or more transactions, including block transactions and transactions on the NYSE or any other organized market where the securities may be traded. In addition, any shares that qualify for sale pursuant to Rule 144 or another exemption from registration under the Securities Act may be sold under Rule 144 or pursuant to such exemption rather than pursuant to this prospectus.</w:t>
      </w:r>
    </w:p>
    <w:p>
      <w:pPr>
        <w:spacing w:after="0" w:line="158"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distributions of the shares or otherwise, the Selling Stockholders may enter into hedging transactions with broker-dealers or other financial institutions. In connection with such transactions, broker-dealers or other financial institutions may engage in short sales of shares of common stock in the course of (i) hedging transactions or (ii) hedging the positions they assume with Selling Stockholders. The Selling Stockholders also may sell shares of common stock short and redeliver the shares to close out such short positions. The Selling Stockholders also may enter into option or other transactions with broker-dealers or other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also may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Selling Stockholder may enter into derivative transactions with third parties or sell securities not covered by this prospectus to third parties in privately negotiated transactions. If the applicable prospectus supplement indicates (in connection with those derivatives), third parties may sell securities covered by this prospectus and the applicable prospectus supplement, including in short sale transactions. If so, the third party may use securities pledged by any Selling Stockholder or borrowed from any Selling Stockholder or others to settle those sales or to close out any related open borrowings of stock and may use securities received from any Selling Stockholder in settlement of those derivatives to close out any related open borrowings of stock.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9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4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offering the shares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will be amended or supplemented from time to time to describe a specific plan of distribution, including (as applicable) to set forth the number of shares being offered and the terms of the offering, including the name of any underwriter, dealer or agent, any underwriting discount, commission or other item constituting compensation and the proposed selling price to the public.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shares of our common stock offered hereby will be passed upon for us by Simpson Thacher &amp; Bartlett LLP, New York, New</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BellRing Brands, Inc. and management’s assessment of the effectiveness of internal control over financial reporting (which is included in Management’s Report on Internal Control over Financial Reporting) incorporated in this Prospectus by reference to BellRing Brands, Inc.’s Annual Report on Form 10-K for the year ended September 30, 2021 have been so incorporated in reliance on the report of PricewaterhouseCoopers LLP, an independent registered public accounting firm, given on the authority of said firm as experts in auditing and accounting.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 and reporting requirements of the Exchange Act and, in accordance with this law, file periodic reports, proxy statements and other information with the SEC. 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later information that we file with the SEC will automatically update and supersede this information. We incorporate by reference the documents listed below (other than any portions thereof, which under the Exchange Act and applicable SEC rules, are not deemed “filed” under the Exchange Act):</w:t>
      </w:r>
    </w:p>
    <w:p>
      <w:pPr>
        <w:spacing w:after="0" w:line="85" w:lineRule="exact"/>
        <w:rPr>
          <w:sz w:val="20"/>
          <w:szCs w:val="20"/>
          <w:color w:val="auto"/>
        </w:rPr>
      </w:pPr>
    </w:p>
    <w:p>
      <w:pPr>
        <w:ind w:left="1080" w:right="1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September 30, 2021 filed with the SEC on November 19, 2021 (including information specifically incorporated by reference into such Annual Report on Form 10-K from our </w:t>
      </w:r>
      <w:hyperlink r:id="rId55">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2022 Annual Meeting of Stockholders filed on December 29, 2021);</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December 31, 2021, March 31, 2022, and June 30, 2022, filed with the SEC on </w:t>
      </w:r>
      <w:hyperlink r:id="rId87">
        <w:r>
          <w:rPr>
            <w:rFonts w:ascii="Times New Roman" w:cs="Times New Roman" w:eastAsia="Times New Roman" w:hAnsi="Times New Roman"/>
            <w:sz w:val="18"/>
            <w:szCs w:val="18"/>
            <w:u w:val="single" w:color="auto"/>
            <w:color w:val="0000EE"/>
          </w:rPr>
          <w:t>February 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 xml:space="preserve">May 6,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9">
        <w:r>
          <w:rPr>
            <w:rFonts w:ascii="Times New Roman" w:cs="Times New Roman" w:eastAsia="Times New Roman" w:hAnsi="Times New Roman"/>
            <w:sz w:val="18"/>
            <w:szCs w:val="18"/>
            <w:u w:val="single" w:color="auto"/>
            <w:color w:val="0000EE"/>
          </w:rPr>
          <w:t>August 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 and</w:t>
      </w:r>
    </w:p>
    <w:p>
      <w:pPr>
        <w:spacing w:after="0" w:line="67" w:lineRule="exact"/>
        <w:rPr>
          <w:rFonts w:ascii="Times New Roman" w:cs="Times New Roman" w:eastAsia="Times New Roman" w:hAnsi="Times New Roman"/>
          <w:sz w:val="18"/>
          <w:szCs w:val="18"/>
          <w:color w:val="0000EE"/>
        </w:rPr>
      </w:pPr>
    </w:p>
    <w:p>
      <w:pPr>
        <w:ind w:left="1080" w:right="40" w:hanging="424"/>
        <w:spacing w:after="0" w:line="266" w:lineRule="auto"/>
        <w:tabs>
          <w:tab w:leader="none" w:pos="1080" w:val="left"/>
        </w:tabs>
        <w:numPr>
          <w:ilvl w:val="0"/>
          <w:numId w:val="3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90">
        <w:r>
          <w:rPr>
            <w:rFonts w:ascii="Times New Roman" w:cs="Times New Roman" w:eastAsia="Times New Roman" w:hAnsi="Times New Roman"/>
            <w:sz w:val="18"/>
            <w:szCs w:val="18"/>
            <w:u w:val="single" w:color="auto"/>
            <w:color w:val="0000EE"/>
          </w:rPr>
          <w:t>October 27, 2021</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December 17, 2021</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EE"/>
          </w:rPr>
          <w:t>February 14, 2022</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February 22, 2022</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February 24,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28,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to the Form 8-Ks including Item 1.01, Item 5.04 and Item 8.01 only),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8,</w:t>
        </w:r>
      </w:hyperlink>
      <w:r>
        <w:rPr>
          <w:rFonts w:ascii="Times New Roman" w:cs="Times New Roman" w:eastAsia="Times New Roman" w:hAnsi="Times New Roman"/>
          <w:sz w:val="18"/>
          <w:szCs w:val="18"/>
          <w:color w:val="0000EE"/>
        </w:rPr>
        <w:t xml:space="preserve"> </w:t>
      </w:r>
      <w:hyperlink r:id="rId94">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5">
        <w:r>
          <w:rPr>
            <w:rFonts w:ascii="Times New Roman" w:cs="Times New Roman" w:eastAsia="Times New Roman" w:hAnsi="Times New Roman"/>
            <w:sz w:val="18"/>
            <w:szCs w:val="18"/>
            <w:u w:val="single" w:color="auto"/>
            <w:color w:val="0000EE"/>
          </w:rPr>
          <w:t>March 10, 2022</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6">
        <w:r>
          <w:rPr>
            <w:rFonts w:ascii="Times New Roman" w:cs="Times New Roman" w:eastAsia="Times New Roman" w:hAnsi="Times New Roman"/>
            <w:sz w:val="18"/>
            <w:szCs w:val="18"/>
            <w:u w:val="single" w:color="auto"/>
            <w:color w:val="0000EE"/>
          </w:rPr>
          <w:t>March 10, 2022</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March 16, 2022</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April 6, 2022</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8">
        <w:r>
          <w:rPr>
            <w:rFonts w:ascii="Times New Roman" w:cs="Times New Roman" w:eastAsia="Times New Roman" w:hAnsi="Times New Roman"/>
            <w:sz w:val="18"/>
            <w:szCs w:val="18"/>
            <w:u w:val="single" w:color="auto"/>
            <w:color w:val="0000EE"/>
          </w:rPr>
          <w:t xml:space="preserve">May 23, 2022 </w:t>
        </w:r>
      </w:hyperlink>
      <w:hyperlink r:id="rId9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9">
        <w:r>
          <w:rPr>
            <w:rFonts w:ascii="Times New Roman" w:cs="Times New Roman" w:eastAsia="Times New Roman" w:hAnsi="Times New Roman"/>
            <w:sz w:val="18"/>
            <w:szCs w:val="18"/>
            <w:u w:val="single" w:color="auto"/>
            <w:color w:val="0000EE"/>
          </w:rPr>
          <w:t>August 8, 2022</w:t>
        </w:r>
      </w:hyperlink>
      <w:hyperlink r:id="rId94">
        <w:r>
          <w:rPr>
            <w:rFonts w:ascii="Times New Roman" w:cs="Times New Roman" w:eastAsia="Times New Roman" w:hAnsi="Times New Roman"/>
            <w:sz w:val="18"/>
            <w:szCs w:val="18"/>
            <w:color w:val="000000"/>
          </w:rPr>
          <w:t>.</w:t>
        </w:r>
      </w:hyperlink>
    </w:p>
    <w:p>
      <w:pPr>
        <w:spacing w:after="0" w:line="176" w:lineRule="exact"/>
        <w:rPr>
          <w:rFonts w:ascii="Times New Roman" w:cs="Times New Roman" w:eastAsia="Times New Roman" w:hAnsi="Times New Roman"/>
          <w:sz w:val="18"/>
          <w:szCs w:val="18"/>
          <w:color w:val="0000EE"/>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all documents that we subsequently file with the SEC pursuant to Sections 13(a), 13(c), 14 or 15(d) of the Exchange Act on or after the date of this prospectus and prior to the termination of the offering of the shares hereunder. Nothing in this prospectus shall be deemed to incorporate information furnished but not filed with the SEC, unless specifically noted otherwise.</w:t>
      </w:r>
    </w:p>
    <w:p>
      <w:pPr>
        <w:spacing w:after="0" w:line="108"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2503 S. Hanley Road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St. Louis, Missouri 63144</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(314) 644-7600</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you may access the documents incorporated by reference herein free of charge on the SEC’s website. See also “Where You Can Find More Information.”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9"/>
          <w:szCs w:val="29"/>
          <w:b w:val="1"/>
          <w:bCs w:val="1"/>
          <w:color w:val="auto"/>
        </w:rPr>
        <w:t>4,597,339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344170</wp:posOffset>
            </wp:positionV>
            <wp:extent cx="1380490" cy="668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727075</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1621155</wp:posOffset>
            </wp:positionV>
            <wp:extent cx="6995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1689735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0" w:name="page61"/>
    <w:bookmarkEnd w:id="60"/>
    <w:p>
      <w:pPr>
        <w:ind w:left="101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prospectus to which this Exhibit is attached is a preliminary prospectus for the related offering. The maximum aggregate amount of securities to which the prospectus relates is 19,397,339 shares of common stock.</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Roman"/>
      <w:start w:val="1"/>
    </w:lvl>
  </w:abstractNum>
  <w:abstractNum w:abstractNumId="1">
    <w:nsid w:val="4E6AFB66"/>
    <w:multiLevelType w:val="hybridMultilevel"/>
    <w:lvl w:ilvl="0">
      <w:lvlJc w:val="left"/>
      <w:lvlText w:val="(%1)"/>
      <w:numFmt w:val="lowerRoman"/>
      <w:start w:val="3"/>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2"/>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Roman"/>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4"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jpe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jpe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8" Type="http://schemas.openxmlformats.org/officeDocument/2006/relationships/hyperlink" Target="http://www.sec.gov/Archives/edgar/data/1710155/000171015519000016/nvhi201810-k.htm#s71BC5D7FCE305B54AD2C8694055D01E6" TargetMode="External"/><Relationship Id="rId53" Type="http://schemas.openxmlformats.org/officeDocument/2006/relationships/hyperlink" Target="http://www.sec.gov/ix?doc=/Archives/edgar/data/1772016/000177201622000061/brbr-20220930.htm" TargetMode="External"/><Relationship Id="rId55" Type="http://schemas.openxmlformats.org/officeDocument/2006/relationships/hyperlink" Target="http://www.sec.gov/Archives/edgar/data/1772016/000119312521368542/d211699ddef14a.htm" TargetMode="External"/><Relationship Id="rId56" Type="http://schemas.openxmlformats.org/officeDocument/2006/relationships/hyperlink" Target="http://www.sec.gov/ix?doc=/Archives/edgar/data/1772016/000177201621000118/brbr-20210930.htm" TargetMode="External"/><Relationship Id="rId57" Type="http://schemas.openxmlformats.org/officeDocument/2006/relationships/hyperlink" Target="http://www.sec.gov/ix?doc=/Archives/edgar/data/1772016/000119312522097537/d315936d8k.htm" TargetMode="External"/><Relationship Id="rId87" Type="http://schemas.openxmlformats.org/officeDocument/2006/relationships/hyperlink" Target="http://www.sec.gov/ix?doc=/Archives/edgar/data/1772016/000177201622000028/brbr-20211231.htm" TargetMode="External"/><Relationship Id="rId88" Type="http://schemas.openxmlformats.org/officeDocument/2006/relationships/hyperlink" Target="http://www.sec.gov/ix?doc=/Archives/edgar/data/1772016/000177201622000039/brbr-20220331.htm" TargetMode="External"/><Relationship Id="rId89" Type="http://schemas.openxmlformats.org/officeDocument/2006/relationships/hyperlink" Target="http://www.sec.gov/ix?doc=/Archives/edgar/data/1772016/000177201622000050/brbr-20220630.htm" TargetMode="External"/><Relationship Id="rId90" Type="http://schemas.openxmlformats.org/officeDocument/2006/relationships/hyperlink" Target="http://www.sec.gov/ix?doc=/Archives/edgar/data/1772016/000119312521308736/d232418d8k.htm" TargetMode="External"/><Relationship Id="rId91" Type="http://schemas.openxmlformats.org/officeDocument/2006/relationships/hyperlink" Target="http://www.sec.gov/ix?doc=/Archives/edgar/data/1772016/000119312521359836/d243174d8k.htm" TargetMode="External"/><Relationship Id="rId92" Type="http://schemas.openxmlformats.org/officeDocument/2006/relationships/hyperlink" Target="http://www.sec.gov/ix?doc=/Archives/edgar/data/1772016/000177201622000032/brbr-20220211.htm" TargetMode="External"/><Relationship Id="rId93" Type="http://schemas.openxmlformats.org/officeDocument/2006/relationships/hyperlink" Target="http://www.sec.gov/ix?doc=/Archives/edgar/data/1772016/000119312522047864/d234626d8k.htm" TargetMode="External"/><Relationship Id="rId94" Type="http://schemas.openxmlformats.org/officeDocument/2006/relationships/hyperlink" Target="http://www.sec.gov/ix?doc=/Archives/edgar/data/1772016/000119312522069355/d264262d8k.htm" TargetMode="External"/><Relationship Id="rId95" Type="http://schemas.openxmlformats.org/officeDocument/2006/relationships/hyperlink" Target="http://www.sec.gov/ix?doc=/Archives/edgar/data/0001772016/000119312522072017/d212065d8k.htm" TargetMode="External"/><Relationship Id="rId96" Type="http://schemas.openxmlformats.org/officeDocument/2006/relationships/hyperlink" Target="http://www.sec.gov/ix?doc=/Archives/edgar/data/1772016/000119312522072132/d319129d8k12b.htm" TargetMode="External"/><Relationship Id="rId97" Type="http://schemas.openxmlformats.org/officeDocument/2006/relationships/hyperlink" Target="http://www.sec.gov/ix?doc=/Archives/edgar/data/1772016/000119312522077298/d281734d8k12ba.htm" TargetMode="External"/><Relationship Id="rId98" Type="http://schemas.openxmlformats.org/officeDocument/2006/relationships/hyperlink" Target="http://www.sec.gov/ix?doc=/Archives/edgar/data/1772016/000177201622000041/brbr-20220523.htm" TargetMode="External"/><Relationship Id="rId99" Type="http://schemas.openxmlformats.org/officeDocument/2006/relationships/hyperlink" Target="http://www.sec.gov/ix?doc=/Archives/edgar/data/0001772016/000119312522214951/d30888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2022-11-21T15:50:10Z</dcterms:created>
  <dcterms:modified xsi:type="dcterms:W3CDTF">2022-11-21T15:50:10Z</dcterms:modified>
</cp:coreProperties>
</file>