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VITALE ROBERT V</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BELLRING BRANDS,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BRBR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03/10/2022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65"/>
        <w:spacing w:after="0"/>
        <w:rPr>
          <w:sz w:val="20"/>
          <w:szCs w:val="20"/>
          <w:color w:val="auto"/>
        </w:rPr>
      </w:pPr>
      <w:r>
        <w:rPr>
          <w:rFonts w:ascii="Arial" w:cs="Arial" w:eastAsia="Arial" w:hAnsi="Arial"/>
          <w:sz w:val="17"/>
          <w:szCs w:val="17"/>
          <w:color w:val="0000FF"/>
        </w:rPr>
        <w:t>Executive Chairman</w:t>
      </w:r>
    </w:p>
    <w:p>
      <w:pPr>
        <w:spacing w:after="0" w:line="422" w:lineRule="exact"/>
        <w:rPr>
          <w:sz w:val="24"/>
          <w:szCs w:val="24"/>
          <w:color w:val="auto"/>
        </w:rPr>
      </w:pPr>
    </w:p>
    <w:p>
      <w:pPr>
        <w:sectPr>
          <w:pgSz w:w="11900" w:h="16838" w:orient="portrait"/>
          <w:cols w:equalWidth="0" w:num="3">
            <w:col w:w="3200" w:space="720"/>
            <w:col w:w="3260" w:space="555"/>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ST. LOUIS</w:t>
            </w:r>
          </w:p>
        </w:tc>
        <w:tc>
          <w:tcPr>
            <w:tcW w:w="1040" w:type="dxa"/>
            <w:vAlign w:val="bottom"/>
          </w:tcPr>
          <w:p>
            <w:pPr>
              <w:ind w:left="220"/>
              <w:spacing w:after="0"/>
              <w:rPr>
                <w:sz w:val="20"/>
                <w:szCs w:val="20"/>
                <w:color w:val="auto"/>
              </w:rPr>
            </w:pPr>
            <w:r>
              <w:rPr>
                <w:rFonts w:ascii="Arial" w:cs="Arial" w:eastAsia="Arial" w:hAnsi="Arial"/>
                <w:sz w:val="17"/>
                <w:szCs w:val="17"/>
                <w:color w:val="0000FF"/>
              </w:rPr>
              <w:t>MO</w:t>
            </w:r>
          </w:p>
        </w:tc>
        <w:tc>
          <w:tcPr>
            <w:tcW w:w="1600" w:type="dxa"/>
            <w:vAlign w:val="bottom"/>
          </w:tcPr>
          <w:p>
            <w:pPr>
              <w:ind w:left="400"/>
              <w:spacing w:after="0"/>
              <w:rPr>
                <w:sz w:val="20"/>
                <w:szCs w:val="20"/>
                <w:color w:val="auto"/>
              </w:rPr>
            </w:pPr>
            <w:r>
              <w:rPr>
                <w:rFonts w:ascii="Arial" w:cs="Arial" w:eastAsia="Arial" w:hAnsi="Arial"/>
                <w:sz w:val="17"/>
                <w:szCs w:val="17"/>
                <w:color w:val="0000FF"/>
              </w:rPr>
              <w:t>63144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2"/>
          </w:tcPr>
          <w:p>
            <w:pPr>
              <w:ind w:left="660"/>
              <w:spacing w:after="0"/>
              <w:rPr>
                <w:sz w:val="20"/>
                <w:szCs w:val="20"/>
                <w:color w:val="auto"/>
              </w:rPr>
            </w:pPr>
            <w:r>
              <w:rPr>
                <w:rFonts w:ascii="Arial" w:cs="Arial" w:eastAsia="Arial" w:hAnsi="Arial"/>
                <w:sz w:val="17"/>
                <w:szCs w:val="17"/>
                <w:color w:val="0000FF"/>
              </w:rPr>
              <w:t>03/10/2022</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Pr>
          <w:p>
            <w:pPr>
              <w:ind w:left="200"/>
              <w:spacing w:after="0"/>
              <w:rPr>
                <w:sz w:val="20"/>
                <w:szCs w:val="20"/>
                <w:color w:val="auto"/>
              </w:rPr>
            </w:pPr>
            <w:r>
              <w:rPr>
                <w:rFonts w:ascii="Arial" w:cs="Arial" w:eastAsia="Arial" w:hAnsi="Arial"/>
                <w:sz w:val="17"/>
                <w:szCs w:val="17"/>
                <w:color w:val="0000FF"/>
                <w:w w:val="96"/>
              </w:rPr>
              <w:t>10,300</w:t>
            </w:r>
          </w:p>
        </w:tc>
        <w:tc>
          <w:tcPr>
            <w:tcW w:w="440" w:type="dxa"/>
            <w:vAlign w:val="bottom"/>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ind w:left="80"/>
              <w:spacing w:after="0"/>
              <w:rPr>
                <w:sz w:val="20"/>
                <w:szCs w:val="20"/>
                <w:color w:val="auto"/>
              </w:rPr>
            </w:pPr>
            <w:r>
              <w:rPr>
                <w:rFonts w:ascii="Arial" w:cs="Arial" w:eastAsia="Arial" w:hAnsi="Arial"/>
                <w:sz w:val="17"/>
                <w:szCs w:val="17"/>
                <w:color w:val="0000FF"/>
              </w:rPr>
              <w:t>0</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68" w:lineRule="auto"/>
        <w:tabs>
          <w:tab w:leader="none" w:pos="17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March 10, 2022, Post Holdings, Inc. ("Post") and BellRing Intermediate Holdings, Inc. (formerly known as BellRing Brands, Inc.) ("Old BellRing") completed the transactions under the transaction agreement and plan of merger entered into on October 26, 2021, as amended on February 28, 2022, whereby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Old BellRing merged with a subsidiary of New BellRing and each outstanding share of Old BellRing Class A common stock was converted into one share of New BellRing common stock and $2.97 in cash (collectively, the "Transactions").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Craig L. Rosenthal,</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03/10/2022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0021"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2022-03-10T15:57:34Z</dcterms:created>
  <dcterms:modified xsi:type="dcterms:W3CDTF">2022-03-10T15:57:34Z</dcterms:modified>
</cp:coreProperties>
</file>