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202,698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4,257 RSUs in accordance with Rule 16b-3.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2025-11-12T18:39:20Z</dcterms:created>
  <dcterms:modified xsi:type="dcterms:W3CDTF">2025-11-12T18:39:20Z</dcterms:modified>
</cp:coreProperties>
</file>