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BellRing Brands, Inc.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Class A Common Stock, Par Value $0.01 Per Share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079823100</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January 7, 2022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65"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79"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166"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ind w:right="3379"/>
        <w:spacing w:after="0" w:line="23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079823100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Asset Management, L.P.</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1,862,658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1,862,658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1,862,658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 4.8%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079823100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Capital Advisors, Inc.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1,862,658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1,862,658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1,862,658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4.8%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079823100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Cubist Systematic Strategies, LLC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117,860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117,860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117,860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0.3%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079823100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40" w:type="dxa"/>
            <w:vAlign w:val="bottom"/>
          </w:tcPr>
          <w:p>
            <w:pPr>
              <w:ind w:left="140"/>
              <w:spacing w:after="0"/>
              <w:rPr>
                <w:sz w:val="20"/>
                <w:szCs w:val="20"/>
                <w:color w:val="auto"/>
              </w:rPr>
            </w:pPr>
            <w:r>
              <w:rPr>
                <w:rFonts w:ascii="Arial" w:cs="Arial" w:eastAsia="Arial" w:hAnsi="Arial"/>
                <w:sz w:val="22"/>
                <w:szCs w:val="22"/>
                <w:color w:val="auto"/>
              </w:rPr>
              <w:t>Point72 Hong Kong Limited</w:t>
            </w:r>
          </w:p>
        </w:tc>
        <w:tc>
          <w:tcPr>
            <w:tcW w:w="284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40" w:type="dxa"/>
            <w:vAlign w:val="bottom"/>
          </w:tcPr>
          <w:p>
            <w:pPr>
              <w:ind w:left="220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4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40" w:type="dxa"/>
            <w:vAlign w:val="bottom"/>
          </w:tcPr>
          <w:p>
            <w:pPr>
              <w:ind w:left="220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Hong Kong</w:t>
            </w:r>
          </w:p>
        </w:tc>
        <w:tc>
          <w:tcPr>
            <w:tcW w:w="2840" w:type="dxa"/>
            <w:vAlign w:val="bottom"/>
          </w:tcPr>
          <w:p>
            <w:pPr>
              <w:spacing w:after="0"/>
              <w:rPr>
                <w:sz w:val="24"/>
                <w:szCs w:val="24"/>
                <w:color w:val="auto"/>
              </w:rPr>
            </w:pPr>
          </w:p>
        </w:tc>
      </w:tr>
      <w:tr>
        <w:trPr>
          <w:trHeight w:val="38"/>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2,664 (see Item 4)</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2,664 (see Item 4)</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4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2,664 (see Item 4)</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37"/>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4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&lt;0.1%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079823100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Steven A. Cohen</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1,983,182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1,983,182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1,983,182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5.1%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BellRing Brands,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2503 S. Hanley Road, St. Louis, Missouri 63144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06" w:lineRule="exact"/>
        <w:rPr>
          <w:sz w:val="20"/>
          <w:szCs w:val="20"/>
          <w:color w:val="auto"/>
        </w:rPr>
      </w:pPr>
    </w:p>
    <w:p>
      <w:pPr>
        <w:ind w:right="2339"/>
        <w:spacing w:after="0" w:line="245" w:lineRule="auto"/>
        <w:rPr>
          <w:sz w:val="20"/>
          <w:szCs w:val="20"/>
          <w:color w:val="auto"/>
        </w:rPr>
      </w:pPr>
      <w:r>
        <w:rPr>
          <w:rFonts w:ascii="Arial" w:cs="Arial" w:eastAsia="Arial" w:hAnsi="Arial"/>
          <w:sz w:val="21"/>
          <w:szCs w:val="21"/>
          <w:color w:val="auto"/>
        </w:rPr>
        <w:t>This statement is filed by: (i) Point72 Asset Management, L.P. (“Point72 Asset Management”) with respect to shares of Class A common stock, par value $0.01 per share (“Shares”), of the Issuer held by certain investment funds it manages; (ii) Point72 Capital Advisors, Inc. (“Point72 Capital Advisors Inc.”) with respect</w:t>
      </w:r>
    </w:p>
    <w:p>
      <w:pPr>
        <w:spacing w:after="0" w:line="234" w:lineRule="auto"/>
        <w:rPr>
          <w:sz w:val="20"/>
          <w:szCs w:val="20"/>
          <w:color w:val="auto"/>
        </w:rPr>
      </w:pPr>
      <w:r>
        <w:rPr>
          <w:rFonts w:ascii="Arial" w:cs="Arial" w:eastAsia="Arial" w:hAnsi="Arial"/>
          <w:sz w:val="22"/>
          <w:szCs w:val="22"/>
          <w:color w:val="auto"/>
        </w:rPr>
        <w:t>to Shares held by certain investment funds managed by Point72 Asset</w:t>
      </w:r>
    </w:p>
    <w:p>
      <w:pPr>
        <w:spacing w:after="0" w:line="230" w:lineRule="auto"/>
        <w:rPr>
          <w:sz w:val="20"/>
          <w:szCs w:val="20"/>
          <w:color w:val="auto"/>
        </w:rPr>
      </w:pPr>
      <w:r>
        <w:rPr>
          <w:rFonts w:ascii="Arial" w:cs="Arial" w:eastAsia="Arial" w:hAnsi="Arial"/>
          <w:sz w:val="22"/>
          <w:szCs w:val="22"/>
          <w:color w:val="auto"/>
        </w:rPr>
        <w:t>Management; (iii) Cubist Systematic Strategies, LLC (“Cubist Systematic</w:t>
      </w:r>
    </w:p>
    <w:p>
      <w:pPr>
        <w:spacing w:after="0" w:line="231" w:lineRule="auto"/>
        <w:rPr>
          <w:sz w:val="20"/>
          <w:szCs w:val="20"/>
          <w:color w:val="auto"/>
        </w:rPr>
      </w:pPr>
      <w:r>
        <w:rPr>
          <w:rFonts w:ascii="Arial" w:cs="Arial" w:eastAsia="Arial" w:hAnsi="Arial"/>
          <w:sz w:val="22"/>
          <w:szCs w:val="22"/>
          <w:color w:val="auto"/>
        </w:rPr>
        <w:t>Strategies”) with respect to Shares held by certain investment funds it</w:t>
      </w:r>
    </w:p>
    <w:p>
      <w:pPr>
        <w:spacing w:after="0"/>
        <w:rPr>
          <w:sz w:val="20"/>
          <w:szCs w:val="20"/>
          <w:color w:val="auto"/>
        </w:rPr>
      </w:pPr>
      <w:r>
        <w:rPr>
          <w:rFonts w:ascii="Arial" w:cs="Arial" w:eastAsia="Arial" w:hAnsi="Arial"/>
          <w:sz w:val="21"/>
          <w:szCs w:val="21"/>
          <w:color w:val="auto"/>
        </w:rPr>
        <w:t>manages; (iv) Point72 Hong Kong Limited (“Point72 Hong Kong”) with respect to</w:t>
      </w:r>
    </w:p>
    <w:p>
      <w:pPr>
        <w:spacing w:after="0" w:line="231" w:lineRule="auto"/>
        <w:rPr>
          <w:sz w:val="20"/>
          <w:szCs w:val="20"/>
          <w:color w:val="auto"/>
        </w:rPr>
      </w:pPr>
      <w:r>
        <w:rPr>
          <w:rFonts w:ascii="Arial" w:cs="Arial" w:eastAsia="Arial" w:hAnsi="Arial"/>
          <w:sz w:val="22"/>
          <w:szCs w:val="22"/>
          <w:color w:val="auto"/>
        </w:rPr>
        <w:t>Shares held by certain investment funds it manages; and (v) Steven A. Cohen</w:t>
      </w:r>
    </w:p>
    <w:p>
      <w:pPr>
        <w:spacing w:after="0" w:line="231" w:lineRule="auto"/>
        <w:rPr>
          <w:sz w:val="20"/>
          <w:szCs w:val="20"/>
          <w:color w:val="auto"/>
        </w:rPr>
      </w:pPr>
      <w:r>
        <w:rPr>
          <w:rFonts w:ascii="Arial" w:cs="Arial" w:eastAsia="Arial" w:hAnsi="Arial"/>
          <w:sz w:val="22"/>
          <w:szCs w:val="22"/>
          <w:color w:val="auto"/>
        </w:rPr>
        <w:t>(“Mr. Cohen”) with respect to Shares beneficially owned by Point72 Asset</w:t>
      </w:r>
    </w:p>
    <w:p>
      <w:pPr>
        <w:spacing w:after="0" w:line="231" w:lineRule="auto"/>
        <w:rPr>
          <w:sz w:val="20"/>
          <w:szCs w:val="20"/>
          <w:color w:val="auto"/>
        </w:rPr>
      </w:pPr>
      <w:r>
        <w:rPr>
          <w:rFonts w:ascii="Arial" w:cs="Arial" w:eastAsia="Arial" w:hAnsi="Arial"/>
          <w:sz w:val="22"/>
          <w:szCs w:val="22"/>
          <w:color w:val="auto"/>
        </w:rPr>
        <w:t>Management, Point72 Capital Advisors Inc., Cubist Systematic Strategies, and</w:t>
      </w:r>
    </w:p>
    <w:p>
      <w:pPr>
        <w:spacing w:after="0"/>
        <w:rPr>
          <w:sz w:val="20"/>
          <w:szCs w:val="20"/>
          <w:color w:val="auto"/>
        </w:rPr>
      </w:pPr>
      <w:r>
        <w:rPr>
          <w:rFonts w:ascii="Arial" w:cs="Arial" w:eastAsia="Arial" w:hAnsi="Arial"/>
          <w:sz w:val="22"/>
          <w:szCs w:val="22"/>
          <w:color w:val="auto"/>
        </w:rPr>
        <w:t>Point72 Hong Kong.</w:t>
      </w:r>
    </w:p>
    <w:p>
      <w:pPr>
        <w:spacing w:after="0" w:line="200" w:lineRule="exact"/>
        <w:rPr>
          <w:sz w:val="20"/>
          <w:szCs w:val="20"/>
          <w:color w:val="auto"/>
        </w:rPr>
      </w:pPr>
    </w:p>
    <w:p>
      <w:pPr>
        <w:spacing w:after="0" w:line="258" w:lineRule="exact"/>
        <w:rPr>
          <w:sz w:val="20"/>
          <w:szCs w:val="20"/>
          <w:color w:val="auto"/>
        </w:rPr>
      </w:pPr>
    </w:p>
    <w:p>
      <w:pPr>
        <w:ind w:right="3299"/>
        <w:spacing w:after="0" w:line="282"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06" w:lineRule="exact"/>
        <w:rPr>
          <w:sz w:val="20"/>
          <w:szCs w:val="20"/>
          <w:color w:val="auto"/>
        </w:rPr>
      </w:pPr>
    </w:p>
    <w:p>
      <w:pPr>
        <w:ind w:right="3399"/>
        <w:spacing w:after="0" w:line="273" w:lineRule="auto"/>
        <w:rPr>
          <w:sz w:val="20"/>
          <w:szCs w:val="20"/>
          <w:color w:val="auto"/>
        </w:rPr>
      </w:pPr>
      <w:r>
        <w:rPr>
          <w:rFonts w:ascii="Arial" w:cs="Arial" w:eastAsia="Arial" w:hAnsi="Arial"/>
          <w:sz w:val="19"/>
          <w:szCs w:val="19"/>
          <w:color w:val="auto"/>
        </w:rPr>
        <w:t>The address of the principal business office of (i) Point72 Asset Management, Point72 Capital Advisors Inc., and Mr. Cohen is 72 Cummings Point Road, Stamford, CT 06902; (ii) Cubist Systematic Strategies is 55 Hudson Yards,</w:t>
      </w:r>
    </w:p>
    <w:p>
      <w:pPr>
        <w:spacing w:after="0" w:line="1" w:lineRule="exact"/>
        <w:rPr>
          <w:sz w:val="20"/>
          <w:szCs w:val="20"/>
          <w:color w:val="auto"/>
        </w:rPr>
      </w:pPr>
    </w:p>
    <w:p>
      <w:pPr>
        <w:ind w:right="2979"/>
        <w:spacing w:after="0" w:line="236" w:lineRule="auto"/>
        <w:rPr>
          <w:sz w:val="20"/>
          <w:szCs w:val="20"/>
          <w:color w:val="auto"/>
        </w:rPr>
      </w:pPr>
      <w:r>
        <w:rPr>
          <w:rFonts w:ascii="Arial" w:cs="Arial" w:eastAsia="Arial" w:hAnsi="Arial"/>
          <w:sz w:val="22"/>
          <w:szCs w:val="22"/>
          <w:color w:val="auto"/>
        </w:rPr>
        <w:t>New York, NY 10001; and (iii) Point72 Hong Kong is 12th Floor, Chater House, 8 Connaught Road Central, Hong Kong.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06" w:lineRule="exact"/>
        <w:rPr>
          <w:sz w:val="20"/>
          <w:szCs w:val="20"/>
          <w:color w:val="auto"/>
        </w:rPr>
      </w:pPr>
    </w:p>
    <w:p>
      <w:pPr>
        <w:ind w:right="2879"/>
        <w:spacing w:after="0" w:line="238" w:lineRule="auto"/>
        <w:rPr>
          <w:sz w:val="20"/>
          <w:szCs w:val="20"/>
          <w:color w:val="auto"/>
        </w:rPr>
      </w:pPr>
      <w:r>
        <w:rPr>
          <w:rFonts w:ascii="Arial" w:cs="Arial" w:eastAsia="Arial" w:hAnsi="Arial"/>
          <w:sz w:val="22"/>
          <w:szCs w:val="22"/>
          <w:color w:val="auto"/>
        </w:rPr>
        <w:t>Point72 Asset Management is a Delaware limited partnership. Point72 Capital Advisors Inc. is a Delaware corporation. Cubist Systematic Strategies is a Delaware limited liability company. Point72 Hong Kong is a Hong Kong limited liability company. Mr. Cohen is a United States citizen.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Class A Common Stock, Par Value $0.01 Per Share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079823100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close of business on January 7,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Point72 Asset Management, L.P.</w:t>
      </w:r>
    </w:p>
    <w:p>
      <w:pPr>
        <w:ind w:left="300" w:hanging="292"/>
        <w:spacing w:after="0" w:line="238" w:lineRule="auto"/>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Amount beneficially owned: 1,862,658</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4.8%</w:t>
      </w:r>
    </w:p>
    <w:p>
      <w:pPr>
        <w:ind w:left="300" w:hanging="292"/>
        <w:spacing w:after="0"/>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ectPr>
          <w:pgSz w:w="11900" w:h="16838" w:orient="portrait"/>
          <w:cols w:equalWidth="0" w:num="1">
            <w:col w:w="10139"/>
          </w:cols>
          <w:pgMar w:left="320" w:top="334" w:right="1440" w:bottom="0" w:gutter="0" w:footer="0" w:header="0"/>
        </w:sectPr>
      </w:pPr>
    </w:p>
    <w:bookmarkStart w:id="7" w:name="page8"/>
    <w:bookmarkEnd w:id="7"/>
    <w:p>
      <w:pPr>
        <w:ind w:left="260" w:hanging="252"/>
        <w:spacing w:after="0"/>
        <w:tabs>
          <w:tab w:leader="none" w:pos="2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8"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Shared power to vote or to direct the vote: 1,862,658</w:t>
      </w:r>
    </w:p>
    <w:p>
      <w:pPr>
        <w:ind w:left="380" w:hanging="372"/>
        <w:spacing w:after="0" w:line="230"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380" w:hanging="372"/>
        <w:spacing w:after="0"/>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1,862,658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2. Point72 Capital Advisors, Inc.</w:t>
      </w:r>
    </w:p>
    <w:p>
      <w:pPr>
        <w:ind w:left="300" w:hanging="292"/>
        <w:spacing w:after="0" w:line="238" w:lineRule="auto"/>
        <w:tabs>
          <w:tab w:leader="none" w:pos="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Amount beneficially owned: 1,862,658</w:t>
      </w:r>
    </w:p>
    <w:p>
      <w:pPr>
        <w:ind w:left="320" w:hanging="312"/>
        <w:spacing w:after="0" w:line="230"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4.8%</w:t>
      </w:r>
    </w:p>
    <w:p>
      <w:pPr>
        <w:ind w:left="300" w:hanging="292"/>
        <w:spacing w:after="0" w:line="230" w:lineRule="auto"/>
        <w:tabs>
          <w:tab w:leader="none" w:pos="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1,862,658</w:t>
      </w:r>
    </w:p>
    <w:p>
      <w:pPr>
        <w:ind w:left="380" w:hanging="372"/>
        <w:spacing w:after="0" w:line="230" w:lineRule="auto"/>
        <w:tabs>
          <w:tab w:leader="none" w:pos="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1,862,658</w:t>
      </w:r>
    </w:p>
    <w:p>
      <w:pPr>
        <w:spacing w:after="0" w:line="215"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Cubist Systematic Strategies, LLC</w:t>
      </w:r>
    </w:p>
    <w:p>
      <w:pPr>
        <w:spacing w:after="0" w:line="8"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(a) Amount beneficially owned: 117,860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(b) Percent of class: 0.3%</w:t>
      </w:r>
    </w:p>
    <w:p>
      <w:pPr>
        <w:spacing w:after="0" w:line="230" w:lineRule="auto"/>
        <w:rPr>
          <w:rFonts w:ascii="Arial" w:cs="Arial" w:eastAsia="Arial" w:hAnsi="Arial"/>
          <w:sz w:val="22"/>
          <w:szCs w:val="22"/>
          <w:color w:val="auto"/>
        </w:rPr>
      </w:pPr>
      <w:r>
        <w:rPr>
          <w:rFonts w:ascii="Arial" w:cs="Arial" w:eastAsia="Arial" w:hAnsi="Arial"/>
          <w:sz w:val="22"/>
          <w:szCs w:val="22"/>
          <w:color w:val="auto"/>
        </w:rPr>
        <w:t>(c) Number of shares as to which the person has: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 Sole power to vote or to direct the vote: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 Shared power to vote or to direct the vote: 117,860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(iii) 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117,860</w:t>
      </w:r>
    </w:p>
    <w:p>
      <w:pPr>
        <w:spacing w:after="0" w:line="215" w:lineRule="exact"/>
        <w:rPr>
          <w:rFonts w:ascii="Arial" w:cs="Arial" w:eastAsia="Arial" w:hAnsi="Arial"/>
          <w:sz w:val="22"/>
          <w:szCs w:val="22"/>
          <w:color w:val="auto"/>
        </w:rPr>
      </w:pPr>
    </w:p>
    <w:p>
      <w:pPr>
        <w:ind w:left="220" w:hanging="212"/>
        <w:spacing w:after="0"/>
        <w:tabs>
          <w:tab w:leader="none" w:pos="2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Point72 Hong Kong Limited</w:t>
      </w:r>
    </w:p>
    <w:p>
      <w:pPr>
        <w:ind w:left="300" w:hanging="292"/>
        <w:spacing w:after="0" w:line="238" w:lineRule="auto"/>
        <w:tabs>
          <w:tab w:leader="none" w:pos="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Amount beneficially owned: 2,664</w:t>
      </w:r>
    </w:p>
    <w:p>
      <w:pPr>
        <w:ind w:left="320" w:hanging="312"/>
        <w:spacing w:after="0" w:line="230" w:lineRule="auto"/>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&lt;0.1%</w:t>
      </w:r>
    </w:p>
    <w:p>
      <w:pPr>
        <w:ind w:left="300" w:hanging="292"/>
        <w:spacing w:after="0" w:line="230" w:lineRule="auto"/>
        <w:tabs>
          <w:tab w:leader="none" w:pos="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Shared power to vote or to direct the vote: 2,664</w:t>
      </w:r>
    </w:p>
    <w:p>
      <w:pPr>
        <w:ind w:left="380" w:hanging="372"/>
        <w:spacing w:after="0" w:line="230" w:lineRule="auto"/>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2,664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5. Steven A. Cohen</w:t>
      </w:r>
    </w:p>
    <w:p>
      <w:pPr>
        <w:ind w:left="300" w:hanging="292"/>
        <w:spacing w:after="0" w:line="238" w:lineRule="auto"/>
        <w:tabs>
          <w:tab w:leader="none" w:pos="3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Amount beneficially owned: 1,983,182</w:t>
      </w:r>
    </w:p>
    <w:p>
      <w:pPr>
        <w:ind w:left="320" w:hanging="312"/>
        <w:spacing w:after="0" w:line="230" w:lineRule="auto"/>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Percent of class: 5.1%</w:t>
      </w:r>
    </w:p>
    <w:p>
      <w:pPr>
        <w:ind w:left="300" w:hanging="292"/>
        <w:spacing w:after="0" w:line="230" w:lineRule="auto"/>
        <w:tabs>
          <w:tab w:leader="none" w:pos="3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Shared power to vote or to direct the vote: 1,983,182</w:t>
      </w:r>
    </w:p>
    <w:p>
      <w:pPr>
        <w:ind w:left="380" w:hanging="372"/>
        <w:spacing w:after="0" w:line="230" w:lineRule="auto"/>
        <w:tabs>
          <w:tab w:leader="none" w:pos="3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1,983,182</w:t>
      </w:r>
    </w:p>
    <w:p>
      <w:pPr>
        <w:spacing w:after="0" w:line="200" w:lineRule="exact"/>
        <w:rPr>
          <w:sz w:val="20"/>
          <w:szCs w:val="20"/>
          <w:color w:val="auto"/>
        </w:rPr>
      </w:pPr>
    </w:p>
    <w:p>
      <w:pPr>
        <w:spacing w:after="0" w:line="231" w:lineRule="exact"/>
        <w:rPr>
          <w:sz w:val="20"/>
          <w:szCs w:val="20"/>
          <w:color w:val="auto"/>
        </w:rPr>
      </w:pPr>
    </w:p>
    <w:p>
      <w:pPr>
        <w:ind w:right="3039"/>
        <w:spacing w:after="0" w:line="268"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and Mr. Cohen own directly no Shares. Pursuant to an investment management agreement, Point72 Asset Management maintains investment and voting power with respect to the securities held by certain investment funds it manages. Point72 Capital Advisors Inc. is the general partner of Point72 Asset Management. Pursuant to an investment management agreement, Cubist Systematic Strategies maintains investment and voting power with respect to the securities held by certain investment funds it manages. Pursuant to an investment management agreement, Point72 Hong Kong maintains investment and voting power with respect to the securities held by certain investment funds it manages. Mr. Cohen controls each of Point72 Asset Management, Point72 Capital Advisors Inc., Cubist Systematic Strategies, and Point72 Hong Kong. By reason of the provisions of Rule 13d-3 of the Securities Exchange Act of 1934, as amended, each of (i) Point72 Asset Management, Point72 Capital Advisors Inc. and Mr. Cohen may be deemed to beneficially own 1,862,658 Shares (constituting approximately 4.8% of the Shares outstanding), (ii) Cubist Systematic Strategies and Mr. Cohen may be deemed to beneficially</w:t>
      </w:r>
    </w:p>
    <w:p>
      <w:pPr>
        <w:spacing w:after="0" w:line="1" w:lineRule="exact"/>
        <w:rPr>
          <w:sz w:val="20"/>
          <w:szCs w:val="20"/>
          <w:color w:val="auto"/>
        </w:rPr>
      </w:pPr>
    </w:p>
    <w:p>
      <w:pPr>
        <w:ind w:right="2379"/>
        <w:spacing w:after="0" w:line="266" w:lineRule="auto"/>
        <w:rPr>
          <w:sz w:val="20"/>
          <w:szCs w:val="20"/>
          <w:color w:val="auto"/>
        </w:rPr>
      </w:pPr>
      <w:r>
        <w:rPr>
          <w:rFonts w:ascii="Arial" w:cs="Arial" w:eastAsia="Arial" w:hAnsi="Arial"/>
          <w:sz w:val="19"/>
          <w:szCs w:val="19"/>
          <w:color w:val="auto"/>
        </w:rPr>
        <w:t>own 117,860 Shares (constituting approximately 0.3% of the Shares outstanding) and (iii) Point72 Hong Kong and Mr. Cohen may be deemed to beneficially own 2,664 Shares (constituting &lt;0.1% of the Shares outstanding). Each of Point72 Asset</w:t>
      </w:r>
    </w:p>
    <w:p>
      <w:pPr>
        <w:spacing w:after="0" w:line="3" w:lineRule="exact"/>
        <w:rPr>
          <w:sz w:val="20"/>
          <w:szCs w:val="20"/>
          <w:color w:val="auto"/>
        </w:rPr>
      </w:pPr>
    </w:p>
    <w:p>
      <w:pPr>
        <w:ind w:right="3119"/>
        <w:spacing w:after="0" w:line="234" w:lineRule="auto"/>
        <w:rPr>
          <w:sz w:val="20"/>
          <w:szCs w:val="20"/>
          <w:color w:val="auto"/>
        </w:rPr>
      </w:pPr>
      <w:r>
        <w:rPr>
          <w:rFonts w:ascii="Arial" w:cs="Arial" w:eastAsia="Arial" w:hAnsi="Arial"/>
          <w:sz w:val="22"/>
          <w:szCs w:val="22"/>
          <w:color w:val="auto"/>
        </w:rPr>
        <w:t>Management, Point72 Capital Advisors Inc., Cubist Systematic Strategies, Point72 Hong Kong, and Mr. Cohen disclaims beneficial ownership of any of the securities covered by this statement.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ectPr>
          <w:pgSz w:w="11900" w:h="16838" w:orient="portrait"/>
          <w:cols w:equalWidth="0" w:num="1">
            <w:col w:w="10139"/>
          </w:cols>
          <w:pgMar w:left="320" w:top="118" w:right="1440" w:bottom="0" w:gutter="0" w:footer="0" w:header="0"/>
        </w:sectPr>
      </w:pPr>
    </w:p>
    <w:bookmarkStart w:id="8" w:name="page9"/>
    <w:bookmarkEnd w:id="8"/>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ind w:right="2779"/>
        <w:spacing w:after="0" w:line="248"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4" w:lineRule="exact"/>
        <w:rPr>
          <w:sz w:val="20"/>
          <w:szCs w:val="20"/>
          <w:color w:val="auto"/>
        </w:rPr>
      </w:pPr>
    </w:p>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January 10,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ectPr>
          <w:pgSz w:w="11900" w:h="16838" w:orient="portrait"/>
          <w:cols w:equalWidth="0" w:num="1">
            <w:col w:w="10139"/>
          </w:cols>
          <w:pgMar w:left="320" w:top="118" w:right="1440" w:bottom="128"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STEVEN A. COHEN</w:t>
      </w:r>
    </w:p>
    <w:p>
      <w:pPr>
        <w:sectPr>
          <w:pgSz w:w="11900" w:h="16838" w:orient="portrait"/>
          <w:cols w:equalWidth="0" w:num="1">
            <w:col w:w="10139"/>
          </w:cols>
          <w:pgMar w:left="320" w:top="118" w:right="1440" w:bottom="128"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Jason M. Colombo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Name: Jason M. Colombo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Title: Authorized Person</w:t>
      </w:r>
    </w:p>
    <w:p>
      <w:pPr>
        <w:sectPr>
          <w:pgSz w:w="11900" w:h="16838" w:orient="portrait"/>
          <w:cols w:equalWidth="0" w:num="1">
            <w:col w:w="10139"/>
          </w:cols>
          <w:pgMar w:left="320" w:top="118"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Exhibit 99.1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39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January 10,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1"/>
    </w:lvl>
  </w:abstractNum>
  <w:abstractNum w:abstractNumId="2">
    <w:nsid w:val="66EF438D"/>
    <w:multiLevelType w:val="hybridMultilevel"/>
    <w:lvl w:ilvl="0">
      <w:lvlJc w:val="left"/>
      <w:lvlText w:val="(%1)"/>
      <w:numFmt w:val="decimal"/>
      <w:start w:val="11"/>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1)"/>
      <w:numFmt w:val="decimal"/>
      <w:start w:val="11"/>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Roman"/>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9"/>
    </w:lvl>
  </w:abstractNum>
  <w:abstractNum w:abstractNumId="10">
    <w:nsid w:val="6B68079A"/>
    <w:multiLevelType w:val="hybridMultilevel"/>
    <w:lvl w:ilvl="0">
      <w:lvlJc w:val="left"/>
      <w:lvlText w:val="(%1)"/>
      <w:numFmt w:val="lowerLetter"/>
      <w:start w:val="35"/>
    </w:lvl>
  </w:abstractNum>
  <w:abstractNum w:abstractNumId="11">
    <w:nsid w:val="4E6AFB66"/>
    <w:multiLevelType w:val="hybridMultilevel"/>
    <w:lvl w:ilvl="0">
      <w:lvlJc w:val="left"/>
      <w:lvlText w:val="(%1)"/>
      <w:numFmt w:val="lowerLetter"/>
      <w:start w:val="61"/>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9"/>
    </w:lvl>
  </w:abstractNum>
  <w:abstractNum w:abstractNumId="15">
    <w:nsid w:val="3F2DBA31"/>
    <w:multiLevelType w:val="hybridMultilevel"/>
    <w:lvl w:ilvl="0">
      <w:lvlJc w:val="left"/>
      <w:lvlText w:val="(%1)"/>
      <w:numFmt w:val="lowerLetter"/>
      <w:start w:val="35"/>
    </w:lvl>
  </w:abstractNum>
  <w:abstractNum w:abstractNumId="16">
    <w:nsid w:val="7C83E458"/>
    <w:multiLevelType w:val="hybridMultilevel"/>
    <w:lvl w:ilvl="0">
      <w:lvlJc w:val="left"/>
      <w:lvlText w:val="(%1)"/>
      <w:numFmt w:val="lowerLetter"/>
      <w:start w:val="6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9"/>
    </w:lvl>
  </w:abstractNum>
  <w:abstractNum w:abstractNumId="19">
    <w:nsid w:val="436C6125"/>
    <w:multiLevelType w:val="hybridMultilevel"/>
    <w:lvl w:ilvl="0">
      <w:lvlJc w:val="left"/>
      <w:lvlText w:val="(%1)"/>
      <w:numFmt w:val="lowerLetter"/>
      <w:start w:val="35"/>
    </w:lvl>
  </w:abstractNum>
  <w:abstractNum w:abstractNumId="20">
    <w:nsid w:val="628C895D"/>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2022-01-10T15:57:46Z</dcterms:created>
  <dcterms:modified xsi:type="dcterms:W3CDTF">2022-01-10T15:57:46Z</dcterms:modified>
</cp:coreProperties>
</file>