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CORNILLE DOUGLAS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BELLRING BRANDS,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2503 S. HANLEY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BELLRING BRANDS,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BRBR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MARKETING OF PNC</w:t>
      </w:r>
    </w:p>
    <w:p>
      <w:pPr>
        <w:spacing w:after="0" w:line="4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5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8,844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52,373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BellRing Brands, Inc. Class A common stock. The restricted stock units were granted under the BellRing Brands, Inc. 2019 Long-Term Incentive Plan in a transaction exempt under Rule 16b-3 and vest in equal annual increments over three years.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90179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2021-11-15T17:52:16Z</dcterms:created>
  <dcterms:modified xsi:type="dcterms:W3CDTF">2021-11-15T17:52:16Z</dcterms:modified>
</cp:coreProperties>
</file>