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JOHNSON JENNIFER KUPERMAN</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BELLRING BRANDS,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BRBR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96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BELLRING BRANDS, INC.</w:t>
            </w: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02/01/2023</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2503 S. HANLEY ROAD</w:t>
            </w: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ST. LOUIS</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MO</w:t>
            </w:r>
          </w:p>
        </w:tc>
        <w:tc>
          <w:tcPr>
            <w:tcW w:w="960" w:type="dxa"/>
            <w:vAlign w:val="bottom"/>
          </w:tcPr>
          <w:p>
            <w:pPr>
              <w:ind w:left="140"/>
              <w:spacing w:after="0"/>
              <w:rPr>
                <w:sz w:val="20"/>
                <w:szCs w:val="20"/>
                <w:color w:val="auto"/>
              </w:rPr>
            </w:pPr>
            <w:r>
              <w:rPr>
                <w:rFonts w:ascii="Arial" w:cs="Arial" w:eastAsia="Arial" w:hAnsi="Arial"/>
                <w:sz w:val="17"/>
                <w:szCs w:val="17"/>
                <w:color w:val="0000FF"/>
              </w:rPr>
              <w:t>63144</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2"/>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2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6"/>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00"/>
              <w:spacing w:after="0"/>
              <w:rPr>
                <w:sz w:val="20"/>
                <w:szCs w:val="20"/>
                <w:color w:val="auto"/>
              </w:rPr>
            </w:pPr>
            <w:r>
              <w:rPr>
                <w:rFonts w:ascii="Arial" w:cs="Arial" w:eastAsia="Arial" w:hAnsi="Arial"/>
                <w:sz w:val="17"/>
                <w:szCs w:val="17"/>
                <w:color w:val="0000FF"/>
              </w:rPr>
              <w:t>02/01/2023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9"/>
              </w:rPr>
              <w:t>3,800</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17,922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BellRing Brands, Inc. common stock granted under the BellRing Brands, Inc. 2019 Long-Term Incentive Plan. The restricted stock units vest in full on the first anniversary of the date of grant subject to the terms of the award agreement.</w:t>
      </w:r>
    </w:p>
    <w:p>
      <w:pPr>
        <w:spacing w:after="0" w:line="15" w:lineRule="exact"/>
        <w:rPr>
          <w:rFonts w:ascii="Arial" w:cs="Arial" w:eastAsia="Arial" w:hAnsi="Arial"/>
          <w:sz w:val="13"/>
          <w:szCs w:val="13"/>
          <w:color w:val="008000"/>
        </w:rPr>
      </w:pPr>
    </w:p>
    <w:p>
      <w:pPr>
        <w:ind w:left="40" w:right="1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2019 Long-Term Incentive Plan were adjusted to account for the Cash Consideration paid to holders of Old Bell Ring common stock in the Transactions. The amount of securities beneficially owned following the reported transaction includes 1,503 additional RSUs received in connection with such adjustment, which RSUs are subject to the same vesting terms as the underlying awards.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02/03/2023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648"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2023-02-03T16:23:46Z</dcterms:created>
  <dcterms:modified xsi:type="dcterms:W3CDTF">2023-02-03T16:23:46Z</dcterms:modified>
</cp:coreProperties>
</file>