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6840" w:type="dxa"/>
            <w:vAlign w:val="bottom"/>
            <w:gridSpan w:val="3"/>
          </w:tcPr>
          <w:p>
            <w:pPr>
              <w:jc w:val="center"/>
              <w:ind w:left="282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80" w:type="dxa"/>
            <w:vAlign w:val="bottom"/>
          </w:tcPr>
          <w:p>
            <w:pPr>
              <w:spacing w:after="0"/>
              <w:rPr>
                <w:sz w:val="20"/>
                <w:szCs w:val="20"/>
                <w:color w:val="auto"/>
              </w:rPr>
            </w:pPr>
          </w:p>
        </w:tc>
      </w:tr>
      <w:tr>
        <w:trPr>
          <w:trHeight w:val="27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880" w:type="dxa"/>
            <w:vAlign w:val="bottom"/>
          </w:tcPr>
          <w:p>
            <w:pPr>
              <w:jc w:val="center"/>
              <w:ind w:left="844"/>
              <w:spacing w:after="0"/>
              <w:rPr>
                <w:sz w:val="20"/>
                <w:szCs w:val="20"/>
                <w:color w:val="auto"/>
              </w:rPr>
            </w:pPr>
            <w:r>
              <w:rPr>
                <w:rFonts w:ascii="Times New Roman" w:cs="Times New Roman" w:eastAsia="Times New Roman" w:hAnsi="Times New Roman"/>
                <w:sz w:val="20"/>
                <w:szCs w:val="20"/>
                <w:b w:val="1"/>
                <w:bCs w:val="1"/>
                <w:color w:val="auto"/>
                <w:w w:val="99"/>
              </w:rPr>
              <w:t>001-39093</w:t>
            </w:r>
          </w:p>
        </w:tc>
        <w:tc>
          <w:tcPr>
            <w:tcW w:w="1500" w:type="dxa"/>
            <w:vAlign w:val="bottom"/>
          </w:tcPr>
          <w:p>
            <w:pPr>
              <w:spacing w:after="0"/>
              <w:rPr>
                <w:sz w:val="24"/>
                <w:szCs w:val="24"/>
                <w:color w:val="auto"/>
              </w:rPr>
            </w:pPr>
          </w:p>
        </w:tc>
        <w:tc>
          <w:tcPr>
            <w:tcW w:w="2580" w:type="dxa"/>
            <w:vAlign w:val="bottom"/>
          </w:tcPr>
          <w:p>
            <w:pPr>
              <w:jc w:val="right"/>
              <w:ind w:right="686"/>
              <w:spacing w:after="0"/>
              <w:rPr>
                <w:sz w:val="20"/>
                <w:szCs w:val="20"/>
                <w:color w:val="auto"/>
              </w:rPr>
            </w:pPr>
            <w:r>
              <w:rPr>
                <w:rFonts w:ascii="Times New Roman" w:cs="Times New Roman" w:eastAsia="Times New Roman" w:hAnsi="Times New Roman"/>
                <w:sz w:val="20"/>
                <w:szCs w:val="20"/>
                <w:b w:val="1"/>
                <w:bCs w:val="1"/>
                <w:color w:val="auto"/>
              </w:rPr>
              <w:t>87-3296749</w:t>
            </w:r>
          </w:p>
        </w:tc>
      </w:tr>
      <w:tr>
        <w:trPr>
          <w:trHeight w:val="237"/>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8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2503 S. Hanley Road</w:t>
            </w:r>
          </w:p>
        </w:tc>
        <w:tc>
          <w:tcPr>
            <w:tcW w:w="18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St. Louis</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2580" w:type="dxa"/>
            <w:vAlign w:val="bottom"/>
          </w:tcPr>
          <w:p>
            <w:pPr>
              <w:jc w:val="right"/>
              <w:ind w:right="906"/>
              <w:spacing w:after="0"/>
              <w:rPr>
                <w:sz w:val="20"/>
                <w:szCs w:val="20"/>
                <w:color w:val="auto"/>
              </w:rPr>
            </w:pPr>
            <w:r>
              <w:rPr>
                <w:rFonts w:ascii="Times New Roman" w:cs="Times New Roman" w:eastAsia="Times New Roman" w:hAnsi="Times New Roman"/>
                <w:sz w:val="20"/>
                <w:szCs w:val="20"/>
                <w:b w:val="1"/>
                <w:bCs w:val="1"/>
                <w:color w:val="auto"/>
              </w:rPr>
              <w:t>63144</w:t>
            </w:r>
          </w:p>
        </w:tc>
      </w:tr>
      <w:tr>
        <w:trPr>
          <w:trHeight w:val="237"/>
        </w:trPr>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644-7600</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219710</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245110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On December 5, 2022, the Board of Directors (the “Board”) of BellRing Brands, Inc. (the “Company”) approved, effective December 5, 2022 (the “Effective Date”), a $50 million share repurchase authorization over a two-year period beginning on the Effective Date. Repurchases may be made from time to time in the open market, private purchases, through forward, derivative, alternative, accelerated repurchase or automatic purchase transactions, or otherwise. The authorization does not, however, obligate the Company to acquire any particular amount of shares, and repurchases may be suspended or terminated at any time at the Company’s discretion. A press release announcing the approval of the share repurchase authorization is attached as Exhibit 99.1 to this Current Report on Form 8-K and is incorporated herein by reference. The amount and timing of repurchases are subject to a variety of factors including liquidity, share price, market conditions and legal requirements.</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40" w:type="dxa"/>
            <w:vAlign w:val="bottom"/>
          </w:tcPr>
          <w:p>
            <w:pPr>
              <w:spacing w:after="0"/>
              <w:rPr>
                <w:sz w:val="24"/>
                <w:szCs w:val="24"/>
                <w:color w:val="auto"/>
              </w:rPr>
            </w:pPr>
          </w:p>
        </w:tc>
        <w:tc>
          <w:tcPr>
            <w:tcW w:w="2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Press Release dated December 5, 2022</w:t>
            </w:r>
          </w:p>
        </w:tc>
        <w:tc>
          <w:tcPr>
            <w:tcW w:w="6360" w:type="dxa"/>
            <w:vAlign w:val="bottom"/>
          </w:tcPr>
          <w:p>
            <w:pPr>
              <w:spacing w:after="0"/>
              <w:rPr>
                <w:sz w:val="24"/>
                <w:szCs w:val="24"/>
                <w:color w:val="auto"/>
              </w:rPr>
            </w:pPr>
          </w:p>
        </w:tc>
      </w:tr>
      <w:tr>
        <w:trPr>
          <w:trHeight w:val="25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1"/>
                <w:szCs w:val="21"/>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r>
        <w:trPr>
          <w:trHeight w:val="3598"/>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2022</w:t>
            </w:r>
          </w:p>
        </w:tc>
        <w:tc>
          <w:tcPr>
            <w:tcW w:w="73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640" w:type="dxa"/>
            <w:vAlign w:val="bottom"/>
          </w:tcPr>
          <w:p>
            <w:pPr>
              <w:spacing w:after="0"/>
              <w:rPr>
                <w:sz w:val="20"/>
                <w:szCs w:val="20"/>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 General Counsel and Secretary</w:t>
            </w:r>
          </w:p>
        </w:tc>
      </w:tr>
    </w:tbl>
    <w:p>
      <w:pPr>
        <w:sectPr>
          <w:pgSz w:w="11900" w:h="16838" w:orient="portrait"/>
          <w:cols w:equalWidth="0" w:num="1">
            <w:col w:w="11200"/>
          </w:cols>
          <w:pgMar w:left="320" w:top="14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5445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BellRing Brands Announces New Share Repurchase Authorization of $50 Million</w:t>
      </w:r>
    </w:p>
    <w:p>
      <w:pPr>
        <w:spacing w:after="0" w:line="286" w:lineRule="exact"/>
        <w:rPr>
          <w:sz w:val="20"/>
          <w:szCs w:val="20"/>
          <w:color w:val="auto"/>
        </w:rPr>
      </w:pPr>
    </w:p>
    <w:p>
      <w:pPr>
        <w:jc w:val="both"/>
        <w:ind w:right="4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St. Louis – December 5, 2022 </w:t>
      </w:r>
      <w:r>
        <w:rPr>
          <w:rFonts w:ascii="Times New Roman" w:cs="Times New Roman" w:eastAsia="Times New Roman" w:hAnsi="Times New Roman"/>
          <w:sz w:val="18"/>
          <w:szCs w:val="18"/>
          <w:color w:val="auto"/>
        </w:rPr>
        <w:t>– BellRing Brands, Inc. (NYSE:BRBR) today announced its Board of Directors has approved a new $50 million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authorization, with share repurchases under the new authorization beginning on December 5, 2022. As of December 5, 2022, BellRing had repurchased approximately $45 million under its previous $50 million share repurchase authorization.</w:t>
      </w:r>
    </w:p>
    <w:p>
      <w:pPr>
        <w:spacing w:after="0" w:line="18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Repurchases may be made from time to time in the open market, private purchases, through forward, derivative, alternative, accelerated repurchase or automatic purchase transactions, or otherwise. The authorization does not, however, obligate BellRing to acquire any particular amount of shares, and repurchases may be suspended or terminated at any time at BellRing’s discretion. The amount and timing of repurchases are subject to a variety of factors including liquidity, share price, market conditions and legal requirements.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Language</w:t>
      </w:r>
    </w:p>
    <w:p>
      <w:pPr>
        <w:spacing w:after="0" w:line="2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the rapidly changing situation related to the COVID-19 pandemic and other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22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Meyer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jennifer.meyer@bellringbrands.com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 644-7665</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2022-12-05T16:13:37Z</dcterms:created>
  <dcterms:modified xsi:type="dcterms:W3CDTF">2022-12-05T16:13:37Z</dcterms:modified>
</cp:coreProperties>
</file>