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137795"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795" cy="186690"/>
                    </a:xfrm>
                    <a:prstGeom prst="rect">
                      <a:avLst/>
                    </a:prstGeom>
                    <a:noFill/>
                  </pic:spPr>
                </pic:pic>
              </a:graphicData>
            </a:graphic>
          </wp:anchor>
        </w:drawing>
      </w:r>
    </w:p>
    <w:p>
      <w:pPr>
        <w:jc w:val="both"/>
        <w:ind w:left="340" w:right="340" w:hanging="263"/>
        <w:spacing w:after="0" w:line="181"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4806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80631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00" w:space="400"/>
            <w:col w:w="848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restart"/>
          </w:tcPr>
          <w:p>
            <w:pPr>
              <w:ind w:left="20"/>
              <w:spacing w:after="0"/>
              <w:rPr>
                <w:rFonts w:ascii="Arial" w:cs="Arial" w:eastAsia="Arial" w:hAnsi="Arial"/>
                <w:sz w:val="20"/>
                <w:szCs w:val="20"/>
                <w:color w:val="0000EE"/>
                <w:w w:val="89"/>
              </w:rPr>
            </w:pPr>
            <w:hyperlink r:id="rId12">
              <w:r>
                <w:rPr>
                  <w:rFonts w:ascii="Arial" w:cs="Arial" w:eastAsia="Arial" w:hAnsi="Arial"/>
                  <w:sz w:val="20"/>
                  <w:szCs w:val="20"/>
                  <w:color w:val="0000EE"/>
                  <w:w w:val="89"/>
                </w:rPr>
                <w:t>Nwamu Chonda J</w:t>
              </w:r>
            </w:hyperlink>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BELLRING BRANDS,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BRBR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4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 BELLRING BRANDS, INC.</w:t>
            </w:r>
          </w:p>
        </w:tc>
        <w:tc>
          <w:tcPr>
            <w:tcW w:w="1100" w:type="dxa"/>
            <w:vAlign w:val="bottom"/>
          </w:tcPr>
          <w:p>
            <w:pPr>
              <w:spacing w:after="0"/>
              <w:rPr>
                <w:sz w:val="18"/>
                <w:szCs w:val="18"/>
                <w:color w:val="auto"/>
              </w:rPr>
            </w:pPr>
          </w:p>
        </w:tc>
        <w:tc>
          <w:tcPr>
            <w:tcW w:w="1660" w:type="dxa"/>
            <w:vAlign w:val="bottom"/>
            <w:gridSpan w:val="5"/>
          </w:tcPr>
          <w:p>
            <w:pPr>
              <w:ind w:left="260"/>
              <w:spacing w:after="0"/>
              <w:rPr>
                <w:sz w:val="20"/>
                <w:szCs w:val="20"/>
                <w:color w:val="auto"/>
              </w:rPr>
            </w:pPr>
            <w:r>
              <w:rPr>
                <w:rFonts w:ascii="Arial" w:cs="Arial" w:eastAsia="Arial" w:hAnsi="Arial"/>
                <w:sz w:val="16"/>
                <w:szCs w:val="16"/>
                <w:color w:val="0000FF"/>
              </w:rPr>
              <w:t>03/10/2022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6"/>
                <w:szCs w:val="16"/>
                <w:color w:val="0000FF"/>
              </w:rPr>
              <w:t>2503 S. HANLEY ROAD</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ST. LOUIS</w:t>
            </w:r>
          </w:p>
        </w:tc>
        <w:tc>
          <w:tcPr>
            <w:tcW w:w="1240" w:type="dxa"/>
            <w:vAlign w:val="bottom"/>
            <w:gridSpan w:val="2"/>
          </w:tcPr>
          <w:p>
            <w:pPr>
              <w:ind w:left="40"/>
              <w:spacing w:after="0"/>
              <w:rPr>
                <w:sz w:val="20"/>
                <w:szCs w:val="20"/>
                <w:color w:val="auto"/>
              </w:rPr>
            </w:pPr>
            <w:r>
              <w:rPr>
                <w:rFonts w:ascii="Arial" w:cs="Arial" w:eastAsia="Arial" w:hAnsi="Arial"/>
                <w:sz w:val="16"/>
                <w:szCs w:val="16"/>
                <w:color w:val="0000FF"/>
              </w:rPr>
              <w:t>MO</w:t>
            </w:r>
          </w:p>
        </w:tc>
        <w:tc>
          <w:tcPr>
            <w:tcW w:w="1100" w:type="dxa"/>
            <w:vAlign w:val="bottom"/>
          </w:tcPr>
          <w:p>
            <w:pPr>
              <w:ind w:left="20"/>
              <w:spacing w:after="0"/>
              <w:rPr>
                <w:sz w:val="20"/>
                <w:szCs w:val="20"/>
                <w:color w:val="auto"/>
              </w:rPr>
            </w:pPr>
            <w:r>
              <w:rPr>
                <w:rFonts w:ascii="Arial" w:cs="Arial" w:eastAsia="Arial" w:hAnsi="Arial"/>
                <w:sz w:val="16"/>
                <w:szCs w:val="16"/>
                <w:color w:val="0000FF"/>
              </w:rPr>
              <w:t>63144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8"/>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7"/>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8"/>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5"/>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6"/>
                <w:szCs w:val="16"/>
                <w:color w:val="0000FF"/>
              </w:rPr>
              <w:t>03/10/2022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8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w w:val="80"/>
              </w:rPr>
              <w:t>7,615</w:t>
            </w:r>
            <w:r>
              <w:rPr>
                <w:rFonts w:ascii="Arial" w:cs="Arial" w:eastAsia="Arial" w:hAnsi="Arial"/>
                <w:sz w:val="21"/>
                <w:szCs w:val="21"/>
                <w:color w:val="008000"/>
                <w:w w:val="80"/>
                <w:vertAlign w:val="superscript"/>
              </w:rPr>
              <w:t>(2)</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gridSpan w:val="2"/>
          </w:tcPr>
          <w:p>
            <w:pPr>
              <w:ind w:left="260"/>
              <w:spacing w:after="0"/>
              <w:rPr>
                <w:sz w:val="20"/>
                <w:szCs w:val="20"/>
                <w:color w:val="auto"/>
              </w:rPr>
            </w:pPr>
            <w:r>
              <w:rPr>
                <w:rFonts w:ascii="Arial" w:cs="Arial" w:eastAsia="Arial" w:hAnsi="Arial"/>
                <w:sz w:val="11"/>
                <w:szCs w:val="11"/>
                <w:color w:val="008000"/>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560"/>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gridSpan w:val="15"/>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BellRing</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Brands,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95"/>
              <w:spacing w:after="0"/>
              <w:rPr>
                <w:sz w:val="20"/>
                <w:szCs w:val="20"/>
                <w:color w:val="auto"/>
              </w:rPr>
            </w:pPr>
            <w:r>
              <w:rPr>
                <w:rFonts w:ascii="Arial" w:cs="Arial" w:eastAsia="Arial" w:hAnsi="Arial"/>
                <w:sz w:val="13"/>
                <w:szCs w:val="13"/>
                <w:color w:val="0000FF"/>
                <w:w w:val="84"/>
              </w:rPr>
              <w:t>Class A</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Inc. Class</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gridSpan w:val="2"/>
            <w:vMerge w:val="restart"/>
          </w:tcPr>
          <w:p>
            <w:pPr>
              <w:spacing w:after="0"/>
              <w:rPr>
                <w:sz w:val="20"/>
                <w:szCs w:val="20"/>
                <w:color w:val="auto"/>
              </w:rPr>
            </w:pPr>
            <w:r>
              <w:rPr>
                <w:rFonts w:ascii="Arial" w:cs="Arial" w:eastAsia="Arial" w:hAnsi="Arial"/>
                <w:sz w:val="16"/>
                <w:szCs w:val="16"/>
                <w:color w:val="0000FF"/>
              </w:rPr>
              <w:t>787.063</w:t>
            </w: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restart"/>
          </w:tcPr>
          <w:p>
            <w:pPr>
              <w:ind w:left="200"/>
              <w:spacing w:after="0" w:line="139" w:lineRule="exact"/>
              <w:rPr>
                <w:sz w:val="20"/>
                <w:szCs w:val="20"/>
                <w:color w:val="auto"/>
              </w:rPr>
            </w:pPr>
            <w:r>
              <w:rPr>
                <w:rFonts w:ascii="Arial" w:cs="Arial" w:eastAsia="Arial" w:hAnsi="Arial"/>
                <w:sz w:val="13"/>
                <w:szCs w:val="13"/>
                <w:color w:val="0000FF"/>
              </w:rPr>
              <w:t>03/10/2022</w:t>
            </w: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ind w:left="420"/>
              <w:spacing w:after="0" w:line="139" w:lineRule="exact"/>
              <w:rPr>
                <w:sz w:val="20"/>
                <w:szCs w:val="20"/>
                <w:color w:val="auto"/>
              </w:rPr>
            </w:pPr>
            <w:r>
              <w:rPr>
                <w:rFonts w:ascii="Arial" w:cs="Arial" w:eastAsia="Arial" w:hAnsi="Arial"/>
                <w:sz w:val="13"/>
                <w:szCs w:val="13"/>
                <w:color w:val="0000FF"/>
              </w:rPr>
              <w:t>787.063</w:t>
            </w:r>
          </w:p>
        </w:tc>
        <w:tc>
          <w:tcPr>
            <w:tcW w:w="76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8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6"/>
                <w:szCs w:val="6"/>
                <w:color w:val="auto"/>
              </w:rPr>
            </w:pPr>
          </w:p>
        </w:tc>
        <w:tc>
          <w:tcPr>
            <w:tcW w:w="62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w w:val="98"/>
              </w:rPr>
              <w:t>A Common</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5"/>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160" w:hanging="1"/>
        <w:spacing w:after="0" w:line="252"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23" w:lineRule="exact"/>
        <w:rPr>
          <w:rFonts w:ascii="Arial" w:cs="Arial" w:eastAsia="Arial" w:hAnsi="Arial"/>
          <w:sz w:val="12"/>
          <w:szCs w:val="12"/>
          <w:color w:val="008000"/>
        </w:rPr>
      </w:pPr>
    </w:p>
    <w:p>
      <w:pPr>
        <w:ind w:left="160" w:hanging="12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Transactions, unvested restricted stock units of Old BellRing were assumed by New BellRing and continue to be subject to the same terms and conditions of the Old BellRing awards.</w:t>
      </w:r>
    </w:p>
    <w:p>
      <w:pPr>
        <w:spacing w:after="0" w:line="52" w:lineRule="exact"/>
        <w:rPr>
          <w:rFonts w:ascii="Arial" w:cs="Arial" w:eastAsia="Arial" w:hAnsi="Arial"/>
          <w:sz w:val="12"/>
          <w:szCs w:val="12"/>
          <w:color w:val="008000"/>
        </w:rPr>
      </w:pPr>
    </w:p>
    <w:p>
      <w:pPr>
        <w:ind w:left="40" w:right="540" w:hanging="1"/>
        <w:spacing w:after="0" w:line="262"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Class A Common Stock equivalents of Old BellRing (the "Stock Equivalents") that were to be distributed (on a one-for-one basis) into shares of Class A Common Stock of Old BellRing upon Reporting Person's retirement from the Board of Directors. The Stock Equivalents have no fixed exercisable or expiration dates. The Stock Equivalents were assumed by New BellRing in connection with the Transactions and replaced with an equal number of stock equivalents in New BellRing common stock having the same terms and conditions as the Stock Equivalents.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Craig L. Rosenthal,</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03/10/2022</w:t>
            </w:r>
          </w:p>
        </w:tc>
        <w:tc>
          <w:tcPr>
            <w:tcW w:w="0" w:type="dxa"/>
            <w:vAlign w:val="bottom"/>
          </w:tcPr>
          <w:p>
            <w:pPr>
              <w:spacing w:after="0"/>
              <w:rPr>
                <w:sz w:val="1"/>
                <w:szCs w:val="1"/>
                <w:color w:val="auto"/>
              </w:rPr>
            </w:pPr>
          </w:p>
        </w:tc>
      </w:tr>
      <w:tr>
        <w:trPr>
          <w:trHeight w:val="86"/>
        </w:trPr>
        <w:tc>
          <w:tcPr>
            <w:tcW w:w="148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Arial" w:cs="Arial" w:eastAsia="Arial" w:hAnsi="Arial"/>
                <w:sz w:val="16"/>
                <w:szCs w:val="16"/>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439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2022-03-10T15:54:25Z</dcterms:created>
  <dcterms:modified xsi:type="dcterms:W3CDTF">2022-03-10T15:54:25Z</dcterms:modified>
</cp:coreProperties>
</file>