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4000" w:right="1400" w:hanging="2596"/>
        <w:spacing w:after="0" w:line="284" w:lineRule="auto"/>
        <w:tabs>
          <w:tab w:leader="none" w:pos="16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544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100" w:type="dxa"/>
            <w:vAlign w:val="bottom"/>
            <w:gridSpan w:val="2"/>
          </w:tcPr>
          <w:p>
            <w:pPr>
              <w:jc w:val="center"/>
              <w:ind w:right="699"/>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40" w:type="dxa"/>
            <w:vAlign w:val="bottom"/>
            <w:gridSpan w:val="2"/>
          </w:tcPr>
          <w:p>
            <w:pPr>
              <w:jc w:val="right"/>
              <w:ind w:right="1799"/>
              <w:spacing w:after="0"/>
              <w:rPr>
                <w:sz w:val="20"/>
                <w:szCs w:val="20"/>
                <w:color w:val="auto"/>
              </w:rPr>
            </w:pPr>
            <w:r>
              <w:rPr>
                <w:rFonts w:ascii="Arial" w:cs="Arial" w:eastAsia="Arial" w:hAnsi="Arial"/>
                <w:sz w:val="18"/>
                <w:szCs w:val="18"/>
                <w:b w:val="1"/>
                <w:bCs w:val="1"/>
                <w:color w:val="auto"/>
              </w:rPr>
              <w:t>83-4096323</w:t>
            </w:r>
          </w:p>
        </w:tc>
      </w:tr>
      <w:tr>
        <w:trPr>
          <w:trHeight w:val="250"/>
        </w:trPr>
        <w:tc>
          <w:tcPr>
            <w:tcW w:w="4660" w:type="dxa"/>
            <w:vAlign w:val="bottom"/>
            <w:gridSpan w:val="3"/>
          </w:tcPr>
          <w:p>
            <w:pPr>
              <w:jc w:val="center"/>
              <w:ind w:left="69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300" w:type="dxa"/>
            <w:vAlign w:val="bottom"/>
            <w:gridSpan w:val="3"/>
          </w:tcPr>
          <w:p>
            <w:pPr>
              <w:jc w:val="center"/>
              <w:ind w:right="259"/>
              <w:spacing w:after="0"/>
              <w:rPr>
                <w:sz w:val="20"/>
                <w:szCs w:val="20"/>
                <w:color w:val="auto"/>
              </w:rPr>
            </w:pPr>
            <w:r>
              <w:rPr>
                <w:rFonts w:ascii="Arial" w:cs="Arial" w:eastAsia="Arial" w:hAnsi="Arial"/>
                <w:sz w:val="16"/>
                <w:szCs w:val="16"/>
                <w:color w:val="auto"/>
                <w:w w:val="95"/>
              </w:rPr>
              <w:t>(I.R.S. Employer Identification No.)</w:t>
            </w:r>
          </w:p>
        </w:tc>
      </w:tr>
      <w:tr>
        <w:trPr>
          <w:trHeight w:val="290"/>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gridSpan w:val="3"/>
          </w:tcPr>
          <w:p>
            <w:pPr>
              <w:jc w:val="center"/>
              <w:ind w:right="859"/>
              <w:spacing w:after="0"/>
              <w:rPr>
                <w:sz w:val="20"/>
                <w:szCs w:val="20"/>
                <w:color w:val="auto"/>
              </w:rPr>
            </w:pPr>
            <w:r>
              <w:rPr>
                <w:rFonts w:ascii="Arial" w:cs="Arial" w:eastAsia="Arial" w:hAnsi="Arial"/>
                <w:sz w:val="18"/>
                <w:szCs w:val="18"/>
                <w:b w:val="1"/>
                <w:bCs w:val="1"/>
                <w:color w:val="auto"/>
                <w:w w:val="90"/>
              </w:rPr>
              <w:t>2503 S. Hanley Road</w:t>
            </w: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gridSpan w:val="3"/>
          </w:tcPr>
          <w:p>
            <w:pPr>
              <w:jc w:val="center"/>
              <w:ind w:right="839"/>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06"/>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0" w:type="dxa"/>
            <w:vAlign w:val="bottom"/>
            <w:gridSpan w:val="4"/>
          </w:tcPr>
          <w:p>
            <w:pPr>
              <w:jc w:val="center"/>
              <w:ind w:left="919"/>
              <w:spacing w:after="0"/>
              <w:rPr>
                <w:sz w:val="20"/>
                <w:szCs w:val="20"/>
                <w:color w:val="auto"/>
              </w:rPr>
            </w:pPr>
            <w:r>
              <w:rPr>
                <w:rFonts w:ascii="Arial" w:cs="Arial" w:eastAsia="Arial" w:hAnsi="Arial"/>
                <w:sz w:val="16"/>
                <w:szCs w:val="16"/>
                <w:color w:val="auto"/>
                <w:w w:val="93"/>
              </w:rPr>
              <w:t>(Address of principal executive offices) (Zip Code)</w:t>
            </w: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07"/>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(314) 644-7600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0" w:type="dxa"/>
            <w:vAlign w:val="bottom"/>
            <w:gridSpan w:val="4"/>
          </w:tcPr>
          <w:p>
            <w:pPr>
              <w:jc w:val="center"/>
              <w:ind w:left="919"/>
              <w:spacing w:after="0"/>
              <w:rPr>
                <w:sz w:val="20"/>
                <w:szCs w:val="20"/>
                <w:color w:val="auto"/>
              </w:rPr>
            </w:pPr>
            <w:r>
              <w:rPr>
                <w:rFonts w:ascii="Arial" w:cs="Arial" w:eastAsia="Arial" w:hAnsi="Arial"/>
                <w:sz w:val="16"/>
                <w:szCs w:val="16"/>
                <w:color w:val="auto"/>
                <w:w w:val="91"/>
              </w:rPr>
              <w:t>(Registrant’s telephone number, including area code)</w:t>
            </w: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97"/>
        </w:trPr>
        <w:tc>
          <w:tcPr>
            <w:tcW w:w="46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3100" w:type="dxa"/>
            <w:vAlign w:val="bottom"/>
            <w:gridSpan w:val="2"/>
          </w:tcPr>
          <w:p>
            <w:pPr>
              <w:jc w:val="center"/>
              <w:ind w:right="1859"/>
              <w:spacing w:after="0"/>
              <w:rPr>
                <w:sz w:val="20"/>
                <w:szCs w:val="20"/>
                <w:color w:val="auto"/>
              </w:rPr>
            </w:pPr>
            <w:r>
              <w:rPr>
                <w:rFonts w:ascii="Arial" w:cs="Arial" w:eastAsia="Arial" w:hAnsi="Arial"/>
                <w:sz w:val="16"/>
                <w:szCs w:val="16"/>
                <w:color w:val="auto"/>
                <w:w w:val="90"/>
              </w:rPr>
              <w:t>Title of each class</w:t>
            </w:r>
          </w:p>
        </w:tc>
        <w:tc>
          <w:tcPr>
            <w:tcW w:w="3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Trading Symbol(s)</w:t>
            </w:r>
          </w:p>
        </w:tc>
        <w:tc>
          <w:tcPr>
            <w:tcW w:w="3040" w:type="dxa"/>
            <w:vAlign w:val="bottom"/>
            <w:gridSpan w:val="2"/>
          </w:tcPr>
          <w:p>
            <w:pPr>
              <w:jc w:val="center"/>
              <w:ind w:left="95"/>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466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w w:val="90"/>
              </w:rPr>
              <w:t>Class A Common Stock, $0.01 par value</w:t>
            </w:r>
          </w:p>
        </w:tc>
        <w:tc>
          <w:tcPr>
            <w:tcW w:w="380" w:type="dxa"/>
            <w:vAlign w:val="bottom"/>
          </w:tcPr>
          <w:p>
            <w:pPr>
              <w:spacing w:after="0"/>
              <w:rPr>
                <w:sz w:val="23"/>
                <w:szCs w:val="23"/>
                <w:color w:val="auto"/>
              </w:rPr>
            </w:pPr>
          </w:p>
        </w:tc>
        <w:tc>
          <w:tcPr>
            <w:tcW w:w="2480" w:type="dxa"/>
            <w:vAlign w:val="bottom"/>
            <w:gridSpan w:val="2"/>
          </w:tcPr>
          <w:p>
            <w:pPr>
              <w:jc w:val="center"/>
              <w:ind w:right="1199"/>
              <w:spacing w:after="0"/>
              <w:rPr>
                <w:sz w:val="20"/>
                <w:szCs w:val="20"/>
                <w:color w:val="auto"/>
              </w:rPr>
            </w:pPr>
            <w:r>
              <w:rPr>
                <w:rFonts w:ascii="Arial" w:cs="Arial" w:eastAsia="Arial" w:hAnsi="Arial"/>
                <w:sz w:val="16"/>
                <w:szCs w:val="16"/>
                <w:b w:val="1"/>
                <w:bCs w:val="1"/>
                <w:color w:val="auto"/>
                <w:w w:val="95"/>
              </w:rPr>
              <w:t>BRBR</w:t>
            </w:r>
          </w:p>
        </w:tc>
        <w:tc>
          <w:tcPr>
            <w:tcW w:w="18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31"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70"/>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0"/>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 39,428,571 shares as of May 4, 2020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- 1 share as of May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95" w:lineRule="exact"/>
        <w:rPr>
          <w:sz w:val="20"/>
          <w:szCs w:val="20"/>
          <w:color w:val="auto"/>
        </w:rPr>
      </w:pPr>
    </w:p>
    <w:p>
      <w:pPr>
        <w:ind w:left="20"/>
        <w:spacing w:after="0"/>
        <w:tabs>
          <w:tab w:leader="none" w:pos="1520" w:val="left"/>
        </w:tabs>
        <w:rPr>
          <w:rFonts w:ascii="Arial" w:cs="Arial" w:eastAsia="Arial" w:hAnsi="Arial"/>
          <w:sz w:val="18"/>
          <w:szCs w:val="18"/>
          <w:b w:val="1"/>
          <w:bCs w:val="1"/>
          <w:u w:val="single" w:color="auto"/>
          <w:color w:val="0000FF"/>
        </w:rPr>
      </w:pPr>
      <w:r>
        <w:rPr>
          <w:rFonts w:ascii="Arial" w:cs="Arial" w:eastAsia="Arial" w:hAnsi="Arial"/>
          <w:sz w:val="18"/>
          <w:szCs w:val="18"/>
          <w:b w:val="1"/>
          <w:bCs w:val="1"/>
          <w:color w:val="auto"/>
        </w:rPr>
        <w:t>PART I.</w:t>
      </w:r>
      <w:r>
        <w:rPr>
          <w:sz w:val="20"/>
          <w:szCs w:val="20"/>
          <w:color w:val="auto"/>
        </w:rPr>
        <w:tab/>
      </w:r>
      <w:hyperlink w:anchor="page2">
        <w:r>
          <w:rPr>
            <w:rFonts w:ascii="Arial" w:cs="Arial" w:eastAsia="Arial" w:hAnsi="Arial"/>
            <w:sz w:val="18"/>
            <w:szCs w:val="18"/>
            <w:b w:val="1"/>
            <w:bCs w:val="1"/>
            <w:u w:val="single" w:color="auto"/>
            <w:color w:val="0000FF"/>
          </w:rPr>
          <w:t>FINANCIAL INFORMATION.</w:t>
        </w:r>
      </w:hyperlink>
    </w:p>
    <w:p>
      <w:pPr>
        <w:spacing w:after="0" w:line="31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2">
        <w:r>
          <w:rPr>
            <w:rFonts w:ascii="Arial" w:cs="Arial" w:eastAsia="Arial" w:hAnsi="Arial"/>
            <w:sz w:val="16"/>
            <w:szCs w:val="16"/>
            <w:u w:val="single" w:color="auto"/>
            <w:color w:val="0000FF"/>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154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(Unaudited)</w:t>
        </w:r>
        <w:r>
          <w:rPr>
            <w:rFonts w:ascii="Arial" w:cs="Arial" w:eastAsia="Arial" w:hAnsi="Arial"/>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Cash Flows (Unaudited)</w:t>
        </w:r>
        <w:r>
          <w:rPr>
            <w:rFonts w:ascii="Arial" w:cs="Arial" w:eastAsia="Arial" w:hAnsi="Arial"/>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9">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5">
        <w:r>
          <w:rPr>
            <w:rFonts w:ascii="Arial" w:cs="Arial" w:eastAsia="Arial" w:hAnsi="Arial"/>
            <w:sz w:val="16"/>
            <w:szCs w:val="16"/>
            <w:u w:val="single" w:color="auto"/>
            <w:color w:val="0000FF"/>
          </w:rPr>
          <w:t>Quantitative and Qualitative Disclosures About Market Risk</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26">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1520" w:val="left"/>
        </w:tabs>
        <w:rPr>
          <w:rFonts w:ascii="Arial" w:cs="Arial" w:eastAsia="Arial" w:hAnsi="Arial"/>
          <w:sz w:val="18"/>
          <w:szCs w:val="18"/>
          <w:b w:val="1"/>
          <w:bCs w:val="1"/>
          <w:u w:val="single" w:color="auto"/>
          <w:color w:val="0000FF"/>
        </w:rPr>
      </w:pPr>
      <w:r>
        <w:rPr>
          <w:rFonts w:ascii="Arial" w:cs="Arial" w:eastAsia="Arial" w:hAnsi="Arial"/>
          <w:sz w:val="18"/>
          <w:szCs w:val="18"/>
          <w:b w:val="1"/>
          <w:bCs w:val="1"/>
          <w:color w:val="auto"/>
        </w:rPr>
        <w:t>PART II.</w:t>
      </w:r>
      <w:r>
        <w:rPr>
          <w:sz w:val="20"/>
          <w:szCs w:val="20"/>
          <w:color w:val="auto"/>
        </w:rPr>
        <w:tab/>
      </w:r>
      <w:hyperlink w:anchor="page26">
        <w:r>
          <w:rPr>
            <w:rFonts w:ascii="Arial" w:cs="Arial" w:eastAsia="Arial" w:hAnsi="Arial"/>
            <w:sz w:val="18"/>
            <w:szCs w:val="18"/>
            <w:b w:val="1"/>
            <w:bCs w:val="1"/>
            <w:u w:val="single" w:color="auto"/>
            <w:color w:val="0000FF"/>
          </w:rPr>
          <w:t>OTHER INFORMATION</w:t>
        </w:r>
        <w:r>
          <w:rPr>
            <w:rFonts w:ascii="Arial" w:cs="Arial" w:eastAsia="Arial" w:hAnsi="Arial"/>
            <w:sz w:val="18"/>
            <w:szCs w:val="18"/>
            <w:b w:val="1"/>
            <w:bCs w:val="1"/>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26">
        <w:r>
          <w:rPr>
            <w:rFonts w:ascii="Arial" w:cs="Arial" w:eastAsia="Arial" w:hAnsi="Arial"/>
            <w:sz w:val="16"/>
            <w:szCs w:val="16"/>
            <w:u w:val="single" w:color="auto"/>
            <w:color w:val="0000FF"/>
          </w:rPr>
          <w:t>Legal Proceedings</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1A.</w:t>
      </w:r>
      <w:r>
        <w:rPr>
          <w:sz w:val="20"/>
          <w:szCs w:val="20"/>
          <w:color w:val="auto"/>
        </w:rPr>
        <w:tab/>
      </w:r>
      <w:hyperlink w:anchor="page27">
        <w:r>
          <w:rPr>
            <w:rFonts w:ascii="Arial" w:cs="Arial" w:eastAsia="Arial" w:hAnsi="Arial"/>
            <w:sz w:val="16"/>
            <w:szCs w:val="16"/>
            <w:u w:val="single" w:color="auto"/>
            <w:color w:val="0000FF"/>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6.</w:t>
      </w:r>
      <w:r>
        <w:rPr>
          <w:sz w:val="20"/>
          <w:szCs w:val="20"/>
          <w:color w:val="auto"/>
        </w:rPr>
        <w:tab/>
      </w:r>
      <w:hyperlink w:anchor="page27">
        <w:r>
          <w:rPr>
            <w:rFonts w:ascii="Arial" w:cs="Arial" w:eastAsia="Arial" w:hAnsi="Arial"/>
            <w:sz w:val="16"/>
            <w:szCs w:val="16"/>
            <w:u w:val="single" w:color="auto"/>
            <w:color w:val="0000FF"/>
          </w:rPr>
          <w:t>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0" w:lineRule="exact"/>
        <w:rPr>
          <w:sz w:val="20"/>
          <w:szCs w:val="20"/>
          <w:color w:val="auto"/>
        </w:rPr>
      </w:pPr>
    </w:p>
    <w:p>
      <w:pPr>
        <w:ind w:left="1540"/>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SIGNATURES</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385" w:lineRule="exact"/>
        <w:rPr>
          <w:sz w:val="20"/>
          <w:szCs w:val="20"/>
          <w:color w:val="auto"/>
        </w:rPr>
      </w:pPr>
    </w:p>
    <w:p>
      <w:pPr>
        <w:ind w:left="1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17</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p>
      <w:pPr>
        <w:spacing w:after="0" w:line="279" w:lineRule="exact"/>
        <w:rPr>
          <w:sz w:val="20"/>
          <w:szCs w:val="20"/>
          <w:color w:val="auto"/>
        </w:rPr>
      </w:pPr>
    </w:p>
    <w:p>
      <w:pPr>
        <w:ind w:left="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p>
      <w:pPr>
        <w:sectPr>
          <w:pgSz w:w="11900" w:h="16838" w:orient="portrait"/>
          <w:cols w:equalWidth="0" w:num="2">
            <w:col w:w="10020" w:space="720"/>
            <w:col w:w="360"/>
          </w:cols>
          <w:pgMar w:left="320" w:top="125" w:right="4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9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1"/>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1"/>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216.5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501.5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169.3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322.0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257.7</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59.8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73.7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73.7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w:t>
            </w: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6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9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1"/>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1"/>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Reclassifications to net earnings</w:t>
            </w: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Unrealized foreign currency translation adjustments</w:t>
            </w: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Tax benefit on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Net loss on derivatives</w:t>
            </w: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Total Other Comprehensive Loss Including 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55.4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7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2019</w:t>
            </w:r>
          </w:p>
        </w:tc>
      </w:tr>
      <w:tr>
        <w:trPr>
          <w:trHeight w:val="33"/>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68.4</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138.2</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7.4</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11.7</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296.5</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63"/>
        </w:trPr>
        <w:tc>
          <w:tcPr>
            <w:tcW w:w="37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45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594.5</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72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3720" w:type="dxa"/>
            <w:vAlign w:val="bottom"/>
          </w:tcPr>
          <w:p>
            <w:pPr>
              <w:spacing w:after="0"/>
              <w:rPr>
                <w:sz w:val="21"/>
                <w:szCs w:val="21"/>
                <w:color w:val="auto"/>
              </w:rPr>
            </w:pPr>
          </w:p>
        </w:tc>
        <w:tc>
          <w:tcPr>
            <w:tcW w:w="47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61.7</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756.4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1,661.9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(1,859.1)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of Post Holdings, Inc.</w:t>
            </w:r>
          </w:p>
        </w:tc>
        <w:tc>
          <w:tcPr>
            <w:tcW w:w="4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489.0</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4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486.4</w:t>
            </w:r>
          </w:p>
        </w:tc>
      </w:tr>
      <w:tr>
        <w:trPr>
          <w:trHeight w:val="263"/>
        </w:trPr>
        <w:tc>
          <w:tcPr>
            <w:tcW w:w="3720" w:type="dxa"/>
            <w:vAlign w:val="bottom"/>
          </w:tcPr>
          <w:p>
            <w:pPr>
              <w:ind w:left="500"/>
              <w:spacing w:after="0"/>
              <w:rPr>
                <w:sz w:val="20"/>
                <w:szCs w:val="20"/>
                <w:color w:val="auto"/>
              </w:rPr>
            </w:pPr>
            <w:r>
              <w:rPr>
                <w:rFonts w:ascii="Arial" w:cs="Arial" w:eastAsia="Arial" w:hAnsi="Arial"/>
                <w:sz w:val="18"/>
                <w:szCs w:val="18"/>
                <w:b w:val="1"/>
                <w:bCs w:val="1"/>
                <w:color w:val="auto"/>
                <w:w w:val="90"/>
              </w:rPr>
              <w:t>Total Liabilities and Stockholders’ Equity</w:t>
            </w:r>
          </w:p>
        </w:tc>
        <w:tc>
          <w:tcPr>
            <w:tcW w:w="45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594.5</w:t>
            </w:r>
          </w:p>
        </w:tc>
      </w:tr>
      <w:tr>
        <w:trPr>
          <w:trHeight w:val="20"/>
        </w:trPr>
        <w:tc>
          <w:tcPr>
            <w:tcW w:w="37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56.1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Adjustments to reconcile net earnings including redeemable noncontrolling interest to net cash flow (used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in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in 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Decrease in other assets</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Decrease in accounts payable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Increase in non-current liabilities</w:t>
            </w:r>
          </w:p>
        </w:tc>
        <w:tc>
          <w:tcPr>
            <w:tcW w:w="3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0.7</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37"/>
        </w:trPr>
        <w:tc>
          <w:tcPr>
            <w:tcW w:w="8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Additions to property</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6"/>
        </w:trPr>
        <w:tc>
          <w:tcPr>
            <w:tcW w:w="8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871.0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(1,298.7)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Distributions to Post Holdings, Inc., net</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10.9</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76.7</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3"/>
              </w:rPr>
              <w:t>As Of and For The</w:t>
            </w:r>
          </w:p>
        </w:tc>
        <w:tc>
          <w:tcPr>
            <w:tcW w:w="180" w:type="dxa"/>
            <w:vAlign w:val="bottom"/>
          </w:tcPr>
          <w:p>
            <w:pPr>
              <w:spacing w:after="0"/>
              <w:rPr>
                <w:sz w:val="17"/>
                <w:szCs w:val="17"/>
                <w:color w:val="auto"/>
              </w:rPr>
            </w:pPr>
          </w:p>
        </w:tc>
        <w:tc>
          <w:tcPr>
            <w:tcW w:w="2020" w:type="dxa"/>
            <w:vAlign w:val="bottom"/>
            <w:gridSpan w:val="4"/>
          </w:tcPr>
          <w:p>
            <w:pPr>
              <w:jc w:val="center"/>
              <w:ind w:right="90"/>
              <w:spacing w:after="0"/>
              <w:rPr>
                <w:sz w:val="20"/>
                <w:szCs w:val="20"/>
                <w:color w:val="auto"/>
              </w:rPr>
            </w:pPr>
            <w:r>
              <w:rPr>
                <w:rFonts w:ascii="Arial" w:cs="Arial" w:eastAsia="Arial" w:hAnsi="Arial"/>
                <w:sz w:val="16"/>
                <w:szCs w:val="16"/>
                <w:b w:val="1"/>
                <w:bCs w:val="1"/>
                <w:color w:val="auto"/>
                <w:w w:val="95"/>
              </w:rPr>
              <w:t>As Of and For The</w:t>
            </w:r>
          </w:p>
        </w:tc>
      </w:tr>
      <w:tr>
        <w:trPr>
          <w:trHeight w:val="203"/>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2020" w:type="dxa"/>
            <w:vAlign w:val="bottom"/>
            <w:gridSpan w:val="4"/>
          </w:tcPr>
          <w:p>
            <w:pPr>
              <w:jc w:val="center"/>
              <w:ind w:right="130"/>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left="431"/>
              <w:spacing w:after="0"/>
              <w:rPr>
                <w:sz w:val="20"/>
                <w:szCs w:val="20"/>
                <w:color w:val="auto"/>
              </w:rPr>
            </w:pPr>
            <w:r>
              <w:rPr>
                <w:rFonts w:ascii="Arial" w:cs="Arial" w:eastAsia="Arial" w:hAnsi="Arial"/>
                <w:sz w:val="16"/>
                <w:szCs w:val="16"/>
                <w:b w:val="1"/>
                <w:bCs w:val="1"/>
                <w:color w:val="auto"/>
                <w:w w:val="97"/>
              </w:rPr>
              <w:t>March 31,</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left="451"/>
              <w:spacing w:after="0"/>
              <w:rPr>
                <w:sz w:val="20"/>
                <w:szCs w:val="20"/>
                <w:color w:val="auto"/>
              </w:rPr>
            </w:pPr>
            <w:r>
              <w:rPr>
                <w:rFonts w:ascii="Arial" w:cs="Arial" w:eastAsia="Arial" w:hAnsi="Arial"/>
                <w:sz w:val="16"/>
                <w:szCs w:val="16"/>
                <w:b w:val="1"/>
                <w:bCs w:val="1"/>
                <w:color w:val="auto"/>
                <w:w w:val="97"/>
              </w:rPr>
              <w:t>March 31,</w:t>
            </w:r>
          </w:p>
        </w:tc>
        <w:tc>
          <w:tcPr>
            <w:tcW w:w="7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6"/>
                <w:szCs w:val="16"/>
                <w:b w:val="1"/>
                <w:bCs w:val="1"/>
                <w:color w:val="auto"/>
                <w:w w:val="95"/>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Non-cash 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(2,276.9)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Net earnings available to Class A Common Stockholders</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 declared to Post Holdings, Inc.</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Initial public offering</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(2,112.4)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Reclassification of net investment of Post Holdings, Inc.</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(1,859.1)</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(1,859.1)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489.0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453.1</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attributable to Post Holdings, Inc.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Initial public offering</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of net investment of Post Holdings, Inc.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Net decrease in net investment of Post Holdings, Inc.</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506.7</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hedges, net of tax</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20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6"/>
        </w:trPr>
        <w:tc>
          <w:tcPr>
            <w:tcW w:w="660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(1,863.2)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504.6</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(1,863.2)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504.6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after deducting underwriting discounts and commissions, all of which were contributed to BellRing Brands, LLC, a Delaware limited liability company and subsidiary of BellRing Inc. (“BellRing LLC”), in exchange for 39.4 million BellRing LLC non-voting membership units (the “BellRing LLC units”).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w:t>
      </w:r>
    </w:p>
    <w:p>
      <w:pPr>
        <w:spacing w:after="0" w:line="117" w:lineRule="exact"/>
        <w:rPr>
          <w:sz w:val="20"/>
          <w:szCs w:val="20"/>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BellRing LLC became the holder of the active nutrition business of Post Holdings, Inc. (“Post”), which until the completion of the IPO, had been comprised of Premier Nutrition Company, LLC (as successor to Premier Nutrition Corporation, “Premier Nutrition”), Dymatize Enterprises, LLC (“Dymatize”), Supreme Protein, LLC,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Active Nutrition International GmbH (“Active Nutrition International”).</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as a holding company, has no material assets other than its ownership of BellRing LLC units and its indirect interests in the subsidiaries of BellRing LLC and has no independent means of generating revenue or cash flow.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members of BellRing LLC are Post and BellRing Inc.</w:t>
      </w:r>
    </w:p>
    <w:p>
      <w:pPr>
        <w:spacing w:after="0" w:line="117"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Post holds 97.5 million BellRing LLC units, equal to 71.2% of the economic interest in BellRing LLC, and one share of Class B common stock of BellRing Inc., $0.01 par value per share (the “Class B Common Stock”), which, for so long as Post or its affiliates (other than the Company) directly own more than 50% of the BellRing LLC units, represents 67% of the combined voting power of the common stock of BellRing Inc. The Class B Common Stock has no dividend or other economic rights. Subject to the terms of the amended and restated limited liability company agreement (the “LLC Agreement”) of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The share of Class B Common Stock is owned by Post and cannot be transferred except to affiliates of Post and its subsidiaries (other than the Company). BellRing Inc. does not intend to list its Class B Common Stock on any stock exchange.</w:t>
      </w:r>
    </w:p>
    <w:p>
      <w:pPr>
        <w:spacing w:after="0" w:line="7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public stockholders of BellRing Inc. (i) own 39.4 million shares of Class A Common Stock, which, for so long as Post or its affiliates (other than the Company) directly own more than 50% of the BellRing LLC units, represent 33% of the combined voting power of BellRing Inc. common stock and 100% of the economic interest in BellRing Inc., and (ii) through BellRing Inc.’s ownership of BellRing LLC units, indirectly hold 28.8% of the economic interest in BellRing LLC.</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and BellRing LLC will at all times maintain, subject to certain exceptions, a one-to-one ratio between the number of shares of Class A Common Stock issued by BellRing Inc. and the number of BellRing LLC units owned by BellRing Inc.</w:t>
      </w:r>
    </w:p>
    <w:p>
      <w:pPr>
        <w:spacing w:after="0" w:line="6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member of BellRing LLC, does not have the power to appoint any members of the Board of Managers or voting rights with respect to BellRing LLC. Post controls BellRing Inc. through its ownership of the share of Class B Common Stock.</w:t>
      </w:r>
    </w:p>
    <w:p>
      <w:pPr>
        <w:spacing w:after="0" w:line="62" w:lineRule="exact"/>
        <w:rPr>
          <w:sz w:val="20"/>
          <w:szCs w:val="20"/>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results of BellRing LLC and its subsidiaries are consolidated with BellRing Inc., and effective as of October 21, 2019, 71.2% of the consolidated net earnings of BellRing LLC are allocated to the redeemable noncontrolling interest (the “NCI”) to reflect the entitlement of Post to a portion of the consolidated net earnings. Prior to October 21, 2019, 100% of the consolidated net earnings of BellRing LLC were allocated to the NCI.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unaudited condensed consolidated financial statements have been prepared in accordance with accounting principles generally accepted in the United States of America (“GAAP”), under the rules and regulations of the United States Securities and Exchange Commission (the “SEC”), and on a basis substantially consistent with the audited combined financial statements of the Company as of and for the year ended September 30, 2019. These unaudited condensed consolidated financial statements should be read in conjunction with such audited combined financial statements, which are included in the Company’s Annual Report on Form 10-K for the fiscal year ended September 30, 2019, filed with the SEC on November 22, 2019.</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 prior to the IPO, these unaudited condensed consolidated financial statements present the combined results of operations, comprehensive income, financial position, cash flows and stockholders’ equity of the active nutrition business of Post. All intercompany balances and transactions have been eliminated. Transactions between the Company and Post are included in these financial statements. See Note 4 for further information on transactions with Post.</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period prior to the IPO, these unaudited condensed consolidated financial statements included allocations of certain Post corporate expenses. These allocated expenses related to various services that were provided to the Company by Post, including, but not limited to, cash management and other treasury services, administrative services (such as tax, employee benefit administration, risk management, internal audit, accounting and human resources) and stock-based compensation plan administration. See Note 4 for further information on services that Post continues to provide to the Company.</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three and six months ended March 31, 2020, $14.4 and $40.2 of the consolidated net earnings of BellRing LLC were allocated to the NCI, respectively, of which zero and $5.5 reflects the entitlement of Post to 100% of the consolidated net earnings of BellRing LLC prior to the IPO, respectively, and $14.4 and $34.7 reflects the entitlement of Post to 71.2% of the consolidated net earnings of BellRing LLC subsequent to the IPO, respectively. For the three and six months ended March 31, 2019, $31.0 and $56.1 of the consolidated net earnings of BellRing LLC were allocated to the NCI, respectively, to reflect the entitlement of Post to 100% of the consolidated net earnings of BellRing LLC prior to the IPO.</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Accounting Standards Update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 that reference LIBOR.</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provides guidance on the measurement of credit losses for most financial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certain other instruments. This ASU replaces the current incurred loss impairment approach with a methodology to reflect expected credit losses and requires consideration of a broader range of reasonable and supportable information to explain credit loss estimates.This ASU is effective for annual periods beginning after December 15, 2019 and interim periods therein (i.e., BellRing’s financial statements for the year ending September 30, 2021), with early adoption permitted. The Company is currently evaluating the timing and impact of adopting this ASU.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February 2016, the FASB issued ASU 2016-02, “Leases (Topic 842).” This ASU requires a company to recognize right-of-use (“ROU”)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 Company adopted these ASUs on October 1, 2019, and utilized the cumulative effect adjustment approach. At adoption, the Company recognized ROU assets and lease liabilities of $14.8 and $16.0, respectively, on the condensed consolidated balance sheet at October 1, 2019. The new standard did not materially impact the statements of operations or cash flows. In addition, the Company provides expanded disclosures related to its leasing arrangements in accordance with these ASUs. For additional information, refer to Note 12.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 for the three and six months ended March 31,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411.2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302.3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62.1</w:t>
            </w: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5.1</w:t>
            </w:r>
          </w:p>
        </w:tc>
      </w:tr>
      <w:tr>
        <w:trPr>
          <w:trHeight w:val="27"/>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257.5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216.5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501.5</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402.3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IPO, the Company used certain functions and services performed by Post. These functions and services included legal, finance, internal audit, treasury, information technology support, insurance and tax matters, the use of office and/or data center space; payroll processing services; and tax compliance services. Costs for these functions and services performed by Post were allocated to the Company based on a reasonable activity base (including specific costs, revenue, net assets and headcount, or a combination of such items) or another reasonable method. For the three and six months ended March 31, 2019, allocated costs were $3.2 and $5.5, respectively, including $1.7 and $2.9, respectively, of costs related to the separation from Post. Allocated costs were included in “Selling, general and administrative expenses” in the Condensed Consolidated Statements of Operations. Costs related to the separation from Post were $0.3 and $1.8 for the three and six months ended March 31, 2020, respectively.</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completion of the IPO, Post continues to provide these services and other services to the Company under a master services agreement (“MSA”). In addition to charges for these services, the Company also incurs certain pass-through charges from Post, primarily relating to stock-based compensation for employees participating in Post’s stock-based compensation plans. MSA fees for the three and six months ended March 31, 2020 were $0.5 and $1.0, respectively, and stock-based compensation expense related to Post’s stock-based compensation plans for the three and six months ended March 31, 2020 were $0.8 and $1.9, respectively. MSA fees and stock-based compensation expense were reported in “Selling, general and administrative expenses” in the Condensed Consolidated Statements of Operations.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sells certain products to Post and its subsidiaries. For the periods prior to the IPO, the amounts related to these transactions were included in the accompanying financial statements based upon transfer prices in effect at the time of the individual transactions. For the periods subsequent to the IPO, these transactions were based upon pricing governed by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agreements between the Company and Post and its subsidiaries. These transactions were consistent with prices of similar arm's-length transactions during all periods. During each of the three and six months ended March 31, 2020 and 2019, net sales to, purchases from and royalties paid to Post and its subsidiaries were immaterial.</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IPO, the Company entered into a series of agreements with Post which govern the ongoing relationship between the Company and Post. These agreements included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receivables and payables with Post of $0.1 and $1.7, respectively, at March 31, 2020, related to MSA fees and pass-through charges owed by the Company to Post, as well as related party sales and purchases. The receivables and payables were included in “Receivables, net” and “Accounts payable,” respectively, on the Condensed Consolidated Balance Sheet. The Company also had a payable to Post of $5.3 at March 31, 2020 related to the quarterly tax distribution from BellRing LLC to Post pursuant to the terms of the LLC Agreement. This amount was included in “Other current liabilities” on the Condensed Consolidated Balance Sheet. During the three and six months ended March 31, 2020, BellRing LLC paid $6.4 to Post for the quarterly tax distribution.</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were $10.9 at March 31, 2020, and were recorded in “Other liabilities” on the Condensed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Post holds 97.5 million BellRing LLC units, equal to 71.2% of the economic interest in BellRing LLC, and may redeem BellRing LLC units for, at BellRing LLC’s option (as determined by its Board of Managers), (i) one share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Post’s ownership of BellRing LLC units represents an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(“OCI”) or loss and distributions or dividends or (ii) the redemption value. As of March 31, 2020, the carrying amount of the NCI was recorded at its redemption value of $1,661.9. Changes in the redemption value of the NCI are recorded to additional paid-in capital, to the extent available, and “Accumulated deficit” on the Condensed Consolidated Balance Sheet.</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BellRing Inc. owned 28.8% of the outstanding BellRing LLC units. The financial results of BellRing LLC and its subsidiaries were consolidated with BellRing Inc., and 71.2% of the consolidated net earnings of BellRing LLC were allocated to the NCI to reflect the entitlement of Post to a portion of the consolidated net earnings.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ended March 31, 2020 represents the period beginning October 21, 2019, the effective date of the IPO, and ending March 31, 2020 (see Note 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7"/>
                <w:szCs w:val="17"/>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Period Ended</w:t>
            </w: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March 31, 2020</w:t>
            </w:r>
          </w:p>
        </w:tc>
        <w:tc>
          <w:tcPr>
            <w:tcW w:w="16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2020</w:t>
            </w:r>
          </w:p>
        </w:tc>
      </w:tr>
      <w:tr>
        <w:trPr>
          <w:trHeight w:val="33"/>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Net earnings attributable to NCI after IPO</w:t>
            </w:r>
          </w:p>
        </w:tc>
        <w:tc>
          <w:tcPr>
            <w:tcW w:w="1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34.7</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hedges,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IPO</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1,364.6</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Redemption value adjustment to NCI</w:t>
            </w:r>
          </w:p>
        </w:tc>
        <w:tc>
          <w:tcPr>
            <w:tcW w:w="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270.3</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1,661.9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effects of changes in ownership in BellRing LLC on BellRing Inc.’s equity. The period ended March 31, 2020 represents the period beginning October 21, 2019, the effective date of the IPO, and ending March 31, 2020 (see Note 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Arial" w:cs="Arial" w:eastAsia="Arial" w:hAnsi="Arial"/>
                <w:sz w:val="16"/>
                <w:szCs w:val="16"/>
                <w:b w:val="1"/>
                <w:bCs w:val="1"/>
                <w:color w:val="auto"/>
              </w:rPr>
              <w:t>Period Ended</w:t>
            </w:r>
          </w:p>
        </w:tc>
      </w:tr>
      <w:tr>
        <w:trPr>
          <w:trHeight w:val="210"/>
        </w:trPr>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2020</w:t>
            </w:r>
          </w:p>
        </w:tc>
        <w:tc>
          <w:tcPr>
            <w:tcW w:w="14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6"/>
                <w:szCs w:val="16"/>
                <w:b w:val="1"/>
                <w:bCs w:val="1"/>
                <w:color w:val="auto"/>
                <w:w w:val="96"/>
              </w:rPr>
              <w:t>March 31, 2020</w:t>
            </w:r>
          </w:p>
        </w:tc>
      </w:tr>
      <w:tr>
        <w:trPr>
          <w:trHeight w:val="33"/>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Transfers to NCI:</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IPO</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1,364.6</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Redemption value adjustment to NCI</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270.3</w:t>
            </w:r>
          </w:p>
        </w:tc>
      </w:tr>
      <w:tr>
        <w:trPr>
          <w:trHeight w:val="27"/>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(415.3)</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1,645.1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 holds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effective income tax rate was 10.6% and 13.8% during the three and six months ended March 31, 2020, respectively, and 24.0% and 23.9% during the three and six months ended March 31, 2019, respectively. The decreases in the effective income tax rate compared to each of the prior year periods were primarily due to the Company taking into account for U.S. federal, state and local income tax purposes its 28.8% distributive share of the items of income, gain, loss and deduction of BellRing LLC in the periods subsequent to the IPO as a result of the formation transactions. Prior to the IPO and formation transactions, the Company reported 100% of the income, gain, loss and deduction of BellRing LLC.</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Accounting Standards Codification (“ASC”) Topic 740, “Income Taxes,” the Company records income tax expense (benefit) for interim periods using the estimated annual effective income tax rate for the full fiscal year adjusted for the impact of discrete items occurring during the interim periods.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Based on the Company’s review of the CARES Act provisions, it has determined that there were no significant tax impact during the three and six months ended March 31, 2019, respectively, and any tax impacts to the Company have been accounted for.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the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The period ended March 31, 2020 represents the period beginning October 21, 2019, the effective date of the IPO, and ending March 31, 2020 (see Note 1). There were no shares of Class A Common Stock outstanding during the three or six months ended March 31, 2019, and as such, no computation of basic and diluted earnings per share has been provided.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60" w:type="dxa"/>
            <w:vAlign w:val="bottom"/>
          </w:tcPr>
          <w:p>
            <w:pPr>
              <w:spacing w:after="0"/>
              <w:rPr>
                <w:sz w:val="17"/>
                <w:szCs w:val="17"/>
                <w:color w:val="auto"/>
              </w:rPr>
            </w:pPr>
          </w:p>
        </w:tc>
        <w:tc>
          <w:tcPr>
            <w:tcW w:w="1280" w:type="dxa"/>
            <w:vAlign w:val="bottom"/>
          </w:tcPr>
          <w:p>
            <w:pPr>
              <w:jc w:val="right"/>
              <w:ind w:right="152"/>
              <w:spacing w:after="0"/>
              <w:rPr>
                <w:sz w:val="20"/>
                <w:szCs w:val="20"/>
                <w:color w:val="auto"/>
              </w:rPr>
            </w:pPr>
            <w:r>
              <w:rPr>
                <w:rFonts w:ascii="Arial" w:cs="Arial" w:eastAsia="Arial" w:hAnsi="Arial"/>
                <w:sz w:val="16"/>
                <w:szCs w:val="16"/>
                <w:b w:val="1"/>
                <w:bCs w:val="1"/>
                <w:color w:val="auto"/>
                <w:w w:val="98"/>
              </w:rPr>
              <w:t>Period Ended</w:t>
            </w:r>
          </w:p>
        </w:tc>
      </w:tr>
      <w:tr>
        <w:trPr>
          <w:trHeight w:val="210"/>
        </w:trPr>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33"/>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14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r>
      <w:tr>
        <w:trPr>
          <w:trHeight w:val="270"/>
        </w:trPr>
        <w:tc>
          <w:tcPr>
            <w:tcW w:w="8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earnings per share (in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Total dilutive restricted stock units (in millions)</w:t>
            </w:r>
          </w:p>
        </w:tc>
        <w:tc>
          <w:tcPr>
            <w:tcW w:w="1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 (in millions)</w:t>
            </w: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40" w:type="dxa"/>
            <w:vAlign w:val="bottom"/>
          </w:tcPr>
          <w:p>
            <w:pPr>
              <w:ind w:left="20"/>
              <w:spacing w:after="0"/>
              <w:rPr>
                <w:sz w:val="20"/>
                <w:szCs w:val="20"/>
                <w:color w:val="auto"/>
              </w:rPr>
            </w:pPr>
            <w:r>
              <w:rPr>
                <w:rFonts w:ascii="Arial" w:cs="Arial" w:eastAsia="Arial" w:hAnsi="Arial"/>
                <w:sz w:val="18"/>
                <w:szCs w:val="18"/>
                <w:color w:val="auto"/>
              </w:rPr>
              <w:t>Diluted earnings per share of Class A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0.26</w:t>
            </w:r>
          </w:p>
        </w:tc>
      </w:tr>
      <w:tr>
        <w:trPr>
          <w:trHeight w:val="21"/>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excluded 0.1 million equity awards for both the three months ended March 31, 2020 and the period ended March 31, 2020, respectively, as they were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64"/>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NET</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March 31, 2020 and September 30, 2019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20"/>
        <w:spacing w:after="0"/>
        <w:rPr>
          <w:sz w:val="20"/>
          <w:szCs w:val="20"/>
          <w:color w:val="auto"/>
        </w:rPr>
      </w:pPr>
      <w:r>
        <w:rPr>
          <w:rFonts w:ascii="Arial" w:cs="Arial" w:eastAsia="Arial" w:hAnsi="Arial"/>
          <w:sz w:val="17"/>
          <w:szCs w:val="17"/>
          <w:b w:val="1"/>
          <w:bCs w:val="1"/>
          <w:color w:val="auto"/>
        </w:rPr>
        <w:t>NOTE 11 — INTANGIBLE ASSETS, NET</w:t>
      </w:r>
    </w:p>
    <w:p>
      <w:pPr>
        <w:spacing w:after="0" w:line="133" w:lineRule="exact"/>
        <w:rPr>
          <w:sz w:val="20"/>
          <w:szCs w:val="20"/>
          <w:color w:val="auto"/>
        </w:rPr>
      </w:pPr>
    </w:p>
    <w:p>
      <w:pPr>
        <w:jc w:val="center"/>
        <w:ind w:right="7880"/>
        <w:spacing w:after="0"/>
        <w:rPr>
          <w:sz w:val="20"/>
          <w:szCs w:val="20"/>
          <w:color w:val="auto"/>
        </w:rPr>
      </w:pPr>
      <w:r>
        <w:rPr>
          <w:rFonts w:ascii="Arial" w:cs="Arial" w:eastAsia="Arial" w:hAnsi="Arial"/>
          <w:sz w:val="18"/>
          <w:szCs w:val="18"/>
          <w:color w:val="auto"/>
        </w:rPr>
        <w:t>Total intangible assets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 2019</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8"/>
                <w:szCs w:val="18"/>
                <w:color w:val="auto"/>
              </w:rPr>
            </w:pPr>
          </w:p>
        </w:tc>
        <w:tc>
          <w:tcPr>
            <w:tcW w:w="1080" w:type="dxa"/>
            <w:vAlign w:val="bottom"/>
          </w:tcPr>
          <w:p>
            <w:pPr>
              <w:jc w:val="right"/>
              <w:ind w:right="253"/>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Net</w:t>
            </w:r>
          </w:p>
        </w:tc>
      </w:t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80" w:type="dxa"/>
            <w:vAlign w:val="bottom"/>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r>
      <w:tr>
        <w:trPr>
          <w:trHeight w:val="33"/>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209.4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209.4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143.9</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152.6</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285.4</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296.5</w:t>
            </w:r>
          </w:p>
        </w:tc>
      </w:tr>
      <w:tr>
        <w:trPr>
          <w:trHeight w:val="21"/>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adoption of ASUs 2016-02 and 2018-11 (see Note 2), the Company updated its policy for recognizing leases under ASC Topic</w:t>
      </w:r>
    </w:p>
    <w:p>
      <w:pPr>
        <w:spacing w:after="0" w:line="46" w:lineRule="exact"/>
        <w:rPr>
          <w:sz w:val="20"/>
          <w:szCs w:val="20"/>
          <w:color w:val="auto"/>
        </w:rPr>
      </w:pPr>
    </w:p>
    <w:p>
      <w:pPr>
        <w:jc w:val="both"/>
        <w:ind w:firstLine="8"/>
        <w:spacing w:after="0" w:line="255"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assessed the impact of these ASUs by reviewing its lease portfolio, implementing lease accounting software, developing related business processes and implementing internal controls. A summary of the updated policy is included below. Prior to October 1, 2019, the Company accounted for leases under ASC Topic 840, “Leases.”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Portfolio</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7 years and most leases provide the Company with the option to exercise one or more renewal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Policy</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most of the Company’s lease arrangements do not provide an implicit interest rate, an incremental borrowing rate (“IBR”) is applied in determining the present value of future payments. The Company’s IBR is selected based upon information available at the lease commencement date.</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Condensed Consolidated Balance Sheet. Operating lease expense is recognized on a straight-line basis over the lease term and is included in “Selling, general and administrative expenses” in the Condensed Consolidated Statements of Operations. Costs associated with finance leases and lease income do not have a material impact on the Company’s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Adoption</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utilized the cumulative effect adjustment method of adoption and, accordingly, recorded ROU assets and lease liabilities of $14.8 and $16.0, respectively, on the balance sheet at October 1, 2019. The Company elected the following practical expedients in accordance with ASC Topic 842:</w:t>
      </w:r>
    </w:p>
    <w:p>
      <w:pPr>
        <w:spacing w:after="0" w:line="16"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Reassessment elections </w:t>
      </w:r>
      <w:r>
        <w:rPr>
          <w:rFonts w:ascii="Arial" w:cs="Arial" w:eastAsia="Arial" w:hAnsi="Arial"/>
          <w:sz w:val="18"/>
          <w:szCs w:val="18"/>
          <w:color w:val="auto"/>
        </w:rPr>
        <w:t>— The Company elected the package of practical expedients and did not reassess whether any existing contracts are or</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a lease, provided a lease analysis was conducted under ASC Topic 840. To the extent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76" w:lineRule="exact"/>
        <w:rPr>
          <w:sz w:val="20"/>
          <w:szCs w:val="20"/>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Short-term lease election </w:t>
      </w:r>
      <w:r>
        <w:rPr>
          <w:rFonts w:ascii="Arial" w:cs="Arial" w:eastAsia="Arial" w:hAnsi="Arial"/>
          <w:sz w:val="18"/>
          <w:szCs w:val="18"/>
          <w:color w:val="auto"/>
        </w:rPr>
        <w:t>— ASC Topic 842 allows lessees an option to not recognize ROU assets and lease liabilities arising from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Lease vs non-lease components </w:t>
      </w:r>
      <w:r>
        <w:rPr>
          <w:rFonts w:ascii="Arial" w:cs="Arial" w:eastAsia="Arial" w:hAnsi="Arial"/>
          <w:sz w:val="18"/>
          <w:szCs w:val="18"/>
          <w:color w:val="auto"/>
        </w:rPr>
        <w:t>— The Company elected to combine lease and non-lease components as a single component 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arrangements was accounted for as a lease.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 as of March 31, 2020.</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7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13.4</w:t>
            </w:r>
          </w:p>
        </w:tc>
      </w:tr>
      <w:tr>
        <w:trPr>
          <w:trHeight w:val="27"/>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w:t>
            </w: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12.0</w:t>
            </w:r>
          </w:p>
        </w:tc>
      </w:tr>
      <w:tr>
        <w:trPr>
          <w:trHeight w:val="27"/>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maturities of the Company’s operating lease liabilities as of March 31, 2020, presented under ASC Topic 842.</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Fiscal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2.8</w:t>
            </w:r>
          </w:p>
        </w:tc>
      </w:tr>
      <w:tr>
        <w:trPr>
          <w:trHeight w:val="27"/>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2.5</w:t>
            </w:r>
          </w:p>
        </w:tc>
      </w:tr>
      <w:tr>
        <w:trPr>
          <w:trHeight w:val="27"/>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7"/>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Less: Implied interest</w:t>
            </w: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future minimum rental payments under the Company’s noncancellable operating leases as of September 30, 2019, presented under ASC Topic 840.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7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r>
      <w:tr>
        <w:trPr>
          <w:trHeight w:val="33"/>
        </w:trPr>
        <w:tc>
          <w:tcPr>
            <w:tcW w:w="97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5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
        </w:trPr>
        <w:tc>
          <w:tcPr>
            <w:tcW w:w="9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5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
        </w:trPr>
        <w:tc>
          <w:tcPr>
            <w:tcW w:w="9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7"/>
        </w:trPr>
        <w:tc>
          <w:tcPr>
            <w:tcW w:w="97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reported under ASC Topic 842, operating lease expense for the three and six months ended March 31, 2020 was $0.9 and $2.0, respectively, which included immaterial variable lease costs and short-term lease costs in both periods. As reported under ASC Topic 840, rent expense for the three and six months ended March 31, 2019 was $0.9 and $1.6, respectively. Operating cash flows for amounts included in the measurement of the Company’s operating lease liabilities for the six months ended March 31, 2020 were $1.8. ROU assets obtained in exchange for operating lease liabilities during the six months ended March 31, 2020 were immaterial. The weighted average remaining lease term of the Company’s operating leases as of March 31, 2020 was approximately 6 years and the weighted average incremental borrowing rate was 4.2% as of March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2020, the Company had pay-fixed, receive-variable interest rate swaps maturing in December 2022 that require monthly settlements which began on January 31, 2020 and are used as cash flow hedges of forecasted interest payments on its variable rate debt (see Note 15). The interest rate swaps are designated as hedging instruments under ASC Topic 815. At March 31, 2020, the notional amount of interest rate swaps held by the Company was $350.0. No derivative instruments were held by the Company at September 30, 2019.</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along with the portion designated as hedging instruments under ASC Topic 815, as of March 31, 2020. The Company does not offset derivative assets and liabilities within the Condensed Consolidated Balance Sheet.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Portion Designated as</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80" w:type="dxa"/>
            <w:vAlign w:val="bottom"/>
          </w:tcPr>
          <w:p>
            <w:pPr>
              <w:spacing w:after="0"/>
              <w:rPr>
                <w:sz w:val="18"/>
                <w:szCs w:val="18"/>
                <w:color w:val="auto"/>
              </w:rPr>
            </w:pPr>
          </w:p>
        </w:tc>
        <w:tc>
          <w:tcPr>
            <w:tcW w:w="1800" w:type="dxa"/>
            <w:vAlign w:val="bottom"/>
            <w:gridSpan w:val="2"/>
          </w:tcPr>
          <w:p>
            <w:pPr>
              <w:ind w:lef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860" w:type="dxa"/>
            <w:vAlign w:val="bottom"/>
          </w:tcPr>
          <w:p>
            <w:pPr>
              <w:jc w:val="right"/>
              <w:ind w:right="234"/>
              <w:spacing w:after="0"/>
              <w:rPr>
                <w:sz w:val="20"/>
                <w:szCs w:val="20"/>
                <w:color w:val="auto"/>
              </w:rPr>
            </w:pPr>
            <w:r>
              <w:rPr>
                <w:rFonts w:ascii="Arial" w:cs="Arial" w:eastAsia="Arial" w:hAnsi="Arial"/>
                <w:sz w:val="16"/>
                <w:szCs w:val="16"/>
                <w:b w:val="1"/>
                <w:bCs w:val="1"/>
                <w:color w:val="auto"/>
              </w:rPr>
              <w:t>Hedging Instrument</w:t>
            </w:r>
          </w:p>
        </w:tc>
      </w:tr>
      <w:tr>
        <w:trPr>
          <w:trHeight w:val="3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74"/>
              <w:spacing w:after="0"/>
              <w:rPr>
                <w:sz w:val="20"/>
                <w:szCs w:val="20"/>
                <w:color w:val="auto"/>
              </w:rPr>
            </w:pPr>
            <w:r>
              <w:rPr>
                <w:rFonts w:ascii="Arial" w:cs="Arial" w:eastAsia="Arial" w:hAnsi="Arial"/>
                <w:sz w:val="18"/>
                <w:szCs w:val="18"/>
                <w:color w:val="auto"/>
              </w:rPr>
              <w:t>6.8</w:t>
            </w:r>
          </w:p>
        </w:tc>
      </w:tr>
      <w:tr>
        <w:trPr>
          <w:trHeight w:val="27"/>
        </w:trPr>
        <w:tc>
          <w:tcPr>
            <w:tcW w:w="6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9"/>
        </w:trPr>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other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2020, accumulated OCI included a $10.6 net hedging loss before taxes ($9.8 after taxes). During the three and six months ended March 31, 2020, net hedging losses of $11.0 and $10.4 were recognized in OCI, respectively, and net hedging gains of $0.2 were reclassified from accumulated OCI to “Interest expense, net” in the Condensed Consolidated Statements of Operations. Approximately $3.8 of the net hedging loss reported in accumulated OCI at March 31, 2020 is expected to be reclassified into earnings within the next 12 months. The reclassification will occur on a straight-line basis over the term of the related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liabilities and NCI measured at fair value on a recurring basis and the basis for that measurement according to the levels in the fair value hierarchy in ASC Topic 820.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 2020</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Level 2</w:t>
            </w:r>
          </w:p>
        </w:tc>
      </w:tr>
      <w:tr>
        <w:trPr>
          <w:trHeight w:val="3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1,661.9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1,661.9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There were no such derivative liabilities as of September 30, 2019. The fair value of the NCI is calculated as its redemption value based on the stock price and number of BellRing LLC units owned by Post as of March 31, 2020 (see Note 5). The Company did not have an NCI as of September 30, 2019.</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outstanding borrowings under the Revolving Credit Facility (as defined in Note 15) as of March 31, 2020 approximated 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carrying value. Based on current market rates, the fair value (Level 2) of the Term B Facility (as defined in Note 15) was $625.8 as of March 31, 2020. The Company did not have short-term or long-term debt as of September 30,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LONG-TERM DEBT</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“Long-term debt” on the Condensed Consolidated Balance Sheet at March 31, 2020 are presented in the following table. No long-term debt was held by the Company at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33"/>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691.3</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120.0</w:t>
            </w:r>
          </w:p>
        </w:tc>
      </w:tr>
      <w:tr>
        <w:trPr>
          <w:trHeight w:val="27"/>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811.3</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9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Debt issuance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9800" w:type="dxa"/>
            <w:vAlign w:val="bottom"/>
          </w:tcPr>
          <w:p>
            <w:pPr>
              <w:ind w:left="440"/>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Bridge Loan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Bridge Facility Agreement (the “Bridge Loan Facility”) and borrowed $1,225.0 under the Bridge Loan Facility (the “Bridge Loan”). Certain of Post’s domestic subsidiaries (other than BellRing Inc. but including BellRing LLC and its domestic subsidiaries) guaranteed the Bridge Loan.</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LLC entered into a Borrower Assignment and Assumption Agreement with Post and the administrative agent under the Bridge Loan Facility, under which (i) BellRing LLC became the borrower under the Bridge Loan and assumed all interest of $2.2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the assets (other than real estate) of BellRing LLC and in substantially all of the assets of its subsidiary guarantors. BellRing LLC did not receive any of the proceeds of the Bridge Loan. On October 21, 2019, the Bridge Loan was repaid in full. See below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borrowed the full amount under the Term B Facility and $100.0 under the Revolving Credit Facility. The Term B Facility was issued at 98.0% of par and BellRing LLC received $776.4 from the Term B Facility and Revolving Credit Facility after accounting for the original issue discount of $14.0 and paying investment banking and other fees of $9.6, which were deferred and will be amortized to interest expense over the terms of the loans. BellRing LLC used the proceeds, together with the net proceeds of the IPO that were contributed to it by BellRing Inc.,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$20.0 of outstanding borrowings under the Revolving Credit Facility.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six months ended March 31, 2020, BellRing LLC borrowed $65.0 and $185.0 under the Revolving Credit Facility, respectively, and repaid $25.0 and $65.0 on the Revolving Credit Facility, respectively. As of March 31, 2020, the available borrowing capacity under the Revolving Credit Facility was $80.0, and there were no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Borrowings under the Term B Facility bear interest, at the option of BellRing LLC, at an annual rate equal to either (a) the Eurodollar rate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The Term B Facility requires quarterly scheduled amortization payments of $8.75 which began on March 31, 2020, with the balance to be paid at maturity on October 21, 2024. The Term B Facility contains customary mandatory prepayment provisions, including provisions for mandatory prepayment (a) from the net cash proceeds of certain asset sales and (b) beginning with the fiscal year ending September 30, 2020, of 75% of consolidated excess cash flow (which percentage will be reduced to 50% if the secured net leverage ratio is less than or equal to 3.35:1.00 as of a fiscal year end). The Term B Facility may be optionally prepaid at 101% of the principal amount prepaid at any time during the first 12 months following the closing of the Term B Facility, and without premium or penalty thereafter.</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Borrowings under the Revolving Credit Facility bear interest, at the option of BellRing LLC, at an annual rate equal to either the Eurodollar rate or the base rate (determined as described above) plus a margin, which initially were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were initially accrued at the rate of 0.50% per annum and thereafter, depending on BellRing LLC’s secured net leverage ratio, will accrue at rates ranging from 0.25% to 0.50% per annum.</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not to exceed 6.00 to 1.00, measured as of the last day of each fiscal quarter. The total net leverage ratio of BellRing LLC did not exceed this threshold as of March 31, 2020.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BellRing LLC’s assets and the assets of its subsidiary guarantors, but excluding, in each case, real property (subject to limited exceptions).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appealed and is pending before the U.S. Court of Appeals for the Ninth Circuit. The other ten complaints remain pending in the U.S. District Court for the Northern District of California, and the court has certified individual state classes in each of those cases.</w:t>
      </w:r>
    </w:p>
    <w:p>
      <w:pPr>
        <w:spacing w:after="0" w:line="7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or six months ended March 31, 2020 or 2019. At both March 31, 2020 and September 30, 2019,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21, 2019, 50.0 million shares of preferred stock were authorized pursuant to BellRing Inc.’s Amended and Restated Certificate of Incorporation. There were no shares of BellRing Inc.’s preferred stock issued or outstanding as of March 31, 2020.</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on October 21, 2019, 500.0 million shares of Class A Common Stock and one share of Class B Common Stock were authorized pursuant to BellRing Inc.’s Amended and Restated Certificate of Incorporation. The share of Class B Common Stock was issued to Post in exchange for 1,000 shares of BellRing Inc.’s common stock, par value $0.01 per share, initially issued to Post in connection with BellRing Inc.’s incorporation. These common shares were outstanding as of September 30, 2019 and were cancelled on October 21, 2019 as part of the exchange. BellRing Inc. initially issued 39.4 million shares of Class A Common Stock on October 21, 2019 in connection with the IPO, which were also outstanding as of March 31, 2020. One share of Class B Common Stock was issued and outstanding as of March 31,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Annual Report on Form 10-K for the fiscal year ended September 30, 2019 and the “Cautionary Statement on Forward-Looking Statements” section included below. The terms “our,” “we,” “us,” “Company” and “BellRing” as used herein refer to BellRing Brands, Inc. and its consolidated subsidiaries.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We are a consumer products holding company operating in the global convenient nutrition category and a provider of ready-to-drink (“RTD”) protein shakes, other RTD beverages, powders, nutrition bars and nutritional supplements. Our primary brands are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a result of the IPO and certain other transactions completed in connection with the IPO (the “formation transactions”), BellRing Inc. became the holder of the historical active nutrition business of Post Holdings, Inc. (“Post”), which until the completion of the IPO, had been comprised of Premier Nutrition Company, LLC (the successor of Premier Nutrition Corporation), Dymatize Enterprises, LLC, Supreme Protein, LLC,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Active Nutrition International GmbH. As a holding company, BellRing Inc.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2020, BellRing Inc. owned 28.8% of the outstanding BellRing LLC units. The financial results of BellRing LLC and its subsidiaries were consolidated with BellRing Inc., and effective as of October 21, 2019, 71.2% of the consolidated net earnings of BellRing LLC were allocated to the redeemable noncontrolling interest (the “NCI”) to reflect the entitlement of Post to a portion of the consolidated net earnings.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COVID-19 pandemic has created global economic disruption and uncertainty, including in our business. We are closely monitoring the impact of the COVID-19 pandemic and are taking necessary actions to ensure our ability to safeguard the health of our employees, maintain the continuity of our supply chain to serve customers and manage our financial performance and liquidity. Examples of actions we have taken in response to the pandemic include enhancing facility safety measures, working closely with public health officials to follow additional health and safety guidelines and drawing an additional $65.0 million of our revolving credit facility to further enhance liquidity.</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Since the effects of the COVID-19 pandemic, including the actions of public health and other governmental officials in response to the pandemic, began to impact the category in which we operate, our products sold through the food, drug and mass (“FDM”), club and eCommerce channels generally experienced an increase in sales driven by consumer pantry loading during March. However, there is no guarantee that such increase in sales will continue or be realized. Other actions in response to the pandemic, such as store closures and domestic and international governmental “stay at home” orders , have negatively impacted sales for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sold in specialty channels. For additional discussion, refer to “Liquidity and Capital Resources” and “Cautionary Statement on Forward-Looking Statements,” within this section, as well as “Risk Factors” in Part II of this report.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2019, we adopted Accounting Standards Update (“ASU”) 2016-02, “Leases (Topic 842),” and ASU 2018-11, “Leases (Topic 842): Targeted Improvements.” At adoption, we recognized right-of-use assets and lease liabilities of $14.8 million and $16.0 million, respectively, on the balance sheet at October 1, 2019. For additional information regarding the ASUs, refer to Notes 2 and 12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ind w:left="20"/>
              <w:spacing w:after="0"/>
              <w:rPr>
                <w:sz w:val="20"/>
                <w:szCs w:val="20"/>
                <w:color w:val="auto"/>
              </w:rPr>
            </w:pPr>
            <w:r>
              <w:rPr>
                <w:rFonts w:ascii="Arial" w:cs="Arial" w:eastAsia="Arial" w:hAnsi="Arial"/>
                <w:sz w:val="16"/>
                <w:szCs w:val="16"/>
                <w:b w:val="1"/>
                <w:bCs w:val="1"/>
                <w:color w:val="auto"/>
                <w:w w:val="95"/>
              </w:rPr>
              <w:t>Three Months Ended March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3"/>
              </w:rPr>
              <w:t>Six Months Ended March 31,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favorable/(unfavorable)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favorable/(unfavorable)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3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257.5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216.5</w:t>
            </w: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501.5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402.3</w:t>
            </w: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99.2</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23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3"/>
                <w:szCs w:val="23"/>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2320" w:type="dxa"/>
            <w:vAlign w:val="bottom"/>
          </w:tcPr>
          <w:p>
            <w:pPr>
              <w:ind w:left="120"/>
              <w:spacing w:after="0"/>
              <w:rPr>
                <w:sz w:val="20"/>
                <w:szCs w:val="20"/>
                <w:color w:val="auto"/>
              </w:rPr>
            </w:pPr>
            <w:r>
              <w:rPr>
                <w:rFonts w:ascii="Arial" w:cs="Arial" w:eastAsia="Arial" w:hAnsi="Arial"/>
                <w:sz w:val="18"/>
                <w:szCs w:val="18"/>
                <w:color w:val="auto"/>
              </w:rPr>
              <w:t>Less: Net earnings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20"/>
              <w:spacing w:after="0"/>
              <w:rPr>
                <w:sz w:val="20"/>
                <w:szCs w:val="20"/>
                <w:color w:val="auto"/>
              </w:rPr>
            </w:pPr>
            <w:r>
              <w:rPr>
                <w:rFonts w:ascii="Arial" w:cs="Arial" w:eastAsia="Arial" w:hAnsi="Arial"/>
                <w:sz w:val="18"/>
                <w:szCs w:val="18"/>
                <w:color w:val="auto"/>
              </w:rPr>
              <w:t>attributable to NCI</w:t>
            </w:r>
          </w:p>
        </w:tc>
        <w:tc>
          <w:tcPr>
            <w:tcW w:w="20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Earnings Available to</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A Common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84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Net sales increased $41.0 million, or 19%, during the three months ended March 31, 2020, compared to the corresponding prior year period.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$44.2 million, or 26%, with volume up 27%. Volume increases were driven by higher RTD protein shake product volumes which primarily related to increased consumer purchases in response to the COVID-19 pandemic, distribution gains, increased promotional activity and lapping short-term capacity constraints in the second quarter of 2019. This positive impact was partially offset by a decrease in average net selling prices in the three months ended March 31, 2020 due to increased promotional spending. Sales of Dymatize products were down $0.7 million, or 2%, with volume up 1%. Sales decreased primarily due to an unfavorable sales mix resulting from an increase in lower-priced powder volumes. Volumes increased primarily due to eCommerce gains partially offset by lower FDM sales (lapping prior year promotional activity) and international sales (resulting largely from temporary specialty retail store closures in reaction to the COVID-19 pandemic). Sales of PowerBar products were down $2.5 million, or 20%, with volume down 27%, driven by lower international volumes associated with lapping a prior year distribution center transition and planned product discontinuations of certain products in North America. Sales of all other products were flat during the three months ended March 31, 2020 compared to the corresponding prior year period.</w:t>
      </w:r>
    </w:p>
    <w:p>
      <w:pPr>
        <w:spacing w:after="0" w:line="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Net sales increased $99.2 million, or 25%, during the six months ended March 31, 2020, compared to the corresponding prior year period. Sales of Premier Protein products were up $107.4 million, or 34%, with volume up 32%. Volume increases were driven by higher RTD protein shake product volumes which primarily related to distribution gains, lapping short-term capacity constraints in the prior year period and increased consumer purchases in response to the COVID-19 pandemic. Average net selling prices increased in the six months ended March 31, 2020 resulting from targeted price increases that occurred in the second quarter of fiscal 2019.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$3.7 million, or 6%, with volume down 1%. Sales decreased primarily due to an unfavorable sales mix resulting from an increase in lower-priced powder volumes. Volumes decreased primarily due to lower FDM sales (lapping prior year promotional activity) and lower international sales (resulting largely from temporary specialty retail store closures in reaction to the COVID-19 pandemic), partially offset by higher eCommerce volumes.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$3.7 million, or 16%, with volume down 27%, driven by planned product discontinuations of certain products in North America and lower international volumes associated with lapping a prior year distribution center transition. Sales of all other products were down $0.8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Operating profit decreased $5.7 million, or 14%, during the three months ended March 31, 2020, when compared to the prior year period. This decrease was primarily driven by increased advertising and promotional spend of $9.9 million, higher net product costs of $4.8 million, as unfavorable raw materials costs were partially offset by lower manufacturing and freight costs, higher employee-related expenses of $2.2 million and incremental public company costs of $2.7 million (including higher stock-based compensation expense of $0.8 million). These negative impacts were partially offset by higher net sales, as previously discussed, and lower costs related to the separation from Post of $1.4 million.</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profit increased $10.7 million, or 15%, during the six months ended March 31, 2020, when compared to the prior year period. This increase was primarily driven by higher net sales, as previously discussed, partially offset by higher net product costs of $6.5 million, as unfavorable raw materials costs were partially offset by lower manufacturing and freight costs, increased advertising and promotional spending of $11.7 million, higher employee-related expenses of $5.0 million, incremental public company costs of $4.8 million (including higher stock-based compensation expense of $1.7 million) and higher warehousing costs of $2.3 million</w:t>
      </w:r>
      <w:r>
        <w:rPr>
          <w:rFonts w:ascii="Arial" w:cs="Arial" w:eastAsia="Arial" w:hAnsi="Arial"/>
          <w:sz w:val="18"/>
          <w:szCs w:val="18"/>
          <w:color w:val="EE2724"/>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net was $14.3 million and $25.9 million during the three and six months ended March 31, 2020, respectively, compared to zero during each of the three and six months ended March 31, 2019. The increases in interest expense each period were due to the issuance of debt in the first quarter of fiscal 2020. We had no debt outstanding in fiscal 2019. See Note 15 for additional information on our debt.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income tax rate was 10.6% and 13.8% during the three and six months ended March 31, 2020, respectively, and 24.0% and 23.9% during the three and six months ended March 31, 2019, respectively. The decrease in the effective income tax rate compared to each of the prior year periods was primarily due to us taking into account for U.S. federal income tax purposes our 28.8% distributive share of the items of income, gain, loss and deduction of BellRing LLC in the periods subsequent to the IPO as a result of the formation transactions. Prior to the IPO and formation transactions, we reported 100% of the income, gain, loss and deduction of BellRing LLC.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21, 2019, BellRing Inc. closed its IPO of 39.4 million shares of Class A Common Stock, which number of shares included the underwriters’ exercise in full of their option to purchase up to an additional 5.1 million shares of Class A Common Stock, at an offering price of $14.00 per share. BellRing Inc. received net proceeds from the IPO of $524.4 million, after deducting underwriting discounts and commissions.</w:t>
      </w:r>
    </w:p>
    <w:p>
      <w:pPr>
        <w:spacing w:after="0" w:line="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11, 2019, in connection with the IPO and the formation transactions, Post entered into a $1,225.0 million Bridge Facility Agreement (the “Bridge Loan Facility”) and borrowed $1,225.0 million under the Bridge Loan Facility (the “Bridge Loan”). Certain of Post’s domestic subsidiaries (other than BellRing Inc. but including BellRing LLC and its domestic subsidiaries) guaranteed the Bridge Loan. On October 21, 2019, BellRing LLC entered into a Borrower Assignment and Assumption Agreement with Post and the administrative agent under the Bridge Loan Facility, under which (i) BellRing LLC became the borrower under the Bridge Loan and assumed all interest of $2.2 million thereunder, and Post and its subsidiary guarantors (other than BellRing LLC or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BellRing LLC’s assets and substantially all of the assets of its subsidiary guarantors (other than real estate). BellRing LLC did not receive any of the proceeds of the Bridge Loan.</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entered into a credit agreement (“Credit Agreement”) which provides for a term B loan facility in an aggregate principal amount of $700.0 million (the “Term B Facility”), and a revolving credit facility in an aggregate principal amount of $200.0 million (the “Revolving Credit Facility”). During the three months ended December 31, 2019, BellRing LLC borrowed the full amount under the Term B Facility and $120.0 million under the Revolving Credit Facility and used the proceeds, together with the net proceeds of the IPO that were contributed to it by BellRing Inc., (i) to repay in full the $1,225.0 million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$40.0 million of borrowings under the Revolving Credit Facility.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LLC has $80.0 million of available borrowing capacity under the secured Revolving Credit Facility as of March 31, 2020, and letters of credit are available under the Revolving Credit Facility in an aggregate amount of up to $20.0 million. During the second quarter of fiscal 2020, BellRing LLC borrowed $65.0 million and repaid $25.0 million under the Revolving Credit Facility.</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additional information on the IPO, the formation transactions and the Credit Agreement, see Notes 1 and 15 within “Notes to Condensed Consolidated Financial Statements.”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2020. Our ability to generate positive cash flows from operations is dependent on general economic conditions, competitive pressures and other business risk factors. As a result of uncertainties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near-term outlook for our business caused by the COVID-19 pandemic, we have taken steps to limit spending on travel and other operating expenses, and we continue to focus on cash flow generation and have borrowed under BellRing LLC’s Revolving Credit Facility in order to increase our cash position and financial flexibility. If we are unable to generate sufficient cash flows from operations, or otherwise to comply with the terms of BellRing LLC’s credit facilities, we may be required to seek additional financing alternatives.</w:t>
      </w:r>
    </w:p>
    <w:p>
      <w:pPr>
        <w:sectPr>
          <w:pgSz w:w="11900" w:h="16838" w:orient="portrait"/>
          <w:cols w:equalWidth="0" w:num="1">
            <w:col w:w="11240"/>
          </w:cols>
          <w:pgMar w:left="320" w:top="125" w:right="339" w:bottom="1440" w:gutter="0" w:footer="0" w:header="0"/>
        </w:sectPr>
      </w:pP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Cash (used in) provided by: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903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9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6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72"/>
              <w:spacing w:after="0"/>
              <w:rPr>
                <w:sz w:val="20"/>
                <w:szCs w:val="20"/>
                <w:color w:val="auto"/>
              </w:rPr>
            </w:pPr>
            <w:r>
              <w:rPr>
                <w:rFonts w:ascii="Arial" w:cs="Arial" w:eastAsia="Arial" w:hAnsi="Arial"/>
                <w:sz w:val="18"/>
                <w:szCs w:val="18"/>
                <w:color w:val="auto"/>
                <w:w w:val="87"/>
              </w:rPr>
              <w:t>1.6</w:t>
            </w:r>
          </w:p>
        </w:tc>
      </w:tr>
      <w:tr>
        <w:trPr>
          <w:trHeight w:val="270"/>
        </w:trPr>
        <w:tc>
          <w:tcPr>
            <w:tcW w:w="340" w:type="dxa"/>
            <w:vAlign w:val="bottom"/>
          </w:tcPr>
          <w:p>
            <w:pPr>
              <w:spacing w:after="0"/>
              <w:rPr>
                <w:sz w:val="23"/>
                <w:szCs w:val="23"/>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97"/>
              </w:rPr>
              <w:t>(1.4)</w:t>
            </w:r>
          </w:p>
        </w:tc>
      </w:tr>
      <w:tr>
        <w:trPr>
          <w:trHeight w:val="270"/>
        </w:trPr>
        <w:tc>
          <w:tcPr>
            <w:tcW w:w="340" w:type="dxa"/>
            <w:vAlign w:val="bottom"/>
          </w:tcPr>
          <w:p>
            <w:pPr>
              <w:spacing w:after="0"/>
              <w:rPr>
                <w:sz w:val="23"/>
                <w:szCs w:val="23"/>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97"/>
              </w:rPr>
              <w:t>(8.0)</w:t>
            </w:r>
          </w:p>
        </w:tc>
      </w:tr>
      <w:tr>
        <w:trPr>
          <w:trHeight w:val="270"/>
        </w:trPr>
        <w:tc>
          <w:tcPr>
            <w:tcW w:w="340" w:type="dxa"/>
            <w:vAlign w:val="bottom"/>
          </w:tcPr>
          <w:p>
            <w:pPr>
              <w:spacing w:after="0"/>
              <w:rPr>
                <w:sz w:val="23"/>
                <w:szCs w:val="23"/>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97"/>
              </w:rPr>
              <w:t>(0.2)</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62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97"/>
              </w:rPr>
              <w:t>(8.0)</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20" w:space="720"/>
            <w:col w:w="30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Cash used in operating activities for the six months ended March 31, 2020 was $5.1 million compared to cash provided by operating activities of $1.6 million in the prior year period. The decrease was primarily driven by higher interest payments of $23.4 million due to the increase in the principal balance of our outstanding debt and incremental income tax payments of $3.3 million. These increased cash outflows were partially offset by higher operating profit and favorable working capital changes of $6.4 million, primarily due to the build up of inventory in the prior year period related to short-term supply constraints partially offset by fluctuations in the timing of sales and collections of trade receivables.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six months ended March 31, 2020 decreased $0.2 million compared to the prior year period,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Cash provided by financing activities for the six months ended March 31, 2020 was $77.6 million compared to cash used in financing activities of $8.0 million in the prior year period. In the six months ended March 31, 2020, BellRing LLC received proceeds of $686.0 million, net of discount, related to the issuance of the Term B Facility and drew an aggregate of $185.0 million on the Revolving Credit Facility. In addition, BellRing Inc. received $524.4 million from the issuance of its Class A Common Stock in conjunction with the IPO. BellRing LLC had net cash transfers of $9.5 million to Post which included cash deposits prior to the IPO and a tax distribution to Post pursuant to BellRing LLC’s amended and restated limited liability company agreement. BellRing LLC also repaid the $1,225.0 million outstanding principal balance of the Bridge Loan assumed from Post, repaid $65.0 million of outstanding borrowings on the Revolving Credit Facility and repaid $8.7 million on the principal balance of the Term B Facility. In connection with the issuance of BellRing LLC’s long-term debt, BellRing LLC paid $9.6 million in debt issuance costs and deferred financing fees. In the six months ended March 31, 2019, financing activities primarily related to cash transfers to and from Post, including cash deposits to Post and cash borrowings received from Post used to fund operations or capital expenditures and allocations of Post’s corporate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March 31, 2020, and we do not believe non-compliance is reasonably likely in the foreseeable future.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1, 2019, we adopted ASU 2016-02, “Leases (Topic 842),” and ASU 2018-11, “Leases (Topic 842): Targeted Improvements.” For additional information, refer to Notes 2 and 12 within “Notes to Condensed Consolidated Financial Statements.”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2019, as filed with the Securities and Exchange Commission (“SEC”) on November 22, 2019. Except as noted above, there have been no significant changes to our critical accounting policies and estimates since September 30, 2019.</w:t>
      </w:r>
    </w:p>
    <w:p>
      <w:pPr>
        <w:spacing w:after="0" w:line="23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0"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our ability and the ability of our third party manufacturers to manufacture and deliver our products, our supply chain and our operations generally;</w:t>
      </w:r>
    </w:p>
    <w:p>
      <w:pPr>
        <w:spacing w:after="0" w:line="6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or inefficiencies in the supply chain, including as a result of our reliance on third party suppliers or manufacturers for the manufacturing of many of our products, pandemics, changes in weather conditions, natural disasters, agricultural diseases and pests and other events beyond our control;</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volatility in the costs or availability of certain commodities (including raw materials and packaging used to manufacture our products), higher freight costs or higher energy costs;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and global capital and credit markets, changes in interest rates and fluctuations in foreign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attract key employees, loss of key employees, employee absenteeism, labor strikes, work stoppages or unionization efforts;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trends and to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litigation;</w:t>
      </w:r>
    </w:p>
    <w:p>
      <w:pPr>
        <w:spacing w:after="0" w:line="117"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and our obligations under various agreements with Post, including under the tax receivable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our ability to operate as a separate public company following the IPO and the additional expenses we will incur to create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2019, filed with the SEC on November 22, 2019.</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resulted in significant volatility and uncertainty in the markets in which the Company operates. At the time of this filing, the Company is unable to predict or determine the impacts that the COVID-19 pandemic may have on its exposure to market risk from commodity prices, foreign currency exchange rates and interest rates, among others. For additional discussion, refer to “Liquidity and Capital Resources” and “Cautionary Statement on Forward-Looking Statements” within this Item 2 of this report, as well as “Risk Factors” in Part II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and fuels.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2020, BellRing LLC had an aggregate principal amount of $691.3 million outstanding on its Term B Facility and an aggregate principal amount of $120.0 million outstanding under its Revolving Credit Facility. Borrowings under the Term B Facility and the Revolving Credit Facility bear interest at variable rates. Including the impact of interest rate swaps, a hypothetical 10% increase in interest rates would have an immaterial impact on both interest expense and interest paid during the three and six months ended March 31, 2020. BellRing LLC had no outstanding debt as of September 30, 2019. For additional information regarding BellRing LLC’s debt, see Note 15 within “Notes to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the Company had interest rate swaps with a notional value of $350.0 million. A hypothetical 10% adverse change in interest rates would have decreased the fair value of the interest rate swaps by approximately $1 million as of March 31, 2020. The Company held no interest rate swaps as of September 30, 2019. For additional information regarding the Company’s interest rate swap contracts, see Note 13 within “Notes to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March 31, 2020, that have materially affected, or are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(as successor to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appealed and is pending before the U.S. Court of Appeals for the Ninth Circuit. The other ten complaints remain pending in the U.S. District Court for the Northern District of California, and the court has certified individual state classes in each of those cases.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condition, results of operations or cash flows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information set forth elsewhere in this Quarterly Report on Form 10-Q and the risk factor set forth below, you should carefully consider the risk factors we previously disclosed in our Annual Report on Form 10-K, filed with the United States Securities and Exchange Commission on November 22, 2019, as of and for the year ended September 30, 2019 (the “Form 10-K”).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negatively impacted and is expected to continue to negatively impact the global economy and capital markets. In addition the COVID-19 pandemic has and we expect it to continue to impact our financial and operational performance.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pandemic has and is likely to continue to negatively impact the global economy and capital markets, which could result in a prolonged economic downturn or a global economic recession. These impacts could limit our ability to satisfy our debt obligations or the cost or availability of additional capital transactions. As of March 31, 2020, we had $756.4 million in aggregate principal amount debt and $76.7 million in cash and cash equivalents.</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the regional or global impact of the outbreak, including official or unofficial quarantines and governmental restrictions on activities taken in response to such event, could limit our ability and the ability of our third party manufacturers to manufacture and deliver our products, which would have a material adverse impact on our business, financial condition, results of operations and cash flows. The impact of the COVID-19 pandemic could include voluntary or mandatory closures of our facilities, interruptions in our supply chain, which could impact the cost or availability of materials, restrictions on our ability to deliver our products, closures of our customers and labor shortages. The COVID-19 pandemic could result in reduced consumer demand for our products due to, among other things, reduced consumer traffic in locations where our products are sold. Also, the voluntary or mandatory closure of clubs, FDM, eCommerce and other retailers where our products are sold could result in a decrease in the sale of our products. We may incur additional expenses to comply with new requirements imposed by governmental authorities, including purchases of equipment or supplies that are in high demand, as well as engaging third party resources.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and other impacts of the COVID-19 pandemic have heightened, or in some cases manifested, many of the other risks we previously disclosed in the “Risk Factors” section of the Form 10-K, any of which could have a material effect on us. This situation is changing rapidly and additional impacts may arise that we are not aware of as of the date hereof. The extent and potential short and long term impact of the COVID-19 pandemic on our business, financial condition, results of operations and cash flows, which could be material, will depend on future developments, including the duration, severity and spread of the pandemic, actions that have and may be taken by governmental authorities in response to the pandemic and the impact on our supply chain, operations, workforce and the financial markets, all of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either provided with this Form 10-Q or are incorporated herein by reference.</w:t>
      </w:r>
    </w:p>
    <w:p>
      <w:pPr>
        <w:spacing w:after="0" w:line="19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07758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10.23</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31.1</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31.2</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31.3</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32.1</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579"/>
        <w:spacing w:after="0" w:line="235"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Amended and Restated Certificate of Incorporation of BellRing Brands, Inc. (Incorporated by reference to Exhibit</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3.1 to the Company’s Form 8-K filed on October 21, 2019)</w:t>
        </w:r>
      </w:hyperlink>
    </w:p>
    <w:p>
      <w:pPr>
        <w:ind w:right="579"/>
        <w:spacing w:after="0" w:line="23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Amended and Restated Bylaws of BellRing Brands, Inc. (Incorporated by reference to Exhibit 3.2 to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Company’s Form 8-K filed on October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579"/>
        <w:spacing w:after="0" w:line="234"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the Company’s Form S-1 filed on September 20, 2019)</w:t>
        </w:r>
      </w:hyperlink>
    </w:p>
    <w:p>
      <w:pPr>
        <w:spacing w:after="0" w:line="1" w:lineRule="exact"/>
        <w:rPr>
          <w:sz w:val="20"/>
          <w:szCs w:val="20"/>
          <w:color w:val="auto"/>
        </w:rPr>
      </w:pPr>
    </w:p>
    <w:p>
      <w:pPr>
        <w:ind w:right="579"/>
        <w:spacing w:after="0" w:line="234" w:lineRule="auto"/>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First Amendment to Credit Agreement, dated as of February 21, 2020, by and among BellRing Brands, LLC and</w:t>
        </w:r>
      </w:hyperlink>
      <w:r>
        <w:rPr>
          <w:rFonts w:ascii="Arial" w:cs="Arial" w:eastAsia="Arial" w:hAnsi="Arial"/>
          <w:sz w:val="18"/>
          <w:szCs w:val="18"/>
          <w:u w:val="single" w:color="auto"/>
          <w:color w:val="0000FF"/>
        </w:rPr>
        <w:t xml:space="preserve"> </w:t>
      </w:r>
      <w:hyperlink w:anchor="page30">
        <w:r>
          <w:rPr>
            <w:rFonts w:ascii="Arial" w:cs="Arial" w:eastAsia="Arial" w:hAnsi="Arial"/>
            <w:sz w:val="18"/>
            <w:szCs w:val="18"/>
            <w:u w:val="single" w:color="auto"/>
            <w:color w:val="0000FF"/>
          </w:rPr>
          <w:t>Credit Suisse AG, Cayman Islands Branch, as administrative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799"/>
        <w:spacing w:after="0" w:line="234"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33">
        <w:r>
          <w:rPr>
            <w:rFonts w:ascii="Arial" w:cs="Arial" w:eastAsia="Arial" w:hAnsi="Arial"/>
            <w:sz w:val="18"/>
            <w:szCs w:val="18"/>
            <w:u w:val="single" w:color="auto"/>
            <w:color w:val="0000FF"/>
          </w:rPr>
          <w:t>Oxley Act of 2002, dated May 8, 2020</w:t>
        </w:r>
      </w:hyperlink>
    </w:p>
    <w:p>
      <w:pPr>
        <w:spacing w:after="0" w:line="1" w:lineRule="exact"/>
        <w:rPr>
          <w:sz w:val="20"/>
          <w:szCs w:val="20"/>
          <w:color w:val="auto"/>
        </w:rPr>
      </w:pPr>
    </w:p>
    <w:p>
      <w:pPr>
        <w:ind w:right="579"/>
        <w:spacing w:after="0" w:line="234"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Sarbanes-Oxley Act of 2002, dated May 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999"/>
        <w:spacing w:after="0" w:line="234"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35">
        <w:r>
          <w:rPr>
            <w:rFonts w:ascii="Arial" w:cs="Arial" w:eastAsia="Arial" w:hAnsi="Arial"/>
            <w:sz w:val="18"/>
            <w:szCs w:val="18"/>
            <w:u w:val="single" w:color="auto"/>
            <w:color w:val="0000FF"/>
          </w:rPr>
          <w:t>Oxley Act of 2002, dated May 8, 2020</w:t>
        </w:r>
      </w:hyperlink>
    </w:p>
    <w:p>
      <w:pPr>
        <w:spacing w:after="0" w:line="1" w:lineRule="exact"/>
        <w:rPr>
          <w:sz w:val="20"/>
          <w:szCs w:val="20"/>
          <w:color w:val="auto"/>
        </w:rPr>
      </w:pPr>
    </w:p>
    <w:p>
      <w:pPr>
        <w:ind w:right="599"/>
        <w:spacing w:after="0" w:line="234"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adopted pursuant to Section 906 of the Sarbanes-Oxley Act of 2002, dated May 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077585" cy="445770"/>
                    </a:xfrm>
                    <a:prstGeom prst="rect">
                      <a:avLst/>
                    </a:prstGeom>
                    <a:noFill/>
                  </pic:spPr>
                </pic:pic>
              </a:graphicData>
            </a:graphic>
          </wp:anchor>
        </w:drawing>
      </w:r>
    </w:p>
    <w:p>
      <w:pPr>
        <w:ind w:right="659"/>
        <w:spacing w:after="0" w:line="263" w:lineRule="auto"/>
        <w:rPr>
          <w:sz w:val="20"/>
          <w:szCs w:val="20"/>
          <w:color w:val="auto"/>
        </w:rPr>
      </w:pPr>
      <w:r>
        <w:rPr>
          <w:rFonts w:ascii="Arial" w:cs="Arial" w:eastAsia="Arial" w:hAnsi="Arial"/>
          <w:sz w:val="18"/>
          <w:szCs w:val="18"/>
          <w:color w:val="auto"/>
        </w:rPr>
        <w:t>Interactive Data File (Form 10-Q for the quarterly period ended March 31, 2020 filed in iXBRL (Inline eXtensible Business Reporting Language)). The financial information contained in the iXBRL-related documents is “unaudited” and “unreviewed.”</w:t>
      </w:r>
    </w:p>
    <w:p>
      <w:pPr>
        <w:spacing w:after="0" w:line="22" w:lineRule="exact"/>
        <w:rPr>
          <w:sz w:val="20"/>
          <w:szCs w:val="20"/>
          <w:color w:val="auto"/>
        </w:rPr>
      </w:pPr>
    </w:p>
    <w:p>
      <w:pPr>
        <w:sectPr>
          <w:pgSz w:w="11900" w:h="16838" w:orient="portrait"/>
          <w:cols w:equalWidth="0" w:num="2">
            <w:col w:w="700" w:space="520"/>
            <w:col w:w="8919"/>
          </w:cols>
          <w:pgMar w:left="320" w:top="125" w:right="1440" w:bottom="1440" w:gutter="0" w:footer="0" w:header="0"/>
          <w:type w:val="continuous"/>
        </w:sectPr>
      </w:pPr>
    </w:p>
    <w:p>
      <w:pPr>
        <w:ind w:left="1220" w:right="1079" w:hanging="848"/>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March 31, 2020, formatted in iXBRL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BELLRING BRANDS, INC.</w:t>
      </w:r>
    </w:p>
    <w:p>
      <w:pPr>
        <w:spacing w:after="0" w:line="63" w:lineRule="exact"/>
        <w:rPr>
          <w:sz w:val="20"/>
          <w:szCs w:val="20"/>
          <w:color w:val="auto"/>
        </w:rPr>
      </w:pPr>
    </w:p>
    <w:p>
      <w:pPr>
        <w:ind w:left="20"/>
        <w:spacing w:after="0"/>
        <w:tabs>
          <w:tab w:leader="none" w:pos="740" w:val="left"/>
          <w:tab w:leader="none" w:pos="7020" w:val="left"/>
          <w:tab w:leader="none" w:pos="7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31750</wp:posOffset>
            </wp:positionV>
            <wp:extent cx="24003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25" w:right="3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CREDIT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dated as of February 21, 2020 and is entered into by and among </w:t>
      </w:r>
      <w:r>
        <w:rPr>
          <w:rFonts w:ascii="Arial" w:cs="Arial" w:eastAsia="Arial" w:hAnsi="Arial"/>
          <w:sz w:val="18"/>
          <w:szCs w:val="18"/>
          <w:b w:val="1"/>
          <w:bCs w:val="1"/>
          <w:color w:val="auto"/>
        </w:rPr>
        <w:t>BELLRING BRANDS 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SUISSE AG, CAYMAN ISLANDS</w:t>
      </w:r>
      <w:r>
        <w:rPr>
          <w:rFonts w:ascii="Arial" w:cs="Arial" w:eastAsia="Arial" w:hAnsi="Arial"/>
          <w:sz w:val="18"/>
          <w:szCs w:val="18"/>
          <w:color w:val="auto"/>
        </w:rPr>
        <w:t xml:space="preserve"> </w:t>
      </w:r>
      <w:r>
        <w:rPr>
          <w:rFonts w:ascii="Arial" w:cs="Arial" w:eastAsia="Arial" w:hAnsi="Arial"/>
          <w:sz w:val="18"/>
          <w:szCs w:val="18"/>
          <w:b w:val="1"/>
          <w:bCs w:val="1"/>
          <w:color w:val="auto"/>
        </w:rPr>
        <w:t>BRANCH</w:t>
      </w:r>
      <w:r>
        <w:rPr>
          <w:rFonts w:ascii="Arial" w:cs="Arial" w:eastAsia="Arial" w:hAnsi="Arial"/>
          <w:sz w:val="18"/>
          <w:szCs w:val="18"/>
          <w:color w:val="auto"/>
        </w:rPr>
        <w:t>, as Administrative Agent (in such capacity,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Capitalized terms used herein without definition shall have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herein as set forth in the Credit Agreement (as defined below) after giving effect to this Amendment.</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 the Lenders party thereto and the Administrative Agent have entered into that certain Credit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21, 2019 (as amended, restated, amended and restated, supplemented or otherwise modified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w:t>
      </w:r>
    </w:p>
    <w:p>
      <w:pPr>
        <w:spacing w:after="0" w:line="14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10.01 of the Credit Agreement permits the Administrative Agent and the Borrower to amend any Loan Document to cure</w:t>
      </w:r>
      <w:r>
        <w:rPr>
          <w:rFonts w:ascii="Arial" w:cs="Arial" w:eastAsia="Arial" w:hAnsi="Arial"/>
          <w:sz w:val="16"/>
          <w:szCs w:val="16"/>
          <w:b w:val="1"/>
          <w:bCs w:val="1"/>
          <w:color w:val="auto"/>
        </w:rPr>
        <w:t xml:space="preserve"> </w:t>
      </w:r>
      <w:r>
        <w:rPr>
          <w:rFonts w:ascii="Arial" w:cs="Arial" w:eastAsia="Arial" w:hAnsi="Arial"/>
          <w:sz w:val="16"/>
          <w:szCs w:val="16"/>
          <w:color w:val="auto"/>
        </w:rPr>
        <w:t>any identified obvious error or any error or omission of a technical or immaterial nature, subject to certain requirements set forth in said Section; and</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the Administrative Agent have jointly identified a certain error of a technical nature in the Credit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agreed to cure such error as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the mutual agreements set forth herein, the Borrower and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I. AMENDMENTS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10.01 of the Credit Agreement, Section 6.02(a) of the Credit Agreement shall be amended to replace the words “concurrently with the delivery of the financial statements referred to in Sections 6.01(a) and (b),” with “concurrently with the delivery of the financial statements referred to in Sections 6.01(a)(II) and (b),”</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SECTION II. CONDITIONS TO EFFECTIVENESS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effectiveness of this Amendment shall be subject to the following conditions precedent (the date of satisfaction of such conditions being referred to herein as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 the Administrative Agent shall have received a counterpart signature page of this Amendment duly executed by the Borrower and Administrative Agent and (b) three Business Days shall have elapsed since the date this Amendment was distributed to the Lenders without the Required Lenders having objected in writing thereto.</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III. MISCELLANEOUS</w:t>
      </w:r>
    </w:p>
    <w:p>
      <w:pPr>
        <w:spacing w:after="0" w:line="225" w:lineRule="exact"/>
        <w:rPr>
          <w:sz w:val="20"/>
          <w:szCs w:val="20"/>
          <w:color w:val="auto"/>
        </w:rPr>
      </w:pPr>
    </w:p>
    <w:p>
      <w:pPr>
        <w:ind w:left="1160" w:hanging="504"/>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the Credit Agreement and the Other Loan Documents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660" w:firstLine="294"/>
        <w:spacing w:after="0" w:line="311" w:lineRule="auto"/>
        <w:tabs>
          <w:tab w:leader="none" w:pos="11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On and after the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w:t>
      </w:r>
    </w:p>
    <w:p>
      <w:pPr>
        <w:spacing w:after="0" w:line="148" w:lineRule="exact"/>
        <w:rPr>
          <w:rFonts w:ascii="Arial" w:cs="Arial" w:eastAsia="Arial" w:hAnsi="Arial"/>
          <w:sz w:val="16"/>
          <w:szCs w:val="16"/>
          <w:color w:val="auto"/>
        </w:rPr>
      </w:pPr>
    </w:p>
    <w:p>
      <w:pPr>
        <w:ind w:left="660" w:firstLine="244"/>
        <w:spacing w:after="0" w:line="277" w:lineRule="auto"/>
        <w:tabs>
          <w:tab w:leader="none" w:pos="11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66" w:lineRule="exact"/>
        <w:rPr>
          <w:rFonts w:ascii="Arial" w:cs="Arial" w:eastAsia="Arial" w:hAnsi="Arial"/>
          <w:sz w:val="18"/>
          <w:szCs w:val="18"/>
          <w:color w:val="auto"/>
        </w:rPr>
      </w:pPr>
    </w:p>
    <w:p>
      <w:pPr>
        <w:ind w:left="1160" w:hanging="504"/>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constitute a Loan Document under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US-DOCS\114062624.3</w:t>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656"/>
        <w:spacing w:after="0" w:line="266" w:lineRule="auto"/>
        <w:tabs>
          <w:tab w:leader="none" w:pos="11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Novation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its execution of this Amendment, each of the parties hereto acknowledges and agrees that the terms of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do not constitute a novation, but, rather, an amendment of the terms of a pre-existing Indebtedness and related agreement, as evidenced by the Credit Agreement.</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117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117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ALL CLAIMS OR CAUSES OF ACTION (WHETHER IN CONTRACT, TORT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THAT MAY BE BASED UPON, ARISE OUT OF OR RELATE IN ANY WAY HERETO OR THE NEGOTIATION, EXECUTION OR PERFORMANCE HEREOF OR THE TRANSACTIONS CONTEMPLATED HEREBY, SHALL BE GOVERNED BY, AND CONSTRUED IN ACCORDANCE WITH, THE LAW OF THE STATE OF NEW YORK. The provisions of </w:t>
      </w:r>
      <w:r>
        <w:rPr>
          <w:rFonts w:ascii="Arial" w:cs="Arial" w:eastAsia="Arial" w:hAnsi="Arial"/>
          <w:sz w:val="18"/>
          <w:szCs w:val="18"/>
          <w:u w:val="single" w:color="auto"/>
          <w:color w:val="auto"/>
        </w:rPr>
        <w:t>Sections 10.14(b)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of the Credit Agreement are incorporated by reference herein and made a part hereof.</w:t>
      </w:r>
    </w:p>
    <w:p>
      <w:pPr>
        <w:spacing w:after="0" w:line="183" w:lineRule="exact"/>
        <w:rPr>
          <w:rFonts w:ascii="Arial" w:cs="Arial" w:eastAsia="Arial" w:hAnsi="Arial"/>
          <w:sz w:val="18"/>
          <w:szCs w:val="18"/>
          <w:b w:val="1"/>
          <w:bCs w:val="1"/>
          <w:color w:val="auto"/>
        </w:rPr>
      </w:pPr>
    </w:p>
    <w:p>
      <w:pPr>
        <w:jc w:val="both"/>
        <w:ind w:firstLine="656"/>
        <w:spacing w:after="0" w:line="261" w:lineRule="auto"/>
        <w:tabs>
          <w:tab w:leader="none" w:pos="11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an original, but all of which when taken together shall constitute a single agreement. Delivery of an executed counterpart of a signature page of this Amendment by facsimile or other electronic imaging means (e.g., in “pdf” or “tif” format) shall be effective as delivery of a manually executed counterpart of this Amendment.</w:t>
      </w:r>
    </w:p>
    <w:p>
      <w:pPr>
        <w:spacing w:after="0" w:line="179" w:lineRule="exact"/>
        <w:rPr>
          <w:rFonts w:ascii="Arial" w:cs="Arial" w:eastAsia="Arial" w:hAnsi="Arial"/>
          <w:sz w:val="18"/>
          <w:szCs w:val="18"/>
          <w:b w:val="1"/>
          <w:bCs w:val="1"/>
          <w:color w:val="auto"/>
        </w:rPr>
      </w:pPr>
    </w:p>
    <w:p>
      <w:pPr>
        <w:jc w:val="both"/>
        <w:ind w:firstLine="656"/>
        <w:spacing w:after="0" w:line="281" w:lineRule="auto"/>
        <w:tabs>
          <w:tab w:leader="none" w:pos="1152"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US-DOCS\114062624.3</w:t>
      </w:r>
    </w:p>
    <w:p>
      <w:pPr>
        <w:sectPr>
          <w:pgSz w:w="11900" w:h="16838" w:orient="portrait"/>
          <w:cols w:equalWidth="0" w:num="1">
            <w:col w:w="11240"/>
          </w:cols>
          <w:pgMar w:left="320" w:top="1417" w:right="339" w:bottom="1440" w:gutter="0" w:footer="0" w:header="0"/>
        </w:sectPr>
      </w:pPr>
    </w:p>
    <w:bookmarkStart w:id="31" w:name="page32"/>
    <w:bookmarkEnd w:id="31"/>
    <w:p>
      <w:pPr>
        <w:ind w:firstLine="3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BELLRING BRANDS, LLC</w:t>
      </w:r>
      <w:r>
        <w:rPr>
          <w:rFonts w:ascii="Arial" w:cs="Arial" w:eastAsia="Arial" w:hAnsi="Arial"/>
          <w:sz w:val="18"/>
          <w:szCs w:val="18"/>
          <w:color w:val="auto"/>
        </w:rPr>
        <w:t>, as Borrower</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Matthew Mainer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958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Matthew Mainer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CREDIT SUISSE AG, CAYMAN ISLANDS BRANCH</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761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Doreen Barr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761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Komal Shah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[Signature Page to First Amendment]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US-DOCS\114062624.3</w:t>
      </w:r>
    </w:p>
    <w:p>
      <w:pPr>
        <w:sectPr>
          <w:pgSz w:w="11900" w:h="16838" w:orient="portrait"/>
          <w:cols w:equalWidth="0" w:num="1">
            <w:col w:w="11060"/>
          </w:cols>
          <w:pgMar w:left="320" w:top="1417" w:right="5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Chief Executive Chairman</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2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Executive Chairman</w:t>
      </w:r>
    </w:p>
    <w:p>
      <w:pPr>
        <w:spacing w:after="0" w:line="3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6" w:name="page37"/>
    <w:bookmarkEnd w:id="36"/>
    <w:p>
      <w:pPr>
        <w:spacing w:after="0" w:line="200" w:lineRule="exact"/>
        <w:rPr>
          <w:sz w:val="20"/>
          <w:szCs w:val="20"/>
          <w:color w:val="auto"/>
        </w:rPr>
      </w:pPr>
    </w:p>
    <w:p>
      <w:pPr>
        <w:spacing w:after="0" w:line="227"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40" w:hanging="652"/>
        <w:spacing w:after="0" w:line="263" w:lineRule="auto"/>
        <w:tabs>
          <w:tab w:leader="none" w:pos="2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7" w:name="page38"/>
    <w:bookmarkEnd w:id="37"/>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40" w:hanging="652"/>
        <w:spacing w:after="0" w:line="263" w:lineRule="auto"/>
        <w:tabs>
          <w:tab w:leader="none" w:pos="2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84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04"/>
    </w:lvl>
  </w:abstractNum>
  <w:abstractNum w:abstractNumId="10">
    <w:nsid w:val="7FDCC233"/>
    <w:multiLevelType w:val="hybridMultilevel"/>
    <w:lvl w:ilvl="0">
      <w:lvlJc w:val="left"/>
      <w:lvlText w:val="%1."/>
      <w:numFmt w:val="decimal"/>
      <w:start w:val="1"/>
    </w:lvl>
    <w:lvl w:ilvl="1">
      <w:lvlJc w:val="left"/>
      <w:lvlText w:val="(%2)"/>
      <w:numFmt w:val="lowerRoman"/>
      <w:start w:val="1"/>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62" Type="http://schemas.openxmlformats.org/officeDocument/2006/relationships/hyperlink" Target="http://www.sec.gov/Archives/edgar/data/1772016/000119312519270862/d812149dex31.htm" TargetMode="External"/><Relationship Id="rId63" Type="http://schemas.openxmlformats.org/officeDocument/2006/relationships/hyperlink" Target="http://www.sec.gov/Archives/edgar/data/1772016/000119312519270862/d812149dex32.htm" TargetMode="External"/><Relationship Id="rId65" Type="http://schemas.openxmlformats.org/officeDocument/2006/relationships/hyperlink" Target="http://www.sec.gov/Archives/edgar/data/1772016/000119312519250692/d727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2020-05-08T12:34:37Z</dcterms:created>
  <dcterms:modified xsi:type="dcterms:W3CDTF">2020-05-08T12:34:37Z</dcterms:modified>
</cp:coreProperties>
</file>