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BellRing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4,136,176.00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4,136,176.00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4,136,176.00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4,136,176.00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4,136,176.00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4,136,176.00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4,136,176.00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4,136,176.00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4,136,176.00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BellRing Brands,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919"/>
        <w:spacing w:after="0"/>
        <w:rPr>
          <w:sz w:val="20"/>
          <w:szCs w:val="20"/>
          <w:color w:val="auto"/>
        </w:rPr>
      </w:pPr>
      <w:r>
        <w:rPr>
          <w:rFonts w:ascii="Times New Roman" w:cs="Times New Roman" w:eastAsia="Times New Roman" w:hAnsi="Times New Roman"/>
          <w:sz w:val="22"/>
          <w:szCs w:val="22"/>
          <w:color w:val="auto"/>
        </w:rPr>
        <w:t>1 N Brentwood Blvd., Suite 1550, St. Louis, Missouri 63105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84" w:lineRule="exact"/>
        <w:rPr>
          <w:sz w:val="20"/>
          <w:szCs w:val="20"/>
          <w:color w:val="auto"/>
        </w:rPr>
      </w:pPr>
    </w:p>
    <w:p>
      <w:pPr>
        <w:ind w:left="920" w:right="2460"/>
        <w:spacing w:after="0" w:line="310" w:lineRule="auto"/>
        <w:rPr>
          <w:sz w:val="20"/>
          <w:szCs w:val="20"/>
          <w:color w:val="auto"/>
        </w:rPr>
      </w:pPr>
      <w:r>
        <w:rPr>
          <w:rFonts w:ascii="Times New Roman" w:cs="Times New Roman" w:eastAsia="Times New Roman" w:hAnsi="Times New Roman"/>
          <w:sz w:val="22"/>
          <w:szCs w:val="22"/>
          <w:color w:val="auto"/>
        </w:rPr>
        <w:t>Millennium Management LLC Millennium Group Management LLC Israel A. Englander Address or principal business office or, if none, residence:</w:t>
      </w:r>
    </w:p>
    <w:p>
      <w:pPr>
        <w:spacing w:after="0" w:line="130" w:lineRule="exact"/>
        <w:rPr>
          <w:sz w:val="20"/>
          <w:szCs w:val="20"/>
          <w:color w:val="auto"/>
        </w:rPr>
      </w:pPr>
    </w:p>
    <w:p>
      <w:pPr>
        <w:ind w:left="920" w:right="14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Millennium Management LLC 399 Park Avenue New York, New York 10022 Millennium Group Management LLC 399 Park Avenue New York, New York 10022 Israel A. Englander c/o Millennium Management LLC 399 Park Avenue New York, New York 10022</w:t>
      </w:r>
    </w:p>
    <w:p>
      <w:pPr>
        <w:sectPr>
          <w:pgSz w:w="11900" w:h="16923" w:orient="portrait"/>
          <w:cols w:equalWidth="0" w:num="1">
            <w:col w:w="11120"/>
          </w:cols>
          <w:pgMar w:left="360" w:top="112" w:right="419" w:bottom="0"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923" w:orient="portrait"/>
          <w:cols w:equalWidth="0" w:num="2">
            <w:col w:w="620" w:space="300"/>
            <w:col w:w="10200"/>
          </w:cols>
          <w:pgMar w:left="360" w:top="112" w:right="41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2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response to Item 9 on each cover page. After acquiring beneficial ownership of more than 5% of the outstanding Common Stock on June 23, 2026, the reporting persons ceased to be beneficial owners of more than 5% of the outstanding Common Stock by the date of this filing.</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220" w:firstLine="6"/>
        <w:spacing w:after="0" w:line="509" w:lineRule="auto"/>
        <w:tabs>
          <w:tab w:leader="none" w:pos="123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300" w:firstLine="6"/>
        <w:spacing w:after="0" w:line="486" w:lineRule="auto"/>
        <w:tabs>
          <w:tab w:leader="none" w:pos="12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ectPr>
          <w:pgSz w:w="11900" w:h="16923" w:orient="portrait"/>
          <w:cols w:equalWidth="0" w:num="1">
            <w:col w:w="11120"/>
          </w:cols>
          <w:pgMar w:left="360" w:top="112" w:right="41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June 26, 2026, by and among Millennium Management LLC, Millennium Group Management LLC and Israel A. Englander.</w:t>
      </w:r>
    </w:p>
    <w:p>
      <w:pPr>
        <w:sectPr>
          <w:pgSz w:w="11900" w:h="16838" w:orient="portrait"/>
          <w:cols w:equalWidth="0" w:num="1">
            <w:col w:w="11140"/>
          </w:cols>
          <w:pgMar w:left="360" w:top="409" w:right="399" w:bottom="1440" w:gutter="0" w:footer="0" w:header="0"/>
          <w:type w:val="continuous"/>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$0.01 per share, of BellRing Brands,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26, 2026</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26403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 Gil Raviv</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26403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 Gil Raviv</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2854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2026-06-29T16:10:50Z</dcterms:created>
  <dcterms:modified xsi:type="dcterms:W3CDTF">2026-06-29T16:10:50Z</dcterms:modified>
</cp:coreProperties>
</file>