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348615</wp:posOffset>
            </wp:positionH>
            <wp:positionV relativeFrom="page">
              <wp:posOffset>688340</wp:posOffset>
            </wp:positionV>
            <wp:extent cx="61309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30925" cy="6985"/>
                    </a:xfrm>
                    <a:prstGeom prst="rect">
                      <a:avLst/>
                    </a:prstGeom>
                    <a:noFill/>
                  </pic:spPr>
                </pic:pic>
              </a:graphicData>
            </a:graphic>
          </wp:anchor>
        </w:drawing>
        <w:drawing>
          <wp:anchor simplePos="0" relativeHeight="251657728" behindDoc="1" locked="0" layoutInCell="0" allowOverlap="1">
            <wp:simplePos x="0" y="0"/>
            <wp:positionH relativeFrom="page">
              <wp:posOffset>348615</wp:posOffset>
            </wp:positionH>
            <wp:positionV relativeFrom="page">
              <wp:posOffset>708660</wp:posOffset>
            </wp:positionV>
            <wp:extent cx="61309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0925" cy="6985"/>
                    </a:xfrm>
                    <a:prstGeom prst="rect">
                      <a:avLst/>
                    </a:prstGeom>
                    <a:noFill/>
                  </pic:spPr>
                </pic:pic>
              </a:graphicData>
            </a:graphic>
          </wp:anchor>
        </w:drawing>
        <w:t>UNITED STATES</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7"/>
          <w:szCs w:val="17"/>
          <w:color w:val="auto"/>
        </w:rPr>
        <w:t>______________________</w:t>
      </w:r>
    </w:p>
    <w:p>
      <w:pPr>
        <w:spacing w:after="0" w:line="62"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8-K</w:t>
      </w:r>
    </w:p>
    <w:p>
      <w:pPr>
        <w:spacing w:after="0" w:line="254" w:lineRule="exact"/>
        <w:rPr>
          <w:sz w:val="24"/>
          <w:szCs w:val="24"/>
          <w:color w:val="auto"/>
        </w:rPr>
      </w:pPr>
    </w:p>
    <w:p>
      <w:pPr>
        <w:ind w:left="4860"/>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ind w:left="4460"/>
        <w:spacing w:after="0"/>
        <w:rPr>
          <w:sz w:val="20"/>
          <w:szCs w:val="20"/>
          <w:color w:val="auto"/>
        </w:rPr>
      </w:pPr>
      <w:r>
        <w:rPr>
          <w:rFonts w:ascii="Arial" w:cs="Arial" w:eastAsia="Arial" w:hAnsi="Arial"/>
          <w:sz w:val="17"/>
          <w:szCs w:val="17"/>
          <w:b w:val="1"/>
          <w:bCs w:val="1"/>
          <w:color w:val="auto"/>
        </w:rPr>
        <w:t>Pursuant to Section 13 OR 15(d) of The</w:t>
      </w:r>
    </w:p>
    <w:p>
      <w:pPr>
        <w:spacing w:after="0" w:line="6" w:lineRule="exact"/>
        <w:rPr>
          <w:sz w:val="24"/>
          <w:szCs w:val="24"/>
          <w:color w:val="auto"/>
        </w:rPr>
      </w:pPr>
    </w:p>
    <w:p>
      <w:pPr>
        <w:ind w:left="4480"/>
        <w:spacing w:after="0"/>
        <w:rPr>
          <w:sz w:val="20"/>
          <w:szCs w:val="20"/>
          <w:color w:val="auto"/>
        </w:rPr>
      </w:pPr>
      <w:r>
        <w:rPr>
          <w:rFonts w:ascii="Arial" w:cs="Arial" w:eastAsia="Arial" w:hAnsi="Arial"/>
          <w:sz w:val="17"/>
          <w:szCs w:val="17"/>
          <w:b w:val="1"/>
          <w:bCs w:val="1"/>
          <w:color w:val="auto"/>
        </w:rPr>
        <w:t>Securities Exchange Act of 1934</w:t>
      </w:r>
    </w:p>
    <w:p>
      <w:pPr>
        <w:spacing w:after="0" w:line="12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Date of Report (Date of earliest event reported): January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2994660</wp:posOffset>
            </wp:positionH>
            <wp:positionV relativeFrom="paragraph">
              <wp:posOffset>93345</wp:posOffset>
            </wp:positionV>
            <wp:extent cx="1179195" cy="599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9195" cy="5994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219"/>
        <w:spacing w:after="0"/>
        <w:rPr>
          <w:sz w:val="20"/>
          <w:szCs w:val="20"/>
          <w:color w:val="auto"/>
        </w:rPr>
      </w:pPr>
      <w:r>
        <w:rPr>
          <w:rFonts w:ascii="Arial" w:cs="Arial" w:eastAsia="Arial" w:hAnsi="Arial"/>
          <w:sz w:val="28"/>
          <w:szCs w:val="28"/>
          <w:b w:val="1"/>
          <w:bCs w:val="1"/>
          <w:color w:val="auto"/>
        </w:rPr>
        <w:t>BellRing Brands, Inc.</w:t>
      </w:r>
    </w:p>
    <w:p>
      <w:pPr>
        <w:spacing w:after="0" w:line="121"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060"/>
          </w:cols>
          <w:pgMar w:left="300" w:top="1185" w:right="539" w:bottom="1440" w:gutter="0" w:footer="0" w:header="0"/>
        </w:sectPr>
      </w:pPr>
    </w:p>
    <w:p>
      <w:pPr>
        <w:spacing w:after="0" w:line="33"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001-39093</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2420"/>
        <w:spacing w:after="0"/>
        <w:rPr>
          <w:sz w:val="20"/>
          <w:szCs w:val="20"/>
          <w:color w:val="auto"/>
        </w:rPr>
      </w:pPr>
      <w:r>
        <w:rPr>
          <w:rFonts w:ascii="Arial" w:cs="Arial" w:eastAsia="Arial" w:hAnsi="Arial"/>
          <w:sz w:val="14"/>
          <w:szCs w:val="14"/>
          <w:b w:val="1"/>
          <w:bCs w:val="1"/>
          <w:color w:val="auto"/>
        </w:rPr>
        <w:t>83-4096323</w:t>
      </w:r>
    </w:p>
    <w:p>
      <w:pPr>
        <w:spacing w:after="0" w:line="42" w:lineRule="exact"/>
        <w:rPr>
          <w:sz w:val="24"/>
          <w:szCs w:val="24"/>
          <w:color w:val="auto"/>
        </w:rPr>
      </w:pPr>
    </w:p>
    <w:p>
      <w:pPr>
        <w:sectPr>
          <w:pgSz w:w="11900" w:h="16838" w:orient="portrait"/>
          <w:cols w:equalWidth="0" w:num="3">
            <w:col w:w="3900" w:space="720"/>
            <w:col w:w="2540" w:space="720"/>
            <w:col w:w="3180"/>
          </w:cols>
          <w:pgMar w:left="300" w:top="1185" w:right="539" w:bottom="1440" w:gutter="0" w:footer="0" w:header="0"/>
          <w:type w:val="continuous"/>
        </w:sectPr>
      </w:pPr>
    </w:p>
    <w:p>
      <w:pPr>
        <w:ind w:left="40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3440" w:space="720"/>
            <w:col w:w="2400" w:space="720"/>
            <w:col w:w="3780"/>
          </w:cols>
          <w:pgMar w:left="300" w:top="1185" w:right="539" w:bottom="1440" w:gutter="0" w:footer="0" w:header="0"/>
          <w:type w:val="continuous"/>
        </w:sectPr>
      </w:pPr>
    </w:p>
    <w:p>
      <w:pPr>
        <w:spacing w:after="0" w:line="85" w:lineRule="exact"/>
        <w:rPr>
          <w:sz w:val="24"/>
          <w:szCs w:val="24"/>
          <w:color w:val="auto"/>
        </w:rPr>
      </w:pPr>
    </w:p>
    <w:p>
      <w:pPr>
        <w:ind w:left="960"/>
        <w:spacing w:after="0"/>
        <w:rPr>
          <w:sz w:val="20"/>
          <w:szCs w:val="20"/>
          <w:color w:val="auto"/>
        </w:rPr>
      </w:pPr>
      <w:r>
        <w:rPr>
          <w:rFonts w:ascii="Arial" w:cs="Arial" w:eastAsia="Arial" w:hAnsi="Arial"/>
          <w:sz w:val="14"/>
          <w:szCs w:val="14"/>
          <w:b w:val="1"/>
          <w:bCs w:val="1"/>
          <w:color w:val="auto"/>
        </w:rPr>
        <w:t>2503 S. Hanley Road</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St. Louis</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Missouri</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63144</w:t>
      </w:r>
    </w:p>
    <w:p>
      <w:pPr>
        <w:spacing w:after="0" w:line="42" w:lineRule="exact"/>
        <w:rPr>
          <w:sz w:val="24"/>
          <w:szCs w:val="24"/>
          <w:color w:val="auto"/>
        </w:rPr>
      </w:pPr>
    </w:p>
    <w:p>
      <w:pPr>
        <w:sectPr>
          <w:pgSz w:w="11900" w:h="16838" w:orient="portrait"/>
          <w:cols w:equalWidth="0" w:num="4">
            <w:col w:w="3180" w:space="720"/>
            <w:col w:w="940" w:space="720"/>
            <w:col w:w="1780" w:space="720"/>
            <w:col w:w="3000"/>
          </w:cols>
          <w:pgMar w:left="300" w:top="1185" w:right="539" w:bottom="1440" w:gutter="0" w:footer="0" w:header="0"/>
          <w:type w:val="continuous"/>
        </w:sectPr>
      </w:pPr>
    </w:p>
    <w:p>
      <w:pPr>
        <w:ind w:left="2160"/>
        <w:spacing w:after="0"/>
        <w:tabs>
          <w:tab w:leader="none" w:pos="7920" w:val="left"/>
        </w:tabs>
        <w:rPr>
          <w:sz w:val="20"/>
          <w:szCs w:val="20"/>
          <w:color w:val="auto"/>
        </w:rPr>
      </w:pPr>
      <w:r>
        <w:rPr>
          <w:rFonts w:ascii="Arial" w:cs="Arial" w:eastAsia="Arial" w:hAnsi="Arial"/>
          <w:sz w:val="14"/>
          <w:szCs w:val="14"/>
          <w:color w:val="auto"/>
        </w:rPr>
        <w:t>(Address of Principal Executive Offices)</w:t>
      </w:r>
      <w:r>
        <w:rPr>
          <w:sz w:val="20"/>
          <w:szCs w:val="20"/>
          <w:color w:val="auto"/>
        </w:rPr>
        <w:tab/>
      </w:r>
      <w:r>
        <w:rPr>
          <w:rFonts w:ascii="Arial" w:cs="Arial" w:eastAsia="Arial" w:hAnsi="Arial"/>
          <w:sz w:val="13"/>
          <w:szCs w:val="13"/>
          <w:color w:val="auto"/>
        </w:rPr>
        <w:t>(Zip Code)</w:t>
      </w:r>
    </w:p>
    <w:p>
      <w:pPr>
        <w:sectPr>
          <w:pgSz w:w="11900" w:h="16838" w:orient="portrait"/>
          <w:cols w:equalWidth="0" w:num="1">
            <w:col w:w="11060"/>
          </w:cols>
          <w:pgMar w:left="300" w:top="1185" w:right="539" w:bottom="1440" w:gutter="0" w:footer="0" w:header="0"/>
          <w:type w:val="continuous"/>
        </w:sect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520" w:hanging="260"/>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93" w:lineRule="exact"/>
        <w:rPr>
          <w:rFonts w:ascii="MS PGothic" w:cs="MS PGothic" w:eastAsia="MS PGothic" w:hAnsi="MS PGothic"/>
          <w:sz w:val="14"/>
          <w:szCs w:val="14"/>
          <w:color w:val="auto"/>
        </w:rPr>
      </w:pPr>
    </w:p>
    <w:p>
      <w:pPr>
        <w:ind w:left="540" w:hanging="280"/>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93" w:lineRule="exact"/>
        <w:rPr>
          <w:rFonts w:ascii="MS PGothic" w:cs="MS PGothic" w:eastAsia="MS PGothic" w:hAnsi="MS PGothic"/>
          <w:sz w:val="14"/>
          <w:szCs w:val="14"/>
          <w:color w:val="auto"/>
        </w:rPr>
      </w:pPr>
    </w:p>
    <w:p>
      <w:pPr>
        <w:ind w:left="540" w:hanging="280"/>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93" w:lineRule="exact"/>
        <w:rPr>
          <w:rFonts w:ascii="MS PGothic" w:cs="MS PGothic" w:eastAsia="MS PGothic" w:hAnsi="MS PGothic"/>
          <w:sz w:val="14"/>
          <w:szCs w:val="14"/>
          <w:color w:val="auto"/>
        </w:rPr>
      </w:pPr>
    </w:p>
    <w:p>
      <w:pPr>
        <w:ind w:left="540" w:hanging="280"/>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44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170"/>
        </w:trPr>
        <w:tc>
          <w:tcPr>
            <w:tcW w:w="1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Title of each class</w:t>
            </w:r>
          </w:p>
        </w:tc>
        <w:tc>
          <w:tcPr>
            <w:tcW w:w="2020" w:type="dxa"/>
            <w:vAlign w:val="bottom"/>
          </w:tcPr>
          <w:p>
            <w:pPr>
              <w:spacing w:after="0"/>
              <w:rPr>
                <w:sz w:val="14"/>
                <w:szCs w:val="14"/>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color w:val="auto"/>
                <w:w w:val="92"/>
              </w:rPr>
              <w:t>Trading Symbol(s)</w:t>
            </w:r>
          </w:p>
        </w:tc>
        <w:tc>
          <w:tcPr>
            <w:tcW w:w="3160" w:type="dxa"/>
            <w:vAlign w:val="bottom"/>
            <w:gridSpan w:val="2"/>
          </w:tcPr>
          <w:p>
            <w:pPr>
              <w:jc w:val="center"/>
              <w:ind w:left="589"/>
              <w:spacing w:after="0"/>
              <w:rPr>
                <w:sz w:val="20"/>
                <w:szCs w:val="20"/>
                <w:color w:val="auto"/>
              </w:rPr>
            </w:pPr>
            <w:r>
              <w:rPr>
                <w:rFonts w:ascii="Arial" w:cs="Arial" w:eastAsia="Arial" w:hAnsi="Arial"/>
                <w:sz w:val="14"/>
                <w:szCs w:val="14"/>
                <w:color w:val="auto"/>
                <w:w w:val="90"/>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2"/>
        </w:trPr>
        <w:tc>
          <w:tcPr>
            <w:tcW w:w="44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Class A Common Stock, $0.01 par value per share</w:t>
            </w: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BRBR</w:t>
            </w:r>
          </w:p>
        </w:tc>
        <w:tc>
          <w:tcPr>
            <w:tcW w:w="6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0"/>
              </w:rPr>
              <w:t>New York Stock Exchange</w:t>
            </w:r>
          </w:p>
        </w:tc>
      </w:tr>
    </w:tbl>
    <w:p>
      <w:pPr>
        <w:spacing w:after="0" w:line="75" w:lineRule="exact"/>
        <w:rPr>
          <w:sz w:val="24"/>
          <w:szCs w:val="24"/>
          <w:color w:val="auto"/>
        </w:rPr>
      </w:pPr>
    </w:p>
    <w:p>
      <w:pPr>
        <w:ind w:right="36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873125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172720</wp:posOffset>
            </wp:positionV>
            <wp:extent cx="60502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0280" cy="698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193040</wp:posOffset>
            </wp:positionV>
            <wp:extent cx="60502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50280" cy="6985"/>
                    </a:xfrm>
                    <a:prstGeom prst="rect">
                      <a:avLst/>
                    </a:prstGeom>
                    <a:noFill/>
                  </pic:spPr>
                </pic:pic>
              </a:graphicData>
            </a:graphic>
          </wp:anchor>
        </w:drawing>
      </w:r>
    </w:p>
    <w:p>
      <w:pPr>
        <w:sectPr>
          <w:pgSz w:w="11900" w:h="16838" w:orient="portrait"/>
          <w:cols w:equalWidth="0" w:num="1">
            <w:col w:w="11060"/>
          </w:cols>
          <w:pgMar w:left="300" w:top="1185" w:right="539" w:bottom="1440" w:gutter="0" w:footer="0" w:header="0"/>
          <w:type w:val="continuous"/>
        </w:sectPr>
      </w:pPr>
    </w:p>
    <w:bookmarkStart w:id="1" w:name="page2"/>
    <w:bookmarkEnd w:id="1"/>
    <w:p>
      <w:pPr>
        <w:spacing w:after="0"/>
        <w:tabs>
          <w:tab w:leader="none" w:pos="760" w:val="left"/>
        </w:tabs>
        <w:rPr>
          <w:sz w:val="20"/>
          <w:szCs w:val="20"/>
          <w:color w:val="auto"/>
        </w:rPr>
      </w:pPr>
      <w:r>
        <w:rPr>
          <w:rFonts w:ascii="Arial" w:cs="Arial" w:eastAsia="Arial" w:hAnsi="Arial"/>
          <w:sz w:val="14"/>
          <w:szCs w:val="14"/>
          <w:b w:val="1"/>
          <w:bCs w:val="1"/>
          <w:color w:val="auto"/>
        </w:rPr>
        <w:t>Item 5.03.</w:t>
      </w:r>
      <w:r>
        <w:rPr>
          <w:sz w:val="20"/>
          <w:szCs w:val="20"/>
          <w:color w:val="auto"/>
        </w:rPr>
        <w:tab/>
      </w:r>
      <w:r>
        <w:rPr>
          <w:rFonts w:ascii="Arial" w:cs="Arial" w:eastAsia="Arial" w:hAnsi="Arial"/>
          <w:sz w:val="12"/>
          <w:szCs w:val="12"/>
          <w:b w:val="1"/>
          <w:bCs w:val="1"/>
          <w:color w:val="auto"/>
        </w:rPr>
        <w:t>Amendments to Articles of Incorporation or Bylaws; Change in Fiscal Year.</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4"/>
          <w:szCs w:val="14"/>
          <w:color w:val="auto"/>
        </w:rPr>
        <w:t>On January 18, 2021, the Board of Directors of BellRing approved the amendment and restatement of the Company’s Amended and Restated Bylaws (the “second Amended and Restated Bylaws”), effective January 18, 2021. The second Amended and Restated Bylaws revised Article l, Sections 1 and 2 of the Company’s Amended and Restated Bylaws to allow for the annual meeting of stockholders and special meetings of stockholders to be conducted by means of remote communication.</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The foregoing description of the second Amended and Restated Bylaws is only a summary of the principal features of the revisions made to the Company’s Amended and Restated Bylaws, does not purport to be complete and is qualified in its entirety by reference to the second Amended and Restated Bylaws, a copy of which is filed as Exhibit 3.1 hereto and a marked copy of which showing the amendments is filed as Exhibit 3.2 hereto, each of which is incorporated herein by reference.</w:t>
      </w:r>
    </w:p>
    <w:p>
      <w:pPr>
        <w:spacing w:after="0" w:line="159"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 Exhibits</w:t>
            </w: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360" w:type="dxa"/>
            <w:vAlign w:val="bottom"/>
          </w:tcPr>
          <w:p>
            <w:pPr>
              <w:spacing w:after="0"/>
              <w:rPr>
                <w:sz w:val="16"/>
                <w:szCs w:val="16"/>
                <w:color w:val="auto"/>
              </w:rPr>
            </w:pPr>
          </w:p>
        </w:tc>
      </w:tr>
      <w:tr>
        <w:trPr>
          <w:trHeight w:val="361"/>
        </w:trPr>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w w:val="94"/>
              </w:rPr>
              <w:t>Exhibit No.</w:t>
            </w:r>
          </w:p>
        </w:tc>
        <w:tc>
          <w:tcPr>
            <w:tcW w:w="800" w:type="dxa"/>
            <w:vAlign w:val="bottom"/>
          </w:tcPr>
          <w:p>
            <w:pPr>
              <w:spacing w:after="0"/>
              <w:rPr>
                <w:sz w:val="24"/>
                <w:szCs w:val="24"/>
                <w:color w:val="auto"/>
              </w:rPr>
            </w:pPr>
          </w:p>
        </w:tc>
        <w:tc>
          <w:tcPr>
            <w:tcW w:w="9800" w:type="dxa"/>
            <w:vAlign w:val="bottom"/>
            <w:gridSpan w:val="3"/>
          </w:tcPr>
          <w:p>
            <w:pPr>
              <w:ind w:left="780"/>
              <w:spacing w:after="0"/>
              <w:rPr>
                <w:sz w:val="20"/>
                <w:szCs w:val="20"/>
                <w:color w:val="auto"/>
              </w:rPr>
            </w:pPr>
            <w:r>
              <w:rPr>
                <w:rFonts w:ascii="Arial" w:cs="Arial" w:eastAsia="Arial" w:hAnsi="Arial"/>
                <w:sz w:val="14"/>
                <w:szCs w:val="14"/>
                <w:color w:val="auto"/>
              </w:rPr>
              <w:t>Description</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404"/>
        </w:trPr>
        <w:tc>
          <w:tcPr>
            <w:tcW w:w="680" w:type="dxa"/>
            <w:vAlign w:val="bottom"/>
            <w:gridSpan w:val="2"/>
          </w:tcPr>
          <w:p>
            <w:pPr>
              <w:ind w:left="20"/>
              <w:spacing w:after="0"/>
              <w:rPr>
                <w:sz w:val="20"/>
                <w:szCs w:val="20"/>
                <w:color w:val="auto"/>
              </w:rPr>
            </w:pPr>
            <w:r>
              <w:rPr>
                <w:rFonts w:ascii="Arial" w:cs="Arial" w:eastAsia="Arial" w:hAnsi="Arial"/>
                <w:sz w:val="14"/>
                <w:szCs w:val="14"/>
                <w:color w:val="auto"/>
              </w:rPr>
              <w:t>3.1</w:t>
            </w:r>
          </w:p>
        </w:tc>
        <w:tc>
          <w:tcPr>
            <w:tcW w:w="800" w:type="dxa"/>
            <w:vAlign w:val="bottom"/>
          </w:tcPr>
          <w:p>
            <w:pPr>
              <w:spacing w:after="0"/>
              <w:rPr>
                <w:sz w:val="24"/>
                <w:szCs w:val="24"/>
                <w:color w:val="auto"/>
              </w:rPr>
            </w:pPr>
          </w:p>
        </w:tc>
        <w:tc>
          <w:tcPr>
            <w:tcW w:w="9800" w:type="dxa"/>
            <w:vAlign w:val="bottom"/>
            <w:gridSpan w:val="3"/>
          </w:tcPr>
          <w:p>
            <w:pPr>
              <w:ind w:left="78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Amended and Restated Bylaws of BellRing Brands, Inc., effective January 18, 2021</w:t>
              </w:r>
            </w:hyperlink>
          </w:p>
        </w:tc>
      </w:tr>
      <w:tr>
        <w:trPr>
          <w:trHeight w:val="180"/>
        </w:trPr>
        <w:tc>
          <w:tcPr>
            <w:tcW w:w="680" w:type="dxa"/>
            <w:vAlign w:val="bottom"/>
            <w:gridSpan w:val="2"/>
          </w:tcPr>
          <w:p>
            <w:pPr>
              <w:ind w:left="20"/>
              <w:spacing w:after="0"/>
              <w:rPr>
                <w:sz w:val="20"/>
                <w:szCs w:val="20"/>
                <w:color w:val="auto"/>
              </w:rPr>
            </w:pPr>
            <w:r>
              <w:rPr>
                <w:rFonts w:ascii="Arial" w:cs="Arial" w:eastAsia="Arial" w:hAnsi="Arial"/>
                <w:sz w:val="14"/>
                <w:szCs w:val="14"/>
                <w:color w:val="auto"/>
              </w:rPr>
              <w:t>3.2</w:t>
            </w:r>
          </w:p>
        </w:tc>
        <w:tc>
          <w:tcPr>
            <w:tcW w:w="800" w:type="dxa"/>
            <w:vAlign w:val="bottom"/>
          </w:tcPr>
          <w:p>
            <w:pPr>
              <w:spacing w:after="0"/>
              <w:rPr>
                <w:sz w:val="15"/>
                <w:szCs w:val="15"/>
                <w:color w:val="auto"/>
              </w:rPr>
            </w:pPr>
          </w:p>
        </w:tc>
        <w:tc>
          <w:tcPr>
            <w:tcW w:w="9800" w:type="dxa"/>
            <w:vAlign w:val="bottom"/>
            <w:gridSpan w:val="3"/>
          </w:tcPr>
          <w:p>
            <w:pPr>
              <w:ind w:left="780"/>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Amended and Restated Bylaws of BellRing Brands, Inc., marked to show amendments, effective January 18, 2021</w:t>
              </w:r>
            </w:hyperlink>
          </w:p>
        </w:tc>
      </w:tr>
      <w:tr>
        <w:trPr>
          <w:trHeight w:val="180"/>
        </w:trPr>
        <w:tc>
          <w:tcPr>
            <w:tcW w:w="680" w:type="dxa"/>
            <w:vAlign w:val="bottom"/>
            <w:gridSpan w:val="2"/>
          </w:tcPr>
          <w:p>
            <w:pPr>
              <w:ind w:left="20"/>
              <w:spacing w:after="0"/>
              <w:rPr>
                <w:sz w:val="20"/>
                <w:szCs w:val="20"/>
                <w:color w:val="auto"/>
              </w:rPr>
            </w:pPr>
            <w:r>
              <w:rPr>
                <w:rFonts w:ascii="Arial" w:cs="Arial" w:eastAsia="Arial" w:hAnsi="Arial"/>
                <w:sz w:val="14"/>
                <w:szCs w:val="14"/>
                <w:color w:val="auto"/>
              </w:rPr>
              <w:t>104</w:t>
            </w:r>
          </w:p>
        </w:tc>
        <w:tc>
          <w:tcPr>
            <w:tcW w:w="800" w:type="dxa"/>
            <w:vAlign w:val="bottom"/>
          </w:tcPr>
          <w:p>
            <w:pPr>
              <w:spacing w:after="0"/>
              <w:rPr>
                <w:sz w:val="15"/>
                <w:szCs w:val="15"/>
                <w:color w:val="auto"/>
              </w:rPr>
            </w:pPr>
          </w:p>
        </w:tc>
        <w:tc>
          <w:tcPr>
            <w:tcW w:w="9800" w:type="dxa"/>
            <w:vAlign w:val="bottom"/>
            <w:gridSpan w:val="3"/>
          </w:tcPr>
          <w:p>
            <w:pPr>
              <w:ind w:left="780"/>
              <w:spacing w:after="0"/>
              <w:rPr>
                <w:sz w:val="20"/>
                <w:szCs w:val="20"/>
                <w:color w:val="auto"/>
              </w:rPr>
            </w:pPr>
            <w:r>
              <w:rPr>
                <w:rFonts w:ascii="Arial" w:cs="Arial" w:eastAsia="Arial" w:hAnsi="Arial"/>
                <w:sz w:val="14"/>
                <w:szCs w:val="14"/>
                <w:color w:val="auto"/>
              </w:rPr>
              <w:t>Cover Page Interactive Data File (the cover page iXBRL tags are embedded within the Inline XBRL document)</w:t>
            </w:r>
          </w:p>
        </w:tc>
      </w:tr>
      <w:tr>
        <w:trPr>
          <w:trHeight w:val="2569"/>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20" w:type="dxa"/>
            <w:vAlign w:val="bottom"/>
          </w:tcPr>
          <w:p>
            <w:pPr>
              <w:spacing w:after="0"/>
              <w:rPr>
                <w:sz w:val="20"/>
                <w:szCs w:val="20"/>
                <w:color w:val="auto"/>
              </w:rPr>
            </w:pPr>
            <w:r>
              <w:rPr>
                <w:rFonts w:ascii="Arial" w:cs="Arial" w:eastAsia="Arial" w:hAnsi="Arial"/>
                <w:sz w:val="14"/>
                <w:szCs w:val="14"/>
                <w:color w:val="auto"/>
              </w:rPr>
              <w:t>Date: January 19, 2021</w:t>
            </w:r>
          </w:p>
        </w:tc>
        <w:tc>
          <w:tcPr>
            <w:tcW w:w="7620" w:type="dxa"/>
            <w:vAlign w:val="bottom"/>
            <w:gridSpan w:val="2"/>
          </w:tcPr>
          <w:p>
            <w:pPr>
              <w:ind w:left="2100"/>
              <w:spacing w:after="0"/>
              <w:rPr>
                <w:sz w:val="20"/>
                <w:szCs w:val="20"/>
                <w:color w:val="auto"/>
              </w:rPr>
            </w:pPr>
            <w:r>
              <w:rPr>
                <w:rFonts w:ascii="Arial" w:cs="Arial" w:eastAsia="Arial" w:hAnsi="Arial"/>
                <w:sz w:val="14"/>
                <w:szCs w:val="14"/>
                <w:b w:val="1"/>
                <w:bCs w:val="1"/>
                <w:color w:val="auto"/>
              </w:rPr>
              <w:t>BellRing Brands, Inc.</w:t>
            </w:r>
          </w:p>
        </w:tc>
      </w:tr>
      <w:tr>
        <w:trPr>
          <w:trHeight w:val="265"/>
        </w:trPr>
        <w:tc>
          <w:tcPr>
            <w:tcW w:w="3420" w:type="dxa"/>
            <w:vAlign w:val="bottom"/>
          </w:tcPr>
          <w:p>
            <w:pPr>
              <w:spacing w:after="0"/>
              <w:rPr>
                <w:sz w:val="23"/>
                <w:szCs w:val="23"/>
                <w:color w:val="auto"/>
              </w:rPr>
            </w:pPr>
          </w:p>
        </w:tc>
        <w:tc>
          <w:tcPr>
            <w:tcW w:w="3020" w:type="dxa"/>
            <w:vAlign w:val="bottom"/>
          </w:tcPr>
          <w:p>
            <w:pPr>
              <w:ind w:left="2100"/>
              <w:spacing w:after="0"/>
              <w:rPr>
                <w:sz w:val="20"/>
                <w:szCs w:val="20"/>
                <w:color w:val="auto"/>
              </w:rPr>
            </w:pPr>
            <w:r>
              <w:rPr>
                <w:rFonts w:ascii="Arial" w:cs="Arial" w:eastAsia="Arial" w:hAnsi="Arial"/>
                <w:sz w:val="14"/>
                <w:szCs w:val="14"/>
                <w:color w:val="auto"/>
              </w:rPr>
              <w:t>(Registrant)</w:t>
            </w:r>
          </w:p>
        </w:tc>
        <w:tc>
          <w:tcPr>
            <w:tcW w:w="4600" w:type="dxa"/>
            <w:vAlign w:val="bottom"/>
          </w:tcPr>
          <w:p>
            <w:pPr>
              <w:spacing w:after="0"/>
              <w:rPr>
                <w:sz w:val="23"/>
                <w:szCs w:val="23"/>
                <w:color w:val="auto"/>
              </w:rPr>
            </w:pPr>
          </w:p>
        </w:tc>
      </w:tr>
      <w:tr>
        <w:trPr>
          <w:trHeight w:val="531"/>
        </w:trPr>
        <w:tc>
          <w:tcPr>
            <w:tcW w:w="3420" w:type="dxa"/>
            <w:vAlign w:val="bottom"/>
          </w:tcPr>
          <w:p>
            <w:pPr>
              <w:spacing w:after="0"/>
              <w:rPr>
                <w:sz w:val="24"/>
                <w:szCs w:val="24"/>
                <w:color w:val="auto"/>
              </w:rPr>
            </w:pPr>
          </w:p>
        </w:tc>
        <w:tc>
          <w:tcPr>
            <w:tcW w:w="3020" w:type="dxa"/>
            <w:vAlign w:val="bottom"/>
          </w:tcPr>
          <w:p>
            <w:pPr>
              <w:ind w:left="2100"/>
              <w:spacing w:after="0"/>
              <w:rPr>
                <w:sz w:val="20"/>
                <w:szCs w:val="20"/>
                <w:color w:val="auto"/>
              </w:rPr>
            </w:pPr>
            <w:r>
              <w:rPr>
                <w:rFonts w:ascii="Arial" w:cs="Arial" w:eastAsia="Arial" w:hAnsi="Arial"/>
                <w:sz w:val="14"/>
                <w:szCs w:val="14"/>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Craig L. Rosenthal</w:t>
            </w:r>
          </w:p>
        </w:tc>
      </w:tr>
      <w:tr>
        <w:trPr>
          <w:trHeight w:val="245"/>
        </w:trPr>
        <w:tc>
          <w:tcPr>
            <w:tcW w:w="3420" w:type="dxa"/>
            <w:vAlign w:val="bottom"/>
          </w:tcPr>
          <w:p>
            <w:pPr>
              <w:spacing w:after="0"/>
              <w:rPr>
                <w:sz w:val="21"/>
                <w:szCs w:val="21"/>
                <w:color w:val="auto"/>
              </w:rPr>
            </w:pPr>
          </w:p>
        </w:tc>
        <w:tc>
          <w:tcPr>
            <w:tcW w:w="3020" w:type="dxa"/>
            <w:vAlign w:val="bottom"/>
          </w:tcPr>
          <w:p>
            <w:pPr>
              <w:ind w:left="2100"/>
              <w:spacing w:after="0"/>
              <w:rPr>
                <w:sz w:val="20"/>
                <w:szCs w:val="20"/>
                <w:color w:val="auto"/>
              </w:rPr>
            </w:pPr>
            <w:r>
              <w:rPr>
                <w:rFonts w:ascii="Arial" w:cs="Arial" w:eastAsia="Arial" w:hAnsi="Arial"/>
                <w:sz w:val="14"/>
                <w:szCs w:val="14"/>
                <w:color w:val="auto"/>
              </w:rPr>
              <w:t>Name:</w:t>
            </w:r>
          </w:p>
        </w:tc>
        <w:tc>
          <w:tcPr>
            <w:tcW w:w="4600" w:type="dxa"/>
            <w:vAlign w:val="bottom"/>
          </w:tcPr>
          <w:p>
            <w:pPr>
              <w:spacing w:after="0"/>
              <w:rPr>
                <w:sz w:val="20"/>
                <w:szCs w:val="20"/>
                <w:color w:val="auto"/>
              </w:rPr>
            </w:pPr>
            <w:r>
              <w:rPr>
                <w:rFonts w:ascii="Arial" w:cs="Arial" w:eastAsia="Arial" w:hAnsi="Arial"/>
                <w:sz w:val="14"/>
                <w:szCs w:val="14"/>
                <w:color w:val="auto"/>
              </w:rPr>
              <w:t>Craig L. Rosenthal</w:t>
            </w:r>
          </w:p>
        </w:tc>
      </w:tr>
      <w:tr>
        <w:trPr>
          <w:trHeight w:val="180"/>
        </w:trPr>
        <w:tc>
          <w:tcPr>
            <w:tcW w:w="3420" w:type="dxa"/>
            <w:vAlign w:val="bottom"/>
          </w:tcPr>
          <w:p>
            <w:pPr>
              <w:spacing w:after="0"/>
              <w:rPr>
                <w:sz w:val="15"/>
                <w:szCs w:val="15"/>
                <w:color w:val="auto"/>
              </w:rPr>
            </w:pPr>
          </w:p>
        </w:tc>
        <w:tc>
          <w:tcPr>
            <w:tcW w:w="3020" w:type="dxa"/>
            <w:vAlign w:val="bottom"/>
          </w:tcPr>
          <w:p>
            <w:pPr>
              <w:ind w:left="2100"/>
              <w:spacing w:after="0"/>
              <w:rPr>
                <w:sz w:val="20"/>
                <w:szCs w:val="20"/>
                <w:color w:val="auto"/>
              </w:rPr>
            </w:pPr>
            <w:r>
              <w:rPr>
                <w:rFonts w:ascii="Arial" w:cs="Arial" w:eastAsia="Arial" w:hAnsi="Arial"/>
                <w:sz w:val="14"/>
                <w:szCs w:val="14"/>
                <w:color w:val="auto"/>
              </w:rPr>
              <w:t>Title:</w:t>
            </w:r>
          </w:p>
        </w:tc>
        <w:tc>
          <w:tcPr>
            <w:tcW w:w="4600" w:type="dxa"/>
            <w:vAlign w:val="bottom"/>
          </w:tcPr>
          <w:p>
            <w:pPr>
              <w:spacing w:after="0"/>
              <w:rPr>
                <w:sz w:val="20"/>
                <w:szCs w:val="20"/>
                <w:color w:val="auto"/>
              </w:rPr>
            </w:pPr>
            <w:r>
              <w:rPr>
                <w:rFonts w:ascii="Arial" w:cs="Arial" w:eastAsia="Arial" w:hAnsi="Arial"/>
                <w:sz w:val="14"/>
                <w:szCs w:val="14"/>
                <w:color w:val="auto"/>
              </w:rPr>
              <w:t>SVP, General Counsel and Secretary</w:t>
            </w:r>
          </w:p>
        </w:tc>
      </w:tr>
    </w:tbl>
    <w:p>
      <w:pPr>
        <w:sectPr>
          <w:pgSz w:w="11900" w:h="16838" w:orient="portrait"/>
          <w:cols w:equalWidth="0" w:num="1">
            <w:col w:w="11060"/>
          </w:cols>
          <w:pgMar w:left="300" w:top="1338" w:right="5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2021-01-19T16:06:45Z</dcterms:created>
  <dcterms:modified xsi:type="dcterms:W3CDTF">2021-01-19T16:06:45Z</dcterms:modified>
</cp:coreProperties>
</file>