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162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&amp; SECRETARY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4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7,056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7,056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24.82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14,113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-2287905</wp:posOffset>
            </wp:positionV>
            <wp:extent cx="29210" cy="2292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to purchase 21,169 shares of BellRing Brands, Inc. Class A common stock was awarded under the BellRing Brands, Inc. 2019 Long-Term Incentive Plan in a transaction exempt under Rule 16b-3 and vest in equal annual installments over three years.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Craig L. Rosenthal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11/24/2021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2021-11-24T15:36:07Z</dcterms:created>
  <dcterms:modified xsi:type="dcterms:W3CDTF">2021-11-24T15:36:07Z</dcterms:modified>
</cp:coreProperties>
</file>