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Amendment No. 3 to confidential submission</w:t>
      </w:r>
    </w:p>
    <w:p>
      <w:pPr>
        <w:jc w:val="center"/>
        <w:ind w:right="-179"/>
        <w:spacing w:after="0" w:line="223" w:lineRule="auto"/>
        <w:rPr>
          <w:sz w:val="20"/>
          <w:szCs w:val="20"/>
          <w:color w:val="auto"/>
        </w:rPr>
      </w:pPr>
      <w:r>
        <w:rPr>
          <w:rFonts w:ascii="Arial" w:cs="Arial" w:eastAsia="Arial" w:hAnsi="Arial"/>
          <w:sz w:val="14"/>
          <w:szCs w:val="14"/>
          <w:b w:val="1"/>
          <w:bCs w:val="1"/>
          <w:color w:val="auto"/>
        </w:rPr>
        <w:t>As confidentially submitted to the Securities and Exchange Commission on August 23, 2019.</w:t>
      </w:r>
    </w:p>
    <w:p>
      <w:pPr>
        <w:jc w:val="center"/>
        <w:ind w:right="-179"/>
        <w:spacing w:after="0" w:line="222"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w:t>
      </w:r>
    </w:p>
    <w:p>
      <w:pPr>
        <w:jc w:val="center"/>
        <w:ind w:right="-179"/>
        <w:spacing w:after="0" w:line="221" w:lineRule="auto"/>
        <w:rPr>
          <w:sz w:val="20"/>
          <w:szCs w:val="20"/>
          <w:color w:val="auto"/>
        </w:rPr>
      </w:pPr>
      <w:r>
        <w:rPr>
          <w:rFonts w:ascii="Arial" w:cs="Arial" w:eastAsia="Arial" w:hAnsi="Arial"/>
          <w:sz w:val="14"/>
          <w:szCs w:val="14"/>
          <w:b w:val="1"/>
          <w:bCs w:val="1"/>
          <w:color w:val="auto"/>
        </w:rPr>
        <w:t>information herein remains strictly confidential.</w:t>
      </w:r>
    </w:p>
    <w:p>
      <w:pPr>
        <w:ind w:left="96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S-1</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REGISTRATION STATEMENT</w:t>
      </w:r>
    </w:p>
    <w:p>
      <w:pPr>
        <w:jc w:val="center"/>
        <w:ind w:right="-179"/>
        <w:spacing w:after="0" w:line="221" w:lineRule="auto"/>
        <w:rPr>
          <w:sz w:val="20"/>
          <w:szCs w:val="20"/>
          <w:color w:val="auto"/>
        </w:rPr>
      </w:pPr>
      <w:r>
        <w:rPr>
          <w:rFonts w:ascii="Arial" w:cs="Arial" w:eastAsia="Arial" w:hAnsi="Arial"/>
          <w:sz w:val="14"/>
          <w:szCs w:val="14"/>
          <w:b w:val="1"/>
          <w:bCs w:val="1"/>
          <w:i w:val="1"/>
          <w:iCs w:val="1"/>
          <w:color w:val="auto"/>
        </w:rPr>
        <w:t>UNDER</w:t>
      </w:r>
    </w:p>
    <w:p>
      <w:pPr>
        <w:jc w:val="center"/>
        <w:ind w:right="-17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81915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BellRing Brands,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2640" w:type="dxa"/>
            <w:vAlign w:val="bottom"/>
          </w:tcPr>
          <w:p>
            <w:pPr>
              <w:jc w:val="center"/>
              <w:ind w:right="1079"/>
              <w:spacing w:after="0"/>
              <w:rPr>
                <w:sz w:val="20"/>
                <w:szCs w:val="20"/>
                <w:color w:val="auto"/>
              </w:rPr>
            </w:pPr>
            <w:r>
              <w:rPr>
                <w:rFonts w:ascii="Arial" w:cs="Arial" w:eastAsia="Arial" w:hAnsi="Arial"/>
                <w:sz w:val="14"/>
                <w:szCs w:val="14"/>
                <w:b w:val="1"/>
                <w:bCs w:val="1"/>
                <w:color w:val="auto"/>
                <w:w w:val="87"/>
              </w:rPr>
              <w:t>Delaware</w:t>
            </w:r>
          </w:p>
        </w:tc>
        <w:tc>
          <w:tcPr>
            <w:tcW w:w="382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2000</w:t>
            </w:r>
          </w:p>
        </w:tc>
        <w:tc>
          <w:tcPr>
            <w:tcW w:w="2140" w:type="dxa"/>
            <w:vAlign w:val="bottom"/>
          </w:tcPr>
          <w:p>
            <w:pPr>
              <w:jc w:val="center"/>
              <w:ind w:left="1159"/>
              <w:spacing w:after="0"/>
              <w:rPr>
                <w:sz w:val="20"/>
                <w:szCs w:val="20"/>
                <w:color w:val="auto"/>
              </w:rPr>
            </w:pPr>
            <w:r>
              <w:rPr>
                <w:rFonts w:ascii="Arial" w:cs="Arial" w:eastAsia="Arial" w:hAnsi="Arial"/>
                <w:sz w:val="14"/>
                <w:szCs w:val="14"/>
                <w:b w:val="1"/>
                <w:bCs w:val="1"/>
                <w:color w:val="auto"/>
                <w:w w:val="85"/>
              </w:rPr>
              <w:t>83-4096323</w:t>
            </w:r>
          </w:p>
        </w:tc>
      </w:tr>
      <w:tr>
        <w:trPr>
          <w:trHeight w:val="135"/>
        </w:trPr>
        <w:tc>
          <w:tcPr>
            <w:tcW w:w="2640" w:type="dxa"/>
            <w:vAlign w:val="bottom"/>
          </w:tcPr>
          <w:p>
            <w:pPr>
              <w:jc w:val="center"/>
              <w:ind w:right="1079"/>
              <w:spacing w:after="0" w:line="135" w:lineRule="exact"/>
              <w:rPr>
                <w:sz w:val="20"/>
                <w:szCs w:val="20"/>
                <w:color w:val="auto"/>
              </w:rPr>
            </w:pPr>
            <w:r>
              <w:rPr>
                <w:rFonts w:ascii="Arial" w:cs="Arial" w:eastAsia="Arial" w:hAnsi="Arial"/>
                <w:sz w:val="12"/>
                <w:szCs w:val="12"/>
                <w:b w:val="1"/>
                <w:bCs w:val="1"/>
                <w:color w:val="auto"/>
                <w:w w:val="88"/>
              </w:rPr>
              <w:t>(State or other jurisdiction of</w:t>
            </w:r>
          </w:p>
        </w:tc>
        <w:tc>
          <w:tcPr>
            <w:tcW w:w="3820" w:type="dxa"/>
            <w:vAlign w:val="bottom"/>
          </w:tcPr>
          <w:p>
            <w:pPr>
              <w:jc w:val="center"/>
              <w:ind w:right="19"/>
              <w:spacing w:after="0" w:line="135" w:lineRule="exact"/>
              <w:rPr>
                <w:sz w:val="20"/>
                <w:szCs w:val="20"/>
                <w:color w:val="auto"/>
              </w:rPr>
            </w:pPr>
            <w:r>
              <w:rPr>
                <w:rFonts w:ascii="Arial" w:cs="Arial" w:eastAsia="Arial" w:hAnsi="Arial"/>
                <w:sz w:val="12"/>
                <w:szCs w:val="12"/>
                <w:b w:val="1"/>
                <w:bCs w:val="1"/>
                <w:color w:val="auto"/>
                <w:w w:val="92"/>
              </w:rPr>
              <w:t>(Primary Standard Industrial</w:t>
            </w:r>
          </w:p>
        </w:tc>
        <w:tc>
          <w:tcPr>
            <w:tcW w:w="2140" w:type="dxa"/>
            <w:vAlign w:val="bottom"/>
          </w:tcPr>
          <w:p>
            <w:pPr>
              <w:jc w:val="center"/>
              <w:ind w:left="1159"/>
              <w:spacing w:after="0" w:line="135" w:lineRule="exact"/>
              <w:rPr>
                <w:sz w:val="20"/>
                <w:szCs w:val="20"/>
                <w:color w:val="auto"/>
              </w:rPr>
            </w:pPr>
            <w:r>
              <w:rPr>
                <w:rFonts w:ascii="Arial" w:cs="Arial" w:eastAsia="Arial" w:hAnsi="Arial"/>
                <w:sz w:val="12"/>
                <w:szCs w:val="12"/>
                <w:b w:val="1"/>
                <w:bCs w:val="1"/>
                <w:color w:val="auto"/>
                <w:w w:val="91"/>
              </w:rPr>
              <w:t>(I.R.S. Employer</w:t>
            </w:r>
          </w:p>
        </w:tc>
      </w:tr>
      <w:tr>
        <w:trPr>
          <w:trHeight w:val="150"/>
        </w:trPr>
        <w:tc>
          <w:tcPr>
            <w:tcW w:w="2640" w:type="dxa"/>
            <w:vAlign w:val="bottom"/>
          </w:tcPr>
          <w:p>
            <w:pPr>
              <w:jc w:val="center"/>
              <w:ind w:right="1059"/>
              <w:spacing w:after="0"/>
              <w:rPr>
                <w:sz w:val="20"/>
                <w:szCs w:val="20"/>
                <w:color w:val="auto"/>
              </w:rPr>
            </w:pPr>
            <w:r>
              <w:rPr>
                <w:rFonts w:ascii="Arial" w:cs="Arial" w:eastAsia="Arial" w:hAnsi="Arial"/>
                <w:sz w:val="12"/>
                <w:szCs w:val="12"/>
                <w:b w:val="1"/>
                <w:bCs w:val="1"/>
                <w:color w:val="auto"/>
                <w:w w:val="88"/>
              </w:rPr>
              <w:t>incorporation or organization)</w:t>
            </w:r>
          </w:p>
        </w:tc>
        <w:tc>
          <w:tcPr>
            <w:tcW w:w="3820" w:type="dxa"/>
            <w:vAlign w:val="bottom"/>
          </w:tcPr>
          <w:p>
            <w:pPr>
              <w:jc w:val="center"/>
              <w:ind w:right="19"/>
              <w:spacing w:after="0"/>
              <w:rPr>
                <w:sz w:val="20"/>
                <w:szCs w:val="20"/>
                <w:color w:val="auto"/>
              </w:rPr>
            </w:pPr>
            <w:r>
              <w:rPr>
                <w:rFonts w:ascii="Arial" w:cs="Arial" w:eastAsia="Arial" w:hAnsi="Arial"/>
                <w:sz w:val="12"/>
                <w:szCs w:val="12"/>
                <w:b w:val="1"/>
                <w:bCs w:val="1"/>
                <w:color w:val="auto"/>
                <w:w w:val="88"/>
              </w:rPr>
              <w:t>Classification Code Number)</w:t>
            </w:r>
          </w:p>
        </w:tc>
        <w:tc>
          <w:tcPr>
            <w:tcW w:w="2140" w:type="dxa"/>
            <w:vAlign w:val="bottom"/>
          </w:tcPr>
          <w:p>
            <w:pPr>
              <w:jc w:val="center"/>
              <w:ind w:left="1159"/>
              <w:spacing w:after="0"/>
              <w:rPr>
                <w:sz w:val="20"/>
                <w:szCs w:val="20"/>
                <w:color w:val="auto"/>
              </w:rPr>
            </w:pPr>
            <w:r>
              <w:rPr>
                <w:rFonts w:ascii="Arial" w:cs="Arial" w:eastAsia="Arial" w:hAnsi="Arial"/>
                <w:sz w:val="12"/>
                <w:szCs w:val="12"/>
                <w:b w:val="1"/>
                <w:bCs w:val="1"/>
                <w:color w:val="auto"/>
                <w:w w:val="90"/>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98425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2503 S. Hanley Road</w:t>
      </w:r>
    </w:p>
    <w:p>
      <w:pPr>
        <w:jc w:val="center"/>
        <w:ind w:right="-179"/>
        <w:spacing w:after="0" w:line="223"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6" w:lineRule="auto"/>
        <w:rPr>
          <w:sz w:val="20"/>
          <w:szCs w:val="20"/>
          <w:color w:val="auto"/>
        </w:rPr>
      </w:pPr>
      <w:r>
        <w:rPr>
          <w:rFonts w:ascii="Arial" w:cs="Arial" w:eastAsia="Arial" w:hAnsi="Arial"/>
          <w:sz w:val="14"/>
          <w:szCs w:val="14"/>
          <w:b w:val="1"/>
          <w:bCs w:val="1"/>
          <w:color w:val="auto"/>
        </w:rPr>
        <w:t>(314) 644-7600</w:t>
      </w:r>
    </w:p>
    <w:p>
      <w:pPr>
        <w:jc w:val="center"/>
        <w:ind w:right="-17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Darcy Horn Davenport</w:t>
      </w:r>
    </w:p>
    <w:p>
      <w:pPr>
        <w:jc w:val="center"/>
        <w:ind w:right="-17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BellRing Brands, Inc.</w:t>
      </w:r>
    </w:p>
    <w:p>
      <w:pPr>
        <w:jc w:val="center"/>
        <w:ind w:right="-179"/>
        <w:spacing w:after="0" w:line="221" w:lineRule="auto"/>
        <w:rPr>
          <w:sz w:val="20"/>
          <w:szCs w:val="20"/>
          <w:color w:val="auto"/>
        </w:rPr>
      </w:pPr>
      <w:r>
        <w:rPr>
          <w:rFonts w:ascii="Arial" w:cs="Arial" w:eastAsia="Arial" w:hAnsi="Arial"/>
          <w:sz w:val="14"/>
          <w:szCs w:val="14"/>
          <w:b w:val="1"/>
          <w:bCs w:val="1"/>
          <w:color w:val="auto"/>
        </w:rPr>
        <w:t>2503 S. Hanley Road</w:t>
      </w:r>
    </w:p>
    <w:p>
      <w:pPr>
        <w:jc w:val="center"/>
        <w:ind w:right="-179"/>
        <w:spacing w:after="0" w:line="222" w:lineRule="auto"/>
        <w:rPr>
          <w:sz w:val="20"/>
          <w:szCs w:val="20"/>
          <w:color w:val="auto"/>
        </w:rPr>
      </w:pPr>
      <w:r>
        <w:rPr>
          <w:rFonts w:ascii="Arial" w:cs="Arial" w:eastAsia="Arial" w:hAnsi="Arial"/>
          <w:sz w:val="14"/>
          <w:szCs w:val="14"/>
          <w:b w:val="1"/>
          <w:bCs w:val="1"/>
          <w:color w:val="auto"/>
        </w:rPr>
        <w:t>St. Louis, Missouri 63144</w:t>
      </w:r>
    </w:p>
    <w:p>
      <w:pPr>
        <w:jc w:val="center"/>
        <w:ind w:right="-179"/>
        <w:spacing w:after="0" w:line="225" w:lineRule="auto"/>
        <w:rPr>
          <w:sz w:val="20"/>
          <w:szCs w:val="20"/>
          <w:color w:val="auto"/>
        </w:rPr>
      </w:pPr>
      <w:r>
        <w:rPr>
          <w:rFonts w:ascii="Arial" w:cs="Arial" w:eastAsia="Arial" w:hAnsi="Arial"/>
          <w:sz w:val="14"/>
          <w:szCs w:val="14"/>
          <w:b w:val="1"/>
          <w:bCs w:val="1"/>
          <w:color w:val="auto"/>
        </w:rPr>
        <w:t>Telephone: (314) 644-7600</w:t>
      </w:r>
    </w:p>
    <w:p>
      <w:pPr>
        <w:jc w:val="center"/>
        <w:ind w:right="-17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81280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4"/>
          <w:szCs w:val="24"/>
          <w:color w:val="auto"/>
        </w:rPr>
      </w:pPr>
    </w:p>
    <w:tbl>
      <w:tblPr>
        <w:tblLayout w:type="fixed"/>
        <w:tblInd w:w="106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346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Copies to:</w:t>
            </w:r>
          </w:p>
        </w:tc>
        <w:tc>
          <w:tcPr>
            <w:tcW w:w="2880" w:type="dxa"/>
            <w:vAlign w:val="bottom"/>
          </w:tcPr>
          <w:p>
            <w:pPr>
              <w:spacing w:after="0"/>
              <w:rPr>
                <w:sz w:val="14"/>
                <w:szCs w:val="14"/>
                <w:color w:val="auto"/>
              </w:rPr>
            </w:pPr>
          </w:p>
        </w:tc>
      </w:tr>
      <w:tr>
        <w:trPr>
          <w:trHeight w:val="190"/>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Tom W. Zook</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0"/>
              </w:rPr>
              <w:t>Diedre J. Gray</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Ian D. Schuman</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90"/>
              </w:rPr>
              <w:t>Lewis Rice LLC</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Post Holdings, Inc.</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Benjamin D. Stern</w:t>
            </w:r>
          </w:p>
        </w:tc>
      </w:tr>
      <w:tr>
        <w:trPr>
          <w:trHeight w:val="149"/>
        </w:trPr>
        <w:tc>
          <w:tcPr>
            <w:tcW w:w="3020" w:type="dxa"/>
            <w:vAlign w:val="bottom"/>
          </w:tcPr>
          <w:p>
            <w:pPr>
              <w:jc w:val="center"/>
              <w:ind w:right="912"/>
              <w:spacing w:after="0" w:line="149" w:lineRule="exact"/>
              <w:rPr>
                <w:sz w:val="20"/>
                <w:szCs w:val="20"/>
                <w:color w:val="auto"/>
              </w:rPr>
            </w:pPr>
            <w:r>
              <w:rPr>
                <w:rFonts w:ascii="Arial" w:cs="Arial" w:eastAsia="Arial" w:hAnsi="Arial"/>
                <w:sz w:val="14"/>
                <w:szCs w:val="14"/>
                <w:b w:val="1"/>
                <w:bCs w:val="1"/>
                <w:color w:val="auto"/>
                <w:w w:val="85"/>
              </w:rPr>
              <w:t>600 Washington Avenue, Suite 2500</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2503 S. Hanley Road</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92"/>
              </w:rPr>
              <w:t>Latham &amp; Watkins LLP</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7"/>
              </w:rPr>
              <w:t>St. Louis, Missouri 63101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 Louis, Missouri 63144</w:t>
            </w:r>
          </w:p>
        </w:tc>
        <w:tc>
          <w:tcPr>
            <w:tcW w:w="288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885 Third Avenue</w:t>
            </w:r>
          </w:p>
        </w:tc>
      </w:tr>
      <w:tr>
        <w:trPr>
          <w:trHeight w:val="149"/>
        </w:trPr>
        <w:tc>
          <w:tcPr>
            <w:tcW w:w="30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6"/>
              </w:rPr>
              <w:t>Telephone: (314) 444-7671</w:t>
            </w:r>
          </w:p>
        </w:tc>
        <w:tc>
          <w:tcPr>
            <w:tcW w:w="3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Telephone: (314) 644-7600</w:t>
            </w:r>
          </w:p>
        </w:tc>
        <w:tc>
          <w:tcPr>
            <w:tcW w:w="2880" w:type="dxa"/>
            <w:vAlign w:val="bottom"/>
          </w:tcPr>
          <w:p>
            <w:pPr>
              <w:jc w:val="center"/>
              <w:ind w:left="912"/>
              <w:spacing w:after="0" w:line="149" w:lineRule="exact"/>
              <w:rPr>
                <w:sz w:val="20"/>
                <w:szCs w:val="20"/>
                <w:color w:val="auto"/>
              </w:rPr>
            </w:pPr>
            <w:r>
              <w:rPr>
                <w:rFonts w:ascii="Arial" w:cs="Arial" w:eastAsia="Arial" w:hAnsi="Arial"/>
                <w:sz w:val="14"/>
                <w:szCs w:val="14"/>
                <w:b w:val="1"/>
                <w:bCs w:val="1"/>
                <w:color w:val="auto"/>
                <w:w w:val="88"/>
              </w:rPr>
              <w:t>New York, New York 10022-4834</w:t>
            </w:r>
          </w:p>
        </w:tc>
      </w:tr>
      <w:tr>
        <w:trPr>
          <w:trHeight w:val="174"/>
        </w:trPr>
        <w:tc>
          <w:tcPr>
            <w:tcW w:w="3020" w:type="dxa"/>
            <w:vAlign w:val="bottom"/>
          </w:tcPr>
          <w:p>
            <w:pPr>
              <w:jc w:val="center"/>
              <w:ind w:right="932"/>
              <w:spacing w:after="0"/>
              <w:rPr>
                <w:sz w:val="20"/>
                <w:szCs w:val="20"/>
                <w:color w:val="auto"/>
              </w:rPr>
            </w:pPr>
            <w:r>
              <w:rPr>
                <w:rFonts w:ascii="Arial" w:cs="Arial" w:eastAsia="Arial" w:hAnsi="Arial"/>
                <w:sz w:val="14"/>
                <w:szCs w:val="14"/>
                <w:b w:val="1"/>
                <w:bCs w:val="1"/>
                <w:color w:val="auto"/>
                <w:w w:val="88"/>
              </w:rPr>
              <w:t>Fax: (314) 612-7671</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8"/>
              </w:rPr>
              <w:t>Fax: (314) 646-3367</w:t>
            </w:r>
          </w:p>
        </w:tc>
        <w:tc>
          <w:tcPr>
            <w:tcW w:w="2880" w:type="dxa"/>
            <w:vAlign w:val="bottom"/>
          </w:tcPr>
          <w:p>
            <w:pPr>
              <w:jc w:val="center"/>
              <w:ind w:left="892"/>
              <w:spacing w:after="0"/>
              <w:rPr>
                <w:sz w:val="20"/>
                <w:szCs w:val="20"/>
                <w:color w:val="auto"/>
              </w:rPr>
            </w:pPr>
            <w:r>
              <w:rPr>
                <w:rFonts w:ascii="Arial" w:cs="Arial" w:eastAsia="Arial" w:hAnsi="Arial"/>
                <w:sz w:val="14"/>
                <w:szCs w:val="14"/>
                <w:b w:val="1"/>
                <w:bCs w:val="1"/>
                <w:color w:val="auto"/>
                <w:w w:val="87"/>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public: </w:t>
      </w:r>
      <w:r>
        <w:rPr>
          <w:rFonts w:ascii="Arial" w:cs="Arial" w:eastAsia="Arial" w:hAnsi="Arial"/>
          <w:sz w:val="14"/>
          <w:szCs w:val="14"/>
          <w:color w:val="auto"/>
        </w:rPr>
        <w:t>As soon as practicable after this Registration Statement becomes effective.</w:t>
      </w:r>
    </w:p>
    <w:p>
      <w:pPr>
        <w:spacing w:after="0" w:line="19" w:lineRule="exact"/>
        <w:rPr>
          <w:sz w:val="24"/>
          <w:szCs w:val="24"/>
          <w:color w:val="auto"/>
        </w:rPr>
      </w:pPr>
    </w:p>
    <w:p>
      <w:pPr>
        <w:ind w:left="54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90" w:lineRule="exact"/>
        <w:rPr>
          <w:sz w:val="24"/>
          <w:szCs w:val="24"/>
          <w:color w:val="auto"/>
        </w:rPr>
      </w:pPr>
    </w:p>
    <w:p>
      <w:pPr>
        <w:ind w:left="200" w:right="120" w:firstLine="331"/>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300" w:firstLine="331"/>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 w:lineRule="exact"/>
        <w:rPr>
          <w:sz w:val="24"/>
          <w:szCs w:val="24"/>
          <w:color w:val="auto"/>
        </w:rPr>
      </w:pPr>
    </w:p>
    <w:p>
      <w:pPr>
        <w:ind w:left="200" w:right="600" w:firstLine="331"/>
        <w:spacing w:after="0" w:line="29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58"/>
        </w:trPr>
        <w:tc>
          <w:tcPr>
            <w:tcW w:w="1560" w:type="dxa"/>
            <w:vAlign w:val="bottom"/>
          </w:tcPr>
          <w:p>
            <w:pPr>
              <w:spacing w:after="0" w:line="158" w:lineRule="exact"/>
              <w:rPr>
                <w:sz w:val="20"/>
                <w:szCs w:val="20"/>
                <w:color w:val="auto"/>
              </w:rPr>
            </w:pPr>
            <w:r>
              <w:rPr>
                <w:rFonts w:ascii="Arial" w:cs="Arial" w:eastAsia="Arial" w:hAnsi="Arial"/>
                <w:sz w:val="14"/>
                <w:szCs w:val="14"/>
                <w:color w:val="auto"/>
              </w:rPr>
              <w:t>Large 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58" w:lineRule="exact"/>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56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38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40"/>
              <w:spacing w:after="0" w:line="149" w:lineRule="exact"/>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180" w:type="dxa"/>
            <w:vAlign w:val="bottom"/>
          </w:tcPr>
          <w:p>
            <w:pPr>
              <w:ind w:left="334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 w:lineRule="exact"/>
        <w:rPr>
          <w:sz w:val="24"/>
          <w:szCs w:val="24"/>
          <w:color w:val="auto"/>
        </w:rPr>
      </w:pPr>
    </w:p>
    <w:p>
      <w:pPr>
        <w:ind w:left="200" w:right="160" w:firstLine="331"/>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69215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4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2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07"/>
        </w:trPr>
        <w:tc>
          <w:tcPr>
            <w:tcW w:w="20" w:type="dxa"/>
            <w:vAlign w:val="bottom"/>
          </w:tcPr>
          <w:p>
            <w:pPr>
              <w:spacing w:after="0"/>
              <w:rPr>
                <w:sz w:val="9"/>
                <w:szCs w:val="9"/>
                <w:color w:val="auto"/>
              </w:rPr>
            </w:pPr>
          </w:p>
        </w:tc>
        <w:tc>
          <w:tcPr>
            <w:tcW w:w="728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jc w:val="center"/>
              <w:ind w:left="20"/>
              <w:spacing w:after="0" w:line="107" w:lineRule="exact"/>
              <w:rPr>
                <w:sz w:val="20"/>
                <w:szCs w:val="20"/>
                <w:color w:val="auto"/>
              </w:rPr>
            </w:pPr>
            <w:r>
              <w:rPr>
                <w:rFonts w:ascii="Arial" w:cs="Arial" w:eastAsia="Arial" w:hAnsi="Arial"/>
                <w:sz w:val="12"/>
                <w:szCs w:val="12"/>
                <w:b w:val="1"/>
                <w:bCs w:val="1"/>
                <w:color w:val="auto"/>
                <w:w w:val="86"/>
              </w:rPr>
              <w:t>Proposed</w:t>
            </w:r>
          </w:p>
        </w:tc>
        <w:tc>
          <w:tcPr>
            <w:tcW w:w="18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93"/>
              </w:rPr>
              <w:t>Maximum</w:t>
            </w:r>
          </w:p>
        </w:tc>
        <w:tc>
          <w:tcPr>
            <w:tcW w:w="18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2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Title of Each Class of</w:t>
            </w:r>
          </w:p>
        </w:tc>
        <w:tc>
          <w:tcPr>
            <w:tcW w:w="18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87"/>
              </w:rPr>
              <w:t>Aggregate</w:t>
            </w:r>
          </w:p>
        </w:tc>
        <w:tc>
          <w:tcPr>
            <w:tcW w:w="1860" w:type="dxa"/>
            <w:vAlign w:val="bottom"/>
          </w:tcPr>
          <w:p>
            <w:pPr>
              <w:jc w:val="center"/>
              <w:ind w:left="19"/>
              <w:spacing w:after="0" w:line="135" w:lineRule="exact"/>
              <w:rPr>
                <w:sz w:val="20"/>
                <w:szCs w:val="20"/>
                <w:color w:val="auto"/>
              </w:rPr>
            </w:pPr>
            <w:r>
              <w:rPr>
                <w:rFonts w:ascii="Arial" w:cs="Arial" w:eastAsia="Arial" w:hAnsi="Arial"/>
                <w:sz w:val="12"/>
                <w:szCs w:val="12"/>
                <w:b w:val="1"/>
                <w:bCs w:val="1"/>
                <w:color w:val="auto"/>
                <w:w w:val="89"/>
              </w:rPr>
              <w:t>Amount of</w:t>
            </w:r>
          </w:p>
        </w:tc>
      </w:tr>
      <w:tr>
        <w:trPr>
          <w:trHeight w:val="153"/>
        </w:trPr>
        <w:tc>
          <w:tcPr>
            <w:tcW w:w="20" w:type="dxa"/>
            <w:vAlign w:val="bottom"/>
          </w:tcPr>
          <w:p>
            <w:pPr>
              <w:spacing w:after="0"/>
              <w:rPr>
                <w:sz w:val="13"/>
                <w:szCs w:val="13"/>
                <w:color w:val="auto"/>
              </w:rPr>
            </w:pPr>
          </w:p>
        </w:tc>
        <w:tc>
          <w:tcPr>
            <w:tcW w:w="7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Securities to be Registered</w:t>
            </w:r>
          </w:p>
        </w:tc>
        <w:tc>
          <w:tcPr>
            <w:tcW w:w="188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4"/>
              </w:rPr>
              <w:t>Offering Price</w:t>
            </w:r>
            <w:r>
              <w:rPr>
                <w:rFonts w:ascii="Arial" w:cs="Arial" w:eastAsia="Arial" w:hAnsi="Arial"/>
                <w:sz w:val="9"/>
                <w:szCs w:val="9"/>
                <w:b w:val="1"/>
                <w:bCs w:val="1"/>
                <w:color w:val="auto"/>
                <w:w w:val="94"/>
              </w:rPr>
              <w:t>(1)(2)</w:t>
            </w:r>
          </w:p>
        </w:tc>
        <w:tc>
          <w:tcPr>
            <w:tcW w:w="186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9"/>
              </w:rPr>
              <w:t>Registration Fee</w:t>
            </w:r>
            <w:r>
              <w:rPr>
                <w:rFonts w:ascii="Arial" w:cs="Arial" w:eastAsia="Arial" w:hAnsi="Arial"/>
                <w:sz w:val="9"/>
                <w:szCs w:val="9"/>
                <w:b w:val="1"/>
                <w:bCs w:val="1"/>
                <w:color w:val="auto"/>
                <w:w w:val="89"/>
              </w:rPr>
              <w:t>(3)</w:t>
            </w:r>
          </w:p>
        </w:tc>
      </w:tr>
      <w:tr>
        <w:trPr>
          <w:trHeight w:val="145"/>
        </w:trPr>
        <w:tc>
          <w:tcPr>
            <w:tcW w:w="20" w:type="dxa"/>
            <w:vAlign w:val="bottom"/>
            <w:tcBorders>
              <w:bottom w:val="single" w:sz="8" w:color="auto"/>
            </w:tcBorders>
          </w:tcPr>
          <w:p>
            <w:pPr>
              <w:spacing w:after="0"/>
              <w:rPr>
                <w:sz w:val="12"/>
                <w:szCs w:val="12"/>
                <w:color w:val="auto"/>
              </w:rPr>
            </w:pPr>
          </w:p>
        </w:tc>
        <w:tc>
          <w:tcPr>
            <w:tcW w:w="7280" w:type="dxa"/>
            <w:vAlign w:val="bottom"/>
            <w:tcBorders>
              <w:bottom w:val="single" w:sz="8" w:color="auto"/>
              <w:right w:val="single" w:sz="8" w:color="auto"/>
            </w:tcBorders>
          </w:tcPr>
          <w:p>
            <w:pPr>
              <w:spacing w:after="0" w:line="145" w:lineRule="exact"/>
              <w:rPr>
                <w:sz w:val="20"/>
                <w:szCs w:val="20"/>
                <w:color w:val="auto"/>
              </w:rPr>
            </w:pPr>
            <w:r>
              <w:rPr>
                <w:rFonts w:ascii="Arial" w:cs="Arial" w:eastAsia="Arial" w:hAnsi="Arial"/>
                <w:sz w:val="14"/>
                <w:szCs w:val="14"/>
                <w:color w:val="auto"/>
              </w:rPr>
              <w:t>Class A common stock, par value $0.01 per share</w:t>
            </w:r>
          </w:p>
        </w:tc>
        <w:tc>
          <w:tcPr>
            <w:tcW w:w="1880" w:type="dxa"/>
            <w:vAlign w:val="bottom"/>
            <w:tcBorders>
              <w:bottom w:val="single" w:sz="8" w:color="auto"/>
              <w:right w:val="single" w:sz="8" w:color="auto"/>
            </w:tcBorders>
          </w:tcPr>
          <w:p>
            <w:pPr>
              <w:jc w:val="right"/>
              <w:ind w:right="1000"/>
              <w:spacing w:after="0" w:line="14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999"/>
              <w:spacing w:after="0" w:line="145"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(the “Securities Act”).</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76835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ind w:left="200" w:right="100" w:firstLine="33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77470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6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Subject to completion, dated August 23, 2019</w:t>
      </w:r>
    </w:p>
    <w:p>
      <w:pPr>
        <w:spacing w:after="0" w:line="59" w:lineRule="exact"/>
        <w:rPr>
          <w:sz w:val="20"/>
          <w:szCs w:val="20"/>
          <w:color w:val="auto"/>
        </w:rPr>
      </w:pPr>
    </w:p>
    <w:p>
      <w:pPr>
        <w:ind w:left="5760"/>
        <w:spacing w:after="0"/>
        <w:rPr>
          <w:sz w:val="20"/>
          <w:szCs w:val="20"/>
          <w:color w:val="auto"/>
        </w:rPr>
      </w:pPr>
      <w:r>
        <w:rPr>
          <w:rFonts w:ascii="Arial" w:cs="Arial" w:eastAsia="Arial" w:hAnsi="Arial"/>
          <w:sz w:val="32"/>
          <w:szCs w:val="32"/>
          <w:i w:val="1"/>
          <w:iCs w:val="1"/>
          <w:color w:val="auto"/>
        </w:rPr>
        <w:t>Shares</w:t>
      </w:r>
    </w:p>
    <w:p>
      <w:pPr>
        <w:spacing w:after="0" w:line="66" w:lineRule="exact"/>
        <w:rPr>
          <w:sz w:val="20"/>
          <w:szCs w:val="20"/>
          <w:color w:val="auto"/>
        </w:rPr>
      </w:pPr>
    </w:p>
    <w:p>
      <w:pPr>
        <w:jc w:val="center"/>
        <w:ind w:right="-219"/>
        <w:spacing w:after="0"/>
        <w:rPr>
          <w:sz w:val="20"/>
          <w:szCs w:val="20"/>
          <w:color w:val="auto"/>
        </w:rPr>
      </w:pPr>
      <w:r>
        <w:rPr>
          <w:rFonts w:ascii="Arial" w:cs="Arial" w:eastAsia="Arial" w:hAnsi="Arial"/>
          <w:sz w:val="43"/>
          <w:szCs w:val="43"/>
          <w:i w:val="1"/>
          <w:iCs w:val="1"/>
          <w:color w:val="auto"/>
        </w:rPr>
        <w:t>BellRing Brands, Inc.</w:t>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135890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1" w:lineRule="exact"/>
        <w:rPr>
          <w:sz w:val="20"/>
          <w:szCs w:val="20"/>
          <w:color w:val="auto"/>
        </w:rPr>
      </w:pPr>
    </w:p>
    <w:p>
      <w:pPr>
        <w:ind w:left="200" w:right="340"/>
        <w:spacing w:after="0" w:line="335" w:lineRule="auto"/>
        <w:rPr>
          <w:sz w:val="20"/>
          <w:szCs w:val="20"/>
          <w:color w:val="auto"/>
        </w:rPr>
      </w:pPr>
      <w:r>
        <w:rPr>
          <w:rFonts w:ascii="Arial" w:cs="Arial" w:eastAsia="Arial" w:hAnsi="Arial"/>
          <w:sz w:val="16"/>
          <w:szCs w:val="16"/>
          <w:b w:val="1"/>
          <w:bCs w:val="1"/>
          <w:i w:val="1"/>
          <w:iCs w:val="1"/>
          <w:color w:val="auto"/>
        </w:rPr>
        <w:t>This is the initial public offering of shares of our Class A common stock. We are offering shares of our Class A common stock. Before this offering, there has been no public market for our Class A common stock. We estimate the initial public offering price for our Class A</w:t>
      </w:r>
    </w:p>
    <w:p>
      <w:pPr>
        <w:ind w:left="200" w:right="20"/>
        <w:spacing w:after="0" w:line="261" w:lineRule="auto"/>
        <w:rPr>
          <w:sz w:val="20"/>
          <w:szCs w:val="20"/>
          <w:color w:val="auto"/>
        </w:rPr>
      </w:pPr>
      <w:r>
        <w:rPr>
          <w:rFonts w:ascii="Arial" w:cs="Arial" w:eastAsia="Arial" w:hAnsi="Arial"/>
          <w:sz w:val="18"/>
          <w:szCs w:val="18"/>
          <w:b w:val="1"/>
          <w:bCs w:val="1"/>
          <w:i w:val="1"/>
          <w:iCs w:val="1"/>
          <w:color w:val="auto"/>
        </w:rPr>
        <w:t>common stock will be between $ and $ per share. We intend to apply to list our Class A common stock on the New York Stock Exchange (the “NYSE”), under the symbol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1"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On matters presented to our stockholders, each share of our Class A common stock entitles its holder to one vote and, for so long as Post Holdings, Inc. (“Post”) or its affiliates (other than us) directly own more than 50% of the BellRing Brands, LLC Units as described in this prospectus, the share of Class B common stock entitles its holder to a number of votes equal to 67% of the combined voting power of our common stock and, in the aggregate, the holders of our Class A common stock will have 33% of the combined voting power of our common stock. Holders of our shares of Class A common stock will be eligible for dividends and distributions upon liquidation. The holder of our share of Class B common stock will have no economic rights, including no rights to dividends or distributions upon liquidation. See “Description of Capital Stock.”</w:t>
      </w:r>
    </w:p>
    <w:p>
      <w:pPr>
        <w:spacing w:after="0" w:line="1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Following this offering,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 Emerging Growth Company Status.”</w:t>
      </w:r>
    </w:p>
    <w:p>
      <w:pPr>
        <w:spacing w:after="0" w:line="26" w:lineRule="exact"/>
        <w:rPr>
          <w:sz w:val="20"/>
          <w:szCs w:val="20"/>
          <w:color w:val="auto"/>
        </w:rPr>
      </w:pPr>
    </w:p>
    <w:p>
      <w:pPr>
        <w:ind w:left="200" w:right="28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See “</w:t>
      </w:r>
      <w:hyperlink w:anchor="page34">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26,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114935</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8" w:lineRule="exact"/>
        <w:rPr>
          <w:sz w:val="20"/>
          <w:szCs w:val="20"/>
          <w:color w:val="auto"/>
        </w:rPr>
      </w:pPr>
    </w:p>
    <w:p>
      <w:pPr>
        <w:ind w:left="200" w:right="38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85090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1140" w:type="dxa"/>
            <w:vAlign w:val="bottom"/>
          </w:tcPr>
          <w:p>
            <w:pPr>
              <w:spacing w:after="0"/>
              <w:rPr>
                <w:sz w:val="12"/>
                <w:szCs w:val="12"/>
                <w:color w:val="auto"/>
              </w:rPr>
            </w:pPr>
          </w:p>
        </w:tc>
        <w:tc>
          <w:tcPr>
            <w:tcW w:w="740" w:type="dxa"/>
            <w:vAlign w:val="bottom"/>
          </w:tcPr>
          <w:p>
            <w:pPr>
              <w:ind w:left="40"/>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Price to</w:t>
            </w:r>
          </w:p>
        </w:tc>
        <w:tc>
          <w:tcPr>
            <w:tcW w:w="1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BellRing</w:t>
            </w:r>
          </w:p>
        </w:tc>
        <w:tc>
          <w:tcPr>
            <w:tcW w:w="0" w:type="dxa"/>
            <w:vAlign w:val="bottom"/>
          </w:tcPr>
          <w:p>
            <w:pPr>
              <w:spacing w:after="0"/>
              <w:rPr>
                <w:sz w:val="1"/>
                <w:szCs w:val="1"/>
                <w:color w:val="auto"/>
              </w:rPr>
            </w:pPr>
          </w:p>
        </w:tc>
      </w:tr>
      <w:tr>
        <w:trPr>
          <w:trHeight w:val="167"/>
        </w:trPr>
        <w:tc>
          <w:tcPr>
            <w:tcW w:w="348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28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5"/>
              </w:rPr>
              <w:t>Public</w:t>
            </w:r>
          </w:p>
        </w:tc>
        <w:tc>
          <w:tcPr>
            <w:tcW w:w="1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Brands, Inc.</w:t>
            </w:r>
          </w:p>
        </w:tc>
        <w:tc>
          <w:tcPr>
            <w:tcW w:w="0" w:type="dxa"/>
            <w:vAlign w:val="bottom"/>
          </w:tcPr>
          <w:p>
            <w:pPr>
              <w:spacing w:after="0"/>
              <w:rPr>
                <w:sz w:val="1"/>
                <w:szCs w:val="1"/>
                <w:color w:val="auto"/>
              </w:rPr>
            </w:pPr>
          </w:p>
        </w:tc>
      </w:tr>
      <w:tr>
        <w:trPr>
          <w:trHeight w:val="195"/>
        </w:trPr>
        <w:tc>
          <w:tcPr>
            <w:tcW w:w="3480" w:type="dxa"/>
            <w:vAlign w:val="bottom"/>
            <w:vMerge w:val="continue"/>
          </w:tcPr>
          <w:p>
            <w:pPr>
              <w:spacing w:after="0"/>
              <w:rPr>
                <w:sz w:val="16"/>
                <w:szCs w:val="16"/>
                <w:color w:val="auto"/>
              </w:rPr>
            </w:pPr>
          </w:p>
        </w:tc>
        <w:tc>
          <w:tcPr>
            <w:tcW w:w="3260" w:type="dxa"/>
            <w:vAlign w:val="bottom"/>
            <w:gridSpan w:val="2"/>
          </w:tcPr>
          <w:p>
            <w:pPr>
              <w:jc w:val="right"/>
              <w:ind w:right="328"/>
              <w:spacing w:after="0" w:line="195" w:lineRule="exact"/>
              <w:rPr>
                <w:sz w:val="20"/>
                <w:szCs w:val="20"/>
                <w:color w:val="auto"/>
              </w:rPr>
            </w:pPr>
            <w:r>
              <w:rPr>
                <w:rFonts w:ascii="Arial" w:cs="Arial" w:eastAsia="Arial" w:hAnsi="Arial"/>
                <w:sz w:val="18"/>
                <w:szCs w:val="18"/>
                <w:i w:val="1"/>
                <w:iCs w:val="1"/>
                <w:color w:val="auto"/>
              </w:rPr>
              <w:t>$</w:t>
            </w:r>
          </w:p>
        </w:tc>
        <w:tc>
          <w:tcPr>
            <w:tcW w:w="2040" w:type="dxa"/>
            <w:vAlign w:val="bottom"/>
            <w:gridSpan w:val="2"/>
          </w:tcPr>
          <w:p>
            <w:pPr>
              <w:jc w:val="right"/>
              <w:ind w:right="668"/>
              <w:spacing w:after="0" w:line="195" w:lineRule="exact"/>
              <w:rPr>
                <w:sz w:val="20"/>
                <w:szCs w:val="20"/>
                <w:color w:val="auto"/>
              </w:rPr>
            </w:pPr>
            <w:r>
              <w:rPr>
                <w:rFonts w:ascii="Arial" w:cs="Arial" w:eastAsia="Arial" w:hAnsi="Arial"/>
                <w:sz w:val="18"/>
                <w:szCs w:val="18"/>
                <w:i w:val="1"/>
                <w:iCs w:val="1"/>
                <w:color w:val="auto"/>
              </w:rPr>
              <w:t>$</w:t>
            </w:r>
          </w:p>
        </w:tc>
        <w:tc>
          <w:tcPr>
            <w:tcW w:w="1880" w:type="dxa"/>
            <w:vAlign w:val="bottom"/>
            <w:gridSpan w:val="2"/>
          </w:tcPr>
          <w:p>
            <w:pPr>
              <w:ind w:left="1180"/>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3260" w:type="dxa"/>
            <w:vAlign w:val="bottom"/>
            <w:gridSpan w:val="2"/>
          </w:tcPr>
          <w:p>
            <w:pPr>
              <w:jc w:val="right"/>
              <w:ind w:right="328"/>
              <w:spacing w:after="0"/>
              <w:rPr>
                <w:sz w:val="20"/>
                <w:szCs w:val="20"/>
                <w:color w:val="auto"/>
              </w:rPr>
            </w:pPr>
            <w:r>
              <w:rPr>
                <w:rFonts w:ascii="Arial" w:cs="Arial" w:eastAsia="Arial" w:hAnsi="Arial"/>
                <w:sz w:val="18"/>
                <w:szCs w:val="18"/>
                <w:i w:val="1"/>
                <w:iCs w:val="1"/>
                <w:color w:val="auto"/>
              </w:rPr>
              <w:t>$</w:t>
            </w:r>
          </w:p>
        </w:tc>
        <w:tc>
          <w:tcPr>
            <w:tcW w:w="2040" w:type="dxa"/>
            <w:vAlign w:val="bottom"/>
            <w:gridSpan w:val="2"/>
          </w:tcPr>
          <w:p>
            <w:pPr>
              <w:jc w:val="right"/>
              <w:ind w:right="668"/>
              <w:spacing w:after="0"/>
              <w:rPr>
                <w:sz w:val="20"/>
                <w:szCs w:val="20"/>
                <w:color w:val="auto"/>
              </w:rPr>
            </w:pPr>
            <w:r>
              <w:rPr>
                <w:rFonts w:ascii="Arial" w:cs="Arial" w:eastAsia="Arial" w:hAnsi="Arial"/>
                <w:sz w:val="18"/>
                <w:szCs w:val="18"/>
                <w:i w:val="1"/>
                <w:iCs w:val="1"/>
                <w:color w:val="auto"/>
              </w:rPr>
              <w:t>$</w:t>
            </w:r>
          </w:p>
        </w:tc>
        <w:tc>
          <w:tcPr>
            <w:tcW w:w="1880" w:type="dxa"/>
            <w:vAlign w:val="bottom"/>
            <w:gridSpan w:val="2"/>
          </w:tcPr>
          <w:p>
            <w:pPr>
              <w:ind w:left="118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“Underwriting (Conflicts of Interest)” for a description of the compensation payable to the underwriters.</w:t>
      </w:r>
    </w:p>
    <w:p>
      <w:pPr>
        <w:spacing w:after="0" w:line="77"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i w:val="1"/>
          <w:iCs w:val="1"/>
          <w:color w:val="auto"/>
        </w:rPr>
        <w:t>To the extent that the underwriters sell more than shares of Class A common stock, the underwriters have the option to purchase up to an additional shares of Class A common stock from us at the initial public offering price less the underwriting discount. See “Underwriting (Conflicts of Interest).”</w:t>
      </w:r>
    </w:p>
    <w:p>
      <w:pPr>
        <w:sectPr>
          <w:pgSz w:w="11900" w:h="16838" w:orient="portrait"/>
          <w:cols w:equalWidth="0" w:num="1">
            <w:col w:w="11220"/>
          </w:cols>
          <w:pgMar w:left="240" w:top="459" w:right="439" w:bottom="1440" w:gutter="0" w:footer="0" w:header="0"/>
        </w:sectPr>
      </w:pPr>
    </w:p>
    <w:p>
      <w:pPr>
        <w:spacing w:after="0" w:line="3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158115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2019.</w:t>
      </w:r>
    </w:p>
    <w:p>
      <w:pPr>
        <w:spacing w:after="0" w:line="211" w:lineRule="exact"/>
        <w:rPr>
          <w:sz w:val="20"/>
          <w:szCs w:val="20"/>
          <w:color w:val="auto"/>
        </w:rPr>
      </w:pPr>
    </w:p>
    <w:p>
      <w:pPr>
        <w:sectPr>
          <w:pgSz w:w="11900" w:h="16838" w:orient="portrait"/>
          <w:cols w:equalWidth="0" w:num="2">
            <w:col w:w="6660" w:space="720"/>
            <w:col w:w="3840"/>
          </w:cols>
          <w:pgMar w:left="240" w:top="459" w:right="439" w:bottom="1440" w:gutter="0" w:footer="0" w:header="0"/>
          <w:type w:val="continuous"/>
        </w:sectPr>
      </w:pP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99"/>
        </w:trPr>
        <w:tc>
          <w:tcPr>
            <w:tcW w:w="1760" w:type="dxa"/>
            <w:vAlign w:val="bottom"/>
          </w:tcPr>
          <w:p>
            <w:pPr>
              <w:spacing w:after="0"/>
              <w:rPr>
                <w:sz w:val="20"/>
                <w:szCs w:val="20"/>
                <w:color w:val="auto"/>
              </w:rPr>
            </w:pPr>
            <w:r>
              <w:rPr>
                <w:rFonts w:ascii="Arial" w:cs="Arial" w:eastAsia="Arial" w:hAnsi="Arial"/>
                <w:sz w:val="23"/>
                <w:szCs w:val="23"/>
                <w:i w:val="1"/>
                <w:iCs w:val="1"/>
                <w:color w:val="auto"/>
              </w:rPr>
              <w:t>Morgan Stanley</w:t>
            </w:r>
          </w:p>
        </w:tc>
        <w:tc>
          <w:tcPr>
            <w:tcW w:w="4900" w:type="dxa"/>
            <w:vAlign w:val="bottom"/>
            <w:gridSpan w:val="2"/>
          </w:tcPr>
          <w:p>
            <w:pPr>
              <w:ind w:left="1680"/>
              <w:spacing w:after="0"/>
              <w:rPr>
                <w:sz w:val="20"/>
                <w:szCs w:val="20"/>
                <w:color w:val="auto"/>
              </w:rPr>
            </w:pPr>
            <w:r>
              <w:rPr>
                <w:rFonts w:ascii="Arial" w:cs="Arial" w:eastAsia="Arial" w:hAnsi="Arial"/>
                <w:sz w:val="23"/>
                <w:szCs w:val="23"/>
                <w:i w:val="1"/>
                <w:iCs w:val="1"/>
                <w:color w:val="auto"/>
              </w:rPr>
              <w:t>Goldman Sachs &amp; Co. LLC</w:t>
            </w:r>
          </w:p>
        </w:tc>
        <w:tc>
          <w:tcPr>
            <w:tcW w:w="2500" w:type="dxa"/>
            <w:vAlign w:val="bottom"/>
          </w:tcPr>
          <w:p>
            <w:pPr>
              <w:ind w:left="880"/>
              <w:spacing w:after="0"/>
              <w:rPr>
                <w:sz w:val="20"/>
                <w:szCs w:val="20"/>
                <w:color w:val="auto"/>
              </w:rPr>
            </w:pPr>
            <w:r>
              <w:rPr>
                <w:rFonts w:ascii="Arial" w:cs="Arial" w:eastAsia="Arial" w:hAnsi="Arial"/>
                <w:sz w:val="23"/>
                <w:szCs w:val="23"/>
                <w:i w:val="1"/>
                <w:iCs w:val="1"/>
                <w:color w:val="auto"/>
              </w:rPr>
              <w:t>Citigroup</w:t>
            </w:r>
          </w:p>
        </w:tc>
        <w:tc>
          <w:tcPr>
            <w:tcW w:w="1860" w:type="dxa"/>
            <w:vAlign w:val="bottom"/>
          </w:tcPr>
          <w:p>
            <w:pPr>
              <w:ind w:left="720"/>
              <w:spacing w:after="0"/>
              <w:rPr>
                <w:sz w:val="20"/>
                <w:szCs w:val="20"/>
                <w:color w:val="auto"/>
              </w:rPr>
            </w:pPr>
            <w:r>
              <w:rPr>
                <w:rFonts w:ascii="Arial" w:cs="Arial" w:eastAsia="Arial" w:hAnsi="Arial"/>
                <w:sz w:val="23"/>
                <w:szCs w:val="23"/>
                <w:i w:val="1"/>
                <w:iCs w:val="1"/>
                <w:color w:val="auto"/>
                <w:w w:val="90"/>
              </w:rPr>
              <w:t>J.P. Morgan</w:t>
            </w:r>
          </w:p>
        </w:tc>
        <w:tc>
          <w:tcPr>
            <w:tcW w:w="0" w:type="dxa"/>
            <w:vAlign w:val="bottom"/>
          </w:tcPr>
          <w:p>
            <w:pPr>
              <w:spacing w:after="0"/>
              <w:rPr>
                <w:sz w:val="1"/>
                <w:szCs w:val="1"/>
                <w:color w:val="auto"/>
              </w:rPr>
            </w:pPr>
          </w:p>
        </w:tc>
      </w:tr>
      <w:tr>
        <w:trPr>
          <w:trHeight w:val="200"/>
        </w:trPr>
        <w:tc>
          <w:tcPr>
            <w:tcW w:w="1760" w:type="dxa"/>
            <w:vAlign w:val="bottom"/>
            <w:vMerge w:val="restart"/>
          </w:tcPr>
          <w:p>
            <w:pPr>
              <w:spacing w:after="0"/>
              <w:rPr>
                <w:sz w:val="20"/>
                <w:szCs w:val="20"/>
                <w:color w:val="auto"/>
              </w:rPr>
            </w:pPr>
            <w:r>
              <w:rPr>
                <w:rFonts w:ascii="Arial" w:cs="Arial" w:eastAsia="Arial" w:hAnsi="Arial"/>
                <w:sz w:val="18"/>
                <w:szCs w:val="18"/>
                <w:i w:val="1"/>
                <w:iCs w:val="1"/>
                <w:color w:val="auto"/>
              </w:rPr>
              <w:t>Prospectus dated</w:t>
            </w:r>
          </w:p>
        </w:tc>
        <w:tc>
          <w:tcPr>
            <w:tcW w:w="2600" w:type="dxa"/>
            <w:vAlign w:val="bottom"/>
            <w:vMerge w:val="restart"/>
          </w:tcPr>
          <w:p>
            <w:pPr>
              <w:jc w:val="right"/>
              <w:ind w:right="1756"/>
              <w:spacing w:after="0"/>
              <w:rPr>
                <w:sz w:val="20"/>
                <w:szCs w:val="20"/>
                <w:color w:val="auto"/>
              </w:rPr>
            </w:pPr>
            <w:r>
              <w:rPr>
                <w:rFonts w:ascii="Arial" w:cs="Arial" w:eastAsia="Arial" w:hAnsi="Arial"/>
                <w:sz w:val="18"/>
                <w:szCs w:val="18"/>
                <w:i w:val="1"/>
                <w:iCs w:val="1"/>
                <w:color w:val="auto"/>
              </w:rPr>
              <w:t>, 2019.</w:t>
            </w:r>
          </w:p>
        </w:tc>
        <w:tc>
          <w:tcPr>
            <w:tcW w:w="2300" w:type="dxa"/>
            <w:vAlign w:val="bottom"/>
            <w:tcBorders>
              <w:bottom w:val="single" w:sz="8" w:color="auto"/>
            </w:tcBorders>
          </w:tcPr>
          <w:p>
            <w:pPr>
              <w:spacing w:after="0"/>
              <w:rPr>
                <w:sz w:val="17"/>
                <w:szCs w:val="17"/>
                <w:color w:val="auto"/>
              </w:rPr>
            </w:pPr>
          </w:p>
        </w:tc>
        <w:tc>
          <w:tcPr>
            <w:tcW w:w="2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76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2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8"/>
          </w:tcPr>
          <w:p>
            <w:pPr>
              <w:ind w:left="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73"/>
        </w:trPr>
        <w:tc>
          <w:tcPr>
            <w:tcW w:w="22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PROSPECTUS SUMMARY</w:t>
              </w:r>
            </w:hyperlink>
          </w:p>
        </w:tc>
        <w:tc>
          <w:tcPr>
            <w:tcW w:w="2420" w:type="dxa"/>
            <w:vAlign w:val="bottom"/>
            <w:gridSpan w:val="11"/>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BUSINESS</w:t>
              </w:r>
            </w:hyperlink>
          </w:p>
        </w:tc>
        <w:tc>
          <w:tcPr>
            <w:tcW w:w="372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96"/>
        </w:trPr>
        <w:tc>
          <w:tcPr>
            <w:tcW w:w="220" w:type="dxa"/>
            <w:vAlign w:val="bottom"/>
          </w:tcPr>
          <w:p>
            <w:pPr>
              <w:spacing w:after="0"/>
              <w:rPr>
                <w:sz w:val="17"/>
                <w:szCs w:val="17"/>
                <w:color w:val="auto"/>
              </w:rPr>
            </w:pPr>
          </w:p>
        </w:tc>
        <w:tc>
          <w:tcPr>
            <w:tcW w:w="1240" w:type="dxa"/>
            <w:vAlign w:val="bottom"/>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RISK FACTORS</w:t>
              </w:r>
            </w:hyperlink>
          </w:p>
        </w:tc>
        <w:tc>
          <w:tcPr>
            <w:tcW w:w="3260" w:type="dxa"/>
            <w:vAlign w:val="bottom"/>
            <w:gridSpan w:val="1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MANAGEMENT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CAUTIONARY STATEMENT REGARDING FORWARD-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LOOKING STATEMENTS</w:t>
              </w:r>
            </w:hyperlink>
          </w:p>
        </w:tc>
        <w:tc>
          <w:tcPr>
            <w:tcW w:w="180" w:type="dxa"/>
            <w:vAlign w:val="bottom"/>
            <w:gridSpan w:val="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56</w:t>
            </w:r>
          </w:p>
        </w:tc>
        <w:tc>
          <w:tcPr>
            <w:tcW w:w="200" w:type="dxa"/>
            <w:vAlign w:val="bottom"/>
          </w:tcPr>
          <w:p>
            <w:pPr>
              <w:spacing w:after="0"/>
              <w:rPr>
                <w:sz w:val="17"/>
                <w:szCs w:val="17"/>
                <w:color w:val="auto"/>
              </w:rPr>
            </w:pPr>
          </w:p>
        </w:tc>
        <w:tc>
          <w:tcPr>
            <w:tcW w:w="246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137">
              <w:r>
                <w:rPr>
                  <w:rFonts w:ascii="Arial" w:cs="Arial" w:eastAsia="Arial" w:hAnsi="Arial"/>
                  <w:sz w:val="18"/>
                  <w:szCs w:val="18"/>
                  <w:color w:val="0000EE"/>
                  <w:w w:val="97"/>
                </w:rPr>
                <w:t>PRINCIPAL STOCKHOLDERS</w:t>
              </w:r>
            </w:hyperlink>
          </w:p>
        </w:tc>
        <w:tc>
          <w:tcPr>
            <w:tcW w:w="212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USE OF PROCEEDS</w:t>
              </w:r>
            </w:hyperlink>
          </w:p>
        </w:tc>
        <w:tc>
          <w:tcPr>
            <w:tcW w:w="2920" w:type="dxa"/>
            <w:vAlign w:val="bottom"/>
            <w:gridSpan w:val="12"/>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58</w:t>
            </w:r>
          </w:p>
        </w:tc>
        <w:tc>
          <w:tcPr>
            <w:tcW w:w="200" w:type="dxa"/>
            <w:vAlign w:val="bottom"/>
          </w:tcPr>
          <w:p>
            <w:pPr>
              <w:spacing w:after="0"/>
              <w:rPr>
                <w:sz w:val="17"/>
                <w:szCs w:val="17"/>
                <w:color w:val="auto"/>
              </w:rPr>
            </w:pPr>
          </w:p>
        </w:tc>
        <w:tc>
          <w:tcPr>
            <w:tcW w:w="36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38">
              <w:r>
                <w:rPr>
                  <w:rFonts w:ascii="Arial" w:cs="Arial" w:eastAsia="Arial" w:hAnsi="Arial"/>
                  <w:sz w:val="18"/>
                  <w:szCs w:val="18"/>
                  <w:color w:val="0000EE"/>
                  <w:w w:val="94"/>
                </w:rPr>
                <w:t>DESCRIPTION OF CERTAIN INDEBTEDNESS</w:t>
              </w:r>
            </w:hyperlink>
          </w:p>
        </w:tc>
        <w:tc>
          <w:tcPr>
            <w:tcW w:w="94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DIVIDEND POLICY</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59</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DESCRIPTION OF CAPITAL STOCK</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560" w:type="dxa"/>
            <w:vAlign w:val="bottom"/>
            <w:gridSpan w:val="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CAPITALIZATION</w:t>
              </w:r>
            </w:hyperlink>
          </w:p>
        </w:tc>
        <w:tc>
          <w:tcPr>
            <w:tcW w:w="2940" w:type="dxa"/>
            <w:vAlign w:val="bottom"/>
            <w:gridSpan w:val="13"/>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60</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SHARES ELIGIBLE FOR FUTURE SALE</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0" w:type="dxa"/>
            <w:vAlign w:val="bottom"/>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DILUTION</w:t>
              </w:r>
            </w:hyperlink>
          </w:p>
        </w:tc>
        <w:tc>
          <w:tcPr>
            <w:tcW w:w="3100" w:type="dxa"/>
            <w:vAlign w:val="bottom"/>
            <w:gridSpan w:val="14"/>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62</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CERTAIN RELATIONSHIPS AND RELATED PARTY</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1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SELECTED HISTORICAL CONDENSED COMBINED</w:t>
              </w:r>
            </w:hyperlink>
          </w:p>
        </w:tc>
        <w:tc>
          <w:tcPr>
            <w:tcW w:w="36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49">
              <w:r>
                <w:rPr>
                  <w:rFonts w:ascii="Arial" w:cs="Arial" w:eastAsia="Arial" w:hAnsi="Arial"/>
                  <w:sz w:val="18"/>
                  <w:szCs w:val="18"/>
                  <w:color w:val="0000EE"/>
                  <w:w w:val="96"/>
                </w:rPr>
                <w:t>TRANSACTIONS</w:t>
              </w:r>
            </w:hyperlink>
          </w:p>
        </w:tc>
        <w:tc>
          <w:tcPr>
            <w:tcW w:w="302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40" w:type="dxa"/>
            <w:vAlign w:val="bottom"/>
            <w:gridSpan w:val="1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AND OTHER INFORMATION</w:t>
              </w:r>
            </w:hyperlink>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64</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CERTAIN MATERIAL U.S. FEDERAL INCOME TAX</w:t>
              </w:r>
            </w:hyperlink>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UNAUDITED QUARTERLY FINANCIAL</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ind w:left="18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CONSIDERATIONS FOR NON-U.S.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76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INFORMATION</w:t>
              </w:r>
            </w:hyperlink>
          </w:p>
        </w:tc>
        <w:tc>
          <w:tcPr>
            <w:tcW w:w="1340" w:type="dxa"/>
            <w:vAlign w:val="bottom"/>
            <w:gridSpan w:val="9"/>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66</w:t>
            </w: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UNDERWRITING (CONFLICTS OF INTEREST)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80" w:type="dxa"/>
            <w:vAlign w:val="bottom"/>
            <w:gridSpan w:val="19"/>
          </w:tcPr>
          <w:p>
            <w:pPr>
              <w:spacing w:after="0" w:line="196"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EXPLANATION AND RECONCILIATION OF NON-GAAP</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LEGAL MATTERS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MEASURES</w:t>
              </w:r>
            </w:hyperlink>
          </w:p>
        </w:tc>
        <w:tc>
          <w:tcPr>
            <w:tcW w:w="20" w:type="dxa"/>
            <w:vAlign w:val="bottom"/>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67</w:t>
            </w:r>
          </w:p>
        </w:tc>
        <w:tc>
          <w:tcPr>
            <w:tcW w:w="200" w:type="dxa"/>
            <w:vAlign w:val="bottom"/>
          </w:tcPr>
          <w:p>
            <w:pPr>
              <w:spacing w:after="0"/>
              <w:rPr>
                <w:sz w:val="17"/>
                <w:szCs w:val="17"/>
                <w:color w:val="auto"/>
              </w:rPr>
            </w:pPr>
          </w:p>
        </w:tc>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EXPERTS</w:t>
              </w:r>
            </w:hyperlink>
          </w:p>
        </w:tc>
        <w:tc>
          <w:tcPr>
            <w:tcW w:w="3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UNAUDITED PRO FORMA CONDENSED</w:t>
              </w:r>
            </w:hyperlink>
          </w:p>
        </w:tc>
        <w:tc>
          <w:tcPr>
            <w:tcW w:w="900" w:type="dxa"/>
            <w:vAlign w:val="bottom"/>
          </w:tcPr>
          <w:p>
            <w:pPr>
              <w:spacing w:after="0"/>
              <w:rPr>
                <w:sz w:val="17"/>
                <w:szCs w:val="17"/>
                <w:color w:val="auto"/>
              </w:rPr>
            </w:pPr>
          </w:p>
        </w:tc>
        <w:tc>
          <w:tcPr>
            <w:tcW w:w="4780" w:type="dxa"/>
            <w:vAlign w:val="bottom"/>
            <w:gridSpan w:val="17"/>
          </w:tcPr>
          <w:p>
            <w:pPr>
              <w:ind w:left="20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WHERE YOU CAN FIND MORE INFORMATION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20"/>
        </w:trPr>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7"/>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gridSpan w:val="14"/>
          </w:tcPr>
          <w:p>
            <w:pPr>
              <w:spacing w:after="0" w:line="196" w:lineRule="exact"/>
              <w:rPr>
                <w:rFonts w:ascii="Arial" w:cs="Arial" w:eastAsia="Arial" w:hAnsi="Arial"/>
                <w:sz w:val="18"/>
                <w:szCs w:val="18"/>
                <w:color w:val="0000EE"/>
                <w:w w:val="98"/>
              </w:rPr>
            </w:pPr>
            <w:hyperlink w:anchor="page78">
              <w:r>
                <w:rPr>
                  <w:rFonts w:ascii="Arial" w:cs="Arial" w:eastAsia="Arial" w:hAnsi="Arial"/>
                  <w:sz w:val="18"/>
                  <w:szCs w:val="18"/>
                  <w:color w:val="0000EE"/>
                  <w:w w:val="98"/>
                </w:rPr>
                <w:t>CONSOLIDATED FINANCIAL INFORMATION</w:t>
              </w:r>
            </w:hyperlink>
          </w:p>
        </w:tc>
        <w:tc>
          <w:tcPr>
            <w:tcW w:w="660" w:type="dxa"/>
            <w:vAlign w:val="bottom"/>
            <w:gridSpan w:val="5"/>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70</w:t>
            </w:r>
          </w:p>
        </w:tc>
        <w:tc>
          <w:tcPr>
            <w:tcW w:w="200" w:type="dxa"/>
            <w:vAlign w:val="bottom"/>
          </w:tcPr>
          <w:p>
            <w:pPr>
              <w:spacing w:after="0"/>
              <w:rPr>
                <w:sz w:val="17"/>
                <w:szCs w:val="17"/>
                <w:color w:val="auto"/>
              </w:rPr>
            </w:pPr>
          </w:p>
        </w:tc>
        <w:tc>
          <w:tcPr>
            <w:tcW w:w="4580" w:type="dxa"/>
            <w:vAlign w:val="bottom"/>
            <w:gridSpan w:val="16"/>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INDEX TO FINANCIAL STATEMENTS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460" w:type="dxa"/>
            <w:vAlign w:val="bottom"/>
            <w:tcBorders>
              <w:left w:val="single" w:sz="8" w:color="0000EE"/>
            </w:tcBorders>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500" w:type="dxa"/>
            <w:vAlign w:val="bottom"/>
            <w:gridSpan w:val="2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MANAGEMENT’S DISCUSSION AND ANALYSIS OF</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FINANCIAL CONDITION AND RESULTS OF</w:t>
              </w:r>
            </w:hyperlink>
          </w:p>
        </w:tc>
        <w:tc>
          <w:tcPr>
            <w:tcW w:w="3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OPERATIONS</w:t>
              </w:r>
            </w:hyperlink>
          </w:p>
        </w:tc>
        <w:tc>
          <w:tcPr>
            <w:tcW w:w="800" w:type="dxa"/>
            <w:vAlign w:val="bottom"/>
            <w:gridSpan w:val="6"/>
          </w:tcPr>
          <w:p>
            <w:pPr>
              <w:spacing w:after="0"/>
              <w:rPr>
                <w:sz w:val="17"/>
                <w:szCs w:val="17"/>
                <w:color w:val="auto"/>
              </w:rPr>
            </w:pPr>
          </w:p>
        </w:tc>
        <w:tc>
          <w:tcPr>
            <w:tcW w:w="90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1" w:lineRule="exact"/>
        <w:rPr>
          <w:sz w:val="20"/>
          <w:szCs w:val="20"/>
          <w:color w:val="auto"/>
        </w:rPr>
      </w:pPr>
    </w:p>
    <w:p>
      <w:pPr>
        <w:ind w:left="1180" w:right="12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Blocker” refers to TA/DEI-A Acquisition Corp., a Delaware corporation, which, prior to the completion of the formation transactions, is an indirect wholly-owned subsidiary of Post and, after completion of the formation transactions, will be a direct wholly-owned subsidiary of BellRing Brands, LLC.</w:t>
      </w:r>
    </w:p>
    <w:p>
      <w:pPr>
        <w:spacing w:after="0" w:line="86" w:lineRule="exact"/>
        <w:rPr>
          <w:rFonts w:ascii="Arial" w:cs="Arial" w:eastAsia="Arial" w:hAnsi="Arial"/>
          <w:sz w:val="18"/>
          <w:szCs w:val="18"/>
          <w:color w:val="auto"/>
        </w:rPr>
      </w:pPr>
    </w:p>
    <w:p>
      <w:pPr>
        <w:jc w:val="both"/>
        <w:ind w:left="1180" w:right="60" w:hanging="544"/>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after the completion of the formation transactions, will be an indirect wholly-owned subsidiary of BellRing Brands, LLC.</w:t>
      </w:r>
    </w:p>
    <w:p>
      <w:pPr>
        <w:spacing w:after="0" w:line="131" w:lineRule="exact"/>
        <w:rPr>
          <w:sz w:val="20"/>
          <w:szCs w:val="20"/>
          <w:color w:val="auto"/>
        </w:rPr>
      </w:pPr>
    </w:p>
    <w:p>
      <w:pPr>
        <w:ind w:left="1180" w:right="4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 Brands, LLC, BellRing Brands, Inc. and Post in connection with the formation transactions and this offering.</w:t>
      </w:r>
    </w:p>
    <w:p>
      <w:pPr>
        <w:spacing w:after="0" w:line="86" w:lineRule="exact"/>
        <w:rPr>
          <w:rFonts w:ascii="Arial" w:cs="Arial" w:eastAsia="Arial" w:hAnsi="Arial"/>
          <w:sz w:val="18"/>
          <w:szCs w:val="18"/>
          <w:color w:val="auto"/>
        </w:rPr>
      </w:pPr>
    </w:p>
    <w:p>
      <w:pPr>
        <w:ind w:left="1180" w:right="1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 Blockers” refers to, collectively, (i) TA/DEI-B1 Acquisition Corp., a Delaware corporation, (ii) TA/DEI-B2 Acquisition Corp., a Delaware corporation and (iii) TA/DEI-B3 Acquisition Corp., a Delaware corporation, each of which, prior to the completion of the formation transactions, is an indirect wholly-owned subsidiary of Post and, as part of the formation transactions, will be merged with and into the A Blocker.</w:t>
      </w:r>
    </w:p>
    <w:p>
      <w:pPr>
        <w:spacing w:after="0" w:line="92" w:lineRule="exact"/>
        <w:rPr>
          <w:rFonts w:ascii="Arial" w:cs="Arial" w:eastAsia="Arial" w:hAnsi="Arial"/>
          <w:sz w:val="18"/>
          <w:szCs w:val="18"/>
          <w:color w:val="auto"/>
        </w:rPr>
      </w:pPr>
    </w:p>
    <w:p>
      <w:pPr>
        <w:ind w:left="1180" w:right="260" w:hanging="544"/>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investor rights agreement, the amended and restated limited liability company agreement, the tax matters agreement, the tax receivable agreement and the master services agreement.</w:t>
      </w:r>
    </w:p>
    <w:p>
      <w:pPr>
        <w:spacing w:after="0" w:line="92" w:lineRule="exact"/>
        <w:rPr>
          <w:rFonts w:ascii="Arial" w:cs="Arial" w:eastAsia="Arial" w:hAnsi="Arial"/>
          <w:sz w:val="18"/>
          <w:szCs w:val="18"/>
          <w:color w:val="auto"/>
        </w:rPr>
      </w:pPr>
    </w:p>
    <w:p>
      <w:pPr>
        <w:ind w:left="1180" w:right="44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ind w:left="1180" w:right="60" w:hanging="544"/>
        <w:spacing w:after="0" w:line="34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“CAGR” refers to compounded annual growth rate and represents the rate of increase or decrease required for a number to get from its initial value to its ending value, assuming the increase or decrease occurred steadily and was compounded over the referenced time period.</w:t>
      </w:r>
    </w:p>
    <w:p>
      <w:pPr>
        <w:spacing w:after="0" w:line="29" w:lineRule="exact"/>
        <w:rPr>
          <w:rFonts w:ascii="Arial" w:cs="Arial" w:eastAsia="Arial" w:hAnsi="Arial"/>
          <w:sz w:val="16"/>
          <w:szCs w:val="16"/>
          <w:color w:val="auto"/>
        </w:rPr>
      </w:pPr>
    </w:p>
    <w:p>
      <w:pPr>
        <w:jc w:val="both"/>
        <w:ind w:left="1180" w:right="12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6"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Inc.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“Euromonitor data” refers to data for the convenient nutrition category from Euromonitor International Limited (“Euromonitor”), which is defined by Euromonitor to include the sports nutrition, meal replacement, supplement nutrition drinks, fruit and nut bar and energy bar categories.</w:t>
      </w:r>
    </w:p>
    <w:p>
      <w:pPr>
        <w:spacing w:after="0" w:line="86" w:lineRule="exact"/>
        <w:rPr>
          <w:rFonts w:ascii="Arial" w:cs="Arial" w:eastAsia="Arial" w:hAnsi="Arial"/>
          <w:sz w:val="18"/>
          <w:szCs w:val="18"/>
          <w:color w:val="auto"/>
        </w:rPr>
      </w:pPr>
    </w:p>
    <w:p>
      <w:pPr>
        <w:ind w:left="1180" w:hanging="544"/>
        <w:spacing w:after="0" w:line="25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2013” refers to the fiscal year ended September 30, 2013; “fiscal 2014” refers to the fiscal year ended September 30, 2014; “fiscal 2015” refers to the fiscal year ended September 30, 2015; “fiscal 2016” refers to the fiscal year ended September 30, 2016; “fiscal 2017” refers to the fiscal year ended September 30, 2017; “fiscal 2018” refers to the fiscal year ended September 30, 2018; “fiscal 2019” refers to the fiscal year ending September 30, 2019; and “fiscal 2019, 2020, 2021, 2022 and 2023” refers to the fiscal years ending September 30 for each of 2019, 2020, 2021, 2022 and 2023, respectively.</w:t>
      </w:r>
    </w:p>
    <w:p>
      <w:pPr>
        <w:spacing w:after="0" w:line="93"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the total U.S. population that purchased a specified item at least once during a specified time period.</w:t>
      </w:r>
    </w:p>
    <w:p>
      <w:pPr>
        <w:spacing w:after="0" w:line="75" w:lineRule="exact"/>
        <w:rPr>
          <w:rFonts w:ascii="Arial" w:cs="Arial" w:eastAsia="Arial" w:hAnsi="Arial"/>
          <w:sz w:val="18"/>
          <w:szCs w:val="18"/>
          <w:color w:val="auto"/>
        </w:rPr>
      </w:pPr>
    </w:p>
    <w:p>
      <w:pPr>
        <w:ind w:left="1180" w:right="5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services agreement” refers to the master services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32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53" w:lineRule="exact"/>
        <w:rPr>
          <w:rFonts w:ascii="Arial" w:cs="Arial" w:eastAsia="Arial" w:hAnsi="Arial"/>
          <w:sz w:val="16"/>
          <w:szCs w:val="16"/>
          <w:color w:val="auto"/>
        </w:rPr>
      </w:pPr>
    </w:p>
    <w:p>
      <w:pPr>
        <w:ind w:left="1180" w:right="24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86" w:lineRule="exact"/>
        <w:rPr>
          <w:rFonts w:ascii="Arial" w:cs="Arial" w:eastAsia="Arial" w:hAnsi="Arial"/>
          <w:sz w:val="18"/>
          <w:szCs w:val="18"/>
          <w:color w:val="auto"/>
        </w:rPr>
      </w:pPr>
    </w:p>
    <w:p>
      <w:pPr>
        <w:ind w:left="1180" w:right="20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“Post bridge loan” refers to the $ million unsecured bridge loan to be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1180" w:hanging="544"/>
        <w:spacing w:after="0" w:line="264"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Company, LLC, a Delaware limited liability company and wholly-owned subsidiary of Dymatize Enterprises, LLC.</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 size” refers to the average amount in dollars of product purchased by one buying household on a single shopping trip.</w:t>
      </w:r>
    </w:p>
    <w:p>
      <w:pPr>
        <w:spacing w:after="0" w:line="142" w:lineRule="exact"/>
        <w:rPr>
          <w:rFonts w:ascii="Arial" w:cs="Arial" w:eastAsia="Arial" w:hAnsi="Arial"/>
          <w:sz w:val="17"/>
          <w:szCs w:val="17"/>
          <w:color w:val="auto"/>
        </w:rPr>
      </w:pPr>
    </w:p>
    <w:p>
      <w:pPr>
        <w:ind w:left="1180" w:right="50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“repeat rate” refers to the percentage of buyers of a particular product who purchase that product at least twice during specified time period.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right="260" w:hanging="544"/>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among BellRing Brands, Inc.,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US xAOC” refers to data from Nielsen tracked channels for the food, drug, mass, Walmart, club, dollar and military channels.</w:t>
      </w:r>
    </w:p>
    <w:p>
      <w:pPr>
        <w:spacing w:after="0" w:line="142" w:lineRule="exact"/>
        <w:rPr>
          <w:rFonts w:ascii="Arial" w:cs="Arial" w:eastAsia="Arial" w:hAnsi="Arial"/>
          <w:sz w:val="17"/>
          <w:szCs w:val="17"/>
          <w:color w:val="auto"/>
        </w:rPr>
      </w:pPr>
    </w:p>
    <w:p>
      <w:pPr>
        <w:ind w:left="5640" w:right="120" w:hanging="5004"/>
        <w:spacing w:after="0" w:line="449" w:lineRule="auto"/>
        <w:tabs>
          <w:tab w:leader="none" w:pos="11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US xAOC including Convenience” refers to data from Nielsen tracked channels for Total US xAOC plus the convenience channel. iii</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6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6" w:lineRule="exact"/>
        <w:rPr>
          <w:rFonts w:ascii="Arial" w:cs="Arial" w:eastAsia="Arial" w:hAnsi="Arial"/>
          <w:sz w:val="18"/>
          <w:szCs w:val="18"/>
          <w:color w:val="auto"/>
        </w:rPr>
      </w:pPr>
    </w:p>
    <w:p>
      <w:pPr>
        <w:ind w:left="1180" w:right="160" w:hanging="544"/>
        <w:spacing w:after="0" w:line="31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before making an investment decision, investors need to consider whether the information in this prospectus is appropriate to their needs, objectives and circumstances, and, if necessary, seek expert advice on those matters. Market share data is based on information from Nielsen, Euromonitor and other industry publications, surveys and forecasts.</w:t>
      </w:r>
    </w:p>
    <w:p>
      <w:pPr>
        <w:spacing w:after="0" w:line="169"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This prospectus also presents metrics related to visitors to our brand websites and to our presence on third party social media sites, such as the number of “likes” on our brand Facebook pages and the number of followers of our brand Instagram pages. These metrics contain certain limitations. The number of visitors to our websites has not been independently verified, and there are inherent challenges in measuring our unique visitors accurately. Further, we have relied on the calculations and analysis conducted by the social media sites and our use of third party analytics tools to present metrics that, as closely as possible, reflect genuine users and legitimate user activity on the respective platforms. Data from such sources, however, may include information relating to fraudulent accounts and interactions with our sites and social media accounts or the social media accounts of our influencers (including as a result of the use of bots, or other automated or manual mechanisms to generate false impressions), as well as persons with multiple accounts on one service, deactivated or inactive accounts or multiple views, “likes” or similar actions by the same user. We have only a limited ability to independently verify the metrics provided by social media sites and tools. Investors should not place undue reliance or emphasis on website visits or social media measures given these limitations and the fact that they do not bear any direct relationship to our financial condition or results of operations.</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8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 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7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8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6" w:lineRule="exact"/>
        <w:rPr>
          <w:sz w:val="20"/>
          <w:szCs w:val="20"/>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1180" w:right="4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1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89"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target a broad range of consumers and compete in all major product forms, including ready-to-drink (“RTD”) protein shakes, powders and nutrition bars. Our products are distributed across a diverse network of channels including club, food, drug and mass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95" w:lineRule="exact"/>
        <w:rPr>
          <w:sz w:val="20"/>
          <w:szCs w:val="20"/>
          <w:color w:val="auto"/>
        </w:rPr>
      </w:pPr>
    </w:p>
    <w:p>
      <w:pPr>
        <w:ind w:left="1320" w:right="70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320" w:right="220" w:hanging="515"/>
        <w:spacing w:after="0" w:line="26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320" w:right="160" w:hanging="515"/>
        <w:spacing w:after="0" w:line="308"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1" w:lineRule="exact"/>
        <w:rPr>
          <w:rFonts w:ascii="Arial" w:cs="Arial" w:eastAsia="Arial" w:hAnsi="Arial"/>
          <w:sz w:val="17"/>
          <w:szCs w:val="17"/>
          <w:color w:val="auto"/>
        </w:rPr>
      </w:pPr>
    </w:p>
    <w:p>
      <w:pPr>
        <w:ind w:left="1320" w:right="120" w:hanging="515"/>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largest brand,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was the brand in the U.S. convenient nutrition category with the greatest growth according to Nielsen data for Total US xAOC including Convenience for the 52 week period ended January 16, 2019, continues, we believe, to have strong growth within the category and is positioned to appeal to mainstream consumers focused on healthy nutrition.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which comprise the majority of our net sales, hold the #1 share position in RTD protein shakes as measured by Nielsen household panel data for all outlets for the 52 week period ended December 29, 2018.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grew at a CAGR of 42% from fiscal 2016 to fiscal 2018.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is a market leader targeting fitness enthusiasts, who value the brand for its science-based product development and athletic performance focus.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is one of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69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4969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7" w:lineRule="auto"/>
        <w:rPr>
          <w:sz w:val="20"/>
          <w:szCs w:val="20"/>
          <w:color w:val="auto"/>
        </w:rPr>
      </w:pPr>
      <w:r>
        <w:rPr>
          <w:rFonts w:ascii="Arial" w:cs="Arial" w:eastAsia="Arial" w:hAnsi="Arial"/>
          <w:sz w:val="18"/>
          <w:szCs w:val="18"/>
          <w:color w:val="auto"/>
        </w:rPr>
        <w:t>most well-known brands in the convenient nutrition category based on a survey powered by Qualtrics performed in February 2019 and targets a range of consumers from committed athletes to active individuals.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240" w:top="459" w:right="7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4789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920"/>
        <w:spacing w:after="0"/>
        <w:tabs>
          <w:tab w:leader="none" w:pos="68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where we have the largest presence, is the fastest-growing need state in the category based on Nielsen data for Total US xAOC including Convenience for 2014 to 2018 and spans a range of consumption occasions, including breakfast, snack, meal replacement and treat. In the U.S., management estimates that the everyday nutrition need state accounted for $3.0 billion in sales for the 52 week period ended November 24, 2018 and grew at a 20% CAGR from 2014 to 2018, based on data from Nielsen for Total US xAOC including Convenience.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75" w:lineRule="exact"/>
        <w:rPr>
          <w:sz w:val="20"/>
          <w:szCs w:val="20"/>
          <w:color w:val="auto"/>
        </w:rPr>
      </w:pPr>
    </w:p>
    <w:p>
      <w:pPr>
        <w:ind w:left="380" w:right="20" w:firstLine="426"/>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based on Nielsen household panel data for the 52 week period ended December 29, 2018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8"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97" w:lineRule="auto"/>
        <w:rPr>
          <w:sz w:val="20"/>
          <w:szCs w:val="20"/>
          <w:color w:val="auto"/>
        </w:rPr>
      </w:pPr>
      <w:r>
        <w:rPr>
          <w:rFonts w:ascii="Arial" w:cs="Arial" w:eastAsia="Arial" w:hAnsi="Arial"/>
          <w:sz w:val="16"/>
          <w:szCs w:val="16"/>
          <w:color w:val="auto"/>
        </w:rPr>
        <w:t>$72.0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w:t>
      </w:r>
    </w:p>
    <w:p>
      <w:pPr>
        <w:spacing w:after="0" w:line="181" w:lineRule="exact"/>
        <w:rPr>
          <w:sz w:val="20"/>
          <w:szCs w:val="20"/>
          <w:color w:val="auto"/>
        </w:rPr>
      </w:pPr>
    </w:p>
    <w:p>
      <w:pPr>
        <w:ind w:left="380" w:firstLine="426"/>
        <w:spacing w:after="0" w:line="287" w:lineRule="auto"/>
        <w:rPr>
          <w:sz w:val="20"/>
          <w:szCs w:val="20"/>
          <w:color w:val="auto"/>
        </w:rPr>
      </w:pPr>
      <w:r>
        <w:rPr>
          <w:rFonts w:ascii="Arial" w:cs="Arial" w:eastAsia="Arial" w:hAnsi="Arial"/>
          <w:sz w:val="16"/>
          <w:szCs w:val="16"/>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Additionally, as the IRI 2016 State of the Snack Food Industry report highlights,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according to Nielsen household panel data for all outlets. These statistics, together with a modest household penetration of just 5% for our RTD protein shakes for the 52 week period ended December 29, 2018 according to Nielsen household panel data for all outlets, demonstrate our significant room for further growth.</w:t>
      </w:r>
    </w:p>
    <w:p>
      <w:pPr>
        <w:spacing w:after="0" w:line="169"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380" w:firstLine="426"/>
        <w:spacing w:after="0" w:line="276"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our largest brand and is positioned to appeal to mainstream consumers seeking convenient, delicious protein products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can enjoy throughout the day. Our flagship 11 ounce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spacing w:after="0" w:line="291" w:lineRule="auto"/>
        <w:rPr>
          <w:sz w:val="20"/>
          <w:szCs w:val="20"/>
          <w:color w:val="auto"/>
        </w:rPr>
      </w:pPr>
      <w:r>
        <w:rPr>
          <w:rFonts w:ascii="Arial" w:cs="Arial" w:eastAsia="Arial" w:hAnsi="Arial"/>
          <w:sz w:val="16"/>
          <w:szCs w:val="16"/>
          <w:color w:val="auto"/>
        </w:rPr>
        <w:t xml:space="preserve">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based on Nielsen household panel data for all outlets for the 52 week period ended December 29, 2018.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RTD category based on Nielsen household panel data for all outlets for the 52 week period ended December 29, 2018.</w:t>
      </w:r>
    </w:p>
    <w:p>
      <w:pPr>
        <w:spacing w:after="0" w:line="167"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a high-quality sports nutrition brand that targets fitness enthusiasts, who trust the brand for its science-based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development, athletic performance focus and third party validation that its products are free of banned substances.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’s award-winning product portfolio spans protein powders, protein bars and nutritional supplements. We believe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78" w:lineRule="exact"/>
        <w:rPr>
          <w:sz w:val="20"/>
          <w:szCs w:val="20"/>
          <w:color w:val="auto"/>
        </w:rPr>
      </w:pPr>
    </w:p>
    <w:p>
      <w:pPr>
        <w:ind w:left="380" w:right="80" w:firstLine="426"/>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February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is positioned as a high-quality brand both in the U.S. and internationally and has a notable presence in Western Europe.</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380" w:right="160" w:firstLine="426"/>
        <w:spacing w:after="0" w:line="297"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delivers products with high protein and superior taste. The brand’s RTD protein shakes are formulated to deliver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levels of 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portfolio to include new flavors, high protein Clear RTD beverages, powders and nutrition bars.</w:t>
      </w:r>
    </w:p>
    <w:p>
      <w:pPr>
        <w:spacing w:after="0" w:line="158" w:lineRule="exact"/>
        <w:rPr>
          <w:sz w:val="20"/>
          <w:szCs w:val="20"/>
          <w:color w:val="auto"/>
        </w:rPr>
      </w:pPr>
    </w:p>
    <w:p>
      <w:pPr>
        <w:ind w:left="380" w:right="2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380" w:right="40" w:firstLine="426"/>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products deliver concentrated energy and protein in convenient formats that can be consumed by competitive athletes and fitness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has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expanded its product portfolio to include a natural vegan protein bar and protein bars fortified with calcium and magnesium.</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major club and mass customers.</w:t>
      </w:r>
    </w:p>
    <w:p>
      <w:pPr>
        <w:spacing w:after="0" w:line="188" w:lineRule="exact"/>
        <w:rPr>
          <w:sz w:val="20"/>
          <w:szCs w:val="20"/>
          <w:color w:val="auto"/>
        </w:rPr>
      </w:pPr>
    </w:p>
    <w:p>
      <w:pPr>
        <w:ind w:left="380" w:right="6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380" w:right="16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 as they arise.</w:t>
      </w:r>
    </w:p>
    <w:p>
      <w:pPr>
        <w:spacing w:after="0" w:line="31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302" w:lineRule="auto"/>
        <w:rPr>
          <w:sz w:val="20"/>
          <w:szCs w:val="20"/>
          <w:color w:val="auto"/>
        </w:rPr>
      </w:pPr>
      <w:r>
        <w:rPr>
          <w:rFonts w:ascii="Arial" w:cs="Arial" w:eastAsia="Arial" w:hAnsi="Arial"/>
          <w:sz w:val="16"/>
          <w:szCs w:val="16"/>
          <w:color w:val="auto"/>
        </w:rPr>
        <w:t>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54"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240" w:top="459" w:right="7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380" w:firstLine="426"/>
        <w:spacing w:after="0" w:line="286"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RTD protein shakes as measured by Nielsen household panel data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outlets for the 52 week period ended December 29, 2018. However,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household penetration is 5% (compared to 23% for liquids in the convenient nutrition category) for the 52 week period ended December 29, 2018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can play in healthy and active lifestyles. We plan to continue 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69"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380" w:right="20" w:firstLine="426"/>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velocities versus its competitors based on data from Nielsen for Total US xAOC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9" w:lineRule="exact"/>
        <w:rPr>
          <w:sz w:val="20"/>
          <w:szCs w:val="20"/>
          <w:color w:val="auto"/>
        </w:rPr>
      </w:pPr>
    </w:p>
    <w:p>
      <w:pPr>
        <w:ind w:left="380" w:right="100" w:firstLine="426"/>
        <w:spacing w:after="0" w:line="312"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380" w:right="180" w:firstLine="426"/>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380" w:right="20" w:firstLine="426"/>
        <w:spacing w:after="0" w:line="268" w:lineRule="auto"/>
        <w:rPr>
          <w:sz w:val="20"/>
          <w:szCs w:val="20"/>
          <w:color w:val="auto"/>
        </w:rPr>
      </w:pPr>
      <w:r>
        <w:rPr>
          <w:rFonts w:ascii="Arial" w:cs="Arial" w:eastAsia="Arial" w:hAnsi="Arial"/>
          <w:sz w:val="17"/>
          <w:szCs w:val="17"/>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accounted for 25% of fiscal 2018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expect to introduce two additional flavors in the fall of 2019. We also have improved the taste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and nutrition bar formulations to ensure we continue to delight consumers. We believe our new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powder offering is already generating top 10% category velocities in FDM in less than twelve months based on Nielsen tracked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channels data for the 52 week period ended February 23,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achieved the first and second highest velocities for bars according to German Nielsen data for December 2018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February 23, 2019.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Premier Protein Clear</w:t>
      </w:r>
      <w:r>
        <w:rPr>
          <w:rFonts w:ascii="Arial" w:cs="Arial" w:eastAsia="Arial" w:hAnsi="Arial"/>
          <w:sz w:val="17"/>
          <w:szCs w:val="17"/>
          <w:color w:val="auto"/>
        </w:rPr>
        <w:t xml:space="preserve"> RTD product is now distributed nationwide in Costco and other key retailers.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continues to be a leader in disruptive product 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88"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380" w:right="6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9"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84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emerging markets such as China and India and established markets such as the United Kingdom (the “U.K.”), Japan and Australia.</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380" w:right="80" w:firstLine="426"/>
        <w:spacing w:after="0" w:line="273" w:lineRule="auto"/>
        <w:rPr>
          <w:sz w:val="20"/>
          <w:szCs w:val="20"/>
          <w:color w:val="auto"/>
        </w:rPr>
      </w:pPr>
      <w:r>
        <w:rPr>
          <w:rFonts w:ascii="Arial" w:cs="Arial" w:eastAsia="Arial" w:hAnsi="Arial"/>
          <w:sz w:val="17"/>
          <w:szCs w:val="17"/>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8" w:lineRule="exact"/>
        <w:rPr>
          <w:sz w:val="20"/>
          <w:szCs w:val="20"/>
          <w:color w:val="auto"/>
        </w:rPr>
      </w:pPr>
    </w:p>
    <w:p>
      <w:pPr>
        <w:ind w:left="1320" w:right="18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320" w:hanging="515"/>
        <w:spacing w:after="0" w:line="290"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 For example, due to a combination of better than expected volume growth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w:t>
      </w:r>
    </w:p>
    <w:p>
      <w:pPr>
        <w:spacing w:after="0" w:line="71" w:lineRule="exact"/>
        <w:rPr>
          <w:rFonts w:ascii="Arial" w:cs="Arial" w:eastAsia="Arial" w:hAnsi="Arial"/>
          <w:sz w:val="16"/>
          <w:szCs w:val="16"/>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320" w:right="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320" w:right="20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320" w:right="160" w:hanging="515"/>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must identify changing consumer and customer preferences and develop and offer products to meet these preferences.</w:t>
      </w:r>
    </w:p>
    <w:p>
      <w:pPr>
        <w:spacing w:after="0" w:line="142" w:lineRule="exact"/>
        <w:rPr>
          <w:rFonts w:ascii="Arial" w:cs="Arial" w:eastAsia="Arial" w:hAnsi="Arial"/>
          <w:sz w:val="17"/>
          <w:szCs w:val="17"/>
          <w:color w:val="auto"/>
        </w:rPr>
      </w:pPr>
    </w:p>
    <w:p>
      <w:pPr>
        <w:ind w:left="1320" w:hanging="515"/>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42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6642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515"/>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320" w:right="240" w:hanging="515"/>
        <w:spacing w:after="0" w:line="308" w:lineRule="auto"/>
        <w:tabs>
          <w:tab w:leader="none" w:pos="1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51" w:lineRule="exact"/>
        <w:rPr>
          <w:rFonts w:ascii="Arial" w:cs="Arial" w:eastAsia="Arial" w:hAnsi="Arial"/>
          <w:sz w:val="17"/>
          <w:szCs w:val="17"/>
          <w:color w:val="auto"/>
        </w:rPr>
      </w:pPr>
    </w:p>
    <w:p>
      <w:pPr>
        <w:ind w:left="1320" w:right="100" w:hanging="515"/>
        <w:spacing w:after="0" w:line="264"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2" w:lineRule="exact"/>
        <w:rPr>
          <w:sz w:val="20"/>
          <w:szCs w:val="20"/>
          <w:color w:val="auto"/>
        </w:rPr>
      </w:pPr>
    </w:p>
    <w:p>
      <w:pPr>
        <w:ind w:left="1320" w:right="60" w:hanging="515"/>
        <w:spacing w:after="0" w:line="264"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B Blockers will merge with and into the A Blocker, with the A Blocker as the sole surviving corporation;</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Premier Nutrition will convert from a Delaware corporation to a Delaware limited liability company;</w:t>
      </w:r>
    </w:p>
    <w:p>
      <w:pPr>
        <w:spacing w:after="0" w:line="130" w:lineRule="exact"/>
        <w:rPr>
          <w:rFonts w:ascii="Arial" w:cs="Arial" w:eastAsia="Arial" w:hAnsi="Arial"/>
          <w:sz w:val="18"/>
          <w:szCs w:val="18"/>
          <w:color w:val="auto"/>
        </w:rPr>
      </w:pPr>
    </w:p>
    <w:p>
      <w:pPr>
        <w:ind w:left="1740" w:right="12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will distribute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740" w:right="280" w:hanging="408"/>
        <w:spacing w:after="0" w:line="308" w:lineRule="auto"/>
        <w:tabs>
          <w:tab w:leader="none" w:pos="1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Post Acquisition Sub IV, LLC will merge with and into BellRing Brands, LLC, with BellRing Brands, LLC as the surviving entity and, as a result, Active Nutrition International will become a direct subsidiary of BellRing Brands, LLC;</w:t>
      </w:r>
    </w:p>
    <w:p>
      <w:pPr>
        <w:spacing w:after="0" w:line="51" w:lineRule="exact"/>
        <w:rPr>
          <w:rFonts w:ascii="Arial" w:cs="Arial" w:eastAsia="Arial" w:hAnsi="Arial"/>
          <w:sz w:val="17"/>
          <w:szCs w:val="17"/>
          <w:color w:val="auto"/>
        </w:rPr>
      </w:pPr>
    </w:p>
    <w:p>
      <w:pPr>
        <w:ind w:left="1740" w:right="180" w:hanging="408"/>
        <w:spacing w:after="0" w:line="277"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will contribute all of the equity interests in Premier Nutrition to BellRing Brands, LLC, such that BellRing Brands, LLC will be the direct holder of such equity interests; and</w:t>
      </w:r>
    </w:p>
    <w:p>
      <w:pPr>
        <w:spacing w:after="0" w:line="75" w:lineRule="exact"/>
        <w:rPr>
          <w:rFonts w:ascii="Arial" w:cs="Arial" w:eastAsia="Arial" w:hAnsi="Arial"/>
          <w:sz w:val="18"/>
          <w:szCs w:val="18"/>
          <w:color w:val="auto"/>
        </w:rPr>
      </w:pPr>
    </w:p>
    <w:p>
      <w:pPr>
        <w:jc w:val="both"/>
        <w:ind w:left="1740" w:right="160" w:hanging="408"/>
        <w:spacing w:after="0" w:line="259" w:lineRule="auto"/>
        <w:tabs>
          <w:tab w:leader="none" w:pos="1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Post will borrow $ million under the Post bridge loan, and certain of its subsidiaries will be guarantors of the Post bridge loan (other than BellRing Brands, Inc., but including BellRing Brands, LLC and its domestic subsidiaries) as described under “—Debt Financing Arrangements—Post Bridge Loan” and “Description of Certain Indebtedness.” We will not receive any of the proceeds of the Post bridge loan.</w:t>
      </w:r>
    </w:p>
    <w:p>
      <w:pPr>
        <w:spacing w:after="0" w:line="92" w:lineRule="exact"/>
        <w:rPr>
          <w:rFonts w:ascii="Arial" w:cs="Arial" w:eastAsia="Arial" w:hAnsi="Arial"/>
          <w:sz w:val="18"/>
          <w:szCs w:val="18"/>
          <w:color w:val="auto"/>
        </w:rPr>
      </w:pPr>
    </w:p>
    <w:p>
      <w:pPr>
        <w:ind w:left="1320" w:hanging="51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740" w:right="460" w:hanging="408"/>
        <w:spacing w:after="0" w:line="308" w:lineRule="auto"/>
        <w:tabs>
          <w:tab w:leader="none" w:pos="17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BellRing Brands, LLC will contribute all of the equity interests in Active Nutrition International and Premier Nutrition to Dymatize Enterprises, such that Dymatize Enterprises will be the direct holder of such equity interests;</w:t>
      </w:r>
    </w:p>
    <w:p>
      <w:pPr>
        <w:spacing w:after="0" w:line="200" w:lineRule="exact"/>
        <w:rPr>
          <w:sz w:val="20"/>
          <w:szCs w:val="20"/>
          <w:color w:val="auto"/>
        </w:rPr>
      </w:pPr>
    </w:p>
    <w:p>
      <w:pPr>
        <w:spacing w:after="0" w:line="3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240" w:top="459"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27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64274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40" w:right="160" w:hanging="408"/>
        <w:spacing w:after="0" w:line="25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3" w:lineRule="exact"/>
        <w:rPr>
          <w:rFonts w:ascii="Arial" w:cs="Arial" w:eastAsia="Arial" w:hAnsi="Arial"/>
          <w:sz w:val="18"/>
          <w:szCs w:val="18"/>
          <w:color w:val="auto"/>
        </w:rPr>
      </w:pPr>
    </w:p>
    <w:p>
      <w:pPr>
        <w:ind w:left="1740" w:right="80" w:hanging="408"/>
        <w:spacing w:after="0" w:line="264"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w:t>
      </w:r>
    </w:p>
    <w:p>
      <w:pPr>
        <w:spacing w:after="0" w:line="86" w:lineRule="exact"/>
        <w:rPr>
          <w:rFonts w:ascii="Arial" w:cs="Arial" w:eastAsia="Arial" w:hAnsi="Arial"/>
          <w:sz w:val="18"/>
          <w:szCs w:val="18"/>
          <w:color w:val="auto"/>
        </w:rPr>
      </w:pPr>
    </w:p>
    <w:p>
      <w:pPr>
        <w:ind w:left="1740" w:right="240" w:hanging="408"/>
        <w:spacing w:after="0" w:line="277" w:lineRule="auto"/>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380" w:hanging="616"/>
        <w:spacing w:after="0" w:line="257" w:lineRule="auto"/>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 so long as Post or its affiliates (other than us) directly own more than 50% of the BellRing Brands, LLC Units, will, in the aggregate, represent 33% of the combined voting power of the common stock of BellRing Brands, Inc., as described under “—Description of Capital Stock”, and</w:t>
      </w:r>
    </w:p>
    <w:p>
      <w:pPr>
        <w:spacing w:after="0" w:line="93" w:lineRule="exact"/>
        <w:rPr>
          <w:rFonts w:ascii="Arial" w:cs="Arial" w:eastAsia="Arial" w:hAnsi="Arial"/>
          <w:sz w:val="18"/>
          <w:szCs w:val="18"/>
          <w:color w:val="auto"/>
        </w:rPr>
      </w:pPr>
    </w:p>
    <w:p>
      <w:pPr>
        <w:ind w:left="2380" w:right="220" w:hanging="616"/>
        <w:spacing w:after="0" w:line="259" w:lineRule="auto"/>
        <w:tabs>
          <w:tab w:leader="none" w:pos="2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Class B common stock, par value $0.01 per share, which will have no economic interests and, so long as Post or its affiliates (other than us) directly own more than 50% of the BellRing Brands, LLC Units, will represent 67% of the combined voting power of the common stock of BellRing Brands, Inc., as described under “—Description of Capital Stock”;</w:t>
      </w:r>
    </w:p>
    <w:p>
      <w:pPr>
        <w:spacing w:after="0" w:line="92" w:lineRule="exact"/>
        <w:rPr>
          <w:rFonts w:ascii="Arial" w:cs="Arial" w:eastAsia="Arial" w:hAnsi="Arial"/>
          <w:sz w:val="18"/>
          <w:szCs w:val="18"/>
          <w:color w:val="auto"/>
        </w:rPr>
      </w:pPr>
    </w:p>
    <w:p>
      <w:pPr>
        <w:ind w:left="1740" w:hanging="408"/>
        <w:spacing w:after="0"/>
        <w:tabs>
          <w:tab w:leader="none" w:pos="1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BellRing Brands, Inc. will issue to Post (in exchange for the 1,000 shares of common stock initially issued to Post in connection</w:t>
      </w:r>
    </w:p>
    <w:p>
      <w:pPr>
        <w:spacing w:after="0" w:line="46" w:lineRule="exact"/>
        <w:rPr>
          <w:sz w:val="20"/>
          <w:szCs w:val="20"/>
          <w:color w:val="auto"/>
        </w:rPr>
      </w:pPr>
    </w:p>
    <w:p>
      <w:pPr>
        <w:ind w:left="1740" w:right="440"/>
        <w:spacing w:after="0" w:line="323" w:lineRule="auto"/>
        <w:rPr>
          <w:sz w:val="20"/>
          <w:szCs w:val="20"/>
          <w:color w:val="auto"/>
        </w:rPr>
      </w:pPr>
      <w:r>
        <w:rPr>
          <w:rFonts w:ascii="Arial" w:cs="Arial" w:eastAsia="Arial" w:hAnsi="Arial"/>
          <w:sz w:val="16"/>
          <w:szCs w:val="16"/>
          <w:color w:val="auto"/>
        </w:rPr>
        <w:t>with its incorporation, which shares will be cancelled as part of the exchange, together with $ ) one share of Class B common stock, which share of Class B common stock cannot be transferred by Post except to its affiliates (other than us);</w:t>
      </w:r>
    </w:p>
    <w:p>
      <w:pPr>
        <w:spacing w:after="0" w:line="44" w:lineRule="exact"/>
        <w:rPr>
          <w:sz w:val="20"/>
          <w:szCs w:val="20"/>
          <w:color w:val="auto"/>
        </w:rPr>
      </w:pPr>
    </w:p>
    <w:p>
      <w:pPr>
        <w:ind w:left="1740" w:right="260" w:hanging="408"/>
        <w:spacing w:after="0" w:line="264" w:lineRule="auto"/>
        <w:tabs>
          <w:tab w:leader="none" w:pos="1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6" w:lineRule="exact"/>
        <w:rPr>
          <w:rFonts w:ascii="Arial" w:cs="Arial" w:eastAsia="Arial" w:hAnsi="Arial"/>
          <w:sz w:val="18"/>
          <w:szCs w:val="18"/>
          <w:color w:val="auto"/>
        </w:rPr>
      </w:pPr>
    </w:p>
    <w:p>
      <w:pPr>
        <w:ind w:left="2380" w:right="380" w:hanging="616"/>
        <w:spacing w:after="0" w:line="277" w:lineRule="auto"/>
        <w:tabs>
          <w:tab w:leader="none" w:pos="2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380" w:right="120" w:hanging="616"/>
        <w:spacing w:after="0" w:line="277" w:lineRule="auto"/>
        <w:tabs>
          <w:tab w:leader="none" w:pos="2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w:t>
      </w:r>
    </w:p>
    <w:p>
      <w:pPr>
        <w:spacing w:after="0" w:line="76" w:lineRule="exact"/>
        <w:rPr>
          <w:sz w:val="20"/>
          <w:szCs w:val="20"/>
          <w:color w:val="auto"/>
        </w:rPr>
      </w:pPr>
    </w:p>
    <w:p>
      <w:pPr>
        <w:ind w:left="1340"/>
        <w:spacing w:after="0"/>
        <w:tabs>
          <w:tab w:leader="none" w:pos="1720" w:val="left"/>
          <w:tab w:leader="none" w:pos="7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Post’s membership interests in BellRing Brands, LLC will be reclassified as</w:t>
      </w:r>
      <w:r>
        <w:rPr>
          <w:sz w:val="20"/>
          <w:szCs w:val="20"/>
          <w:color w:val="auto"/>
        </w:rPr>
        <w:tab/>
      </w:r>
      <w:r>
        <w:rPr>
          <w:rFonts w:ascii="Arial" w:cs="Arial" w:eastAsia="Arial" w:hAnsi="Arial"/>
          <w:sz w:val="17"/>
          <w:szCs w:val="17"/>
          <w:color w:val="auto"/>
        </w:rPr>
        <w:t>BellRing Brands, LLC Units;</w:t>
      </w:r>
    </w:p>
    <w:p>
      <w:pPr>
        <w:spacing w:after="0" w:line="131" w:lineRule="exact"/>
        <w:rPr>
          <w:sz w:val="20"/>
          <w:szCs w:val="20"/>
          <w:color w:val="auto"/>
        </w:rPr>
      </w:pPr>
    </w:p>
    <w:p>
      <w:pPr>
        <w:ind w:left="1740" w:hanging="408"/>
        <w:spacing w:after="0" w:line="277" w:lineRule="auto"/>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75" w:lineRule="exact"/>
        <w:rPr>
          <w:rFonts w:ascii="Arial" w:cs="Arial" w:eastAsia="Arial" w:hAnsi="Arial"/>
          <w:sz w:val="18"/>
          <w:szCs w:val="18"/>
          <w:color w:val="auto"/>
        </w:rPr>
      </w:pPr>
    </w:p>
    <w:p>
      <w:pPr>
        <w:ind w:left="2320" w:right="200" w:hanging="988"/>
        <w:spacing w:after="0" w:line="286" w:lineRule="auto"/>
        <w:tabs>
          <w:tab w:leader="none" w:pos="17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BellRing Brands, Inc. will contribute the net proceeds it receives in this offering to BellRing Brands, LLC, in exchange for BellRing Brands, LLC Units (which is equal to the number of shares of Class A common stock sold in this offering or BellRing Brands, LLC Units if the underwriters exercise their over-allotment option in full); and</w:t>
      </w:r>
    </w:p>
    <w:p>
      <w:pPr>
        <w:spacing w:after="0" w:line="70" w:lineRule="exact"/>
        <w:rPr>
          <w:rFonts w:ascii="Arial" w:cs="Arial" w:eastAsia="Arial" w:hAnsi="Arial"/>
          <w:sz w:val="17"/>
          <w:szCs w:val="17"/>
          <w:color w:val="auto"/>
        </w:rPr>
      </w:pPr>
    </w:p>
    <w:p>
      <w:pPr>
        <w:ind w:left="1740" w:right="180" w:hanging="408"/>
        <w:spacing w:after="0" w:line="264" w:lineRule="auto"/>
        <w:tabs>
          <w:tab w:leader="none" w:pos="1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investor rights agreement, (iii) the tax matters agreement, (iv) the tax receivable agreement, and (v) the master services agreement, each 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described under “Certain Relationships and Related Party Transactions—Post-Offering Relationship with Post.”</w:t>
      </w:r>
    </w:p>
    <w:p>
      <w:pPr>
        <w:spacing w:after="0" w:line="225" w:lineRule="exact"/>
        <w:rPr>
          <w:sz w:val="20"/>
          <w:szCs w:val="20"/>
          <w:color w:val="auto"/>
        </w:rPr>
      </w:pPr>
    </w:p>
    <w:p>
      <w:pPr>
        <w:ind w:left="380" w:right="240" w:firstLine="426"/>
        <w:spacing w:after="0" w:line="271" w:lineRule="auto"/>
        <w:rPr>
          <w:sz w:val="20"/>
          <w:szCs w:val="20"/>
          <w:color w:val="auto"/>
        </w:rPr>
      </w:pPr>
      <w:r>
        <w:rPr>
          <w:rFonts w:ascii="Arial" w:cs="Arial" w:eastAsia="Arial" w:hAnsi="Arial"/>
          <w:sz w:val="17"/>
          <w:szCs w:val="17"/>
          <w:color w:val="auto"/>
        </w:rPr>
        <w:t>In this offering, BellRing Brands, Inc. will issue shares of Class A common stock (or shares if the underwriters exercise their over-allotment option in full) in exchange for net proceeds of approximately $ million (or approximately $ million if the underwriters exercise their over-allotment option in full), assuming the shares are offered at $ per share (the midpoint of the price range set forth on the</w:t>
      </w:r>
    </w:p>
    <w:p>
      <w:pPr>
        <w:jc w:val="both"/>
        <w:ind w:left="380" w:right="420"/>
        <w:spacing w:after="0" w:line="277" w:lineRule="auto"/>
        <w:rPr>
          <w:sz w:val="20"/>
          <w:szCs w:val="20"/>
          <w:color w:val="auto"/>
        </w:rPr>
      </w:pPr>
      <w:r>
        <w:rPr>
          <w:rFonts w:ascii="Arial" w:cs="Arial" w:eastAsia="Arial" w:hAnsi="Arial"/>
          <w:sz w:val="17"/>
          <w:szCs w:val="17"/>
          <w:color w:val="auto"/>
        </w:rPr>
        <w:t>cover page of this prospectus), after deducting underwriting discounts 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81" w:lineRule="exact"/>
        <w:rPr>
          <w:sz w:val="20"/>
          <w:szCs w:val="20"/>
          <w:color w:val="auto"/>
        </w:rPr>
      </w:pPr>
    </w:p>
    <w:p>
      <w:pPr>
        <w:ind w:left="820" w:right="400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spacing w:after="0" w:line="1" w:lineRule="exact"/>
        <w:rPr>
          <w:sz w:val="20"/>
          <w:szCs w:val="20"/>
          <w:color w:val="auto"/>
        </w:rPr>
      </w:pPr>
    </w:p>
    <w:p>
      <w:pPr>
        <w:ind w:left="1320" w:hanging="51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entities comprising Post’s Active Nutrition business will be direct or indirect subsidiaries of BellRing Brands, LLC.</w:t>
      </w:r>
    </w:p>
    <w:p>
      <w:pPr>
        <w:spacing w:after="0" w:line="130" w:lineRule="exact"/>
        <w:rPr>
          <w:rFonts w:ascii="Arial" w:cs="Arial" w:eastAsia="Arial" w:hAnsi="Arial"/>
          <w:sz w:val="18"/>
          <w:szCs w:val="18"/>
          <w:color w:val="auto"/>
        </w:rPr>
      </w:pPr>
    </w:p>
    <w:p>
      <w:pPr>
        <w:ind w:left="1320" w:right="700" w:hanging="515"/>
        <w:spacing w:after="0" w:line="264"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its indirect interests in the subsidiaries of BellRing Brands, LLC and will have no independent means of generating revenue or cash flow.</w:t>
      </w:r>
    </w:p>
    <w:p>
      <w:pPr>
        <w:spacing w:after="0" w:line="86" w:lineRule="exact"/>
        <w:rPr>
          <w:rFonts w:ascii="Arial" w:cs="Arial" w:eastAsia="Arial" w:hAnsi="Arial"/>
          <w:sz w:val="18"/>
          <w:szCs w:val="18"/>
          <w:color w:val="auto"/>
        </w:rPr>
      </w:pPr>
    </w:p>
    <w:p>
      <w:pPr>
        <w:ind w:left="1320" w:hanging="515"/>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320" w:right="300" w:hanging="515"/>
        <w:spacing w:after="0" w:line="302" w:lineRule="auto"/>
        <w:tabs>
          <w:tab w:leader="none" w:pos="1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BellRing Brands, LLC will be treated as a partnership for U.S. federal income tax purposes immediately after BellRing Brands, Inc.’s purchase of BellRing Brands, LLC Units in connection with this offering and, as such, will not itself generally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6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1620" w:type="dxa"/>
            <w:vAlign w:val="bottom"/>
          </w:tcPr>
          <w:p>
            <w:pPr>
              <w:ind w:left="220"/>
              <w:spacing w:after="0"/>
              <w:rPr>
                <w:sz w:val="20"/>
                <w:szCs w:val="20"/>
                <w:color w:val="auto"/>
              </w:rPr>
            </w:pPr>
            <w:r>
              <w:rPr>
                <w:rFonts w:ascii="Arial" w:cs="Arial" w:eastAsia="Arial" w:hAnsi="Arial"/>
                <w:sz w:val="18"/>
                <w:szCs w:val="18"/>
                <w:color w:val="auto"/>
              </w:rPr>
              <w:t>Post will hold</w:t>
            </w:r>
          </w:p>
        </w:tc>
        <w:tc>
          <w:tcPr>
            <w:tcW w:w="8520" w:type="dxa"/>
            <w:vAlign w:val="bottom"/>
            <w:gridSpan w:val="3"/>
          </w:tcPr>
          <w:p>
            <w:pPr>
              <w:ind w:left="400"/>
              <w:spacing w:after="0"/>
              <w:rPr>
                <w:sz w:val="20"/>
                <w:szCs w:val="20"/>
                <w:color w:val="auto"/>
              </w:rPr>
            </w:pPr>
            <w:r>
              <w:rPr>
                <w:rFonts w:ascii="Arial" w:cs="Arial" w:eastAsia="Arial" w:hAnsi="Arial"/>
                <w:sz w:val="18"/>
                <w:szCs w:val="18"/>
                <w:color w:val="auto"/>
                <w:w w:val="99"/>
              </w:rPr>
              <w:t>BellRing Brands, LLC Units, equal to   % of the economic interest in BellRing Brands, LLC (or   % if the</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4"/>
              </w:rPr>
              <w:t>underwriters exercise their over-allotment option in full) and one share of BellRing Brands, Inc. Class B common stock, which, for so</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4"/>
              </w:rPr>
              <w:t>long as Post or its affiliates (other than us) directly own more than 50% of the BellRing Brands, LLC Units, will represent 67% of the</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6"/>
              </w:rPr>
              <w:t>combined voting power of the common stock of BellRing Brands, Inc. as described in this prospectus. Subject to the terms of the</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6"/>
              </w:rPr>
              <w:t>amended and restated limited liability company agreement, Post may redeem BellRing Brands, LLC Units for, at BellRing Brands,</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4"/>
              </w:rPr>
              <w:t>LLC’s option (as determined by its Board of Managers), (i) shares of BellRing Brands, Inc. Class A common stock or (ii) cash (based</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6"/>
              </w:rPr>
              <w:t>on the market price of the shares of BellRing Brands, Inc. Class A common stock). The redemption of BellRing Brands, LLC Units</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7"/>
              </w:rPr>
              <w:t>for shares of Class A common stock will be at an initial redemption rate of one share of Class A common stock for one BellRing</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3"/>
              </w:rPr>
              <w:t>Brands, LLC Unit, subject to customary redemption rate adjustments for stock splits, stock dividends and reclassifications. The share</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5"/>
              </w:rPr>
              <w:t>of BellRing Brands, Inc. Class B common stock will be initially owned by Post and cannot be transferred except to affiliates of Post</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4"/>
              </w:rPr>
              <w:t>(other than us). We do not intend to list our Class B common stock on any stock exchange. See “Certain Relationships and Related</w:t>
            </w:r>
          </w:p>
        </w:tc>
      </w:tr>
      <w:tr>
        <w:trPr>
          <w:trHeight w:val="230"/>
        </w:trPr>
        <w:tc>
          <w:tcPr>
            <w:tcW w:w="900" w:type="dxa"/>
            <w:vAlign w:val="bottom"/>
          </w:tcPr>
          <w:p>
            <w:pPr>
              <w:spacing w:after="0"/>
              <w:rPr>
                <w:sz w:val="20"/>
                <w:szCs w:val="20"/>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rPr>
              <w:t>Party Transactions—Post-Offering Relationship with Post—Amended and Restated Limited Liability Company Agreement.”</w:t>
            </w:r>
          </w:p>
        </w:tc>
      </w:tr>
      <w:tr>
        <w:trPr>
          <w:trHeight w:val="323"/>
        </w:trPr>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3720" w:type="dxa"/>
            <w:vAlign w:val="bottom"/>
            <w:gridSpan w:val="2"/>
          </w:tcPr>
          <w:p>
            <w:pPr>
              <w:ind w:left="220"/>
              <w:spacing w:after="0"/>
              <w:rPr>
                <w:sz w:val="20"/>
                <w:szCs w:val="20"/>
                <w:color w:val="auto"/>
              </w:rPr>
            </w:pPr>
            <w:r>
              <w:rPr>
                <w:rFonts w:ascii="Arial" w:cs="Arial" w:eastAsia="Arial" w:hAnsi="Arial"/>
                <w:sz w:val="18"/>
                <w:szCs w:val="18"/>
                <w:color w:val="auto"/>
              </w:rPr>
              <w:t>The purchasers in this offering (i) will own</w:t>
            </w:r>
          </w:p>
        </w:tc>
        <w:tc>
          <w:tcPr>
            <w:tcW w:w="3700" w:type="dxa"/>
            <w:vAlign w:val="bottom"/>
          </w:tcPr>
          <w:p>
            <w:pPr>
              <w:jc w:val="right"/>
              <w:ind w:right="310"/>
              <w:spacing w:after="0"/>
              <w:rPr>
                <w:sz w:val="20"/>
                <w:szCs w:val="20"/>
                <w:color w:val="auto"/>
              </w:rPr>
            </w:pPr>
            <w:r>
              <w:rPr>
                <w:rFonts w:ascii="Arial" w:cs="Arial" w:eastAsia="Arial" w:hAnsi="Arial"/>
                <w:sz w:val="18"/>
                <w:szCs w:val="18"/>
                <w:color w:val="auto"/>
              </w:rPr>
              <w:t>shares of our Class A common stock (or</w:t>
            </w:r>
          </w:p>
        </w:tc>
        <w:tc>
          <w:tcPr>
            <w:tcW w:w="2720" w:type="dxa"/>
            <w:vAlign w:val="bottom"/>
          </w:tcPr>
          <w:p>
            <w:pPr>
              <w:ind w:left="400"/>
              <w:spacing w:after="0"/>
              <w:rPr>
                <w:sz w:val="20"/>
                <w:szCs w:val="20"/>
                <w:color w:val="auto"/>
              </w:rPr>
            </w:pPr>
            <w:r>
              <w:rPr>
                <w:rFonts w:ascii="Arial" w:cs="Arial" w:eastAsia="Arial" w:hAnsi="Arial"/>
                <w:sz w:val="18"/>
                <w:szCs w:val="18"/>
                <w:color w:val="auto"/>
              </w:rPr>
              <w:t>shares if the underwriters</w:t>
            </w:r>
          </w:p>
        </w:tc>
      </w:tr>
      <w:tr>
        <w:trPr>
          <w:trHeight w:val="216"/>
        </w:trPr>
        <w:tc>
          <w:tcPr>
            <w:tcW w:w="900" w:type="dxa"/>
            <w:vAlign w:val="bottom"/>
          </w:tcPr>
          <w:p>
            <w:pPr>
              <w:spacing w:after="0"/>
              <w:rPr>
                <w:sz w:val="18"/>
                <w:szCs w:val="18"/>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5"/>
              </w:rPr>
              <w:t>exercise their over-allotment option in full), which, for so long as Post or its affiliates (other than us) directly own more than 50% of</w:t>
            </w:r>
          </w:p>
        </w:tc>
      </w:tr>
      <w:tr>
        <w:trPr>
          <w:trHeight w:val="230"/>
        </w:trPr>
        <w:tc>
          <w:tcPr>
            <w:tcW w:w="900" w:type="dxa"/>
            <w:vAlign w:val="bottom"/>
          </w:tcPr>
          <w:p>
            <w:pPr>
              <w:spacing w:after="0"/>
              <w:rPr>
                <w:sz w:val="20"/>
                <w:szCs w:val="20"/>
                <w:color w:val="auto"/>
              </w:rPr>
            </w:pPr>
          </w:p>
        </w:tc>
        <w:tc>
          <w:tcPr>
            <w:tcW w:w="10140" w:type="dxa"/>
            <w:vAlign w:val="bottom"/>
            <w:gridSpan w:val="4"/>
          </w:tcPr>
          <w:p>
            <w:pPr>
              <w:ind w:left="220"/>
              <w:spacing w:after="0"/>
              <w:rPr>
                <w:sz w:val="20"/>
                <w:szCs w:val="20"/>
                <w:color w:val="auto"/>
              </w:rPr>
            </w:pPr>
            <w:r>
              <w:rPr>
                <w:rFonts w:ascii="Arial" w:cs="Arial" w:eastAsia="Arial" w:hAnsi="Arial"/>
                <w:sz w:val="18"/>
                <w:szCs w:val="18"/>
                <w:color w:val="auto"/>
                <w:w w:val="95"/>
              </w:rPr>
              <w:t>the BellRing Brands, LLC Units, will represent 33% of the combined voting power of our common stock and 100% of the economic</w:t>
            </w:r>
          </w:p>
        </w:tc>
      </w:tr>
      <w:tr>
        <w:trPr>
          <w:trHeight w:val="240"/>
        </w:trPr>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604"/>
        </w:trPr>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2630"/>
              <w:spacing w:after="0"/>
              <w:rPr>
                <w:sz w:val="20"/>
                <w:szCs w:val="20"/>
                <w:color w:val="auto"/>
              </w:rPr>
            </w:pPr>
            <w:r>
              <w:rPr>
                <w:rFonts w:ascii="Arial" w:cs="Arial" w:eastAsia="Arial" w:hAnsi="Arial"/>
                <w:sz w:val="18"/>
                <w:szCs w:val="18"/>
                <w:color w:val="auto"/>
              </w:rPr>
              <w:t>13</w:t>
            </w:r>
          </w:p>
        </w:tc>
        <w:tc>
          <w:tcPr>
            <w:tcW w:w="27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9883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2988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340" w:right="40"/>
        <w:spacing w:after="0" w:line="308" w:lineRule="auto"/>
        <w:rPr>
          <w:sz w:val="20"/>
          <w:szCs w:val="20"/>
          <w:color w:val="auto"/>
        </w:rPr>
      </w:pPr>
      <w:r>
        <w:rPr>
          <w:rFonts w:ascii="Arial" w:cs="Arial" w:eastAsia="Arial" w:hAnsi="Arial"/>
          <w:sz w:val="17"/>
          <w:szCs w:val="17"/>
          <w:color w:val="auto"/>
        </w:rPr>
        <w:t>interest in BellRing Brands, Inc., and (ii) through BellRing Brands, Inc.’s ownership of BellRing Brands, LLC Units, indirectly will hold % of the economic interest in BellRing Brands, LLC (or % if the underwriters exercise their over-allotment option in full).</w:t>
      </w:r>
    </w:p>
    <w:p>
      <w:pPr>
        <w:spacing w:after="0" w:line="52" w:lineRule="exact"/>
        <w:rPr>
          <w:sz w:val="20"/>
          <w:szCs w:val="20"/>
          <w:color w:val="auto"/>
        </w:rPr>
      </w:pPr>
    </w:p>
    <w:p>
      <w:pPr>
        <w:ind w:left="1320" w:hanging="515"/>
        <w:spacing w:after="0" w:line="259"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 BellRing Brands, Inc. and the number of BellRing Brands, LLC Units owned by BellRing Brands, Inc. See “Certain Relationships and Related Party Transactions—Post-Offering Relationship with Post— Amended and Restated Limited Liability Company Agreement.”</w:t>
      </w:r>
    </w:p>
    <w:p>
      <w:pPr>
        <w:spacing w:after="0" w:line="92" w:lineRule="exact"/>
        <w:rPr>
          <w:rFonts w:ascii="Arial" w:cs="Arial" w:eastAsia="Arial" w:hAnsi="Arial"/>
          <w:sz w:val="18"/>
          <w:szCs w:val="18"/>
          <w:color w:val="auto"/>
        </w:rPr>
      </w:pPr>
    </w:p>
    <w:p>
      <w:pPr>
        <w:ind w:left="1320" w:right="20" w:hanging="515"/>
        <w:spacing w:after="0" w:line="253"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appoint and remove the members of the Board of Managers of, and no 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the Class B common stock of BellRing Brands, Inc.</w:t>
      </w:r>
    </w:p>
    <w:p>
      <w:pPr>
        <w:spacing w:after="0" w:line="102" w:lineRule="exact"/>
        <w:rPr>
          <w:rFonts w:ascii="Arial" w:cs="Arial" w:eastAsia="Arial" w:hAnsi="Arial"/>
          <w:sz w:val="18"/>
          <w:szCs w:val="18"/>
          <w:color w:val="auto"/>
        </w:rPr>
      </w:pPr>
    </w:p>
    <w:p>
      <w:pPr>
        <w:ind w:left="1320" w:right="20" w:hanging="515"/>
        <w:spacing w:after="0" w:line="286" w:lineRule="auto"/>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240" w:top="459" w:right="7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924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69246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The following diagram shows our corporate structure immediately after completion of the formation transactions and this offering (assuming an initial public offering price at the midpoint of the estimated offering price range set forth on the cover page of this prospectus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380" w:right="280" w:firstLine="426"/>
        <w:spacing w:after="0" w:line="302" w:lineRule="auto"/>
        <w:rPr>
          <w:sz w:val="20"/>
          <w:szCs w:val="20"/>
          <w:color w:val="auto"/>
        </w:rPr>
      </w:pPr>
      <w:r>
        <w:rPr>
          <w:rFonts w:ascii="Arial" w:cs="Arial" w:eastAsia="Arial" w:hAnsi="Arial"/>
          <w:sz w:val="16"/>
          <w:szCs w:val="16"/>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w:t>
      </w:r>
    </w:p>
    <w:p>
      <w:pPr>
        <w:spacing w:after="0" w:line="200" w:lineRule="exact"/>
        <w:rPr>
          <w:sz w:val="20"/>
          <w:szCs w:val="20"/>
          <w:color w:val="auto"/>
        </w:rPr>
      </w:pPr>
    </w:p>
    <w:p>
      <w:pPr>
        <w:spacing w:after="0" w:line="38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24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spacing w:after="0" w:line="308" w:lineRule="auto"/>
        <w:rPr>
          <w:sz w:val="20"/>
          <w:szCs w:val="20"/>
          <w:color w:val="auto"/>
        </w:rPr>
      </w:pPr>
      <w:r>
        <w:rPr>
          <w:rFonts w:ascii="Arial" w:cs="Arial" w:eastAsia="Arial" w:hAnsi="Arial"/>
          <w:sz w:val="17"/>
          <w:szCs w:val="17"/>
          <w:color w:val="auto"/>
        </w:rPr>
        <w:t>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ind w:left="380" w:right="60" w:firstLine="426"/>
        <w:spacing w:after="0" w:line="269" w:lineRule="auto"/>
        <w:rPr>
          <w:sz w:val="20"/>
          <w:szCs w:val="20"/>
          <w:color w:val="auto"/>
        </w:rPr>
      </w:pPr>
      <w:r>
        <w:rPr>
          <w:rFonts w:ascii="Arial" w:cs="Arial" w:eastAsia="Arial" w:hAnsi="Arial"/>
          <w:sz w:val="17"/>
          <w:szCs w:val="17"/>
          <w:color w:val="auto"/>
        </w:rPr>
        <w:t>Prior to the completion of this offering, Post will borrow $ million under an unsecured bridge loan (which we refer to as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 rate per annum equal to (i) with respect to the period commencing on</w:t>
      </w:r>
    </w:p>
    <w:p>
      <w:pPr>
        <w:spacing w:after="0" w:line="2" w:lineRule="exact"/>
        <w:rPr>
          <w:sz w:val="20"/>
          <w:szCs w:val="20"/>
          <w:color w:val="auto"/>
        </w:rPr>
      </w:pPr>
    </w:p>
    <w:p>
      <w:pPr>
        <w:ind w:left="380" w:right="40" w:firstLine="720"/>
        <w:spacing w:after="0" w:line="254" w:lineRule="auto"/>
        <w:rPr>
          <w:sz w:val="20"/>
          <w:szCs w:val="20"/>
          <w:color w:val="auto"/>
        </w:rPr>
      </w:pPr>
      <w:r>
        <w:rPr>
          <w:rFonts w:ascii="Arial" w:cs="Arial" w:eastAsia="Arial" w:hAnsi="Arial"/>
          <w:sz w:val="18"/>
          <w:szCs w:val="18"/>
          <w:color w:val="auto"/>
        </w:rPr>
        <w:t>, and ending on , the Eurodollar Rate (as such term is defined in the bridge facility agreement) plus 450 basis points, (ii) with respect to the period commencing on , and ending on , the Eurodollar Rate plus 500 basis points, (iii) with respect to the period between and , 12.00% and (iv) with respect to the period on or after through the maturity date, 12.25%. Payments of interest on the Post bridge loan are due on , , and the last day of each quarter thereafter. The Post bridge loan will mature on August 23, 2024.</w:t>
      </w:r>
    </w:p>
    <w:p>
      <w:pPr>
        <w:spacing w:after="0" w:line="200" w:lineRule="exact"/>
        <w:rPr>
          <w:sz w:val="20"/>
          <w:szCs w:val="20"/>
          <w:color w:val="auto"/>
        </w:rPr>
      </w:pPr>
    </w:p>
    <w:p>
      <w:pPr>
        <w:spacing w:after="0" w:line="206" w:lineRule="exact"/>
        <w:rPr>
          <w:sz w:val="20"/>
          <w:szCs w:val="20"/>
          <w:color w:val="auto"/>
        </w:rPr>
      </w:pPr>
    </w:p>
    <w:p>
      <w:pPr>
        <w:ind w:left="380" w:right="20" w:firstLine="426"/>
        <w:spacing w:after="0" w:line="253" w:lineRule="auto"/>
        <w:rPr>
          <w:sz w:val="20"/>
          <w:szCs w:val="20"/>
          <w:color w:val="auto"/>
        </w:rPr>
      </w:pPr>
      <w:r>
        <w:rPr>
          <w:rFonts w:ascii="Arial" w:cs="Arial" w:eastAsia="Arial" w:hAnsi="Arial"/>
          <w:sz w:val="18"/>
          <w:szCs w:val="18"/>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 See “Description of Certain Indebtedness.”</w:t>
      </w: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w:t>
      </w:r>
    </w:p>
    <w:p>
      <w:pPr>
        <w:spacing w:after="0" w:line="46" w:lineRule="exact"/>
        <w:rPr>
          <w:sz w:val="20"/>
          <w:szCs w:val="20"/>
          <w:color w:val="auto"/>
        </w:rPr>
      </w:pPr>
    </w:p>
    <w:p>
      <w:pPr>
        <w:ind w:left="380"/>
        <w:spacing w:after="0" w:line="265" w:lineRule="auto"/>
        <w:rPr>
          <w:sz w:val="20"/>
          <w:szCs w:val="20"/>
          <w:color w:val="auto"/>
        </w:rPr>
      </w:pPr>
      <w:r>
        <w:rPr>
          <w:rFonts w:ascii="Arial" w:cs="Arial" w:eastAsia="Arial" w:hAnsi="Arial"/>
          <w:sz w:val="17"/>
          <w:szCs w:val="17"/>
          <w:color w:val="auto"/>
        </w:rPr>
        <w:t>into debt facilities consisting of a $ million revolving credit facility and a $ million term loan facility (which we refer to collectively as the “debt facilities”)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w:t>
      </w:r>
    </w:p>
    <w:p>
      <w:pPr>
        <w:spacing w:after="0" w:line="1" w:lineRule="exact"/>
        <w:rPr>
          <w:sz w:val="20"/>
          <w:szCs w:val="20"/>
          <w:color w:val="auto"/>
        </w:rPr>
      </w:pPr>
    </w:p>
    <w:p>
      <w:pPr>
        <w:ind w:left="380" w:right="260"/>
        <w:spacing w:after="0" w:line="261" w:lineRule="auto"/>
        <w:rPr>
          <w:sz w:val="20"/>
          <w:szCs w:val="20"/>
          <w:color w:val="auto"/>
        </w:rPr>
      </w:pPr>
      <w:r>
        <w:rPr>
          <w:rFonts w:ascii="Arial" w:cs="Arial" w:eastAsia="Arial" w:hAnsi="Arial"/>
          <w:sz w:val="18"/>
          <w:szCs w:val="18"/>
          <w:color w:val="auto"/>
        </w:rPr>
        <w:t>determines to borrow under the term loan portion of the debt facilities, will receive net proceeds of approximately $ million, after deducting fees and expenses.</w:t>
      </w:r>
    </w:p>
    <w:p>
      <w:pPr>
        <w:spacing w:after="0" w:line="184"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left="380" w:right="720" w:firstLine="426"/>
        <w:spacing w:after="0" w:line="27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24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6024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86" w:lineRule="auto"/>
        <w:rPr>
          <w:sz w:val="20"/>
          <w:szCs w:val="20"/>
          <w:color w:val="auto"/>
        </w:rPr>
      </w:pPr>
      <w:r>
        <w:rPr>
          <w:rFonts w:ascii="Arial" w:cs="Arial" w:eastAsia="Arial" w:hAnsi="Arial"/>
          <w:sz w:val="17"/>
          <w:szCs w:val="17"/>
          <w:color w:val="auto"/>
        </w:rPr>
        <w:t>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 See “Description of Certain Indebtedness.”</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 Post will own one share of our Class B common stock and, for so long as Post or its affiliates (other than us) directly own more than 50% of the BellRing Brands, LLC Units as described in this prospectus, will control 67% of the combined voting power of our outstanding common stock.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65"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color w:val="auto"/>
        </w:rPr>
        <w:t>Post will receive the net proceeds of the Post bridge loan, estimated to be approximately $ million after deducting fees and expenses, which it expects to use to repay a portion of its existing debt. Neither BellRing Brands, Inc. nor BellRing Brands, LLC will receive any of the proceeds of the Post bridge loan.</w:t>
      </w:r>
    </w:p>
    <w:p>
      <w:pPr>
        <w:spacing w:after="0" w:line="181" w:lineRule="exact"/>
        <w:rPr>
          <w:sz w:val="20"/>
          <w:szCs w:val="20"/>
          <w:color w:val="auto"/>
        </w:rPr>
      </w:pPr>
    </w:p>
    <w:p>
      <w:pPr>
        <w:jc w:val="both"/>
        <w:ind w:left="380" w:right="100" w:firstLine="426"/>
        <w:spacing w:after="0" w:line="291"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investor rights agreement, (iii) the tax receivable agreement, (iv) the tax matters agreement,</w:t>
      </w:r>
    </w:p>
    <w:p>
      <w:pPr>
        <w:ind w:left="380" w:right="620" w:firstLine="6"/>
        <w:spacing w:after="0" w:line="26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and (vi) the master services agreement, each as described under “Certain Relationships and Related Party Transactions—Post-Offering Relationship with Post.”</w:t>
      </w: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380" w:right="480" w:firstLine="426"/>
        <w:spacing w:after="0" w:line="264"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7" w:lineRule="exact"/>
        <w:rPr>
          <w:sz w:val="20"/>
          <w:szCs w:val="20"/>
          <w:color w:val="auto"/>
        </w:rPr>
      </w:pPr>
    </w:p>
    <w:p>
      <w:pPr>
        <w:ind w:left="1320" w:hanging="51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320" w:right="40" w:hanging="515"/>
        <w:spacing w:after="0" w:line="312" w:lineRule="auto"/>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2" w:lineRule="exact"/>
        <w:rPr>
          <w:rFonts w:ascii="Arial" w:cs="Arial" w:eastAsia="Arial" w:hAnsi="Arial"/>
          <w:sz w:val="16"/>
          <w:szCs w:val="16"/>
          <w:color w:val="auto"/>
        </w:rPr>
      </w:pPr>
    </w:p>
    <w:p>
      <w:pPr>
        <w:ind w:left="1320" w:hanging="515"/>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380" w:right="80" w:firstLine="426"/>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320" w:hanging="515"/>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34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4634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440" w:hanging="515"/>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75" w:lineRule="exact"/>
        <w:rPr>
          <w:rFonts w:ascii="Arial" w:cs="Arial" w:eastAsia="Arial" w:hAnsi="Arial"/>
          <w:sz w:val="18"/>
          <w:szCs w:val="18"/>
          <w:color w:val="auto"/>
        </w:rPr>
      </w:pPr>
    </w:p>
    <w:p>
      <w:pPr>
        <w:ind w:left="1320" w:right="200" w:hanging="515"/>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75" w:lineRule="exact"/>
        <w:rPr>
          <w:rFonts w:ascii="Arial" w:cs="Arial" w:eastAsia="Arial" w:hAnsi="Arial"/>
          <w:sz w:val="18"/>
          <w:szCs w:val="18"/>
          <w:color w:val="auto"/>
        </w:rPr>
      </w:pPr>
    </w:p>
    <w:p>
      <w:pPr>
        <w:ind w:left="1320" w:right="20" w:hanging="515"/>
        <w:spacing w:after="0" w:line="264"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320" w:hanging="515"/>
        <w:spacing w:after="0" w:line="277" w:lineRule="auto"/>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380" w:right="12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7"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9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w:t>
      </w:r>
    </w:p>
    <w:p>
      <w:pPr>
        <w:ind w:left="380" w:right="160"/>
        <w:spacing w:after="0" w:line="302" w:lineRule="auto"/>
        <w:rPr>
          <w:sz w:val="20"/>
          <w:szCs w:val="20"/>
          <w:color w:val="auto"/>
        </w:rPr>
      </w:pPr>
      <w:r>
        <w:rPr>
          <w:rFonts w:ascii="Arial" w:cs="Arial" w:eastAsia="Arial" w:hAnsi="Arial"/>
          <w:sz w:val="16"/>
          <w:szCs w:val="16"/>
          <w:color w:val="auto"/>
        </w:rPr>
        <w:t>Louis, Missouri 63144, and its telephone number is (314) 644-7600. BellRing Brands, Inc.’s website is .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8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240" w:top="459" w:right="6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700" w:type="dxa"/>
            <w:vAlign w:val="bottom"/>
          </w:tcPr>
          <w:p>
            <w:pPr>
              <w:ind w:left="180"/>
              <w:spacing w:after="0"/>
              <w:rPr>
                <w:sz w:val="20"/>
                <w:szCs w:val="20"/>
                <w:color w:val="auto"/>
              </w:rPr>
            </w:pPr>
            <w:r>
              <w:rPr>
                <w:rFonts w:ascii="Arial" w:cs="Arial" w:eastAsia="Arial" w:hAnsi="Arial"/>
                <w:sz w:val="18"/>
                <w:szCs w:val="18"/>
                <w:b w:val="1"/>
                <w:bCs w:val="1"/>
                <w:color w:val="auto"/>
              </w:rPr>
              <w:t>THE OFFERING</w:t>
            </w:r>
          </w:p>
        </w:tc>
        <w:tc>
          <w:tcPr>
            <w:tcW w:w="13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440" w:type="dxa"/>
            <w:vAlign w:val="bottom"/>
          </w:tcPr>
          <w:p>
            <w:pPr>
              <w:spacing w:after="0"/>
              <w:rPr>
                <w:sz w:val="20"/>
                <w:szCs w:val="20"/>
                <w:color w:val="auto"/>
              </w:rPr>
            </w:pPr>
            <w:r>
              <w:rPr>
                <w:rFonts w:ascii="Arial" w:cs="Arial" w:eastAsia="Arial" w:hAnsi="Arial"/>
                <w:sz w:val="18"/>
                <w:szCs w:val="18"/>
                <w:color w:val="auto"/>
              </w:rPr>
              <w:t>Issuer</w:t>
            </w:r>
          </w:p>
        </w:tc>
        <w:tc>
          <w:tcPr>
            <w:tcW w:w="3020" w:type="dxa"/>
            <w:vAlign w:val="bottom"/>
            <w:gridSpan w:val="2"/>
          </w:tcPr>
          <w:p>
            <w:pPr>
              <w:ind w:left="1080"/>
              <w:spacing w:after="0"/>
              <w:rPr>
                <w:sz w:val="20"/>
                <w:szCs w:val="20"/>
                <w:color w:val="auto"/>
              </w:rPr>
            </w:pPr>
            <w:r>
              <w:rPr>
                <w:rFonts w:ascii="Arial" w:cs="Arial" w:eastAsia="Arial" w:hAnsi="Arial"/>
                <w:sz w:val="18"/>
                <w:szCs w:val="18"/>
                <w:color w:val="auto"/>
              </w:rPr>
              <w:t>BellRing Brands, Inc.</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Class A common stock offered</w:t>
            </w:r>
          </w:p>
        </w:tc>
        <w:tc>
          <w:tcPr>
            <w:tcW w:w="1700" w:type="dxa"/>
            <w:vAlign w:val="bottom"/>
          </w:tcPr>
          <w:p>
            <w:pPr>
              <w:spacing w:after="0"/>
              <w:rPr>
                <w:sz w:val="23"/>
                <w:szCs w:val="23"/>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3140" w:type="dxa"/>
            <w:vAlign w:val="bottom"/>
          </w:tcPr>
          <w:p>
            <w:pPr>
              <w:ind w:left="340"/>
              <w:spacing w:after="0"/>
              <w:rPr>
                <w:sz w:val="20"/>
                <w:szCs w:val="20"/>
                <w:color w:val="auto"/>
              </w:rPr>
            </w:pPr>
            <w:r>
              <w:rPr>
                <w:rFonts w:ascii="Arial" w:cs="Arial" w:eastAsia="Arial" w:hAnsi="Arial"/>
                <w:sz w:val="18"/>
                <w:szCs w:val="18"/>
                <w:color w:val="auto"/>
              </w:rPr>
              <w:t>shares if the underwriters exercise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their over-allotment option in full). Each share of our Class 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3"/>
              </w:rPr>
              <w:t>common stock will be eligible for dividends and distributions upon</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020" w:type="dxa"/>
            <w:vAlign w:val="bottom"/>
            <w:gridSpan w:val="2"/>
          </w:tcPr>
          <w:p>
            <w:pPr>
              <w:ind w:left="1260"/>
              <w:spacing w:after="0"/>
              <w:rPr>
                <w:sz w:val="20"/>
                <w:szCs w:val="20"/>
                <w:color w:val="auto"/>
              </w:rPr>
            </w:pPr>
            <w:r>
              <w:rPr>
                <w:rFonts w:ascii="Arial" w:cs="Arial" w:eastAsia="Arial" w:hAnsi="Arial"/>
                <w:sz w:val="18"/>
                <w:szCs w:val="18"/>
                <w:color w:val="auto"/>
              </w:rPr>
              <w:t>liquidation.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440" w:type="dxa"/>
            <w:vAlign w:val="bottom"/>
          </w:tcPr>
          <w:p>
            <w:pPr>
              <w:spacing w:after="0"/>
              <w:rPr>
                <w:sz w:val="20"/>
                <w:szCs w:val="20"/>
                <w:color w:val="auto"/>
              </w:rPr>
            </w:pPr>
            <w:r>
              <w:rPr>
                <w:rFonts w:ascii="Arial" w:cs="Arial" w:eastAsia="Arial" w:hAnsi="Arial"/>
                <w:sz w:val="18"/>
                <w:szCs w:val="18"/>
                <w:color w:val="auto"/>
                <w:w w:val="95"/>
              </w:rPr>
              <w:t>Class A common stock to be outstanding after this offering</w:t>
            </w:r>
          </w:p>
        </w:tc>
        <w:tc>
          <w:tcPr>
            <w:tcW w:w="1700" w:type="dxa"/>
            <w:vAlign w:val="bottom"/>
          </w:tcPr>
          <w:p>
            <w:pPr>
              <w:spacing w:after="0"/>
              <w:rPr>
                <w:sz w:val="24"/>
                <w:szCs w:val="24"/>
                <w:color w:val="auto"/>
              </w:rPr>
            </w:pPr>
          </w:p>
        </w:tc>
        <w:tc>
          <w:tcPr>
            <w:tcW w:w="1320" w:type="dxa"/>
            <w:vAlign w:val="bottom"/>
            <w:vMerge w:val="restart"/>
          </w:tcPr>
          <w:p>
            <w:pPr>
              <w:ind w:left="160"/>
              <w:spacing w:after="0"/>
              <w:rPr>
                <w:sz w:val="20"/>
                <w:szCs w:val="20"/>
                <w:color w:val="auto"/>
              </w:rPr>
            </w:pPr>
            <w:r>
              <w:rPr>
                <w:rFonts w:ascii="Arial" w:cs="Arial" w:eastAsia="Arial" w:hAnsi="Arial"/>
                <w:sz w:val="18"/>
                <w:szCs w:val="18"/>
                <w:color w:val="auto"/>
              </w:rPr>
              <w:t>shares (or</w:t>
            </w:r>
          </w:p>
        </w:tc>
        <w:tc>
          <w:tcPr>
            <w:tcW w:w="3140" w:type="dxa"/>
            <w:vAlign w:val="bottom"/>
            <w:vMerge w:val="restart"/>
          </w:tcPr>
          <w:p>
            <w:pPr>
              <w:ind w:left="340"/>
              <w:spacing w:after="0"/>
              <w:rPr>
                <w:sz w:val="20"/>
                <w:szCs w:val="20"/>
                <w:color w:val="auto"/>
              </w:rPr>
            </w:pPr>
            <w:r>
              <w:rPr>
                <w:rFonts w:ascii="Arial" w:cs="Arial" w:eastAsia="Arial" w:hAnsi="Arial"/>
                <w:sz w:val="18"/>
                <w:szCs w:val="18"/>
                <w:color w:val="auto"/>
              </w:rPr>
              <w:t>shares if the underwriters exercise</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3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their over-allotment option in full).</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Over-allotment option</w:t>
            </w:r>
          </w:p>
        </w:tc>
        <w:tc>
          <w:tcPr>
            <w:tcW w:w="6160" w:type="dxa"/>
            <w:vAlign w:val="bottom"/>
            <w:gridSpan w:val="3"/>
          </w:tcPr>
          <w:p>
            <w:pPr>
              <w:ind w:left="1080"/>
              <w:spacing w:after="0"/>
              <w:rPr>
                <w:sz w:val="20"/>
                <w:szCs w:val="20"/>
                <w:color w:val="auto"/>
              </w:rPr>
            </w:pPr>
            <w:r>
              <w:rPr>
                <w:rFonts w:ascii="Arial" w:cs="Arial" w:eastAsia="Arial" w:hAnsi="Arial"/>
                <w:sz w:val="18"/>
                <w:szCs w:val="18"/>
                <w:color w:val="auto"/>
              </w:rPr>
              <w:t>We have granted to the underwriters an option to purchase up</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700" w:type="dxa"/>
            <w:vAlign w:val="bottom"/>
          </w:tcPr>
          <w:p>
            <w:pPr>
              <w:ind w:left="1260"/>
              <w:spacing w:after="0"/>
              <w:rPr>
                <w:sz w:val="20"/>
                <w:szCs w:val="20"/>
                <w:color w:val="auto"/>
              </w:rPr>
            </w:pPr>
            <w:r>
              <w:rPr>
                <w:rFonts w:ascii="Arial" w:cs="Arial" w:eastAsia="Arial" w:hAnsi="Arial"/>
                <w:sz w:val="18"/>
                <w:szCs w:val="18"/>
                <w:color w:val="auto"/>
              </w:rPr>
              <w:t>to</w:t>
            </w:r>
          </w:p>
        </w:tc>
        <w:tc>
          <w:tcPr>
            <w:tcW w:w="4460" w:type="dxa"/>
            <w:vAlign w:val="bottom"/>
            <w:gridSpan w:val="2"/>
          </w:tcPr>
          <w:p>
            <w:pPr>
              <w:ind w:left="300"/>
              <w:spacing w:after="0"/>
              <w:rPr>
                <w:sz w:val="20"/>
                <w:szCs w:val="20"/>
                <w:color w:val="auto"/>
              </w:rPr>
            </w:pPr>
            <w:r>
              <w:rPr>
                <w:rFonts w:ascii="Arial" w:cs="Arial" w:eastAsia="Arial" w:hAnsi="Arial"/>
                <w:sz w:val="18"/>
                <w:szCs w:val="18"/>
                <w:color w:val="auto"/>
                <w:w w:val="89"/>
              </w:rPr>
              <w:t>additional shares of our Class A common stock from us at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8"/>
              </w:rPr>
              <w:t>the initial public offering price (less underwriting discounts and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2"/>
              </w:rPr>
              <w:t>commissions) to cover over-allotments, if any, for a period of thirty</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days from the date of this prospectus.</w:t>
            </w:r>
          </w:p>
        </w:tc>
        <w:tc>
          <w:tcPr>
            <w:tcW w:w="0" w:type="dxa"/>
            <w:vAlign w:val="bottom"/>
          </w:tcPr>
          <w:p>
            <w:pPr>
              <w:spacing w:after="0"/>
              <w:rPr>
                <w:sz w:val="1"/>
                <w:szCs w:val="1"/>
                <w:color w:val="auto"/>
              </w:rPr>
            </w:pPr>
          </w:p>
        </w:tc>
      </w:tr>
      <w:tr>
        <w:trPr>
          <w:trHeight w:val="284"/>
        </w:trPr>
        <w:tc>
          <w:tcPr>
            <w:tcW w:w="4440" w:type="dxa"/>
            <w:vAlign w:val="bottom"/>
          </w:tcPr>
          <w:p>
            <w:pPr>
              <w:spacing w:after="0"/>
              <w:rPr>
                <w:sz w:val="20"/>
                <w:szCs w:val="20"/>
                <w:color w:val="auto"/>
              </w:rPr>
            </w:pPr>
            <w:r>
              <w:rPr>
                <w:rFonts w:ascii="Arial" w:cs="Arial" w:eastAsia="Arial" w:hAnsi="Arial"/>
                <w:sz w:val="18"/>
                <w:szCs w:val="18"/>
                <w:color w:val="auto"/>
                <w:w w:val="95"/>
              </w:rPr>
              <w:t>Class B common stock to be outstanding after this offering</w:t>
            </w:r>
          </w:p>
        </w:tc>
        <w:tc>
          <w:tcPr>
            <w:tcW w:w="6160" w:type="dxa"/>
            <w:vAlign w:val="bottom"/>
            <w:gridSpan w:val="3"/>
            <w:vMerge w:val="restart"/>
          </w:tcPr>
          <w:p>
            <w:pPr>
              <w:ind w:left="1080"/>
              <w:spacing w:after="0"/>
              <w:rPr>
                <w:sz w:val="20"/>
                <w:szCs w:val="20"/>
                <w:color w:val="auto"/>
              </w:rPr>
            </w:pPr>
            <w:r>
              <w:rPr>
                <w:rFonts w:ascii="Arial" w:cs="Arial" w:eastAsia="Arial" w:hAnsi="Arial"/>
                <w:sz w:val="18"/>
                <w:szCs w:val="18"/>
                <w:color w:val="auto"/>
                <w:w w:val="96"/>
              </w:rPr>
              <w:t>One share, which will be issued to Post. The share of our Class B</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6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common stock will have no economic rights and cannot be</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rPr>
              <w:t>transferred by Post except to its affiliates (other than us).</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Voting rights</w:t>
            </w:r>
          </w:p>
        </w:tc>
        <w:tc>
          <w:tcPr>
            <w:tcW w:w="6160" w:type="dxa"/>
            <w:vAlign w:val="bottom"/>
            <w:gridSpan w:val="3"/>
          </w:tcPr>
          <w:p>
            <w:pPr>
              <w:ind w:left="1080"/>
              <w:spacing w:after="0"/>
              <w:rPr>
                <w:sz w:val="20"/>
                <w:szCs w:val="20"/>
                <w:color w:val="auto"/>
              </w:rPr>
            </w:pPr>
            <w:r>
              <w:rPr>
                <w:rFonts w:ascii="Arial" w:cs="Arial" w:eastAsia="Arial" w:hAnsi="Arial"/>
                <w:sz w:val="18"/>
                <w:szCs w:val="18"/>
                <w:color w:val="auto"/>
                <w:w w:val="90"/>
              </w:rPr>
              <w:t>One vote per share for Class A common stock; Class A common stock</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60" w:type="dxa"/>
            <w:vAlign w:val="bottom"/>
            <w:gridSpan w:val="3"/>
          </w:tcPr>
          <w:p>
            <w:pPr>
              <w:ind w:left="1260"/>
              <w:spacing w:after="0"/>
              <w:rPr>
                <w:sz w:val="20"/>
                <w:szCs w:val="20"/>
                <w:color w:val="auto"/>
              </w:rPr>
            </w:pPr>
            <w:r>
              <w:rPr>
                <w:rFonts w:ascii="Arial" w:cs="Arial" w:eastAsia="Arial" w:hAnsi="Arial"/>
                <w:sz w:val="18"/>
                <w:szCs w:val="18"/>
                <w:color w:val="auto"/>
                <w:w w:val="95"/>
              </w:rPr>
              <w:t>and Class B common stock vote together as a single class on all</w:t>
            </w:r>
          </w:p>
        </w:tc>
        <w:tc>
          <w:tcPr>
            <w:tcW w:w="0" w:type="dxa"/>
            <w:vAlign w:val="bottom"/>
          </w:tcPr>
          <w:p>
            <w:pPr>
              <w:spacing w:after="0"/>
              <w:rPr>
                <w:sz w:val="1"/>
                <w:szCs w:val="1"/>
                <w:color w:val="auto"/>
              </w:rPr>
            </w:pPr>
          </w:p>
        </w:tc>
      </w:tr>
    </w:tbl>
    <w:p>
      <w:pPr>
        <w:ind w:left="6100"/>
        <w:spacing w:after="0"/>
        <w:rPr>
          <w:sz w:val="20"/>
          <w:szCs w:val="20"/>
          <w:color w:val="auto"/>
        </w:rPr>
      </w:pPr>
      <w:r>
        <w:rPr>
          <w:rFonts w:ascii="Arial" w:cs="Arial" w:eastAsia="Arial" w:hAnsi="Arial"/>
          <w:sz w:val="17"/>
          <w:szCs w:val="17"/>
          <w:color w:val="auto"/>
        </w:rPr>
        <w:t>matters submitted to a vote of stockholders. See “Description of</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Capital Stock.” For so long as Post or its affiliates (other than us)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directly own more than 50% of the BellRing Brands, LLC Units,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the aggregate voting power of the share of our Class B common</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stock will represent 67% of the combined voting power of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common stock of BellRing Brands, Inc. and, in the aggregate, the</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 of the Class A common stock will have 33% of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combined voting power of the common stock of BellRing Brands,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Inc. In the event that Post and its affiliates (other than us) hold 50%</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or less of the BellRing Brands, LLC Units, the holder of the share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of Class B common stock shall be entitled to a number of votes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equal to the number of BellRing Brands, LLC Units held by all</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persons other than us; provided, that (i) Post, or its applicable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affiliate, as the holder of the share of our Class B common stock,</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will only be entitled to cast a number of votes on its own behalf and</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at its own discretion equal to the number of BellRing Brands,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4800" w:type="dxa"/>
            <w:vAlign w:val="bottom"/>
            <w:tcBorders>
              <w:top w:val="single" w:sz="8" w:color="auto"/>
              <w:left w:val="single" w:sz="8" w:color="auto"/>
            </w:tcBorders>
          </w:tcPr>
          <w:p>
            <w:pPr>
              <w:spacing w:after="0"/>
              <w:rPr>
                <w:sz w:val="24"/>
                <w:szCs w:val="24"/>
                <w:color w:val="auto"/>
              </w:rPr>
            </w:pPr>
          </w:p>
        </w:tc>
        <w:tc>
          <w:tcPr>
            <w:tcW w:w="6240" w:type="dxa"/>
            <w:vAlign w:val="bottom"/>
            <w:tcBorders>
              <w:top w:val="single" w:sz="8" w:color="auto"/>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Units held by Post and its affiliates (other than us), and (ii) in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event that any BellRing Brands, LLC Units are held by persons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other than us or Post and its affiliates, then Post, or its applicable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affiliate, as the holder of the share of our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6"/>
              </w:rPr>
              <w:t>will cast the remainder of the votes to which the share of our Class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B common stock is entitled only in accordance with instructions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and directions from such other holders of the BellRing Brands, LLC</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Units in accordance with proxies granted by Post to, or voting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4"/>
              </w:rPr>
              <w:t>agreements or other voting arrangements entered into by Post with,</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such other holders pursuant to the amended and restated limited</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liability company agreement.</w:t>
            </w:r>
          </w:p>
        </w:tc>
        <w:tc>
          <w:tcPr>
            <w:tcW w:w="0" w:type="dxa"/>
            <w:vAlign w:val="bottom"/>
          </w:tcPr>
          <w:p>
            <w:pPr>
              <w:spacing w:after="0"/>
              <w:rPr>
                <w:sz w:val="1"/>
                <w:szCs w:val="1"/>
                <w:color w:val="auto"/>
              </w:rPr>
            </w:pPr>
          </w:p>
        </w:tc>
      </w:tr>
      <w:tr>
        <w:trPr>
          <w:trHeight w:val="284"/>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Rights of the BellRing Brands, LLC Units</w:t>
            </w:r>
          </w:p>
        </w:tc>
        <w:tc>
          <w:tcPr>
            <w:tcW w:w="6240" w:type="dxa"/>
            <w:vAlign w:val="bottom"/>
            <w:tcBorders>
              <w:right w:val="single" w:sz="8" w:color="auto"/>
            </w:tcBorders>
            <w:gridSpan w:val="3"/>
            <w:vMerge w:val="restart"/>
          </w:tcPr>
          <w:p>
            <w:pPr>
              <w:ind w:left="920"/>
              <w:spacing w:after="0"/>
              <w:rPr>
                <w:sz w:val="20"/>
                <w:szCs w:val="20"/>
                <w:color w:val="auto"/>
              </w:rPr>
            </w:pPr>
            <w:r>
              <w:rPr>
                <w:rFonts w:ascii="Arial" w:cs="Arial" w:eastAsia="Arial" w:hAnsi="Arial"/>
                <w:sz w:val="18"/>
                <w:szCs w:val="18"/>
                <w:color w:val="auto"/>
              </w:rPr>
              <w:t>Subject to the terms of the amended and restated limited liability</w:t>
            </w:r>
          </w:p>
        </w:tc>
        <w:tc>
          <w:tcPr>
            <w:tcW w:w="0" w:type="dxa"/>
            <w:vAlign w:val="bottom"/>
          </w:tcPr>
          <w:p>
            <w:pPr>
              <w:spacing w:after="0"/>
              <w:rPr>
                <w:sz w:val="1"/>
                <w:szCs w:val="1"/>
                <w:color w:val="auto"/>
              </w:rPr>
            </w:pPr>
          </w:p>
        </w:tc>
      </w:tr>
      <w:tr>
        <w:trPr>
          <w:trHeight w:val="202"/>
        </w:trPr>
        <w:tc>
          <w:tcPr>
            <w:tcW w:w="4800" w:type="dxa"/>
            <w:vAlign w:val="bottom"/>
            <w:tcBorders>
              <w:left w:val="single" w:sz="8" w:color="auto"/>
            </w:tcBorders>
          </w:tcPr>
          <w:p>
            <w:pPr>
              <w:spacing w:after="0"/>
              <w:rPr>
                <w:sz w:val="17"/>
                <w:szCs w:val="17"/>
                <w:color w:val="auto"/>
              </w:rPr>
            </w:pPr>
          </w:p>
        </w:tc>
        <w:tc>
          <w:tcPr>
            <w:tcW w:w="624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company agreement, BellRing Brands, LLC Units may be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redeemed at any time for, at BellRing Brands, LLC’s option (as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determined by its Board of Managers), (i) shares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common stock or (ii) cash (based on the market price of the shares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5"/>
              </w:rPr>
              <w:t>of our Class A common stock). The redemption of BellRing Brands,</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LLC Units for shares of Class A common stock will be at an initial</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redemption rate of one share of Class A common stock for one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8"/>
              </w:rPr>
              <w:t>BellRing Brands, LLC Unit, subject to customary redemption rate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7"/>
              </w:rPr>
              <w:t>adjustments for stock splits, stock dividends and reclassifications.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624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rPr>
              <w:t>We intend to apply to list our Class A common stock on the NYSE</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under the trading symbol “  ”.</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Controlled company</w:t>
            </w:r>
          </w:p>
        </w:tc>
        <w:tc>
          <w:tcPr>
            <w:tcW w:w="624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w w:val="95"/>
              </w:rPr>
              <w:t>As a result of Post’s ownership of our share of Class B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following this offering, Post will beneficially own more than 50%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of the combined voting power of our outstanding common stock,</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and we will be a “controlled company” within the meaning of the</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NYSE corporate governance standards; however, we do not</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w w:val="99"/>
              </w:rPr>
              <w:t>currently expect to rely on the “controlled company” exemptions.</w:t>
            </w:r>
          </w:p>
        </w:tc>
        <w:tc>
          <w:tcPr>
            <w:tcW w:w="0" w:type="dxa"/>
            <w:vAlign w:val="bottom"/>
          </w:tcPr>
          <w:p>
            <w:pPr>
              <w:spacing w:after="0"/>
              <w:rPr>
                <w:sz w:val="1"/>
                <w:szCs w:val="1"/>
                <w:color w:val="auto"/>
              </w:rPr>
            </w:pPr>
          </w:p>
        </w:tc>
      </w:tr>
      <w:tr>
        <w:trPr>
          <w:trHeight w:val="269"/>
        </w:trPr>
        <w:tc>
          <w:tcPr>
            <w:tcW w:w="48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6240" w:type="dxa"/>
            <w:vAlign w:val="bottom"/>
            <w:tcBorders>
              <w:right w:val="single" w:sz="8" w:color="auto"/>
            </w:tcBorders>
            <w:gridSpan w:val="3"/>
          </w:tcPr>
          <w:p>
            <w:pPr>
              <w:ind w:left="920"/>
              <w:spacing w:after="0"/>
              <w:rPr>
                <w:sz w:val="20"/>
                <w:szCs w:val="20"/>
                <w:color w:val="auto"/>
              </w:rPr>
            </w:pPr>
            <w:r>
              <w:rPr>
                <w:rFonts w:ascii="Arial" w:cs="Arial" w:eastAsia="Arial" w:hAnsi="Arial"/>
                <w:sz w:val="18"/>
                <w:szCs w:val="18"/>
                <w:color w:val="auto"/>
              </w:rPr>
              <w:t>We estimate that the net proceeds from the sale of our Class A</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common stock in this offering, after deducting the underwriting</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discount and expenses of this offering, will be approximately</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12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million if the underwriters exercise their</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gridSpan w:val="3"/>
          </w:tcPr>
          <w:p>
            <w:pPr>
              <w:ind w:left="1100"/>
              <w:spacing w:after="0"/>
              <w:rPr>
                <w:sz w:val="20"/>
                <w:szCs w:val="20"/>
                <w:color w:val="auto"/>
              </w:rPr>
            </w:pPr>
            <w:r>
              <w:rPr>
                <w:rFonts w:ascii="Arial" w:cs="Arial" w:eastAsia="Arial" w:hAnsi="Arial"/>
                <w:sz w:val="18"/>
                <w:szCs w:val="18"/>
                <w:color w:val="auto"/>
              </w:rPr>
              <w:t>over-allotment option in full) based on an assumed initial public</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tcBorders>
          </w:tcPr>
          <w:p>
            <w:pPr>
              <w:spacing w:after="0"/>
              <w:rPr>
                <w:sz w:val="20"/>
                <w:szCs w:val="20"/>
                <w:color w:val="auto"/>
              </w:rPr>
            </w:pPr>
          </w:p>
        </w:tc>
        <w:tc>
          <w:tcPr>
            <w:tcW w:w="2620" w:type="dxa"/>
            <w:vAlign w:val="bottom"/>
            <w:gridSpan w:val="2"/>
          </w:tcPr>
          <w:p>
            <w:pPr>
              <w:ind w:left="1100"/>
              <w:spacing w:after="0"/>
              <w:rPr>
                <w:sz w:val="20"/>
                <w:szCs w:val="20"/>
                <w:color w:val="auto"/>
              </w:rPr>
            </w:pPr>
            <w:r>
              <w:rPr>
                <w:rFonts w:ascii="Arial" w:cs="Arial" w:eastAsia="Arial" w:hAnsi="Arial"/>
                <w:sz w:val="18"/>
                <w:szCs w:val="18"/>
                <w:color w:val="auto"/>
              </w:rPr>
              <w:t>offering price of $</w:t>
            </w:r>
          </w:p>
        </w:tc>
        <w:tc>
          <w:tcPr>
            <w:tcW w:w="36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 share (the midpoint of the estimated</w:t>
            </w:r>
          </w:p>
        </w:tc>
        <w:tc>
          <w:tcPr>
            <w:tcW w:w="0" w:type="dxa"/>
            <w:vAlign w:val="bottom"/>
          </w:tcPr>
          <w:p>
            <w:pPr>
              <w:spacing w:after="0"/>
              <w:rPr>
                <w:sz w:val="1"/>
                <w:szCs w:val="1"/>
                <w:color w:val="auto"/>
              </w:rPr>
            </w:pPr>
          </w:p>
        </w:tc>
      </w:tr>
      <w:tr>
        <w:trPr>
          <w:trHeight w:val="240"/>
        </w:trPr>
        <w:tc>
          <w:tcPr>
            <w:tcW w:w="4800" w:type="dxa"/>
            <w:vAlign w:val="bottom"/>
            <w:tcBorders>
              <w:left w:val="single" w:sz="8" w:color="auto"/>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4800" w:type="dxa"/>
            <w:vAlign w:val="bottom"/>
          </w:tcPr>
          <w:p>
            <w:pPr>
              <w:spacing w:after="0"/>
              <w:rPr>
                <w:sz w:val="24"/>
                <w:szCs w:val="24"/>
                <w:color w:val="auto"/>
              </w:rPr>
            </w:pPr>
          </w:p>
        </w:tc>
        <w:tc>
          <w:tcPr>
            <w:tcW w:w="1380" w:type="dxa"/>
            <w:vAlign w:val="bottom"/>
          </w:tcPr>
          <w:p>
            <w:pPr>
              <w:ind w:left="620"/>
              <w:spacing w:after="0"/>
              <w:rPr>
                <w:sz w:val="20"/>
                <w:szCs w:val="20"/>
                <w:color w:val="auto"/>
              </w:rPr>
            </w:pPr>
            <w:r>
              <w:rPr>
                <w:rFonts w:ascii="Arial" w:cs="Arial" w:eastAsia="Arial" w:hAnsi="Arial"/>
                <w:sz w:val="18"/>
                <w:szCs w:val="18"/>
                <w:color w:val="auto"/>
              </w:rPr>
              <w:t>20</w:t>
            </w:r>
          </w:p>
        </w:tc>
        <w:tc>
          <w:tcPr>
            <w:tcW w:w="12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66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offering price range set forth on the cover page of this prospectus).</w:t>
      </w:r>
    </w:p>
    <w:p>
      <w:pPr>
        <w:spacing w:after="0" w:line="11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BellRing Brands, Inc. will contribute the net proceeds of this offering</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to BellRing Brands, LLC in exchange for BellRing Brands, LLC</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Units as described under “—Formation Transactions.” BellRing</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Brands, LLC, in turn, will use the net proceeds of this offering that</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it receives from BellRing Brands, Inc. to repay a portion of the Post</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bridge loan. Immediately after the completion of the formation</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transactions and the completion of this offering, BellRing Brands,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LLC expects to enter into the debt facilities and use the proceeds of</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such borrowing to repay the remaining balance of the Post bridge</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loan. See “Use of Proceeds” and “Description of Certain</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Indebtedness—Debt Facilities”.</w:t>
      </w:r>
    </w:p>
    <w:p>
      <w:pPr>
        <w:sectPr>
          <w:pgSz w:w="11900" w:h="16838" w:orient="portrait"/>
          <w:cols w:equalWidth="0" w:num="1">
            <w:col w:w="11000"/>
          </w:cols>
          <w:pgMar w:left="240" w:top="459" w:right="659" w:bottom="1440" w:gutter="0" w:footer="0" w:header="0"/>
        </w:sectPr>
      </w:pP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hanging="179"/>
        <w:spacing w:after="0" w:line="283" w:lineRule="auto"/>
        <w:rPr>
          <w:sz w:val="20"/>
          <w:szCs w:val="20"/>
          <w:color w:val="auto"/>
        </w:rPr>
      </w:pPr>
      <w:r>
        <w:rPr>
          <w:rFonts w:ascii="Arial" w:cs="Arial" w:eastAsia="Arial" w:hAnsi="Arial"/>
          <w:sz w:val="16"/>
          <w:szCs w:val="16"/>
          <w:color w:val="auto"/>
        </w:rPr>
        <w:t>Affiliates of Morgan Stanley &amp; Co. LLC, Goldman Sachs &amp; Co. LLC, Citigroup Global Markets Inc. and J.P. Morgan Securities LLC, each of which is an underwriter in this offering, are lenders under the Post bridge loan. The proceeds received by BellRing Brands, LLC from its sale of BellRing Brands, LLC Units will be used to repay a portion of the Post bridge loan.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 respect to, this prospectus and the registration statement of which this prospectus forms a part. has agreed to act as qualified independent underwriter for the offering and to undertake the legal responsibilities and liabilities of an underwriter under the Securities Act, specifically including those</w:t>
      </w:r>
    </w:p>
    <w:p>
      <w:pPr>
        <w:spacing w:after="0" w:line="1" w:lineRule="exact"/>
        <w:rPr>
          <w:sz w:val="20"/>
          <w:szCs w:val="20"/>
          <w:color w:val="auto"/>
        </w:rPr>
      </w:pPr>
    </w:p>
    <w:p>
      <w:pPr>
        <w:sectPr>
          <w:pgSz w:w="11900" w:h="16838" w:orient="portrait"/>
          <w:cols w:equalWidth="0" w:num="2">
            <w:col w:w="5380" w:space="720"/>
            <w:col w:w="4900"/>
          </w:cols>
          <w:pgMar w:left="240" w:top="459" w:right="659" w:bottom="1440" w:gutter="0" w:footer="0" w:header="0"/>
          <w:type w:val="continuous"/>
        </w:sectPr>
      </w:pPr>
    </w:p>
    <w:p>
      <w:pPr>
        <w:ind w:left="6100"/>
        <w:spacing w:after="0"/>
        <w:rPr>
          <w:sz w:val="20"/>
          <w:szCs w:val="20"/>
          <w:color w:val="auto"/>
        </w:rPr>
      </w:pPr>
      <w:r>
        <w:rPr>
          <w:rFonts w:ascii="Arial" w:cs="Arial" w:eastAsia="Arial" w:hAnsi="Arial"/>
          <w:sz w:val="17"/>
          <w:szCs w:val="17"/>
          <w:color w:val="auto"/>
        </w:rPr>
        <w:t>inherent in Section 11 of the Securities Act. Additionally, affiliates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of Morgan Stanley &amp; Co. LLC, Goldman Sachs &amp; Co. LLC,</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Citigroup Global Markets Inc. and J.P. Morgan Securities LLC,</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each of which is acting as an underwriter in this offering, will act as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joint lead arrangers and joint bookrunners under a new term loan</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facility and a revolving credit facility that we expect to enter in</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connection with this offering. Moreover, none of Morgan Stanley &amp;</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Co. LLC, Goldman Sachs &amp; Co. LLC, Citigroup Global Markets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00"/>
          </w:cols>
          <w:pgMar w:left="240" w:top="459" w:right="6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62"/>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color w:val="auto"/>
              </w:rPr>
              <w:t>and J.P. Morgan Securities LLC is permitted to sell Class A</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common stock in this offering to an account over which it exercises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discretionary authority without the prior specific written approval of</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the account holder. See “Underwriting (Conflicts of Interest).”</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Policy</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w w:val="94"/>
              </w:rPr>
              <w:t>We do not intend to pay dividends on our Class A common stock or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cause BellRing Brands, LLC to make distributions to its members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3"/>
              </w:rPr>
              <w:t>(other than to make certain distributions as described under “Certain</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Relationships and Related Party Transactions—Post-Offering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Relationship with Post—Amended and Restated Limited Liability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Company Agreement”). We anticipate that we will retain all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available funds and any future earnings to support our operations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and to finance the growth and development of our business. Any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future determination to pay dividends on our Class A common stock</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will be made by our Board of Directors.</w:t>
            </w:r>
          </w:p>
        </w:tc>
      </w:tr>
      <w:tr>
        <w:trPr>
          <w:trHeight w:val="269"/>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 Receivable Agreement</w:t>
            </w:r>
          </w:p>
        </w:tc>
        <w:tc>
          <w:tcPr>
            <w:tcW w:w="7260" w:type="dxa"/>
            <w:vAlign w:val="bottom"/>
            <w:tcBorders>
              <w:right w:val="single" w:sz="8" w:color="auto"/>
            </w:tcBorders>
          </w:tcPr>
          <w:p>
            <w:pPr>
              <w:ind w:left="1940"/>
              <w:spacing w:after="0"/>
              <w:rPr>
                <w:sz w:val="20"/>
                <w:szCs w:val="20"/>
                <w:color w:val="auto"/>
              </w:rPr>
            </w:pPr>
            <w:r>
              <w:rPr>
                <w:rFonts w:ascii="Arial" w:cs="Arial" w:eastAsia="Arial" w:hAnsi="Arial"/>
                <w:sz w:val="18"/>
                <w:szCs w:val="18"/>
                <w:color w:val="auto"/>
              </w:rPr>
              <w:t>We intend to enter into a tax receivable agreement with Post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BellRing Brands, LLC that will provide for the payment by us to</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Post (or certain of its transferees or other assignees) of 85% of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amount of cash savings, if any, in U.S. federal income tax, as well</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as state and local income tax and franchise tax (using an assumed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tax rate) and foreign tax, that we actually realize (or, in some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circumstances, we are deemed to realize) as a result of (a)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increase in the tax basis of assets of BellRing Brands, LLC</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attributable to (i) the redemption of BellRing Brands, LLC Units by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Post (or certain of its transferees or assignees) pursuant to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amended and restated limited liability company agreement,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4"/>
              </w:rPr>
              <w:t>(ii) deemed sales by Post (or certain of its transferees or assignees)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of BellRing Brands, LLC Units or assets to BellRing Brands, Inc.,</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(iii) certain actual or deemed distributions from BellRing Brands,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LLC to Post (or certain of its transferees or assignees) and (iv)</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9"/>
              </w:rPr>
              <w:t>certain formation transactions, (b) disproportionate allocations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5"/>
              </w:rPr>
              <w:t>tax benefits to BellRing Brands, Inc. as a result of Section 704(c)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the Internal Revenue Code of 1986, as amended (the “Code”)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8"/>
              </w:rPr>
              <w:t>(c) certain tax benefits (e.g., imputed interest, basis adjustments,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7"/>
              </w:rPr>
              <w:t>etc.) attributable to payments under the tax receivable agreement.</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w w:val="96"/>
              </w:rPr>
              <w:t>See “Certain Relationships and Related Party Transactions—Post-</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120"/>
              <w:spacing w:after="0"/>
              <w:rPr>
                <w:sz w:val="20"/>
                <w:szCs w:val="20"/>
                <w:color w:val="auto"/>
              </w:rPr>
            </w:pPr>
            <w:r>
              <w:rPr>
                <w:rFonts w:ascii="Arial" w:cs="Arial" w:eastAsia="Arial" w:hAnsi="Arial"/>
                <w:sz w:val="18"/>
                <w:szCs w:val="18"/>
                <w:color w:val="auto"/>
              </w:rPr>
              <w:t>Offering Relationship with Post—Tax Receivable Agreement.”</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4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165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2145" cy="21653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0" w:firstLine="426"/>
        <w:spacing w:after="0" w:line="291"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that we plan to adopt</w:t>
      </w:r>
    </w:p>
    <w:p>
      <w:pPr>
        <w:ind w:left="380"/>
        <w:spacing w:after="0" w:line="255" w:lineRule="auto"/>
        <w:rPr>
          <w:sz w:val="20"/>
          <w:szCs w:val="20"/>
          <w:color w:val="auto"/>
        </w:rPr>
      </w:pPr>
      <w:r>
        <w:rPr>
          <w:rFonts w:ascii="Arial" w:cs="Arial" w:eastAsia="Arial" w:hAnsi="Arial"/>
          <w:sz w:val="18"/>
          <w:szCs w:val="18"/>
          <w:color w:val="auto"/>
        </w:rPr>
        <w:t>prior to this offering. We have reserved shares of our Class A common stock for issuance under the BellRing Brands, Inc. 2019 Long-Term Incentive Plan. See “Executive Compensation—BellRing Brands, Inc. 2019 Long-Term Incentive Plan” for additional information regarding our equity incentive plan.</w:t>
      </w:r>
    </w:p>
    <w:p>
      <w:pPr>
        <w:spacing w:after="0" w:line="190" w:lineRule="exact"/>
        <w:rPr>
          <w:sz w:val="20"/>
          <w:szCs w:val="20"/>
          <w:color w:val="auto"/>
        </w:rPr>
      </w:pPr>
    </w:p>
    <w:p>
      <w:pPr>
        <w:ind w:left="380" w:right="20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6" w:lineRule="exact"/>
        <w:rPr>
          <w:sz w:val="20"/>
          <w:szCs w:val="20"/>
          <w:color w:val="auto"/>
        </w:rPr>
      </w:pPr>
    </w:p>
    <w:p>
      <w:pPr>
        <w:ind w:left="1320" w:right="220" w:hanging="515"/>
        <w:spacing w:after="0" w:line="277" w:lineRule="auto"/>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initial public offering price of $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320" w:hanging="515"/>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320" w:hanging="515"/>
        <w:spacing w:after="0"/>
        <w:tabs>
          <w:tab w:leader="none" w:pos="1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240" w:top="459" w:right="7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380" w:firstLine="426"/>
        <w:spacing w:after="0" w:line="284" w:lineRule="auto"/>
        <w:rPr>
          <w:sz w:val="20"/>
          <w:szCs w:val="20"/>
          <w:color w:val="auto"/>
        </w:rPr>
      </w:pPr>
      <w:r>
        <w:rPr>
          <w:rFonts w:ascii="Arial" w:cs="Arial" w:eastAsia="Arial" w:hAnsi="Arial"/>
          <w:sz w:val="16"/>
          <w:szCs w:val="16"/>
          <w:color w:val="auto"/>
        </w:rPr>
        <w:t>The following tables set forth certain summary historical condensed combined financial data for Post’s Active Nutrition business as of September 30, 2018 and 2017 and for each of the fiscal years in the three-year period ended September 30, 2018, and as of June 30, 2019 and for the nine months ended June 30, 2019 and 2018.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nine months ended June 30, 2019 and 2018 and</w:t>
      </w:r>
    </w:p>
    <w:p>
      <w:pPr>
        <w:spacing w:after="0" w:line="3" w:lineRule="exact"/>
        <w:rPr>
          <w:sz w:val="20"/>
          <w:szCs w:val="20"/>
          <w:color w:val="auto"/>
        </w:rPr>
      </w:pPr>
    </w:p>
    <w:p>
      <w:pPr>
        <w:ind w:left="380" w:right="440" w:firstLine="6"/>
        <w:spacing w:after="0" w:line="261"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each of which is contained elsewhere in this prospectus.</w:t>
      </w:r>
    </w:p>
    <w:p>
      <w:pPr>
        <w:spacing w:after="0" w:line="184" w:lineRule="exact"/>
        <w:rPr>
          <w:sz w:val="20"/>
          <w:szCs w:val="20"/>
          <w:color w:val="auto"/>
        </w:rPr>
      </w:pPr>
    </w:p>
    <w:p>
      <w:pPr>
        <w:ind w:left="380" w:right="20" w:firstLine="426"/>
        <w:spacing w:after="0" w:line="273" w:lineRule="auto"/>
        <w:rPr>
          <w:sz w:val="20"/>
          <w:szCs w:val="20"/>
          <w:color w:val="auto"/>
        </w:rPr>
      </w:pPr>
      <w:r>
        <w:rPr>
          <w:rFonts w:ascii="Arial" w:cs="Arial" w:eastAsia="Arial" w:hAnsi="Arial"/>
          <w:sz w:val="17"/>
          <w:szCs w:val="17"/>
          <w:color w:val="auto"/>
        </w:rPr>
        <w:t>The summary historical condensed combined financial data as of September 30, 2018 and 2017 and as of each of the fiscal years in the three-year period ended September 30, 2018 have been derived from the audited combined financial statements of Post’s Active Nutrition business. The summary unaudited historical condensed combined financial data as of and for the nine months ended June 30, 2019 and 2018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78" w:lineRule="exact"/>
        <w:rPr>
          <w:sz w:val="20"/>
          <w:szCs w:val="20"/>
          <w:color w:val="auto"/>
        </w:rPr>
      </w:pPr>
    </w:p>
    <w:p>
      <w:pPr>
        <w:jc w:val="both"/>
        <w:ind w:left="380" w:right="160" w:firstLine="426"/>
        <w:spacing w:after="0" w:line="264"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24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98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2145" cy="53981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5"/>
              </w:rPr>
              <w:t>Active Nutrition</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5"/>
          </w:tcPr>
          <w:p>
            <w:pPr>
              <w:jc w:val="center"/>
              <w:ind w:right="150"/>
              <w:spacing w:after="0" w:line="119" w:lineRule="exact"/>
              <w:rPr>
                <w:sz w:val="20"/>
                <w:szCs w:val="20"/>
                <w:color w:val="auto"/>
              </w:rPr>
            </w:pPr>
            <w:r>
              <w:rPr>
                <w:rFonts w:ascii="Arial" w:cs="Arial" w:eastAsia="Arial" w:hAnsi="Arial"/>
                <w:sz w:val="13"/>
                <w:szCs w:val="13"/>
                <w:b w:val="1"/>
                <w:bCs w:val="1"/>
                <w:color w:val="auto"/>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left="254"/>
              <w:spacing w:after="0" w:line="14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639.9</w:t>
            </w:r>
          </w:p>
        </w:tc>
        <w:tc>
          <w:tcPr>
            <w:tcW w:w="70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$ 607.6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827.5</w:t>
            </w:r>
          </w:p>
        </w:tc>
        <w:tc>
          <w:tcPr>
            <w:tcW w:w="1040" w:type="dxa"/>
            <w:vAlign w:val="bottom"/>
            <w:gridSpan w:val="6"/>
          </w:tcPr>
          <w:p>
            <w:pPr>
              <w:jc w:val="right"/>
              <w:ind w:right="300"/>
              <w:spacing w:after="0"/>
              <w:rPr>
                <w:sz w:val="20"/>
                <w:szCs w:val="20"/>
                <w:color w:val="auto"/>
              </w:rPr>
            </w:pPr>
            <w:r>
              <w:rPr>
                <w:rFonts w:ascii="Arial" w:cs="Arial" w:eastAsia="Arial" w:hAnsi="Arial"/>
                <w:sz w:val="18"/>
                <w:szCs w:val="18"/>
                <w:color w:val="auto"/>
              </w:rPr>
              <w:t>$713.2</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$574.7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403.6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549.8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467.4</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235.1</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277.7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245.8</w:t>
            </w:r>
          </w:p>
        </w:tc>
        <w:tc>
          <w:tcPr>
            <w:tcW w:w="3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131.0</w:t>
            </w:r>
          </w:p>
        </w:tc>
        <w:tc>
          <w:tcPr>
            <w:tcW w:w="56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w:t>
            </w: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96.1</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35.2</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Cash Flows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100.5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141.2</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(84.0)</w:t>
            </w:r>
          </w:p>
        </w:tc>
        <w:tc>
          <w:tcPr>
            <w:tcW w:w="600" w:type="dxa"/>
            <w:vAlign w:val="bottom"/>
            <w:tcBorders>
              <w:lef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93.3</w:t>
            </w:r>
          </w:p>
        </w:tc>
        <w:tc>
          <w:tcPr>
            <w:tcW w:w="320" w:type="dxa"/>
            <w:vAlign w:val="bottom"/>
            <w:gridSpan w:val="3"/>
            <w:shd w:val="clear" w:color="auto" w:fill="CCEEFF"/>
          </w:tcPr>
          <w:p>
            <w:pPr>
              <w:jc w:val="center"/>
              <w:ind w:left="155"/>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51.7</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20"/>
                <w:szCs w:val="20"/>
                <w:color w:val="auto"/>
              </w:rPr>
            </w:pP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112.5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156.5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118.5</w:t>
            </w:r>
          </w:p>
        </w:tc>
        <w:tc>
          <w:tcPr>
            <w:tcW w:w="16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72.0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7"/>
              </w:rPr>
              <w:t>Active Nutrition</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6"/>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June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3"/>
            <w:vMerge w:val="restart"/>
          </w:tcPr>
          <w:p>
            <w:pPr>
              <w:jc w:val="center"/>
              <w:ind w:right="91"/>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6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(unaudited)</w:t>
            </w:r>
          </w:p>
        </w:tc>
        <w:tc>
          <w:tcPr>
            <w:tcW w:w="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3.4</w:t>
            </w: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560.4</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583.2</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16"/>
              <w:spacing w:after="0"/>
              <w:rPr>
                <w:sz w:val="20"/>
                <w:szCs w:val="20"/>
                <w:color w:val="auto"/>
              </w:rPr>
            </w:pPr>
            <w:r>
              <w:rPr>
                <w:rFonts w:ascii="Arial" w:cs="Arial" w:eastAsia="Arial" w:hAnsi="Arial"/>
                <w:sz w:val="18"/>
                <w:szCs w:val="18"/>
                <w:color w:val="auto"/>
                <w:w w:val="95"/>
              </w:rPr>
              <w:t>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parent company equity</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16"/>
              <w:spacing w:after="0"/>
              <w:rPr>
                <w:sz w:val="20"/>
                <w:szCs w:val="20"/>
                <w:color w:val="auto"/>
              </w:rPr>
            </w:pPr>
            <w:r>
              <w:rPr>
                <w:rFonts w:ascii="Arial" w:cs="Arial" w:eastAsia="Arial" w:hAnsi="Arial"/>
                <w:sz w:val="18"/>
                <w:szCs w:val="18"/>
                <w:color w:val="auto"/>
              </w:rPr>
              <w:t>491.0</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451.7</w:t>
            </w:r>
          </w:p>
        </w:tc>
        <w:tc>
          <w:tcPr>
            <w:tcW w:w="3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484.4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60" w:hanging="414"/>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24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7" w:lineRule="exact"/>
        <w:rPr>
          <w:sz w:val="20"/>
          <w:szCs w:val="20"/>
          <w:color w:val="auto"/>
        </w:rPr>
      </w:pPr>
    </w:p>
    <w:p>
      <w:pPr>
        <w:ind w:left="640" w:right="12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All of our RTD protein shakes and most of our other products are manufactured by a limited number of independent third party contract manufacturers. In fiscal 2018, approximately 92%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supply came from a single supplier and approximately 67%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are currently in a dispute with one of</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color w:val="auto"/>
        </w:rPr>
        <w:t>our former third party contract manufacturers, which we had expected to produce less than 10% of our RTD protein shakes for fiscal year 2019, that has resulted in our termination of our agreement with them and related litigation.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69"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in the second half of fiscal 2018 and delays in planned incremental production capacity by our third party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network, our customer demand exceeded our available capacity and resulted in inventory below acceptable levels at September 30, 2018. These factors resulted in volume increases of our RTD protein shakes for the nine months ended June 30, 2019 being below growth trends experienced in fiscal 2018 and 2017. See “Management’s Discussion and Analysis of Financial Condition and Results of Operations.” If we need to replace an existing third party contract manufacturer, our products may not be available when required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convenient nutrition category, which we believe includes the everyday nutrition, adult nutrition, sports nutrition and weight management consumer need states, is highly competitive. We compete with other brands in the convenient nutrition category and with many nutritional food and beverage players, as well as manufacturers of private label products.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9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8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8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Competitors can be affected differently by weather conditions and natural disasters depending on the location of their suppliers and operations.</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Failure to take adequate steps to reduce the likelihood or mitigate the potential impact of such events, or to effectively manage such events if they occur, particularly when an ingredient or packaging material is sourced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from a single location or supplier, could adversely affect our business, financial condition, results of operations and cash flows and/or require additional resources to restore our supply chain.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2"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must identify changing consumer and customer preferences and develop and offer products to meet these preferences.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 or effectively introduce new products in response, to such changes could negatively impact our business, financial condition, results of operations and cash flows.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7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88"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8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7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March 1, 2019, we had approximately 370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6" w:lineRule="exact"/>
        <w:rPr>
          <w:sz w:val="20"/>
          <w:szCs w:val="20"/>
          <w:color w:val="auto"/>
        </w:rPr>
      </w:pPr>
    </w:p>
    <w:p>
      <w:pPr>
        <w:ind w:left="640" w:right="90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1"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280"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6" w:lineRule="exact"/>
        <w:rPr>
          <w:sz w:val="20"/>
          <w:szCs w:val="20"/>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9"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1" w:lineRule="exact"/>
        <w:rPr>
          <w:sz w:val="20"/>
          <w:szCs w:val="20"/>
          <w:color w:val="auto"/>
        </w:rPr>
      </w:pPr>
    </w:p>
    <w:p>
      <w:pPr>
        <w:ind w:left="640" w:right="14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 and the foreign tax credit, among others. There can be no assurance that future tax law changes will not increase the rate of the corporate income tax significantly; impose new limitations on deductions, credits or other tax</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in which case tax penalties and interest may be imposed that could adversely our financial position and affect the value of our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market size and related estimates and social media metrics may prove to be inaccurate.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and Euromonitor, forecasts and information obtained 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 In addition, the metrics related to visitors to our brand websites and to our presence on third party social media sites contain certain limitations, and investors should not place undue reliance on such metrics given such limitations and the fact that they do not bear any relationship to our financial condition or results of operations.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200" w:right="180" w:firstLine="441"/>
        <w:spacing w:after="0" w:line="297"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With approximately 370 employees as of March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281"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275"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3"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287" w:lineRule="exact"/>
        <w:rPr>
          <w:sz w:val="20"/>
          <w:szCs w:val="20"/>
          <w:color w:val="auto"/>
        </w:rPr>
      </w:pPr>
    </w:p>
    <w:p>
      <w:pPr>
        <w:ind w:left="64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86"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200" w:right="660" w:firstLine="441"/>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6"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4"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of Proceeds,”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1" w:lineRule="exact"/>
        <w:rPr>
          <w:sz w:val="20"/>
          <w:szCs w:val="20"/>
          <w:color w:val="auto"/>
        </w:rPr>
      </w:pPr>
    </w:p>
    <w:p>
      <w:pPr>
        <w:ind w:left="1180" w:right="16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1180" w:right="8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1180" w:right="660" w:hanging="544"/>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5"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 that may be incurred in compliance with these restrictions could be substantial. These restrictions also may not prevent us from incurring certain obligations that may not constitute indebtedness under the documents governing our indebtedness. In addition, in order to preserve its intended tax treatment in connection with the formation transactions, we expect that Post will require that BellRing Brands, LLC maintain a level of</w:t>
      </w:r>
    </w:p>
    <w:p>
      <w:pPr>
        <w:spacing w:after="0" w:line="2" w:lineRule="exact"/>
        <w:rPr>
          <w:sz w:val="20"/>
          <w:szCs w:val="20"/>
          <w:color w:val="auto"/>
        </w:rPr>
      </w:pPr>
    </w:p>
    <w:p>
      <w:pPr>
        <w:ind w:left="200"/>
        <w:spacing w:after="0"/>
        <w:tabs>
          <w:tab w:leader="none" w:pos="3660" w:val="left"/>
        </w:tabs>
        <w:rPr>
          <w:sz w:val="20"/>
          <w:szCs w:val="20"/>
          <w:color w:val="auto"/>
        </w:rPr>
      </w:pPr>
      <w:r>
        <w:rPr>
          <w:rFonts w:ascii="Arial" w:cs="Arial" w:eastAsia="Arial" w:hAnsi="Arial"/>
          <w:sz w:val="18"/>
          <w:szCs w:val="18"/>
          <w:color w:val="auto"/>
        </w:rPr>
        <w:t>outstanding indebtedness at least equal to $</w:t>
      </w:r>
      <w:r>
        <w:rPr>
          <w:sz w:val="20"/>
          <w:szCs w:val="20"/>
          <w:color w:val="auto"/>
        </w:rPr>
        <w:tab/>
      </w:r>
      <w:r>
        <w:rPr>
          <w:rFonts w:ascii="Arial" w:cs="Arial" w:eastAsia="Arial" w:hAnsi="Arial"/>
          <w:sz w:val="16"/>
          <w:szCs w:val="16"/>
          <w:color w:val="auto"/>
        </w:rPr>
        <w:t>for so long as Post owns an interest in BellRing Brands, LLC.</w:t>
      </w:r>
    </w:p>
    <w:p>
      <w:pPr>
        <w:spacing w:after="0" w:line="319" w:lineRule="exact"/>
        <w:rPr>
          <w:sz w:val="20"/>
          <w:szCs w:val="20"/>
          <w:color w:val="auto"/>
        </w:rPr>
      </w:pPr>
    </w:p>
    <w:p>
      <w:pPr>
        <w:ind w:left="640" w:right="340"/>
        <w:spacing w:after="0" w:line="342"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3" w:lineRule="exact"/>
        <w:rPr>
          <w:sz w:val="20"/>
          <w:szCs w:val="20"/>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BellRing Brands, LLC’s ability to pay principal and interest on its anticipated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6" w:lineRule="exact"/>
        <w:rPr>
          <w:sz w:val="20"/>
          <w:szCs w:val="20"/>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After the completion of this offering, Post will own the share of our Class B common stock, which, for so long as Post or its affiliates (other than us) directly own more than 50% of the BellRing Brands, LLC Units as described in this prospectus, will represent 67% of the total voting power of both classes of our common stock outstanding after this offering.</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long as Post or its affiliates (other than us) owns more than 50% of the BellRing Brands, LLC Units as described in this prospectus, it will be able to control nearly all corporate actions that require a stockholder vote, regardless of the vote of any other stockholder. As a result, Post will have the ability to control significant matters involving us, including:</w:t>
      </w:r>
    </w:p>
    <w:p>
      <w:pPr>
        <w:spacing w:after="0" w:line="87" w:lineRule="exact"/>
        <w:rPr>
          <w:sz w:val="20"/>
          <w:szCs w:val="20"/>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1180" w:right="600" w:hanging="544"/>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Brands, LLC Units as described in this prospectus, Post will have the ability to substantially influence these matters for as long as it owns a significant portion of the voting power.</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273" w:lineRule="exact"/>
        <w:rPr>
          <w:sz w:val="20"/>
          <w:szCs w:val="20"/>
          <w:color w:val="auto"/>
        </w:rPr>
      </w:pPr>
    </w:p>
    <w:p>
      <w:pPr>
        <w:ind w:left="640" w:right="260"/>
        <w:spacing w:after="0" w:line="308"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Post, if it has redeemed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Post and its affiliates may also directly transfer their BellRing Brands, LLC Units to third parties without the consent or approval of the Board of Managers of BellRing Brands,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the event that Post or its applicable affiliate, as the holder of the share of our Class B common stock, holds in the aggregate 50% or less of the BellRing Brands, LLC Units as described in this prospectus.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tax-free spin-off to its shareholders. See “Shares Eligible for Future Sale.”</w:t>
      </w:r>
    </w:p>
    <w:p>
      <w:pPr>
        <w:spacing w:after="0" w:line="16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6" w:lineRule="exact"/>
        <w:rPr>
          <w:sz w:val="20"/>
          <w:szCs w:val="20"/>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6"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amended and restated certificate of incorporation will include certain provisions regulating and defining the conduct of our affairs to the extent that they may involve Post and its directors, officers, employees, agents and affiliates (except that we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7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81"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connection with this offering, BellRing Brands, Inc. and BellRing Brands, LLC will enter into a tax matters agreement with Post. 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Post—Tax Matters Agreement.”</w:t>
      </w:r>
    </w:p>
    <w:p>
      <w:pPr>
        <w:spacing w:after="0" w:line="291"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Post and BellRing Brands, LLC will require us to make cash payments to Post for certain tax benefits we may realize in the future, and these payments could be substantial.</w:t>
      </w:r>
    </w:p>
    <w:p>
      <w:pPr>
        <w:spacing w:after="0" w:line="62"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Post (or certain of its transferees or assignees) may redeem BellRing Brands, LLC Units for, at the option of BellRing Brands, LLC (as determined by its Board of Managers), shares of our Class A common stock or cash pursuant to the amended and restated limited liability company agreement. See “Certain Relationships and Related Party Transactions—Post-Offering Relationship with Post—Amended and Restated Limited Liability Company Agreement.” These redemptions, as well as certain other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Code, we will be entitled to certain tax benefits generated by the pre-existing, contributed tax basis in BellRing Brands, LLC’s assets in excess of our pro rata share of such basis. The IRS may challenge all or part of these tax basis increases and tax benefits and no assurances can be made regarding the availability of these tax basis increases or other tax benefits.</w:t>
      </w:r>
    </w:p>
    <w:p>
      <w:pPr>
        <w:spacing w:after="0" w:line="188"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and foreign tax, that we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to calculate tax benefits. Payments under the tax receivable agreement are not conditioned on Post’s continued ownership of BellRing Brands, LLC Units or our Class A common stock or Class B common stock after this offering. The payment obligation is a payment obligation of ours and not of BellRing Brands, LLC.</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 or “split-off” transactions (which are not expected to result in adjustments to the tax basis of the assets of BellRing Brands, LLC). Post (or its transferees or assignees) may nevertheless determine to engage in redemptions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Brands, LLC at the time of the redemption, the extent to which such redemptions are taxable, the tax rates then applicable and the amount and timing of our income.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not be reimbursed for any payments made to Post under the tax receivable agreement in the event that any tax benefits are disallowed.</w:t>
      </w:r>
    </w:p>
    <w:p>
      <w:pPr>
        <w:spacing w:after="0" w:line="15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the market value of our Class A common stock at the time of termination, even if we do not receive the corresponding tax benefits until a later date when the BellRing Brands, LLC Units are actually redeemed. Such obligations under the tax receivable agreement, however, would not arise if Post distributes its beneficial retained interest in BellRing Brands, LLC by means of a tax-free spin-off to its shareholders. As a result of the foregoing, we would be required to make an immediate cash payment equal to the estimated present value as outlined in the 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For an illustration of the amount, based upon certain assumptions, that would be payable by BellRing Brands, Inc. under the tax receivable agreement if we were to elect to terminate the tax receivable agreement immediately after this offering, see “Unaudited Pro Forma Condensed Consolidated Financial Information.”</w:t>
      </w:r>
    </w:p>
    <w:p>
      <w:pPr>
        <w:spacing w:after="0" w:line="277" w:lineRule="exact"/>
        <w:rPr>
          <w:sz w:val="20"/>
          <w:szCs w:val="20"/>
          <w:color w:val="auto"/>
        </w:rPr>
      </w:pPr>
    </w:p>
    <w:p>
      <w:pPr>
        <w:ind w:left="640" w:right="38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and foreign tax that we realize (or, in some circumstances, we are deemed to realize) as a result of (a) the increase in the tax basis of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6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from the considerations of us or our other stockholders. Such determination may adversely affect our profitability or prevent us from pursuing certain opportunities to grow.</w:t>
      </w:r>
    </w:p>
    <w:p>
      <w:pPr>
        <w:spacing w:after="0" w:line="170"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28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redemptions of BellRing Brands, LLC Units, such cash payments may reduce the amount of overall cash flow that would otherwise be available to us.</w:t>
      </w:r>
    </w:p>
    <w:p>
      <w:pPr>
        <w:spacing w:after="0" w:line="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Subject to the terms of the amended and restated limited liability company agreement, BellRing Brands, LLC Units may be redeemed at any time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75" w:lineRule="exact"/>
        <w:rPr>
          <w:sz w:val="20"/>
          <w:szCs w:val="20"/>
          <w:color w:val="auto"/>
        </w:rPr>
      </w:pPr>
    </w:p>
    <w:p>
      <w:pPr>
        <w:ind w:left="64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After this offering, and subject to the lock-up period described below under “Shares Eligible for Future Sale—Lock-up Agreements,” Post generally has the right at any time, if it has redeemed BellRing Brands, LLC Units for shares of our Class A common stock, to sell or otherwise dispose of all or a portion of the shares of our Class A common stock that it owns to third parties. Post and its affiliates may also directly transfer their BellRing Brands, LLC Units to third parties without the consent or approval of the Board of Managers of BellRing Brands,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Brands, LLC Units as described in this prospectus, will provide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See “Certain Relationships and Related Party Transactions—Post-Offering Relationship with Post—Amended and Restated Limited Liability Company Agreement—Transfer of BellRing Brands, LLC Units.” In addition, Post may determine to distribute its beneficial retained interest in BellRing Brands, LLC by means of a tax-free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17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Prior to completion of this offering, Post has provided us with various services including finance, information technology, legal, human resources, quality, supply chain and purchasing functions. Following this offering, we expect Post to continue to provide many of these services to us for a fee provided for in the master services agreement described in “Certain Relationships and Related Party Transactions—Post-Offering Relationship with Post —Master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640" w:right="26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29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supply chain and purchasing functions. Following this offering, Post will continue to provide some of these services to us pursuant to a master services agreement. For more information regarding the master services agreement, see “Certain Relationships and Related Party Transactions—Post-Offering Relationship with Post—Master Services Agreement.” However, we cannot assure you that all of these functions will be successfully executed by Post or that we will not have to expend significant efforts or costs materially in excess of those estimated in the master services agreement. Any interruption in these services could have a material adverse effect on our business, financial condition, results of operations and cash flows. In addition, upon termination of the master services agreement, we will need to perform these functions ourselves or hire third parties to perform these functions on our behalf.</w:t>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4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 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78"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7"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 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200" w:right="340" w:firstLine="441"/>
        <w:spacing w:after="0" w:line="291"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w:t>
      </w:r>
    </w:p>
    <w:p>
      <w:pPr>
        <w:ind w:left="200" w:right="60"/>
        <w:spacing w:after="0" w:line="261" w:lineRule="auto"/>
        <w:rPr>
          <w:sz w:val="20"/>
          <w:szCs w:val="20"/>
          <w:color w:val="auto"/>
        </w:rPr>
      </w:pPr>
      <w:r>
        <w:rPr>
          <w:rFonts w:ascii="Arial" w:cs="Arial" w:eastAsia="Arial" w:hAnsi="Arial"/>
          <w:sz w:val="18"/>
          <w:szCs w:val="18"/>
          <w:color w:val="auto"/>
        </w:rPr>
        <w:t>substantial dilution of $ per share, the difference between the price per share you paid for a share of Class A common stock (based on the midpoint of the estimated offering price range set forth on the cover page of this prospectus) and the as adjusted net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6420" w:val="left"/>
        </w:tabs>
        <w:rPr>
          <w:sz w:val="20"/>
          <w:szCs w:val="20"/>
          <w:color w:val="auto"/>
        </w:rPr>
      </w:pPr>
      <w:r>
        <w:rPr>
          <w:rFonts w:ascii="Arial" w:cs="Arial" w:eastAsia="Arial" w:hAnsi="Arial"/>
          <w:sz w:val="18"/>
          <w:szCs w:val="18"/>
          <w:color w:val="auto"/>
        </w:rPr>
        <w:t>tangible book value per share of our Class A common stock calculated as of</w:t>
      </w:r>
      <w:r>
        <w:rPr>
          <w:sz w:val="20"/>
          <w:szCs w:val="20"/>
          <w:color w:val="auto"/>
        </w:rPr>
        <w:tab/>
      </w:r>
      <w:r>
        <w:rPr>
          <w:rFonts w:ascii="Arial" w:cs="Arial" w:eastAsia="Arial" w:hAnsi="Arial"/>
          <w:sz w:val="16"/>
          <w:szCs w:val="16"/>
          <w:color w:val="auto"/>
        </w:rPr>
        <w:t>, after giving effect to the issuance of shares of our Class 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common stock in this offering. For additional information about the dilution that you will experience immediately after this offering, see “Dilution.”</w:t>
      </w:r>
    </w:p>
    <w:p>
      <w:pPr>
        <w:spacing w:after="0" w:line="33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3"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Prior to this offering, there has been no public market for shares of our Class A common stock. The initial public offering price of our Class A common stock was determined through negotiation among us, Post and the 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 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293"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 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intend to apply to list our Class A common stock on the NYSE under the symbol “ ”.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40"/>
        <w:spacing w:after="0" w:line="342"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6"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w:t>
      </w:r>
    </w:p>
    <w:p>
      <w:pPr>
        <w:spacing w:after="0" w:line="2"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have shares of outstanding Class A common stock on a fully diluted basis, assuming that all of the BellRing Brands, LLC Units outstanding after giving effect to the formation transactions and this offering described under “Prospectus Summary—Formation Transactions,” excluding those held by us, are redeemed for shares of our Class A common stock and assuming no exercise of the underwriters’ over-allotment option. Also, in the future, we may issue shares of our Class A common stock or securities convertible into shares of our Class A common stock in connection with investments or acquisitions. The number of shares of our Class A common stock issued in connection with an investment or acquisition could constitute a material portion of our then outstanding shares of common stock.</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w:t>
      </w:r>
    </w:p>
    <w:p>
      <w:pPr>
        <w:spacing w:after="0" w:line="46" w:lineRule="exact"/>
        <w:rPr>
          <w:sz w:val="20"/>
          <w:szCs w:val="20"/>
          <w:color w:val="auto"/>
        </w:rPr>
      </w:pPr>
    </w:p>
    <w:p>
      <w:pPr>
        <w:ind w:left="200" w:right="40"/>
        <w:spacing w:after="0" w:line="284" w:lineRule="auto"/>
        <w:rPr>
          <w:sz w:val="20"/>
          <w:szCs w:val="20"/>
          <w:color w:val="auto"/>
        </w:rPr>
      </w:pPr>
      <w:r>
        <w:rPr>
          <w:rFonts w:ascii="Arial" w:cs="Arial" w:eastAsia="Arial" w:hAnsi="Arial"/>
          <w:sz w:val="16"/>
          <w:szCs w:val="16"/>
          <w:color w:val="auto"/>
        </w:rPr>
        <w:t>and Post, which will hold BellRing Brands, LLC Units (equal to % of the economic interest in BellRing Brands, LLC) (or %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Subject to the terms of the amended and restated limited liability company agreement, BellRing Brands, LLC Units will be redeemable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Shares of our Class A common stock issuable upon a redemption of BellRing Brands, LLC Units as described above would be considered “restricted securities,” as that term is defined in Rule 144 under the Securities Act, unless the issuance is registered under the Securities Act. We, our executive officers and directors and Post also will agree with the underwriters not to 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180 days after the date of this prospectus, except with the prior written consent of the representatives of the underwriters. After the expiration of the 180-day lock-up period, the shares of our Class A common stock issuable upon redemption of BellRing Brands, LLC Units will be eligible for resale from time to time, subject to certain contractual restrictions and the requirements of the Securities Act.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file a registration statement under the Securities Act as soon as practicable after the closing of this offering</w:t>
      </w:r>
    </w:p>
    <w:p>
      <w:pPr>
        <w:spacing w:after="0" w:line="23"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registering shares of our Class A common stock reserved for issuance under the BellRing Brands, Inc. 2019 Long-Term Incentive Plan,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180-day lock-up period described above.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200" w:right="100" w:firstLine="441"/>
        <w:spacing w:after="0" w:line="274" w:lineRule="auto"/>
        <w:rPr>
          <w:sz w:val="20"/>
          <w:szCs w:val="20"/>
          <w:color w:val="auto"/>
        </w:rPr>
      </w:pPr>
      <w:r>
        <w:rPr>
          <w:rFonts w:ascii="Arial" w:cs="Arial" w:eastAsia="Arial" w:hAnsi="Arial"/>
          <w:sz w:val="17"/>
          <w:szCs w:val="17"/>
          <w:color w:val="auto"/>
        </w:rPr>
        <w:t>Our amended and restated certificate of incorporation will authorize us to issue up to shares of Class A common stock, one share of Class B common stock and up to shares of preferred stock with such rights and preferences as may be determined by our Board of Directors.</w:t>
      </w:r>
    </w:p>
    <w:p>
      <w:pPr>
        <w:ind w:left="200" w:right="140"/>
        <w:spacing w:after="0" w:line="270" w:lineRule="auto"/>
        <w:rPr>
          <w:sz w:val="20"/>
          <w:szCs w:val="20"/>
          <w:color w:val="auto"/>
        </w:rPr>
      </w:pPr>
      <w:r>
        <w:rPr>
          <w:rFonts w:ascii="Arial" w:cs="Arial" w:eastAsia="Arial" w:hAnsi="Arial"/>
          <w:sz w:val="17"/>
          <w:szCs w:val="17"/>
          <w:color w:val="auto"/>
        </w:rPr>
        <w:t>Subject to compliance with applicable law and various ancillary agreements we intend to enter into with Post and its affiliates (other than us)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do not intend to pay cash dividends on our Class A common stock for the foreseeable future. Consequently, investors must rely on sales of their shares of our Class A common stock after price appreciation, 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“Use of Proceeds” and Description of Certain Indebtedness—Debt Facilities.” Our management will not have any discretion over the specific use of such proceeds.</w:t>
      </w:r>
    </w:p>
    <w:p>
      <w:pPr>
        <w:spacing w:after="0" w:line="296" w:lineRule="exact"/>
        <w:rPr>
          <w:sz w:val="20"/>
          <w:szCs w:val="20"/>
          <w:color w:val="auto"/>
        </w:rPr>
      </w:pPr>
    </w:p>
    <w:p>
      <w:pPr>
        <w:ind w:left="640" w:right="30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and its affiliates (other than us) no longer own of record more than 50% of the BellRing Brands, LLC Units;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 restated certificate of incorporation will contain provisions that have the same effect as Section 203 of the Delaware General Corporation Law, except that they will provide that Post and its various successors and affiliates (and certain transferees of any of them designated in writing by Post) will not be deemed to be “interested stockholders,” regardless of the percentage of our stock owned by them, and accordingly will not be subject to such restrictions.</w:t>
      </w:r>
    </w:p>
    <w:p>
      <w:pPr>
        <w:spacing w:after="0" w:line="179"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280"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200" w:right="500" w:firstLine="441"/>
        <w:spacing w:after="0" w:line="312"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2" w:lineRule="exact"/>
        <w:rPr>
          <w:sz w:val="20"/>
          <w:szCs w:val="20"/>
          <w:color w:val="auto"/>
        </w:rPr>
      </w:pPr>
    </w:p>
    <w:p>
      <w:pPr>
        <w:ind w:left="1180" w:hanging="544"/>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0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240" w:top="459"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289" w:lineRule="exact"/>
        <w:rPr>
          <w:sz w:val="20"/>
          <w:szCs w:val="20"/>
          <w:color w:val="auto"/>
        </w:rPr>
      </w:pPr>
    </w:p>
    <w:p>
      <w:pPr>
        <w:ind w:left="640" w:right="180"/>
        <w:spacing w:after="0" w:line="264"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7" w:lineRule="exact"/>
        <w:rPr>
          <w:sz w:val="20"/>
          <w:szCs w:val="20"/>
          <w:color w:val="auto"/>
        </w:rPr>
      </w:pPr>
    </w:p>
    <w:p>
      <w:pPr>
        <w:ind w:left="1180" w:hanging="54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 not have the same protections afforded to stockholders of companies that are subject to all of the NYSE rules regarding corporate governance.</w:t>
      </w:r>
    </w:p>
    <w:p>
      <w:pPr>
        <w:spacing w:after="0" w:line="289"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97"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LLC Units, including, in the case of BellRing Brands, Inc., in an amount sufficient to allow BellRing Brands, Inc. to pay its tax obligations in respect of taxable income allocated to it from BellRing Brands, LLC and to make any payments required under the tax receivable agreement. In addition to tax expenses, and expenses under the tax receivable agreement, which would be significant, BellRing Brands, Inc. also will incur expenses related to its operations. See “Certain Relationships and Related Party Transactions—Post-Offering Relationship with Post—Tax Receivable Agreement.” We expect that BellRing Brands, LLC will make distributions pro rata to holders of the BellRing Brands, LLC Units in an amount sufficient to allow BellRing Brands, Inc. to pay its operating expenses.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9" w:lineRule="exact"/>
        <w:rPr>
          <w:sz w:val="20"/>
          <w:szCs w:val="20"/>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1180" w:right="28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2" w:lineRule="exact"/>
        <w:rPr>
          <w:rFonts w:ascii="Arial" w:cs="Arial" w:eastAsia="Arial" w:hAnsi="Arial"/>
          <w:sz w:val="17"/>
          <w:szCs w:val="17"/>
          <w:color w:val="auto"/>
        </w:rPr>
      </w:pPr>
    </w:p>
    <w:p>
      <w:pPr>
        <w:ind w:left="1180" w:right="60" w:hanging="544"/>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1180" w:right="380" w:hanging="544"/>
        <w:spacing w:after="0" w:line="308"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1180" w:right="300" w:hanging="544"/>
        <w:spacing w:after="0" w:line="264"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180" w:right="2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1180" w:hanging="544"/>
        <w:spacing w:after="0" w:line="308" w:lineRule="auto"/>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8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240" w:top="459" w:right="6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We estimate that the net proceeds from the sale of our Class A common stock in this offering, after deducting the underwriting discount and</w:t>
      </w:r>
    </w:p>
    <w:p>
      <w:pPr>
        <w:spacing w:after="0" w:line="23" w:lineRule="exact"/>
        <w:rPr>
          <w:sz w:val="20"/>
          <w:szCs w:val="20"/>
          <w:color w:val="auto"/>
        </w:rPr>
      </w:pPr>
    </w:p>
    <w:p>
      <w:pPr>
        <w:ind w:left="200"/>
        <w:spacing w:after="0"/>
        <w:tabs>
          <w:tab w:leader="none" w:pos="4120" w:val="left"/>
          <w:tab w:leader="none" w:pos="5200" w:val="left"/>
        </w:tabs>
        <w:rPr>
          <w:sz w:val="20"/>
          <w:szCs w:val="20"/>
          <w:color w:val="auto"/>
        </w:rPr>
      </w:pPr>
      <w:r>
        <w:rPr>
          <w:rFonts w:ascii="Arial" w:cs="Arial" w:eastAsia="Arial" w:hAnsi="Arial"/>
          <w:sz w:val="18"/>
          <w:szCs w:val="18"/>
          <w:color w:val="auto"/>
        </w:rPr>
        <w:t>expenses of this offering, will be approximately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6"/>
          <w:szCs w:val="16"/>
          <w:color w:val="auto"/>
        </w:rPr>
        <w:t>million if the underwriters exercise their over-allotment option in full) based on an</w:t>
      </w:r>
    </w:p>
    <w:p>
      <w:pPr>
        <w:spacing w:after="0" w:line="9" w:lineRule="exact"/>
        <w:rPr>
          <w:sz w:val="20"/>
          <w:szCs w:val="20"/>
          <w:color w:val="auto"/>
        </w:rPr>
      </w:pPr>
    </w:p>
    <w:p>
      <w:pPr>
        <w:ind w:left="200"/>
        <w:spacing w:after="0"/>
        <w:tabs>
          <w:tab w:leader="none" w:pos="348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6"/>
          <w:szCs w:val="16"/>
          <w:color w:val="auto"/>
        </w:rPr>
        <w:t>per share (the midpoint of the estimated offering price range set forth on the cover page of this prospectus).</w:t>
      </w:r>
    </w:p>
    <w:p>
      <w:pPr>
        <w:spacing w:after="0" w:line="21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“Description of Certain Indebtedness—Debt Facilities”. The Post bridge loan bears an interest rate of % and</w:t>
      </w:r>
    </w:p>
    <w:p>
      <w:pPr>
        <w:spacing w:after="0" w:line="2" w:lineRule="exact"/>
        <w:rPr>
          <w:sz w:val="20"/>
          <w:szCs w:val="20"/>
          <w:color w:val="auto"/>
        </w:rPr>
      </w:pPr>
    </w:p>
    <w:p>
      <w:pPr>
        <w:ind w:left="200" w:right="200"/>
        <w:spacing w:after="0" w:line="290" w:lineRule="auto"/>
        <w:rPr>
          <w:sz w:val="20"/>
          <w:szCs w:val="20"/>
          <w:color w:val="auto"/>
        </w:rPr>
      </w:pPr>
      <w:r>
        <w:rPr>
          <w:rFonts w:ascii="Arial" w:cs="Arial" w:eastAsia="Arial" w:hAnsi="Arial"/>
          <w:sz w:val="17"/>
          <w:szCs w:val="17"/>
          <w:color w:val="auto"/>
        </w:rPr>
        <w:t>matures on .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62" w:lineRule="exact"/>
        <w:rPr>
          <w:sz w:val="20"/>
          <w:szCs w:val="20"/>
          <w:color w:val="auto"/>
        </w:rPr>
      </w:pPr>
    </w:p>
    <w:p>
      <w:pPr>
        <w:ind w:left="200" w:right="20" w:firstLine="441"/>
        <w:spacing w:after="0"/>
        <w:rPr>
          <w:sz w:val="20"/>
          <w:szCs w:val="20"/>
          <w:color w:val="auto"/>
        </w:rPr>
      </w:pPr>
      <w:r>
        <w:rPr>
          <w:rFonts w:ascii="Arial" w:cs="Arial" w:eastAsia="Arial" w:hAnsi="Arial"/>
          <w:sz w:val="1"/>
          <w:szCs w:val="1"/>
          <w:color w:val="auto"/>
        </w:rPr>
        <w:t>Each $1.00 increase or decrease in the assumed initial public offering price of $ per share would increase or decrease the net proceeds to us from this offering by $ million, assuming that the number of shares offered by us, as set forth on the cover page of this prospectus, remains the same and after deducting the estimated underwriting discounts and commissions. Similarly, each increase or decrease of 1.0 million in the number of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we are offering would increase or decrease the net proceeds to us from this offering by $ million, assuming no change in the assumed initial public offering price of $ per share and after deducting the estimated underwriting discounts and commissions.</w:t>
      </w:r>
    </w:p>
    <w:p>
      <w:pPr>
        <w:spacing w:after="0" w:line="170" w:lineRule="exact"/>
        <w:rPr>
          <w:sz w:val="20"/>
          <w:szCs w:val="20"/>
          <w:color w:val="auto"/>
        </w:rPr>
      </w:pPr>
    </w:p>
    <w:p>
      <w:pPr>
        <w:ind w:left="200" w:right="320" w:firstLine="441"/>
        <w:spacing w:after="0" w:line="285" w:lineRule="auto"/>
        <w:rPr>
          <w:sz w:val="20"/>
          <w:szCs w:val="20"/>
          <w:color w:val="auto"/>
        </w:rPr>
      </w:pPr>
      <w:r>
        <w:rPr>
          <w:rFonts w:ascii="Arial" w:cs="Arial" w:eastAsia="Arial" w:hAnsi="Arial"/>
          <w:sz w:val="16"/>
          <w:szCs w:val="16"/>
          <w:color w:val="auto"/>
        </w:rPr>
        <w:t>Affiliates of Morgan Stanley &amp; Co. LLC, Goldman Sachs &amp; Co. LLC, Citigroup Global Markets Inc. and J.P. Morgan Securities LLC, each of which is an underwriter in this offering, are lenders under the Post bridge loan. The proceeds received by BellRing Brands, LLC from its sale of BellRing Brands, LLC Units will be used to repay a portion of the Post bridge loan.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w:t>
      </w:r>
    </w:p>
    <w:p>
      <w:pPr>
        <w:spacing w:after="0" w:line="2" w:lineRule="exact"/>
        <w:rPr>
          <w:sz w:val="20"/>
          <w:szCs w:val="20"/>
          <w:color w:val="auto"/>
        </w:rPr>
      </w:pPr>
    </w:p>
    <w:p>
      <w:pPr>
        <w:ind w:left="200" w:right="120"/>
        <w:spacing w:after="0" w:line="268" w:lineRule="auto"/>
        <w:rPr>
          <w:sz w:val="20"/>
          <w:szCs w:val="20"/>
          <w:color w:val="auto"/>
        </w:rPr>
      </w:pPr>
      <w:r>
        <w:rPr>
          <w:rFonts w:ascii="Arial" w:cs="Arial" w:eastAsia="Arial" w:hAnsi="Arial"/>
          <w:sz w:val="17"/>
          <w:szCs w:val="17"/>
          <w:color w:val="auto"/>
        </w:rPr>
        <w:t>respect to, this prospectus and the registration statement of which this prospectus forms a part. has agreed to act as qualified independent underwriter for the offering and to undertake the legal responsibilities and liabilities of an underwriter under the Securities Act, specifically including those inherent in Section 11 of the Securities Act. Additionally, affiliates of Morgan Stanley &amp; Co. LLC, Goldman Sachs &amp; Co. LLC, Citigroup Global Markets Inc. and J.P. Morgan Securities LLC, each of which is acting as an underwriter in this offering, will act as joint lead arrangers and joint bookrunners under a new term loan facility and revolving credit facility that we expect to enter in connection with this offering. Moreover, none of Morgan Stanley &amp; Co. LLC, Goldman Sachs &amp; Co. LLC, Citigroup Global Markets Inc. and J.P. Morgan Securities LLC is permitted to sell Class A common stock in this offering to an account over which it exercises discretionary authority without the prior specific written approval of the account holder. See “Underwriting (Conflicts of Interest).”</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may be distributed from time to time at the discretion of the Board of Managers pro rata to its members, currently us and Post, according to the number of BellRing Brands, LLC Units held by each of us, except that the Board of Managers may cause BellRing Brands, LLC to make non-proportionate distributions to BellRing Brands, Inc. in connection with any cash redemption of BellRing Brands, Inc.’s Class A common stock. The amended and restated limited liability company agreement provides, to the extent cash is available, for distributions pro rata to the holders of BellRing Brands, LLC Units such that members receive an amount of cash sufficient to cover the estimated taxes payable by them and to cover obligations of BellRing Brands, Inc. under the tax receivable agreement as described under “Certain Relationships and Related Party Transactions— Post-Offering Relationship with Post—Amended and Restated Limited Liability Company Agreement—Distributions and Allocations.” Future agreements governing our indebtedness may also limit our ability to pay dividends. We expect that the debt facilities that BellRing Brands, LLC expects to enter into after completion of this offering will include restrictions on its ability to make distributions and will thus restrict our ability to pay dividends. See “Description of Certain Indebtedness.”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our cash and cash equivalents and capitalization as of June 30, 2019:</w:t>
      </w:r>
    </w:p>
    <w:p>
      <w:pPr>
        <w:spacing w:after="0" w:line="131" w:lineRule="exact"/>
        <w:rPr>
          <w:sz w:val="20"/>
          <w:szCs w:val="20"/>
          <w:color w:val="auto"/>
        </w:rPr>
      </w:pPr>
    </w:p>
    <w:p>
      <w:pPr>
        <w:ind w:left="1180" w:hanging="54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1" w:lineRule="exact"/>
        <w:rPr>
          <w:sz w:val="20"/>
          <w:szCs w:val="20"/>
          <w:color w:val="auto"/>
        </w:rPr>
      </w:pPr>
    </w:p>
    <w:p>
      <w:pPr>
        <w:ind w:left="1180" w:right="160" w:hanging="539"/>
        <w:spacing w:after="0" w:line="257" w:lineRule="auto"/>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an as adjusted basis after giving effect to: (i) this offering, at an assumed initial public offering price of $ per share (which is the midpoint of the estimated offering price range set forth on the cover page of this prospectus) and (ii) the entry of BellRing Brands, LLC into the debt facilities, the borrowing by BellRing Brands, LLC under the debt facilities and the application of the net proceeds of this offering and the debt facilities to repay in full the Post bridge loan as described under “Use of Proceeds,” and assuming no exercise of the underwriters’ over-allotment option.</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 audited combined financial statements and the notes thereto as of September 30, 2018 and 2017 and for the three fiscal years ended September 30, 2018 and Post’s Active Nutrition business unaudited condensed combined financial statements and the notes thereto for the nine months ended June 30, 2019 and 2018, each appearing elsewhere in this prospectus.</w:t>
      </w:r>
    </w:p>
    <w:p>
      <w:pPr>
        <w:spacing w:after="0" w:line="191"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As of June 30, 2019</w:t>
      </w:r>
    </w:p>
    <w:p>
      <w:pPr>
        <w:jc w:val="center"/>
        <w:ind w:left="9020"/>
        <w:spacing w:after="0" w:line="23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7"/>
              </w:rPr>
              <w:t>Active</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BellRing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Nutrition</w:t>
            </w:r>
          </w:p>
        </w:tc>
        <w:tc>
          <w:tcPr>
            <w:tcW w:w="106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w w:val="99"/>
              </w:rPr>
              <w:t>Brands, Inc.</w:t>
            </w:r>
          </w:p>
        </w:tc>
        <w:tc>
          <w:tcPr>
            <w:tcW w:w="0" w:type="dxa"/>
            <w:vAlign w:val="bottom"/>
          </w:tcPr>
          <w:p>
            <w:pPr>
              <w:spacing w:after="0"/>
              <w:rPr>
                <w:sz w:val="1"/>
                <w:szCs w:val="1"/>
                <w:color w:val="auto"/>
              </w:rPr>
            </w:pPr>
          </w:p>
        </w:tc>
      </w:tr>
      <w:tr>
        <w:trPr>
          <w:trHeight w:val="171"/>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9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rPr>
              <w:t>Historical</w:t>
            </w:r>
          </w:p>
        </w:tc>
        <w:tc>
          <w:tcPr>
            <w:tcW w:w="2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As adjusted</w:t>
            </w:r>
          </w:p>
        </w:tc>
        <w:tc>
          <w:tcPr>
            <w:tcW w:w="0" w:type="dxa"/>
            <w:vAlign w:val="bottom"/>
          </w:tcPr>
          <w:p>
            <w:pPr>
              <w:spacing w:after="0"/>
              <w:rPr>
                <w:sz w:val="1"/>
                <w:szCs w:val="1"/>
                <w:color w:val="auto"/>
              </w:rPr>
            </w:pPr>
          </w:p>
        </w:tc>
      </w:tr>
      <w:tr>
        <w:trPr>
          <w:trHeight w:val="142"/>
        </w:trPr>
        <w:tc>
          <w:tcPr>
            <w:tcW w:w="1840" w:type="dxa"/>
            <w:vAlign w:val="bottom"/>
            <w:gridSpan w:val="3"/>
            <w:vMerge w:val="continue"/>
          </w:tcPr>
          <w:p>
            <w:pPr>
              <w:spacing w:after="0"/>
              <w:rPr>
                <w:sz w:val="12"/>
                <w:szCs w:val="12"/>
                <w:color w:val="auto"/>
              </w:rPr>
            </w:pPr>
          </w:p>
        </w:tc>
        <w:tc>
          <w:tcPr>
            <w:tcW w:w="19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(a)(b)(c)</w:t>
            </w:r>
          </w:p>
        </w:tc>
        <w:tc>
          <w:tcPr>
            <w:tcW w:w="4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4"/>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gridSpan w:val="4"/>
            <w:vMerge w:val="continue"/>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Debt facilities</w:t>
            </w:r>
            <w:r>
              <w:rPr>
                <w:rFonts w:ascii="Arial" w:cs="Arial" w:eastAsia="Arial" w:hAnsi="Arial"/>
                <w:sz w:val="15"/>
                <w:szCs w:val="15"/>
                <w:color w:val="auto"/>
              </w:rPr>
              <w:t>(a)</w:t>
            </w:r>
          </w:p>
        </w:tc>
        <w:tc>
          <w:tcPr>
            <w:tcW w:w="19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gridSpan w:val="3"/>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19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9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tcPr>
          <w:p>
            <w:pPr>
              <w:ind w:left="340"/>
              <w:spacing w:after="0"/>
              <w:rPr>
                <w:sz w:val="20"/>
                <w:szCs w:val="20"/>
                <w:color w:val="auto"/>
              </w:rPr>
            </w:pPr>
            <w:r>
              <w:rPr>
                <w:rFonts w:ascii="Arial" w:cs="Arial" w:eastAsia="Arial" w:hAnsi="Arial"/>
                <w:sz w:val="18"/>
                <w:szCs w:val="18"/>
                <w:color w:val="auto"/>
              </w:rPr>
              <w:t>Common stock:</w:t>
            </w:r>
          </w:p>
        </w:tc>
        <w:tc>
          <w:tcPr>
            <w:tcW w:w="19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Class A, par value $0.01 per share; actual: No shares authorized, issued and outstanding as of June 30, 2019; as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adjusted:</w:t>
            </w:r>
          </w:p>
        </w:tc>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authorized,</w:t>
            </w:r>
          </w:p>
        </w:tc>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15"/>
                <w:szCs w:val="15"/>
                <w:color w:val="auto"/>
              </w:rPr>
              <w:t>(b)</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2"/>
              </w:rPr>
              <w:t>Class B, par value $0.01 per share; actual: No shares authorized, issued and outstanding as of June 30, 2019; as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4"/>
          </w:tcPr>
          <w:p>
            <w:pPr>
              <w:ind w:left="520"/>
              <w:spacing w:after="0"/>
              <w:rPr>
                <w:sz w:val="20"/>
                <w:szCs w:val="20"/>
                <w:color w:val="auto"/>
              </w:rPr>
            </w:pPr>
            <w:r>
              <w:rPr>
                <w:rFonts w:ascii="Arial" w:cs="Arial" w:eastAsia="Arial" w:hAnsi="Arial"/>
                <w:sz w:val="18"/>
                <w:szCs w:val="18"/>
                <w:color w:val="auto"/>
              </w:rPr>
              <w:t>adjusted: one share authorized, issued and outstanding</w:t>
            </w:r>
            <w:r>
              <w:rPr>
                <w:rFonts w:ascii="Arial" w:cs="Arial" w:eastAsia="Arial" w:hAnsi="Arial"/>
                <w:sz w:val="15"/>
                <w:szCs w:val="15"/>
                <w:color w:val="auto"/>
              </w:rPr>
              <w:t>(b)</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Preferred stock, par value $0.01 per share;</w:t>
            </w:r>
          </w:p>
        </w:tc>
        <w:tc>
          <w:tcPr>
            <w:tcW w:w="49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4"/>
              </w:rPr>
              <w:t>shares authorized, no shares issued and outstanding actual</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as adjusted</w:t>
            </w:r>
          </w:p>
        </w:tc>
        <w:tc>
          <w:tcPr>
            <w:tcW w:w="1920" w:type="dxa"/>
            <w:vAlign w:val="bottom"/>
            <w:shd w:val="clear" w:color="auto" w:fill="CCEEFF"/>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4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Retained earnings</w:t>
            </w:r>
          </w:p>
        </w:tc>
        <w:tc>
          <w:tcPr>
            <w:tcW w:w="192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gridSpan w:val="3"/>
          </w:tcPr>
          <w:p>
            <w:pPr>
              <w:ind w:left="70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Total Capitalization</w:t>
            </w:r>
          </w:p>
        </w:tc>
        <w:tc>
          <w:tcPr>
            <w:tcW w:w="4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80" w:hanging="436"/>
        <w:spacing w:after="0" w:line="286"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320"/>
        <w:spacing w:after="0" w:line="286" w:lineRule="auto"/>
        <w:rPr>
          <w:sz w:val="20"/>
          <w:szCs w:val="20"/>
          <w:color w:val="auto"/>
        </w:rPr>
      </w:pPr>
      <w:r>
        <w:rPr>
          <w:rFonts w:ascii="Arial" w:cs="Arial" w:eastAsia="Arial" w:hAnsi="Arial"/>
          <w:sz w:val="17"/>
          <w:szCs w:val="17"/>
          <w:color w:val="auto"/>
        </w:rPr>
        <w:t>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of their obligations under the Post bridge loan. We will not receive any of the proceeds of the Post bridge loan.</w:t>
      </w:r>
    </w:p>
    <w:p>
      <w:pPr>
        <w:spacing w:after="0" w:line="71" w:lineRule="exact"/>
        <w:rPr>
          <w:sz w:val="20"/>
          <w:szCs w:val="20"/>
          <w:color w:val="auto"/>
        </w:rPr>
      </w:pPr>
    </w:p>
    <w:p>
      <w:pPr>
        <w:ind w:left="640" w:right="40"/>
        <w:spacing w:after="0" w:line="289"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debt facilities consisting of a $ million revolving credit facility and a $ million term loan facility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table above, we have assumed:</w:t>
      </w:r>
    </w:p>
    <w:p>
      <w:pPr>
        <w:spacing w:after="0" w:line="131" w:lineRule="exact"/>
        <w:rPr>
          <w:sz w:val="20"/>
          <w:szCs w:val="20"/>
          <w:color w:val="auto"/>
        </w:rPr>
      </w:pPr>
    </w:p>
    <w:p>
      <w:pPr>
        <w:ind w:left="1180" w:hanging="544"/>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there will be no borrowings under the revolving credit facility portion of the new debt facilities in connection with this offering; and</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the term loan portion of the new debt facilities concurrently with the completion of this offering will be</w:t>
      </w:r>
    </w:p>
    <w:p>
      <w:pPr>
        <w:spacing w:after="0" w:line="23" w:lineRule="exact"/>
        <w:rPr>
          <w:sz w:val="20"/>
          <w:szCs w:val="20"/>
          <w:color w:val="auto"/>
        </w:rPr>
      </w:pPr>
    </w:p>
    <w:p>
      <w:pPr>
        <w:ind w:left="1180"/>
        <w:spacing w:after="0"/>
        <w:tabs>
          <w:tab w:leader="none" w:pos="8100" w:val="left"/>
        </w:tabs>
        <w:rPr>
          <w:sz w:val="20"/>
          <w:szCs w:val="20"/>
          <w:color w:val="auto"/>
        </w:rPr>
      </w:pPr>
      <w:r>
        <w:rPr>
          <w:rFonts w:ascii="Arial" w:cs="Arial" w:eastAsia="Arial" w:hAnsi="Arial"/>
          <w:sz w:val="18"/>
          <w:szCs w:val="18"/>
          <w:color w:val="auto"/>
        </w:rPr>
        <w:t>incurred and that BellRing Brands, LLC will receive net proceeds from the borrowings of $</w:t>
      </w:r>
      <w:r>
        <w:rPr>
          <w:sz w:val="20"/>
          <w:szCs w:val="20"/>
          <w:color w:val="auto"/>
        </w:rPr>
        <w:tab/>
      </w:r>
      <w:r>
        <w:rPr>
          <w:rFonts w:ascii="Arial" w:cs="Arial" w:eastAsia="Arial" w:hAnsi="Arial"/>
          <w:sz w:val="16"/>
          <w:szCs w:val="16"/>
          <w:color w:val="auto"/>
        </w:rPr>
        <w:t>million, after deducting fees and expenses.</w:t>
      </w:r>
    </w:p>
    <w:p>
      <w:pPr>
        <w:ind w:left="640" w:hanging="436"/>
        <w:spacing w:after="0" w:line="184" w:lineRule="auto"/>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 part of the formation transactions, BellRing Brands, Inc. will issue to Post (in exchange for the 1,000 shares of common stock initially issued to</w:t>
      </w:r>
    </w:p>
    <w:p>
      <w:pPr>
        <w:spacing w:after="0" w:line="200"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Post in connection with its incorporation, which shares will be cancelled as part of the exchange, together with $ ), one share of its Class B common stock.</w:t>
      </w:r>
    </w:p>
    <w:p>
      <w:pPr>
        <w:sectPr>
          <w:pgSz w:w="11900" w:h="16838" w:orient="portrait"/>
          <w:cols w:equalWidth="0" w:num="1">
            <w:col w:w="11220"/>
          </w:cols>
          <w:pgMar w:left="240" w:top="459" w:right="439" w:bottom="1440" w:gutter="0" w:footer="0" w:header="0"/>
        </w:sectPr>
      </w:pPr>
    </w:p>
    <w:p>
      <w:pPr>
        <w:spacing w:after="0" w:line="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this offering, BellRing Brands, Inc. expects to issue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shares of its Class A common stock (or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if the underwriters</w:t>
      </w:r>
    </w:p>
    <w:p>
      <w:pPr>
        <w:spacing w:after="0" w:line="46" w:lineRule="exact"/>
        <w:rPr>
          <w:sz w:val="20"/>
          <w:szCs w:val="20"/>
          <w:color w:val="auto"/>
        </w:rPr>
      </w:pPr>
    </w:p>
    <w:p>
      <w:pPr>
        <w:sectPr>
          <w:pgSz w:w="11900" w:h="16838" w:orient="portrait"/>
          <w:cols w:equalWidth="0" w:num="3">
            <w:col w:w="4640" w:space="720"/>
            <w:col w:w="2900" w:space="720"/>
            <w:col w:w="2240"/>
          </w:cols>
          <w:pgMar w:left="240" w:top="459" w:right="43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exercise their over-allotment option in full).</w:t>
      </w:r>
    </w:p>
    <w:p>
      <w:pPr>
        <w:spacing w:after="0" w:line="116" w:lineRule="exact"/>
        <w:rPr>
          <w:sz w:val="20"/>
          <w:szCs w:val="20"/>
          <w:color w:val="auto"/>
        </w:rPr>
      </w:pPr>
    </w:p>
    <w:p>
      <w:pPr>
        <w:ind w:left="640" w:right="80" w:hanging="439"/>
        <w:spacing w:after="0" w:line="291" w:lineRule="auto"/>
        <w:tabs>
          <w:tab w:leader="none" w:pos="620" w:val="left"/>
        </w:tabs>
        <w:rPr>
          <w:sz w:val="20"/>
          <w:szCs w:val="20"/>
          <w:color w:val="auto"/>
        </w:rPr>
      </w:pPr>
      <w:r>
        <w:rPr>
          <w:rFonts w:ascii="Arial" w:cs="Arial" w:eastAsia="Arial" w:hAnsi="Arial"/>
          <w:sz w:val="16"/>
          <w:szCs w:val="16"/>
          <w:color w:val="auto"/>
        </w:rPr>
        <w:t>(c)</w:t>
        <w:tab/>
        <w:t>BellRing Brands, Inc. expects to receive net proceeds from this offering of approximately $ million (or approximately $ million if the underwriters exercise their over-allotment option in full), assuming the shares are offered at $ per share (the midpoint of the price range listed</w:t>
      </w:r>
    </w:p>
    <w:p>
      <w:pPr>
        <w:sectPr>
          <w:pgSz w:w="11900" w:h="16838" w:orient="portrait"/>
          <w:cols w:equalWidth="0" w:num="1">
            <w:col w:w="11220"/>
          </w:cols>
          <w:pgMar w:left="240" w:top="459" w:right="439" w:bottom="1440" w:gutter="0" w:footer="0" w:header="0"/>
          <w:type w:val="continuous"/>
        </w:sectPr>
      </w:pPr>
    </w:p>
    <w:p>
      <w:pPr>
        <w:jc w:val="both"/>
        <w:ind w:left="640" w:right="280"/>
        <w:spacing w:after="0" w:line="273" w:lineRule="auto"/>
        <w:rPr>
          <w:sz w:val="20"/>
          <w:szCs w:val="20"/>
          <w:color w:val="auto"/>
        </w:rPr>
      </w:pPr>
      <w:r>
        <w:rPr>
          <w:rFonts w:ascii="Arial" w:cs="Arial" w:eastAsia="Arial" w:hAnsi="Arial"/>
          <w:sz w:val="17"/>
          <w:szCs w:val="17"/>
          <w:color w:val="auto"/>
        </w:rPr>
        <w:t>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Because Post will not own any Class A common stock after this offering, we have presented dilution in pro forma net tangible book value per share both before and after this offering assuming that Post has all of its BellRing Brands, LLC Units redeemed for newly issued shares of Class A common stock on a one-to-one basis (rather than for cash) and the cancellation for no consideration of all of its share of Class B common stock (which is not entitled to receive distributions or dividends, whether cash or stock, from BellRing Brands, Inc.) in order to more meaningfully present the potential dilutive impact on the investors in this offering. We refer to the assumed redemption of all BellRing Brands, LLC Units for shares of Class A common stock as described in the previous sentence as the “assumed redemption.”</w:t>
      </w:r>
    </w:p>
    <w:p>
      <w:pPr>
        <w:spacing w:after="0" w:line="178"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after this offering.</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Pro forma net tangible book value per share of Class A common stock of BellRing Brands, Inc. is determined by dividing our total tangible assets less our total liabilities by the number of shares of our Class A common stock outstanding. As of June 30, 2019, after giving effect to the formation transactions (including the assumption by BellRing Brands, LLC of the Post bridge loan) and the assumed redemption, but not this offering or the use of the proceeds of this offering and the expected borrowing under the debt facilities to repay the Post bridge loan in full as described under “Use of</w:t>
      </w:r>
    </w:p>
    <w:p>
      <w:pPr>
        <w:spacing w:after="0" w:line="2" w:lineRule="exact"/>
        <w:rPr>
          <w:sz w:val="20"/>
          <w:szCs w:val="20"/>
          <w:color w:val="auto"/>
        </w:rPr>
      </w:pPr>
    </w:p>
    <w:p>
      <w:pPr>
        <w:ind w:left="200"/>
        <w:spacing w:after="0"/>
        <w:tabs>
          <w:tab w:leader="none" w:pos="5220" w:val="left"/>
          <w:tab w:leader="none" w:pos="6520" w:val="left"/>
        </w:tabs>
        <w:rPr>
          <w:sz w:val="20"/>
          <w:szCs w:val="20"/>
          <w:color w:val="auto"/>
        </w:rPr>
      </w:pPr>
      <w:r>
        <w:rPr>
          <w:rFonts w:ascii="Arial" w:cs="Arial" w:eastAsia="Arial" w:hAnsi="Arial"/>
          <w:sz w:val="18"/>
          <w:szCs w:val="18"/>
          <w:color w:val="auto"/>
        </w:rPr>
        <w:t>Proceeds,” we had a pro forma net tangible book value of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of Class A common stock.</w:t>
      </w:r>
    </w:p>
    <w:p>
      <w:pPr>
        <w:sectPr>
          <w:pgSz w:w="11900" w:h="16838" w:orient="portrait"/>
          <w:cols w:equalWidth="0" w:num="1">
            <w:col w:w="11240"/>
          </w:cols>
          <w:pgMar w:left="240" w:top="459" w:right="419" w:bottom="1440" w:gutter="0" w:footer="0" w:header="0"/>
        </w:sectPr>
      </w:pPr>
    </w:p>
    <w:p>
      <w:pPr>
        <w:spacing w:after="0" w:line="211" w:lineRule="exact"/>
        <w:rPr>
          <w:sz w:val="20"/>
          <w:szCs w:val="20"/>
          <w:color w:val="auto"/>
        </w:rPr>
      </w:pPr>
    </w:p>
    <w:p>
      <w:pPr>
        <w:ind w:left="200" w:right="340" w:firstLine="441"/>
        <w:spacing w:after="0" w:line="274" w:lineRule="auto"/>
        <w:rPr>
          <w:sz w:val="20"/>
          <w:szCs w:val="20"/>
          <w:color w:val="auto"/>
        </w:rPr>
      </w:pPr>
      <w:r>
        <w:rPr>
          <w:rFonts w:ascii="Arial" w:cs="Arial" w:eastAsia="Arial" w:hAnsi="Arial"/>
          <w:sz w:val="17"/>
          <w:szCs w:val="17"/>
          <w:color w:val="auto"/>
        </w:rPr>
        <w:t>After giving further effect to receipt of the net proceeds from our issuance and the sale of shares of Class A common stock in this offering at an assumed initial public offering price of $ per share of Class A common stock, which is the midpoint of the estimated offering</w:t>
      </w:r>
    </w:p>
    <w:p>
      <w:pPr>
        <w:sectPr>
          <w:pgSz w:w="11900" w:h="16838" w:orient="portrait"/>
          <w:cols w:equalWidth="0" w:num="1">
            <w:col w:w="11240"/>
          </w:cols>
          <w:pgMar w:left="240" w:top="459" w:right="419" w:bottom="1440" w:gutter="0" w:footer="0" w:header="0"/>
          <w:type w:val="continuous"/>
        </w:sectPr>
      </w:pPr>
    </w:p>
    <w:p>
      <w:pPr>
        <w:ind w:left="200" w:right="140"/>
        <w:spacing w:after="0" w:line="281" w:lineRule="auto"/>
        <w:rPr>
          <w:sz w:val="20"/>
          <w:szCs w:val="20"/>
          <w:color w:val="auto"/>
        </w:rPr>
      </w:pPr>
      <w:r>
        <w:rPr>
          <w:rFonts w:ascii="Arial" w:cs="Arial" w:eastAsia="Arial" w:hAnsi="Arial"/>
          <w:sz w:val="16"/>
          <w:szCs w:val="16"/>
          <w:color w:val="auto"/>
        </w:rPr>
        <w:t>price range set forth on the cover page of this prospectus, and after deducting the estimated underwriting discounts and commissions and offering expenses payable by us and the use of the proceeds of this offering and the expected borrowing under the debt facilities to repay the Post bridge loan in</w:t>
      </w:r>
    </w:p>
    <w:p>
      <w:pPr>
        <w:sectPr>
          <w:pgSz w:w="11900" w:h="16838" w:orient="portrait"/>
          <w:cols w:equalWidth="0" w:num="1">
            <w:col w:w="11240"/>
          </w:cols>
          <w:pgMar w:left="240" w:top="459" w:right="419" w:bottom="1440" w:gutter="0" w:footer="0" w:header="0"/>
          <w:type w:val="continuous"/>
        </w:sectPr>
      </w:pPr>
    </w:p>
    <w:p>
      <w:pPr>
        <w:spacing w:after="0" w:line="1" w:lineRule="exact"/>
        <w:rPr>
          <w:sz w:val="20"/>
          <w:szCs w:val="20"/>
          <w:color w:val="auto"/>
        </w:rPr>
      </w:pPr>
    </w:p>
    <w:p>
      <w:pPr>
        <w:ind w:left="200"/>
        <w:spacing w:after="0" w:line="337" w:lineRule="auto"/>
        <w:rPr>
          <w:sz w:val="20"/>
          <w:szCs w:val="20"/>
          <w:color w:val="auto"/>
        </w:rPr>
      </w:pPr>
      <w:r>
        <w:rPr>
          <w:rFonts w:ascii="Arial" w:cs="Arial" w:eastAsia="Arial" w:hAnsi="Arial"/>
          <w:sz w:val="18"/>
          <w:szCs w:val="18"/>
          <w:color w:val="auto"/>
        </w:rPr>
        <w:t>full as described under “Use of Proceeds,” our pro forma as adjusted net tangible book value as of June 30, 2019 would have been approximately $ million, or approximately $ per share. This amount represents an immediate increase in pro forma net tangible book value of $ share to our existing stockholder and an immediate dilution of approximately $ per share to new investors participating in this offering. We investor paid for a share of Class A common stock.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per</w:t>
      </w:r>
    </w:p>
    <w:p>
      <w:pPr>
        <w:spacing w:after="0" w:line="908" w:lineRule="exact"/>
        <w:rPr>
          <w:sz w:val="20"/>
          <w:szCs w:val="20"/>
          <w:color w:val="auto"/>
        </w:rPr>
      </w:pPr>
    </w:p>
    <w:p>
      <w:pPr>
        <w:sectPr>
          <w:pgSz w:w="11900" w:h="16838" w:orient="portrait"/>
          <w:cols w:equalWidth="0" w:num="2">
            <w:col w:w="10660" w:space="280"/>
            <w:col w:w="300"/>
          </w:cols>
          <w:pgMar w:left="240" w:top="459" w:right="419" w:bottom="1440" w:gutter="0" w:footer="0" w:header="0"/>
          <w:type w:val="continuous"/>
        </w:sect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9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ind w:left="340"/>
              <w:spacing w:after="0" w:line="201" w:lineRule="exact"/>
              <w:rPr>
                <w:sz w:val="20"/>
                <w:szCs w:val="20"/>
                <w:color w:val="auto"/>
              </w:rPr>
            </w:pPr>
            <w:r>
              <w:rPr>
                <w:rFonts w:ascii="Arial" w:cs="Arial" w:eastAsia="Arial" w:hAnsi="Arial"/>
                <w:sz w:val="18"/>
                <w:szCs w:val="18"/>
                <w:color w:val="auto"/>
                <w:w w:val="92"/>
              </w:rPr>
              <w:t>Pro forma net tangible book value per share as of June 30, 2019, giving effect to the formation transactions (including</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w w:val="92"/>
              </w:rPr>
              <w:t>the assumption by BellRing Brands, LLC of the Post bridge loan) and the assumed redemption, but not this offering</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w w:val="95"/>
              </w:rPr>
              <w:t>or the use of the proceeds of this offering and the expected borrowing under the debt facilities to repay the Post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rPr>
              <w:t>bridge loan in full as described under “Use of Proceeds”</w:t>
            </w: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60" w:type="dxa"/>
            <w:vAlign w:val="bottom"/>
            <w:gridSpan w:val="2"/>
          </w:tcPr>
          <w:p>
            <w:pPr>
              <w:spacing w:after="0"/>
              <w:rPr>
                <w:sz w:val="20"/>
                <w:szCs w:val="20"/>
                <w:color w:val="auto"/>
              </w:rPr>
            </w:pPr>
            <w:r>
              <w:rPr>
                <w:rFonts w:ascii="Arial" w:cs="Arial" w:eastAsia="Arial" w:hAnsi="Arial"/>
                <w:sz w:val="18"/>
                <w:szCs w:val="18"/>
                <w:color w:val="auto"/>
                <w:w w:val="92"/>
              </w:rPr>
              <w:t>Pro forma as adjusted net tangible book value per share of Class A common stock upon completion of this offering and the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w w:val="93"/>
              </w:rPr>
              <w:t>use of the proceeds of this offering and the expected borrowing under the debt facilities to repay the Post bridge loan in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Arial" w:cs="Arial" w:eastAsia="Arial" w:hAnsi="Arial"/>
                <w:sz w:val="18"/>
                <w:szCs w:val="18"/>
                <w:color w:val="auto"/>
              </w:rPr>
              <w:t>full as described under “Use of Proceeds”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from this offering</w:t>
            </w:r>
          </w:p>
        </w:tc>
        <w:tc>
          <w:tcPr>
            <w:tcW w:w="19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jc w:val="right"/>
              <w:ind w:right="337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70" w:name="page71"/>
    <w:bookmarkEnd w:id="7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519"/>
        </w:trPr>
        <w:tc>
          <w:tcPr>
            <w:tcW w:w="5380" w:type="dxa"/>
            <w:vAlign w:val="bottom"/>
            <w:gridSpan w:val="2"/>
          </w:tcPr>
          <w:p>
            <w:pPr>
              <w:ind w:left="640"/>
              <w:spacing w:after="0"/>
              <w:rPr>
                <w:sz w:val="20"/>
                <w:szCs w:val="20"/>
                <w:color w:val="auto"/>
              </w:rPr>
            </w:pPr>
            <w:r>
              <w:rPr>
                <w:rFonts w:ascii="Arial" w:cs="Arial" w:eastAsia="Arial" w:hAnsi="Arial"/>
                <w:sz w:val="18"/>
                <w:szCs w:val="18"/>
                <w:color w:val="auto"/>
              </w:rPr>
              <w:t>The above discussion and table exclude an aggregate of</w:t>
            </w:r>
          </w:p>
        </w:tc>
        <w:tc>
          <w:tcPr>
            <w:tcW w:w="5720" w:type="dxa"/>
            <w:vAlign w:val="bottom"/>
            <w:gridSpan w:val="3"/>
          </w:tcPr>
          <w:p>
            <w:pPr>
              <w:ind w:left="80"/>
              <w:spacing w:after="0"/>
              <w:rPr>
                <w:sz w:val="20"/>
                <w:szCs w:val="20"/>
                <w:color w:val="auto"/>
              </w:rPr>
            </w:pPr>
            <w:r>
              <w:rPr>
                <w:rFonts w:ascii="Arial" w:cs="Arial" w:eastAsia="Arial" w:hAnsi="Arial"/>
                <w:sz w:val="18"/>
                <w:szCs w:val="18"/>
                <w:color w:val="auto"/>
                <w:w w:val="95"/>
              </w:rPr>
              <w:t>additional shares of our Class A common stock reserved for future awards</w:t>
            </w:r>
          </w:p>
        </w:tc>
      </w:tr>
      <w:tr>
        <w:trPr>
          <w:trHeight w:val="230"/>
        </w:trPr>
        <w:tc>
          <w:tcPr>
            <w:tcW w:w="5380" w:type="dxa"/>
            <w:vAlign w:val="bottom"/>
            <w:gridSpan w:val="2"/>
          </w:tcPr>
          <w:p>
            <w:pPr>
              <w:ind w:left="200"/>
              <w:spacing w:after="0"/>
              <w:rPr>
                <w:sz w:val="20"/>
                <w:szCs w:val="20"/>
                <w:color w:val="auto"/>
              </w:rPr>
            </w:pPr>
            <w:r>
              <w:rPr>
                <w:rFonts w:ascii="Arial" w:cs="Arial" w:eastAsia="Arial" w:hAnsi="Arial"/>
                <w:sz w:val="18"/>
                <w:szCs w:val="18"/>
                <w:color w:val="auto"/>
                <w:w w:val="93"/>
              </w:rPr>
              <w:t>pursuant to the BellRing Brands, Inc. 2019 Long-Term Incentive Plan.</w:t>
            </w:r>
          </w:p>
        </w:tc>
        <w:tc>
          <w:tcPr>
            <w:tcW w:w="8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8"/>
        </w:trPr>
        <w:tc>
          <w:tcPr>
            <w:tcW w:w="6220" w:type="dxa"/>
            <w:vAlign w:val="bottom"/>
            <w:gridSpan w:val="3"/>
          </w:tcPr>
          <w:p>
            <w:pPr>
              <w:ind w:left="640"/>
              <w:spacing w:after="0"/>
              <w:rPr>
                <w:sz w:val="20"/>
                <w:szCs w:val="20"/>
                <w:color w:val="auto"/>
              </w:rPr>
            </w:pPr>
            <w:r>
              <w:rPr>
                <w:rFonts w:ascii="Arial" w:cs="Arial" w:eastAsia="Arial" w:hAnsi="Arial"/>
                <w:sz w:val="18"/>
                <w:szCs w:val="18"/>
                <w:color w:val="auto"/>
                <w:w w:val="92"/>
              </w:rPr>
              <w:t>A $1.00 increase or decrease in the assumed initial public offering price of $</w:t>
            </w:r>
          </w:p>
        </w:tc>
        <w:tc>
          <w:tcPr>
            <w:tcW w:w="4880" w:type="dxa"/>
            <w:vAlign w:val="bottom"/>
            <w:gridSpan w:val="2"/>
          </w:tcPr>
          <w:p>
            <w:pPr>
              <w:ind w:left="280"/>
              <w:spacing w:after="0"/>
              <w:rPr>
                <w:sz w:val="20"/>
                <w:szCs w:val="20"/>
                <w:color w:val="auto"/>
              </w:rPr>
            </w:pPr>
            <w:r>
              <w:rPr>
                <w:rFonts w:ascii="Arial" w:cs="Arial" w:eastAsia="Arial" w:hAnsi="Arial"/>
                <w:sz w:val="18"/>
                <w:szCs w:val="18"/>
                <w:color w:val="auto"/>
                <w:w w:val="90"/>
              </w:rPr>
              <w:t>per share (the midpoint of the estimated offering price range set</w:t>
            </w:r>
          </w:p>
        </w:tc>
      </w:tr>
      <w:tr>
        <w:trPr>
          <w:trHeight w:val="216"/>
        </w:trPr>
        <w:tc>
          <w:tcPr>
            <w:tcW w:w="10620" w:type="dxa"/>
            <w:vAlign w:val="bottom"/>
            <w:gridSpan w:val="4"/>
          </w:tcPr>
          <w:p>
            <w:pPr>
              <w:ind w:left="200"/>
              <w:spacing w:after="0"/>
              <w:rPr>
                <w:sz w:val="20"/>
                <w:szCs w:val="20"/>
                <w:color w:val="auto"/>
              </w:rPr>
            </w:pPr>
            <w:r>
              <w:rPr>
                <w:rFonts w:ascii="Arial" w:cs="Arial" w:eastAsia="Arial" w:hAnsi="Arial"/>
                <w:sz w:val="18"/>
                <w:szCs w:val="18"/>
                <w:color w:val="auto"/>
                <w:w w:val="91"/>
              </w:rPr>
              <w:t>forth on the cover page of this prospectus) would increase or decrease the as adjusted net tangible book value per share after this offering by $</w:t>
            </w:r>
          </w:p>
        </w:tc>
        <w:tc>
          <w:tcPr>
            <w:tcW w:w="480" w:type="dxa"/>
            <w:vAlign w:val="bottom"/>
          </w:tcPr>
          <w:p>
            <w:pPr>
              <w:ind w:left="180"/>
              <w:spacing w:after="0"/>
              <w:rPr>
                <w:sz w:val="20"/>
                <w:szCs w:val="20"/>
                <w:color w:val="auto"/>
              </w:rPr>
            </w:pPr>
            <w:r>
              <w:rPr>
                <w:rFonts w:ascii="Arial" w:cs="Arial" w:eastAsia="Arial" w:hAnsi="Arial"/>
                <w:sz w:val="18"/>
                <w:szCs w:val="18"/>
                <w:color w:val="auto"/>
              </w:rPr>
              <w:t>per</w:t>
            </w:r>
          </w:p>
        </w:tc>
      </w:tr>
      <w:tr>
        <w:trPr>
          <w:trHeight w:val="230"/>
        </w:trPr>
        <w:tc>
          <w:tcPr>
            <w:tcW w:w="6220" w:type="dxa"/>
            <w:vAlign w:val="bottom"/>
            <w:gridSpan w:val="3"/>
          </w:tcPr>
          <w:p>
            <w:pPr>
              <w:ind w:left="200"/>
              <w:spacing w:after="0"/>
              <w:rPr>
                <w:sz w:val="20"/>
                <w:szCs w:val="20"/>
                <w:color w:val="auto"/>
              </w:rPr>
            </w:pPr>
            <w:r>
              <w:rPr>
                <w:rFonts w:ascii="Arial" w:cs="Arial" w:eastAsia="Arial" w:hAnsi="Arial"/>
                <w:sz w:val="18"/>
                <w:szCs w:val="18"/>
                <w:color w:val="auto"/>
                <w:w w:val="94"/>
              </w:rPr>
              <w:t>share and increase or decrease the dilution to new investors in this offering by $</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w w:val="89"/>
              </w:rPr>
              <w:t>per share, in each case assuming the number of shares of Class A</w:t>
            </w:r>
          </w:p>
        </w:tc>
      </w:tr>
    </w:tbl>
    <w:p>
      <w:pPr>
        <w:ind w:left="200"/>
        <w:spacing w:after="0" w:line="421" w:lineRule="auto"/>
        <w:rPr>
          <w:sz w:val="20"/>
          <w:szCs w:val="20"/>
          <w:color w:val="auto"/>
        </w:rPr>
      </w:pPr>
      <w:r>
        <w:rPr>
          <w:rFonts w:ascii="Arial" w:cs="Arial" w:eastAsia="Arial" w:hAnsi="Arial"/>
          <w:sz w:val="16"/>
          <w:szCs w:val="16"/>
          <w:color w:val="auto"/>
        </w:rPr>
        <w:t>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 full, the as adjusted net tangible book value per share of our common stock would be $ per share, and the dilution in net tangible book value per share to investors in this offering would be $ per share of Class A common stock.</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240" w:top="446" w:right="5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September 30, 2018 and 2017 and for each of the fiscal years in the three-year period ended September 30, 2018 and as of June 30, 2019 and for the nine months ended June 30, 2019 and 2018.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nine months ended June 30, 2019 and 2018 and (iv) “Management’s Discussion and Analysis of Financial Condition and Results of Operations,” each of which is contained elsewhere in this prospectus.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selected historical condensed combined financial data as of September 30, 2018 and 2017 and as of each of the fiscal years in the three-year period ended September 30, 2018 have been derived from the audited combined financial statements of Post’s Active Nutrition business. The selected unaudited historical condensed combined financial data as of and for the nine months ended June 30, 2019 and 2018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93"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Active Nutrition</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6"/>
          </w:tcPr>
          <w:p>
            <w:pPr>
              <w:jc w:val="right"/>
              <w:ind w:right="158"/>
              <w:spacing w:after="0" w:line="119" w:lineRule="exact"/>
              <w:rPr>
                <w:sz w:val="20"/>
                <w:szCs w:val="20"/>
                <w:color w:val="auto"/>
              </w:rPr>
            </w:pPr>
            <w:r>
              <w:rPr>
                <w:rFonts w:ascii="Arial" w:cs="Arial" w:eastAsia="Arial" w:hAnsi="Arial"/>
                <w:sz w:val="13"/>
                <w:szCs w:val="13"/>
                <w:b w:val="1"/>
                <w:bCs w:val="1"/>
                <w:color w:val="auto"/>
              </w:rPr>
              <w:t>Nine Months Ended</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sales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639.9</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607.6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22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1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left="32"/>
              <w:spacing w:after="0"/>
              <w:rPr>
                <w:sz w:val="20"/>
                <w:szCs w:val="20"/>
                <w:color w:val="auto"/>
              </w:rPr>
            </w:pPr>
            <w:r>
              <w:rPr>
                <w:rFonts w:ascii="Arial" w:cs="Arial" w:eastAsia="Arial" w:hAnsi="Arial"/>
                <w:sz w:val="14"/>
                <w:szCs w:val="14"/>
                <w:b w:val="1"/>
                <w:bCs w:val="1"/>
                <w:color w:val="auto"/>
                <w:w w:val="95"/>
              </w:rPr>
              <w:t>Active Nutrition</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3"/>
            <w:vMerge w:val="restart"/>
          </w:tcPr>
          <w:p>
            <w:pPr>
              <w:jc w:val="center"/>
              <w:ind w:left="253"/>
              <w:spacing w:after="0" w:line="14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6"/>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3"/>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tcPr>
          <w:p>
            <w:pPr>
              <w:jc w:val="center"/>
              <w:ind w:left="133"/>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597.6</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491.0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QUARTERLY FINANCIAL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Active Nutrition</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Fiscal 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Fiscal 2018</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80" w:type="dxa"/>
            <w:vAlign w:val="bottom"/>
          </w:tcPr>
          <w:p>
            <w:pPr>
              <w:spacing w:after="0"/>
              <w:rPr>
                <w:sz w:val="10"/>
                <w:szCs w:val="10"/>
                <w:color w:val="auto"/>
              </w:rPr>
            </w:pPr>
          </w:p>
        </w:tc>
        <w:tc>
          <w:tcPr>
            <w:tcW w:w="6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3"/>
              </w:rPr>
              <w:t>Second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0"/>
                <w:szCs w:val="10"/>
                <w:color w:val="auto"/>
              </w:rPr>
            </w:pPr>
          </w:p>
        </w:tc>
        <w:tc>
          <w:tcPr>
            <w:tcW w:w="7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Fourth</w:t>
            </w:r>
          </w:p>
        </w:tc>
        <w:tc>
          <w:tcPr>
            <w:tcW w:w="2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Third</w:t>
            </w:r>
          </w:p>
        </w:tc>
        <w:tc>
          <w:tcPr>
            <w:tcW w:w="260" w:type="dxa"/>
            <w:vAlign w:val="bottom"/>
          </w:tcPr>
          <w:p>
            <w:pPr>
              <w:spacing w:after="0"/>
              <w:rPr>
                <w:sz w:val="10"/>
                <w:szCs w:val="10"/>
                <w:color w:val="auto"/>
              </w:rPr>
            </w:pPr>
          </w:p>
        </w:tc>
        <w:tc>
          <w:tcPr>
            <w:tcW w:w="5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Second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ind w:right="31"/>
              <w:spacing w:after="0" w:line="119" w:lineRule="exact"/>
              <w:rPr>
                <w:sz w:val="20"/>
                <w:szCs w:val="20"/>
                <w:color w:val="auto"/>
              </w:rPr>
            </w:pPr>
            <w:r>
              <w:rPr>
                <w:rFonts w:ascii="Arial" w:cs="Arial" w:eastAsia="Arial" w:hAnsi="Arial"/>
                <w:sz w:val="13"/>
                <w:szCs w:val="13"/>
                <w:b w:val="1"/>
                <w:bCs w:val="1"/>
                <w:color w:val="auto"/>
                <w:w w:val="99"/>
              </w:rPr>
              <w:t>First</w:t>
            </w:r>
          </w:p>
        </w:tc>
        <w:tc>
          <w:tcPr>
            <w:tcW w:w="120" w:type="dxa"/>
            <w:vAlign w:val="bottom"/>
          </w:tcPr>
          <w:p>
            <w:pPr>
              <w:spacing w:after="0"/>
              <w:rPr>
                <w:sz w:val="10"/>
                <w:szCs w:val="10"/>
                <w:color w:val="auto"/>
              </w:rPr>
            </w:pPr>
          </w:p>
        </w:tc>
      </w:tr>
      <w:tr>
        <w:trPr>
          <w:trHeight w:val="171"/>
        </w:trPr>
        <w:tc>
          <w:tcPr>
            <w:tcW w:w="4460" w:type="dxa"/>
            <w:vAlign w:val="bottom"/>
            <w:gridSpan w:val="3"/>
          </w:tcPr>
          <w:p>
            <w:pPr>
              <w:spacing w:after="0"/>
              <w:rPr>
                <w:sz w:val="20"/>
                <w:szCs w:val="20"/>
                <w:color w:val="auto"/>
              </w:rPr>
            </w:pPr>
            <w:r>
              <w:rPr>
                <w:rFonts w:ascii="Arial" w:cs="Arial" w:eastAsia="Arial" w:hAnsi="Arial"/>
                <w:sz w:val="14"/>
                <w:szCs w:val="14"/>
                <w:i w:val="1"/>
                <w:iCs w:val="1"/>
                <w:color w:val="auto"/>
              </w:rPr>
              <w:t>($ in millions)</w:t>
            </w:r>
          </w:p>
        </w:tc>
        <w:tc>
          <w:tcPr>
            <w:tcW w:w="1760" w:type="dxa"/>
            <w:vAlign w:val="bottom"/>
            <w:gridSpan w:val="3"/>
          </w:tcPr>
          <w:p>
            <w:pPr>
              <w:ind w:left="1240"/>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4"/>
          </w:tcPr>
          <w:p>
            <w:pPr>
              <w:jc w:val="center"/>
              <w:ind w:left="19"/>
              <w:spacing w:after="0"/>
              <w:rPr>
                <w:sz w:val="20"/>
                <w:szCs w:val="20"/>
                <w:color w:val="auto"/>
              </w:rPr>
            </w:pPr>
            <w:r>
              <w:rPr>
                <w:rFonts w:ascii="Arial" w:cs="Arial" w:eastAsia="Arial" w:hAnsi="Arial"/>
                <w:sz w:val="14"/>
                <w:szCs w:val="14"/>
                <w:b w:val="1"/>
                <w:bCs w:val="1"/>
                <w:color w:val="auto"/>
                <w:w w:val="98"/>
              </w:rPr>
              <w:t>Quarter</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Quarter</w:t>
            </w:r>
          </w:p>
        </w:tc>
        <w:tc>
          <w:tcPr>
            <w:tcW w:w="780" w:type="dxa"/>
            <w:vAlign w:val="bottom"/>
            <w:gridSpan w:val="3"/>
          </w:tcPr>
          <w:p>
            <w:pPr>
              <w:ind w:left="260"/>
              <w:spacing w:after="0"/>
              <w:rPr>
                <w:sz w:val="20"/>
                <w:szCs w:val="20"/>
                <w:color w:val="auto"/>
              </w:rPr>
            </w:pPr>
            <w:r>
              <w:rPr>
                <w:rFonts w:ascii="Arial" w:cs="Arial" w:eastAsia="Arial" w:hAnsi="Arial"/>
                <w:sz w:val="14"/>
                <w:szCs w:val="14"/>
                <w:b w:val="1"/>
                <w:bCs w:val="1"/>
                <w:color w:val="auto"/>
                <w:w w:val="98"/>
              </w:rPr>
              <w:t>Quarter</w:t>
            </w:r>
          </w:p>
        </w:tc>
        <w:tc>
          <w:tcPr>
            <w:tcW w:w="900" w:type="dxa"/>
            <w:vAlign w:val="bottom"/>
            <w:gridSpan w:val="4"/>
          </w:tcPr>
          <w:p>
            <w:pPr>
              <w:ind w:left="260"/>
              <w:spacing w:after="0"/>
              <w:rPr>
                <w:sz w:val="20"/>
                <w:szCs w:val="20"/>
                <w:color w:val="auto"/>
              </w:rPr>
            </w:pPr>
            <w:r>
              <w:rPr>
                <w:rFonts w:ascii="Arial" w:cs="Arial" w:eastAsia="Arial" w:hAnsi="Arial"/>
                <w:sz w:val="14"/>
                <w:szCs w:val="14"/>
                <w:b w:val="1"/>
                <w:bCs w:val="1"/>
                <w:color w:val="auto"/>
              </w:rPr>
              <w:t>Quarter</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237.6</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216.4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186.0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147.1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120.2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140.8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color w:val="auto"/>
              </w:rPr>
              <w:t>Earnings before income taxes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Net Earnings</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Non-cash stock-based 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costs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Provision for legal settlement</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(1)</w:t>
            </w: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620" w:right="960" w:hanging="5416"/>
        <w:spacing w:after="0" w:line="44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the definition and explanation of usefulness of Adjusted EBITDA. 66</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1" w:lineRule="exact"/>
        <w:rPr>
          <w:sz w:val="20"/>
          <w:szCs w:val="20"/>
          <w:color w:val="auto"/>
        </w:rPr>
      </w:pPr>
    </w:p>
    <w:p>
      <w:pPr>
        <w:ind w:left="1060" w:right="80" w:hanging="333"/>
        <w:spacing w:after="0" w:line="31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2" w:lineRule="exact"/>
        <w:rPr>
          <w:rFonts w:ascii="Arial" w:cs="Arial" w:eastAsia="Arial" w:hAnsi="Arial"/>
          <w:sz w:val="16"/>
          <w:szCs w:val="16"/>
          <w:color w:val="auto"/>
        </w:rPr>
      </w:pPr>
    </w:p>
    <w:p>
      <w:pPr>
        <w:ind w:left="1060" w:right="60" w:hanging="343"/>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Restructuring and plant closure costs</w:t>
      </w:r>
      <w:r>
        <w:rPr>
          <w:rFonts w:ascii="Arial" w:cs="Arial" w:eastAsia="Arial" w:hAnsi="Arial"/>
          <w:sz w:val="18"/>
          <w:szCs w:val="18"/>
          <w:color w:val="auto"/>
        </w:rPr>
        <w:t>: We have excluded certain costs associated with facility closures as the amount and frequency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hanging="333"/>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1060" w:right="20" w:hanging="343"/>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6" w:lineRule="exact"/>
        <w:rPr>
          <w:rFonts w:ascii="Arial" w:cs="Arial" w:eastAsia="Arial" w:hAnsi="Arial"/>
          <w:sz w:val="18"/>
          <w:szCs w:val="18"/>
          <w:color w:val="auto"/>
        </w:rPr>
      </w:pPr>
    </w:p>
    <w:p>
      <w:pPr>
        <w:ind w:left="1060" w:right="160" w:hanging="333"/>
        <w:spacing w:after="0" w:line="30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59" w:lineRule="exact"/>
        <w:rPr>
          <w:rFonts w:ascii="Arial" w:cs="Arial" w:eastAsia="Arial" w:hAnsi="Arial"/>
          <w:sz w:val="16"/>
          <w:szCs w:val="16"/>
          <w:color w:val="auto"/>
        </w:rPr>
      </w:pPr>
    </w:p>
    <w:p>
      <w:pPr>
        <w:ind w:left="1060" w:right="560" w:hanging="313"/>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tables below, as we believe that our GAAP effective income tax rate as reported is not representative of the income tax expense impact of the adjustments.</w:t>
      </w:r>
    </w:p>
    <w:p>
      <w:pPr>
        <w:spacing w:after="0" w:line="86" w:lineRule="exact"/>
        <w:rPr>
          <w:rFonts w:ascii="Arial" w:cs="Arial" w:eastAsia="Arial" w:hAnsi="Arial"/>
          <w:sz w:val="18"/>
          <w:szCs w:val="18"/>
          <w:color w:val="auto"/>
        </w:rPr>
      </w:pPr>
    </w:p>
    <w:p>
      <w:pPr>
        <w:ind w:left="1060" w:right="80" w:hanging="343"/>
        <w:spacing w:after="0" w:line="31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firstLine="2"/>
        <w:spacing w:after="0" w:line="264" w:lineRule="auto"/>
        <w:tabs>
          <w:tab w:leader="none" w:pos="13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our operating performance to other periods.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7" w:lineRule="exact"/>
        <w:rPr>
          <w:sz w:val="20"/>
          <w:szCs w:val="20"/>
          <w:color w:val="auto"/>
        </w:rPr>
      </w:pPr>
    </w:p>
    <w:p>
      <w:pPr>
        <w:ind w:left="1060" w:right="60" w:hanging="343"/>
        <w:spacing w:after="0" w:line="276"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Non-cash stock-based compensation</w:t>
      </w:r>
      <w:r>
        <w:rPr>
          <w:rFonts w:ascii="Arial" w:cs="Arial" w:eastAsia="Arial" w:hAnsi="Arial"/>
          <w:sz w:val="17"/>
          <w:szCs w:val="17"/>
          <w:color w:val="auto"/>
        </w:rPr>
        <w:t>: Our compensation strategy has included the use of Post stock-based compensation to attract and retain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our operating performance to other periods.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Active Nutrition</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6"/>
          </w:tcPr>
          <w:p>
            <w:pPr>
              <w:jc w:val="center"/>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center"/>
              <w:ind w:left="253"/>
              <w:spacing w:after="0" w:line="149" w:lineRule="exact"/>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253"/>
              <w:spacing w:after="0"/>
              <w:rPr>
                <w:sz w:val="20"/>
                <w:szCs w:val="20"/>
                <w:color w:val="auto"/>
              </w:rPr>
            </w:pPr>
            <w:r>
              <w:rPr>
                <w:rFonts w:ascii="Arial" w:cs="Arial" w:eastAsia="Arial" w:hAnsi="Arial"/>
                <w:sz w:val="14"/>
                <w:szCs w:val="14"/>
                <w:b w:val="1"/>
                <w:bCs w:val="1"/>
                <w:color w:val="auto"/>
                <w:w w:val="94"/>
              </w:rPr>
              <w:t>(unaudited)</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Separation costs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Provision for legal settlement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Net Adjustments</w:t>
            </w:r>
          </w:p>
        </w:tc>
        <w:tc>
          <w:tcPr>
            <w:tcW w:w="2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4"/>
                <w:szCs w:val="24"/>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Separation costs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Assets held for sale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91"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nine months ended June 30, 2019, income tax effect on adjustments was calculated using a rate of 23.8%, the sum of the Company’s fiscal 2019 U.S. federal corporate income tax rate plus its blended state income tax rate net of federal deductions. For the nine months ended June 30, 2018 and the year ended September 30, 2018, income tax effect on adjustments was calculated using a rate of 27.2%, the sum of the Company’s fiscal 2018 blended U.S. federal corporate income tax rate plus its blended state income tax rate. For the year ended September 30, 2017, income tax effect on adjustments was calculated using a rate of 37.7%, the sum of the Company’s fiscal 2017 U.S. federal corporate income tax rate plus its blended state income tax rate. For the year ended September 30, 2016, income tax effect on adjustments was calculated using a rate of 37.3%, the sum of the Company’s fiscal 2016 U.S. federal corporate income tax rate plus its blended state income tax rate.</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following unaudited pro forma condensed consolidated balance sheet and statements of operations have been prepared to reflect (i) the</w:t>
      </w:r>
    </w:p>
    <w:p>
      <w:pPr>
        <w:spacing w:after="0" w:line="3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formation transactions described in “Prospectus Summary—Formation Transactions,” including the issuance of one share of our Class B common stock</w:t>
      </w:r>
    </w:p>
    <w:p>
      <w:pPr>
        <w:spacing w:after="0" w:line="32" w:lineRule="exact"/>
        <w:rPr>
          <w:sz w:val="20"/>
          <w:szCs w:val="20"/>
          <w:color w:val="auto"/>
        </w:rPr>
      </w:pPr>
    </w:p>
    <w:p>
      <w:pPr>
        <w:ind w:left="200"/>
        <w:spacing w:after="0"/>
        <w:tabs>
          <w:tab w:leader="none" w:pos="1200" w:val="left"/>
          <w:tab w:leader="none" w:pos="57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BellRing Brands, LLC Units to Post; (ii) the sale of</w:t>
      </w:r>
      <w:r>
        <w:rPr>
          <w:sz w:val="20"/>
          <w:szCs w:val="20"/>
          <w:color w:val="auto"/>
        </w:rPr>
        <w:tab/>
      </w:r>
      <w:r>
        <w:rPr>
          <w:rFonts w:ascii="Arial" w:cs="Arial" w:eastAsia="Arial" w:hAnsi="Arial"/>
          <w:sz w:val="16"/>
          <w:szCs w:val="16"/>
          <w:color w:val="auto"/>
        </w:rPr>
        <w:t>shares of our Class A common stock in this offering, at an assumed initial</w:t>
      </w:r>
    </w:p>
    <w:p>
      <w:pPr>
        <w:spacing w:after="0" w:line="9"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public offering price of $ per share (which is the midpoint of the estimated offering price range set forth on the cover page of this prospectus) and assuming no exercise by the underwriters of their over-allotment option to purchase additional shares of our Class A common stock; and (iii) the entry of BellRing Brands, LLC into the debt facilities, its borrowing under the debt facilities and the application of the net proceeds of this offering and the debt facilities to repay in full the Post bridge loan as described under “Use of Proceeds.” The unaudited pro forma condensed consolidated balance sheet at June 30, 2019 is presented as if each of these events had occurred at June 30, 2019. The unaudited pro forma condensed consolidated statements of operations for the year ended September 30, 2018 and the nine months ended June 30, 2019 are presented as if each of these events had occurred on October 1, 2017.</w:t>
      </w:r>
    </w:p>
    <w:p>
      <w:pPr>
        <w:spacing w:after="0" w:line="19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June 30, 2019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As described under “Certain Relationships and Related Party Transactions—Post-Offering Relationship with Post—Tax Receivable Agreement,” upon the completion of the formation transactions, BellRing Brands, Inc.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and foreign tax,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alternatives—including tax-free “spin-off”</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or “split-off” transactions (which are not expected to result in adjustments to the tax basis of the assets of BellRing Brands, LLC).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However, if Post (and its transferees and assignees) redeemed all of its BellRing Brands, LLC Units, we would</w:t>
      </w:r>
    </w:p>
    <w:p>
      <w:pPr>
        <w:spacing w:after="0" w:line="2" w:lineRule="exact"/>
        <w:rPr>
          <w:sz w:val="20"/>
          <w:szCs w:val="20"/>
          <w:color w:val="auto"/>
        </w:rPr>
      </w:pPr>
    </w:p>
    <w:p>
      <w:pPr>
        <w:ind w:left="200" w:right="80"/>
        <w:spacing w:after="0" w:line="35" w:lineRule="auto"/>
        <w:rPr>
          <w:sz w:val="20"/>
          <w:szCs w:val="20"/>
          <w:color w:val="auto"/>
        </w:rPr>
      </w:pPr>
      <w:r>
        <w:rPr>
          <w:rFonts w:ascii="Arial" w:cs="Arial" w:eastAsia="Arial" w:hAnsi="Arial"/>
          <w:sz w:val="1"/>
          <w:szCs w:val="1"/>
          <w:color w:val="auto"/>
        </w:rPr>
        <w:t>recognize a deferred tax asset of approximately $ million and a liability of approximately $ million, assuming (i) all redemptions occurred immediately after this offering; (ii) a price of $ per share (the midpoint of the estimated offering price range set forth on the cover page of this prospectus); (iii) a constant corporate tax rate of %; (iv) we will have sufficient taxable income to fully utilize the tax benefits; and (v) no material changes in tax law. For each 5% increase (decrease) in the amount of BellRing Brands, LLC Units redeemed by Post (and its transferees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assignees), our deferred tax asset would increase (decrease) by approximately $ million and the related liability would increase (decrease) by approximately $ million, assuming that the price per share and corporate tax rate remain the same. For each $1.00 increase (decrease) in the assumed share price of $ per share (the midpoint of the estimated offering price range set forth on the cover page of this prospectus), our deferred tax asset would increase (decrease) by approximately $ million and the related liability would increase (decrease) by approximately $</w:t>
      </w:r>
    </w:p>
    <w:p>
      <w:pPr>
        <w:spacing w:after="0" w:line="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million, assuming that the number of BellRing Brands, LLC Units redeemed by Post (and its transferees and assignees) and the corporate tax rate remain the same.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190"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The tax receivable agreement will provide that, upon a merger, asset sale or other form of business combination or certain other changes of control (which would not include a distribution by Post of its beneficial retained interest in BellRing Brands, LLC by means of a tax-free spin-off to its shareholders,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the market value of our Class A common stock at the time of termination. The present value of such tax benefit payments are discounted at a rate equal to the lesser of (i) 6.50% per annum, compounded annually and (ii) LIBOR plus 300 basis points. If we were to elect to terminate the tax receivable agreement immediately after this</w:t>
      </w:r>
    </w:p>
    <w:p>
      <w:pPr>
        <w:spacing w:after="0" w:line="7" w:lineRule="exact"/>
        <w:rPr>
          <w:sz w:val="20"/>
          <w:szCs w:val="20"/>
          <w:color w:val="auto"/>
        </w:rPr>
      </w:pPr>
    </w:p>
    <w:p>
      <w:pPr>
        <w:ind w:left="200"/>
        <w:spacing w:after="0" w:line="265" w:lineRule="auto"/>
        <w:rPr>
          <w:sz w:val="20"/>
          <w:szCs w:val="20"/>
          <w:color w:val="auto"/>
        </w:rPr>
      </w:pPr>
      <w:r>
        <w:rPr>
          <w:rFonts w:ascii="Arial" w:cs="Arial" w:eastAsia="Arial" w:hAnsi="Arial"/>
          <w:sz w:val="17"/>
          <w:szCs w:val="17"/>
          <w:color w:val="auto"/>
        </w:rPr>
        <w:t>offering, based on the assumed initial public offering price of $ per share of our Class A common stock (the midpoint of the estimated offering price range set forth on the cover page of this prospectus), we estimate that we would be required to pay approximately $ million in the aggregate</w:t>
      </w:r>
    </w:p>
    <w:p>
      <w:pPr>
        <w:ind w:left="200" w:right="320"/>
        <w:spacing w:after="0" w:line="323" w:lineRule="auto"/>
        <w:rPr>
          <w:sz w:val="20"/>
          <w:szCs w:val="20"/>
          <w:color w:val="auto"/>
        </w:rPr>
      </w:pPr>
      <w:r>
        <w:rPr>
          <w:rFonts w:ascii="Arial" w:cs="Arial" w:eastAsia="Arial" w:hAnsi="Arial"/>
          <w:sz w:val="16"/>
          <w:szCs w:val="16"/>
          <w:color w:val="auto"/>
        </w:rPr>
        <w:t>under the tax 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139"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Following the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unaudited pro forma condensed consolidated financial statements and the notes thereto should be read together with the following:</w:t>
      </w:r>
    </w:p>
    <w:p>
      <w:pPr>
        <w:spacing w:after="0" w:line="131" w:lineRule="exact"/>
        <w:rPr>
          <w:sz w:val="20"/>
          <w:szCs w:val="20"/>
          <w:color w:val="auto"/>
        </w:rPr>
      </w:pPr>
    </w:p>
    <w:p>
      <w:pPr>
        <w:ind w:left="1180" w:hanging="419"/>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Post’s Active Nutrition business audited combined financial statements and the notes thereto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1180" w:right="420" w:hanging="430"/>
        <w:spacing w:after="0" w:line="308"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Post’s Active Nutrition business unaudited condensed combined financial statements and the notes thereto as of June 30, 2019 and September 30, 2018 and for the nine months ended June 30, 2019 and 2018 included in this prospectus; and</w:t>
      </w:r>
    </w:p>
    <w:p>
      <w:pPr>
        <w:spacing w:after="0" w:line="51" w:lineRule="exact"/>
        <w:rPr>
          <w:rFonts w:ascii="Arial" w:cs="Arial" w:eastAsia="Arial" w:hAnsi="Arial"/>
          <w:sz w:val="17"/>
          <w:szCs w:val="17"/>
          <w:color w:val="auto"/>
        </w:rPr>
      </w:pPr>
    </w:p>
    <w:p>
      <w:pPr>
        <w:ind w:left="1180" w:hanging="419"/>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0"/>
          </w:cols>
          <w:pgMar w:left="240" w:top="459" w:right="6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26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4"/>
          </w:tcPr>
          <w:p>
            <w:pPr>
              <w:jc w:val="center"/>
              <w:ind w:left="74"/>
              <w:spacing w:after="0"/>
              <w:rPr>
                <w:sz w:val="20"/>
                <w:szCs w:val="20"/>
                <w:color w:val="auto"/>
              </w:rPr>
            </w:pPr>
            <w:r>
              <w:rPr>
                <w:rFonts w:ascii="Arial" w:cs="Arial" w:eastAsia="Arial" w:hAnsi="Arial"/>
                <w:sz w:val="14"/>
                <w:szCs w:val="14"/>
                <w:b w:val="1"/>
                <w:bCs w:val="1"/>
                <w:color w:val="auto"/>
                <w:w w:val="93"/>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w w:val="90"/>
              </w:rPr>
              <w:t>Adjustments</w:t>
            </w:r>
            <w:r>
              <w:rPr>
                <w:rFonts w:ascii="Arial" w:cs="Arial" w:eastAsia="Arial" w:hAnsi="Arial"/>
                <w:sz w:val="12"/>
                <w:szCs w:val="12"/>
                <w:b w:val="1"/>
                <w:bCs w:val="1"/>
                <w:color w:val="auto"/>
                <w:w w:val="90"/>
              </w:rPr>
              <w:t>(a)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7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7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224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20"/>
                <w:szCs w:val="20"/>
                <w:color w:val="auto"/>
              </w:rPr>
            </w:pPr>
            <w:r>
              <w:rPr>
                <w:rFonts w:ascii="Arial" w:cs="Arial" w:eastAsia="Arial" w:hAnsi="Arial"/>
                <w:sz w:val="15"/>
                <w:szCs w:val="15"/>
                <w:color w:val="auto"/>
              </w:rPr>
              <w:t>(d)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Prepaids and other current assets</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10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assets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ind w:left="700"/>
              <w:spacing w:after="0"/>
              <w:rPr>
                <w:sz w:val="20"/>
                <w:szCs w:val="20"/>
                <w:color w:val="auto"/>
              </w:rPr>
            </w:pPr>
            <w:r>
              <w:rPr>
                <w:rFonts w:ascii="Arial" w:cs="Arial" w:eastAsia="Arial" w:hAnsi="Arial"/>
                <w:sz w:val="18"/>
                <w:szCs w:val="18"/>
                <w:color w:val="auto"/>
                <w:w w:val="96"/>
              </w:rPr>
              <w:t>Other current liabilities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Long-term debt</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5"/>
                <w:szCs w:val="15"/>
                <w:color w:val="auto"/>
              </w:rPr>
              <w:t>(b)</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liabilities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Liabilities</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r>
              <w:rPr>
                <w:rFonts w:ascii="Arial" w:cs="Arial" w:eastAsia="Arial" w:hAnsi="Arial"/>
                <w:sz w:val="15"/>
                <w:szCs w:val="15"/>
                <w:color w:val="auto"/>
              </w:rPr>
              <w:t>(f)</w:t>
            </w: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Stockholders’ Equity</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Common stock:</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2"/>
          </w:tcPr>
          <w:p>
            <w:pPr>
              <w:ind w:left="700"/>
              <w:spacing w:after="0" w:line="201" w:lineRule="exact"/>
              <w:rPr>
                <w:sz w:val="20"/>
                <w:szCs w:val="20"/>
                <w:color w:val="auto"/>
              </w:rPr>
            </w:pPr>
            <w:r>
              <w:rPr>
                <w:rFonts w:ascii="Arial" w:cs="Arial" w:eastAsia="Arial" w:hAnsi="Arial"/>
                <w:sz w:val="18"/>
                <w:szCs w:val="18"/>
                <w:color w:val="auto"/>
              </w:rPr>
              <w:t>Class A, par value $0.01 per share; actual:</w:t>
            </w:r>
          </w:p>
        </w:tc>
        <w:tc>
          <w:tcPr>
            <w:tcW w:w="300" w:type="dxa"/>
            <w:vAlign w:val="bottom"/>
          </w:tcPr>
          <w:p>
            <w:pPr>
              <w:spacing w:after="0"/>
              <w:rPr>
                <w:sz w:val="17"/>
                <w:szCs w:val="17"/>
                <w:color w:val="auto"/>
              </w:rPr>
            </w:pPr>
          </w:p>
        </w:tc>
        <w:tc>
          <w:tcPr>
            <w:tcW w:w="224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80"/>
              <w:spacing w:after="0"/>
              <w:rPr>
                <w:sz w:val="20"/>
                <w:szCs w:val="20"/>
                <w:color w:val="auto"/>
              </w:rPr>
            </w:pPr>
            <w:r>
              <w:rPr>
                <w:rFonts w:ascii="Arial" w:cs="Arial" w:eastAsia="Arial" w:hAnsi="Arial"/>
                <w:sz w:val="18"/>
                <w:szCs w:val="18"/>
                <w:color w:val="auto"/>
              </w:rPr>
              <w:t>authorized,</w:t>
            </w:r>
          </w:p>
        </w:tc>
        <w:tc>
          <w:tcPr>
            <w:tcW w:w="1760" w:type="dxa"/>
            <w:vAlign w:val="bottom"/>
          </w:tcPr>
          <w:p>
            <w:pPr>
              <w:ind w:left="60"/>
              <w:spacing w:after="0"/>
              <w:rPr>
                <w:sz w:val="20"/>
                <w:szCs w:val="20"/>
                <w:color w:val="auto"/>
              </w:rPr>
            </w:pPr>
            <w:r>
              <w:rPr>
                <w:rFonts w:ascii="Arial" w:cs="Arial" w:eastAsia="Arial" w:hAnsi="Arial"/>
                <w:sz w:val="18"/>
                <w:szCs w:val="18"/>
                <w:color w:val="auto"/>
              </w:rPr>
              <w:t>shares issued and</w:t>
            </w:r>
          </w:p>
        </w:tc>
        <w:tc>
          <w:tcPr>
            <w:tcW w:w="300" w:type="dxa"/>
            <w:vAlign w:val="bottom"/>
          </w:tcPr>
          <w:p>
            <w:pPr>
              <w:spacing w:after="0"/>
              <w:rPr>
                <w:sz w:val="18"/>
                <w:szCs w:val="18"/>
                <w:color w:val="auto"/>
              </w:rPr>
            </w:pPr>
          </w:p>
        </w:tc>
        <w:tc>
          <w:tcPr>
            <w:tcW w:w="2240" w:type="dxa"/>
            <w:vAlign w:val="bottom"/>
            <w:gridSpan w:val="3"/>
          </w:tcPr>
          <w:p>
            <w:pPr>
              <w:ind w:left="60"/>
              <w:spacing w:after="0"/>
              <w:rPr>
                <w:sz w:val="20"/>
                <w:szCs w:val="20"/>
                <w:color w:val="auto"/>
              </w:rPr>
            </w:pPr>
            <w:r>
              <w:rPr>
                <w:rFonts w:ascii="Arial" w:cs="Arial" w:eastAsia="Arial" w:hAnsi="Arial"/>
                <w:sz w:val="18"/>
                <w:szCs w:val="18"/>
                <w:color w:val="auto"/>
              </w:rPr>
              <w:t>shares outstanding;</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80"/>
              <w:spacing w:after="0"/>
              <w:rPr>
                <w:sz w:val="20"/>
                <w:szCs w:val="20"/>
                <w:color w:val="auto"/>
              </w:rPr>
            </w:pPr>
            <w:r>
              <w:rPr>
                <w:rFonts w:ascii="Arial" w:cs="Arial" w:eastAsia="Arial" w:hAnsi="Arial"/>
                <w:sz w:val="18"/>
                <w:szCs w:val="18"/>
                <w:color w:val="auto"/>
              </w:rPr>
              <w:t>as adjusted:</w:t>
            </w:r>
          </w:p>
        </w:tc>
        <w:tc>
          <w:tcPr>
            <w:tcW w:w="1760" w:type="dxa"/>
            <w:vAlign w:val="bottom"/>
          </w:tcPr>
          <w:p>
            <w:pPr>
              <w:ind w:left="100"/>
              <w:spacing w:after="0"/>
              <w:rPr>
                <w:sz w:val="20"/>
                <w:szCs w:val="20"/>
                <w:color w:val="auto"/>
              </w:rPr>
            </w:pPr>
            <w:r>
              <w:rPr>
                <w:rFonts w:ascii="Arial" w:cs="Arial" w:eastAsia="Arial" w:hAnsi="Arial"/>
                <w:sz w:val="18"/>
                <w:szCs w:val="18"/>
                <w:color w:val="auto"/>
              </w:rPr>
              <w:t>shares authorized,</w:t>
            </w:r>
          </w:p>
        </w:tc>
        <w:tc>
          <w:tcPr>
            <w:tcW w:w="30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Arial" w:cs="Arial" w:eastAsia="Arial" w:hAnsi="Arial"/>
                <w:sz w:val="18"/>
                <w:szCs w:val="18"/>
                <w:color w:val="auto"/>
              </w:rPr>
              <w:t>shares issued and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1640"/>
              <w:spacing w:after="0"/>
              <w:rPr>
                <w:sz w:val="20"/>
                <w:szCs w:val="20"/>
                <w:color w:val="auto"/>
              </w:rPr>
            </w:pPr>
            <w:r>
              <w:rPr>
                <w:rFonts w:ascii="Arial" w:cs="Arial" w:eastAsia="Arial" w:hAnsi="Arial"/>
                <w:sz w:val="18"/>
                <w:szCs w:val="18"/>
                <w:color w:val="auto"/>
              </w:rPr>
              <w:t>shares outstanding</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5"/>
                <w:szCs w:val="15"/>
                <w:color w:val="auto"/>
              </w:rPr>
              <w:t>(c)</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Class B, par value $0.01 per share; actual:</w:t>
            </w:r>
          </w:p>
        </w:tc>
        <w:tc>
          <w:tcPr>
            <w:tcW w:w="300" w:type="dxa"/>
            <w:vAlign w:val="bottom"/>
            <w:shd w:val="clear" w:color="auto" w:fill="CCEEFF"/>
          </w:tcPr>
          <w:p>
            <w:pPr>
              <w:spacing w:after="0"/>
              <w:rPr>
                <w:sz w:val="17"/>
                <w:szCs w:val="17"/>
                <w:color w:val="auto"/>
              </w:rPr>
            </w:pPr>
          </w:p>
        </w:tc>
        <w:tc>
          <w:tcPr>
            <w:tcW w:w="224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rPr>
              <w:t>shares</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authorized,</w:t>
            </w:r>
          </w:p>
        </w:tc>
        <w:tc>
          <w:tcPr>
            <w:tcW w:w="1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issued and</w:t>
            </w: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shares outstanding;</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as adjusted:</w:t>
            </w:r>
          </w:p>
        </w:tc>
        <w:tc>
          <w:tcPr>
            <w:tcW w:w="1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authorized,</w:t>
            </w:r>
          </w:p>
        </w:tc>
        <w:tc>
          <w:tcPr>
            <w:tcW w:w="30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shares issued and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shares outstanding</w:t>
            </w:r>
          </w:p>
        </w:tc>
        <w:tc>
          <w:tcPr>
            <w:tcW w:w="3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Preferred stock, par value $0.01 per share;</w:t>
            </w:r>
          </w:p>
        </w:tc>
        <w:tc>
          <w:tcPr>
            <w:tcW w:w="2540" w:type="dxa"/>
            <w:vAlign w:val="bottom"/>
            <w:gridSpan w:val="4"/>
          </w:tcPr>
          <w:p>
            <w:pPr>
              <w:spacing w:after="0" w:line="201" w:lineRule="exact"/>
              <w:rPr>
                <w:sz w:val="20"/>
                <w:szCs w:val="20"/>
                <w:color w:val="auto"/>
              </w:rPr>
            </w:pPr>
            <w:r>
              <w:rPr>
                <w:rFonts w:ascii="Arial" w:cs="Arial" w:eastAsia="Arial" w:hAnsi="Arial"/>
                <w:sz w:val="18"/>
                <w:szCs w:val="18"/>
                <w:color w:val="auto"/>
              </w:rPr>
              <w:t>shares authorized, no</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520"/>
              <w:spacing w:after="0"/>
              <w:rPr>
                <w:sz w:val="20"/>
                <w:szCs w:val="20"/>
                <w:color w:val="auto"/>
              </w:rPr>
            </w:pPr>
            <w:r>
              <w:rPr>
                <w:rFonts w:ascii="Arial" w:cs="Arial" w:eastAsia="Arial" w:hAnsi="Arial"/>
                <w:sz w:val="18"/>
                <w:szCs w:val="18"/>
                <w:color w:val="auto"/>
                <w:w w:val="88"/>
              </w:rPr>
              <w:t>shares issued and outstanding actual and pro forma</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5"/>
                <w:szCs w:val="15"/>
                <w:color w:val="auto"/>
              </w:rPr>
              <w:t>(c)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3"/>
          </w:tcPr>
          <w:p>
            <w:pPr>
              <w:ind w:left="1420"/>
              <w:spacing w:after="0"/>
              <w:rPr>
                <w:sz w:val="20"/>
                <w:szCs w:val="20"/>
                <w:color w:val="auto"/>
              </w:rPr>
            </w:pPr>
            <w:r>
              <w:rPr>
                <w:rFonts w:ascii="Arial" w:cs="Arial" w:eastAsia="Arial" w:hAnsi="Arial"/>
                <w:sz w:val="18"/>
                <w:szCs w:val="18"/>
                <w:color w:val="auto"/>
                <w:w w:val="94"/>
              </w:rPr>
              <w:t>Total Liabilities and Stockholders’ Equity</w:t>
            </w:r>
          </w:p>
        </w:tc>
        <w:tc>
          <w:tcPr>
            <w:tcW w:w="2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NINE MONTHS ENDED JUNE 30, 2019</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Active Nutrition</w:t>
            </w:r>
          </w:p>
        </w:tc>
        <w:tc>
          <w:tcPr>
            <w:tcW w:w="68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Historical</w:t>
            </w:r>
          </w:p>
        </w:tc>
        <w:tc>
          <w:tcPr>
            <w:tcW w:w="2120" w:type="dxa"/>
            <w:vAlign w:val="bottom"/>
            <w:gridSpan w:val="3"/>
          </w:tcPr>
          <w:p>
            <w:pPr>
              <w:ind w:left="68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6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126.5</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6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Net Earnings Including Noncontrolling Interest</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68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68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4630"/>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Active Nutrition</w:t>
            </w:r>
          </w:p>
        </w:tc>
        <w:tc>
          <w:tcPr>
            <w:tcW w:w="72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1640" w:type="dxa"/>
            <w:vAlign w:val="bottom"/>
            <w:gridSpan w:val="4"/>
          </w:tcPr>
          <w:p>
            <w:pPr>
              <w:ind w:left="34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1"/>
              <w:spacing w:after="0"/>
              <w:rPr>
                <w:sz w:val="20"/>
                <w:szCs w:val="20"/>
                <w:color w:val="auto"/>
              </w:rPr>
            </w:pPr>
            <w:r>
              <w:rPr>
                <w:rFonts w:ascii="Arial" w:cs="Arial" w:eastAsia="Arial" w:hAnsi="Arial"/>
                <w:sz w:val="14"/>
                <w:szCs w:val="14"/>
                <w:b w:val="1"/>
                <w:bCs w:val="1"/>
                <w:color w:val="auto"/>
              </w:rPr>
              <w:t>Historical</w:t>
            </w:r>
          </w:p>
        </w:tc>
        <w:tc>
          <w:tcPr>
            <w:tcW w:w="2160" w:type="dxa"/>
            <w:vAlign w:val="bottom"/>
            <w:gridSpan w:val="3"/>
          </w:tcPr>
          <w:p>
            <w:pPr>
              <w:ind w:left="700"/>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7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135.1</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119.8</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7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Net Earnings Including Noncontrolling Interest</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2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72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5"/>
                <w:szCs w:val="15"/>
                <w:color w:val="auto"/>
              </w:rPr>
              <w:t>(c)</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5"/>
                <w:szCs w:val="15"/>
                <w:color w:val="auto"/>
              </w:rPr>
              <w:t>(c)</w:t>
            </w:r>
          </w:p>
        </w:tc>
      </w:tr>
      <w:tr>
        <w:trPr>
          <w:trHeight w:val="432"/>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20" w:type="dxa"/>
            <w:vAlign w:val="bottom"/>
          </w:tcPr>
          <w:p>
            <w:pPr>
              <w:jc w:val="right"/>
              <w:ind w:right="4630"/>
              <w:spacing w:after="0"/>
              <w:rPr>
                <w:sz w:val="20"/>
                <w:szCs w:val="20"/>
                <w:color w:val="auto"/>
              </w:rPr>
            </w:pPr>
            <w:r>
              <w:rPr>
                <w:rFonts w:ascii="Arial" w:cs="Arial" w:eastAsia="Arial" w:hAnsi="Arial"/>
                <w:sz w:val="18"/>
                <w:szCs w:val="18"/>
                <w:color w:val="auto"/>
              </w:rPr>
              <w:t>75</w:t>
            </w:r>
          </w:p>
        </w:tc>
        <w:tc>
          <w:tcPr>
            <w:tcW w:w="7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for so long as Post or its affiliates (other than us) directly own more than 50% of the BellRing Brands, LLC Units as described in this prospectus, will have a number of votes equal to 67% of the combined voting power of the common stock of BellRing Brands, Inc.</w:t>
      </w:r>
    </w:p>
    <w:p>
      <w:pPr>
        <w:spacing w:after="0" w:line="189"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1180" w:hanging="544"/>
        <w:spacing w:after="0"/>
        <w:tabs>
          <w:tab w:leader="none" w:pos="1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entities currently comprising Post’s Active Nutrition business will become direct or indirect subsidiaries of BellRing Brands, LLC.</w:t>
      </w:r>
    </w:p>
    <w:p>
      <w:pPr>
        <w:spacing w:after="0" w:line="142" w:lineRule="exact"/>
        <w:rPr>
          <w:rFonts w:ascii="Arial" w:cs="Arial" w:eastAsia="Arial" w:hAnsi="Arial"/>
          <w:sz w:val="17"/>
          <w:szCs w:val="17"/>
          <w:color w:val="auto"/>
        </w:rPr>
      </w:pPr>
    </w:p>
    <w:p>
      <w:pPr>
        <w:ind w:left="1180" w:right="320" w:hanging="544"/>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240"/>
              <w:spacing w:after="0"/>
              <w:rPr>
                <w:sz w:val="20"/>
                <w:szCs w:val="20"/>
                <w:color w:val="auto"/>
              </w:rPr>
            </w:pPr>
            <w:r>
              <w:rPr>
                <w:rFonts w:ascii="Arial" w:cs="Arial" w:eastAsia="Arial" w:hAnsi="Arial"/>
                <w:sz w:val="18"/>
                <w:szCs w:val="18"/>
                <w:color w:val="auto"/>
              </w:rPr>
              <w:t>Post will hold</w:t>
            </w:r>
          </w:p>
        </w:tc>
        <w:tc>
          <w:tcPr>
            <w:tcW w:w="8640" w:type="dxa"/>
            <w:vAlign w:val="bottom"/>
            <w:gridSpan w:val="3"/>
          </w:tcPr>
          <w:p>
            <w:pPr>
              <w:ind w:left="360"/>
              <w:spacing w:after="0"/>
              <w:rPr>
                <w:sz w:val="20"/>
                <w:szCs w:val="20"/>
                <w:color w:val="auto"/>
              </w:rPr>
            </w:pPr>
            <w:r>
              <w:rPr>
                <w:rFonts w:ascii="Arial" w:cs="Arial" w:eastAsia="Arial" w:hAnsi="Arial"/>
                <w:sz w:val="18"/>
                <w:szCs w:val="18"/>
                <w:color w:val="auto"/>
                <w:w w:val="95"/>
              </w:rPr>
              <w:t>BellRing Brands, LLC Units, which will represent   % of the economic interest in BellRing Brands, LLC (or   %</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w w:val="92"/>
              </w:rPr>
              <w:t>if the underwriters exercise their over-allotment option in full), and one share of Class B common stock, which, for so long as Post or its</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rPr>
              <w:t>affiliates (other than us) directly own more than 50% of the BellRing Brands, LLC Units as described in this prospectus, will</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w w:val="95"/>
              </w:rPr>
              <w:t>represent 67% of the combined voting power of the common stock of BellRing Brands, Inc. Due to Post’s rights to redeem BellRing</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w w:val="93"/>
              </w:rPr>
              <w:t>Brands, LLC Units for (i) shares of BellRing Brands, Inc. Class A common stock on a one-for-one basis or (ii) cash at BellRing Brands,</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w w:val="96"/>
              </w:rPr>
              <w:t>LLC’s option (as determined by the BellRing Brands, LLC Board of Managers), the non-controlling interest in BellRing Brands, LLC</w:t>
            </w:r>
          </w:p>
        </w:tc>
      </w:tr>
      <w:tr>
        <w:trPr>
          <w:trHeight w:val="230"/>
        </w:trPr>
        <w:tc>
          <w:tcPr>
            <w:tcW w:w="300" w:type="dxa"/>
            <w:vAlign w:val="bottom"/>
          </w:tcPr>
          <w:p>
            <w:pPr>
              <w:spacing w:after="0"/>
              <w:rPr>
                <w:sz w:val="20"/>
                <w:szCs w:val="20"/>
                <w:color w:val="auto"/>
              </w:rPr>
            </w:pPr>
          </w:p>
        </w:tc>
        <w:tc>
          <w:tcPr>
            <w:tcW w:w="7460" w:type="dxa"/>
            <w:vAlign w:val="bottom"/>
            <w:gridSpan w:val="3"/>
          </w:tcPr>
          <w:p>
            <w:pPr>
              <w:ind w:left="240"/>
              <w:spacing w:after="0"/>
              <w:rPr>
                <w:sz w:val="20"/>
                <w:szCs w:val="20"/>
                <w:color w:val="auto"/>
              </w:rPr>
            </w:pPr>
            <w:r>
              <w:rPr>
                <w:rFonts w:ascii="Arial" w:cs="Arial" w:eastAsia="Arial" w:hAnsi="Arial"/>
                <w:sz w:val="18"/>
                <w:szCs w:val="18"/>
                <w:color w:val="auto"/>
              </w:rPr>
              <w:t>represented by these Units will be classified as temporary equity.</w:t>
            </w:r>
          </w:p>
        </w:tc>
        <w:tc>
          <w:tcPr>
            <w:tcW w:w="278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The purchasers in this offering (i) will own</w:t>
            </w:r>
          </w:p>
        </w:tc>
        <w:tc>
          <w:tcPr>
            <w:tcW w:w="3720" w:type="dxa"/>
            <w:vAlign w:val="bottom"/>
          </w:tcPr>
          <w:p>
            <w:pPr>
              <w:ind w:left="400"/>
              <w:spacing w:after="0"/>
              <w:rPr>
                <w:sz w:val="20"/>
                <w:szCs w:val="20"/>
                <w:color w:val="auto"/>
              </w:rPr>
            </w:pPr>
            <w:r>
              <w:rPr>
                <w:rFonts w:ascii="Arial" w:cs="Arial" w:eastAsia="Arial" w:hAnsi="Arial"/>
                <w:sz w:val="18"/>
                <w:szCs w:val="18"/>
                <w:color w:val="auto"/>
              </w:rPr>
              <w:t>shares of Class A common stock (or</w:t>
            </w:r>
          </w:p>
        </w:tc>
        <w:tc>
          <w:tcPr>
            <w:tcW w:w="2780" w:type="dxa"/>
            <w:vAlign w:val="bottom"/>
          </w:tcPr>
          <w:p>
            <w:pPr>
              <w:ind w:left="100"/>
              <w:spacing w:after="0"/>
              <w:rPr>
                <w:sz w:val="20"/>
                <w:szCs w:val="20"/>
                <w:color w:val="auto"/>
              </w:rPr>
            </w:pPr>
            <w:r>
              <w:rPr>
                <w:rFonts w:ascii="Arial" w:cs="Arial" w:eastAsia="Arial" w:hAnsi="Arial"/>
                <w:sz w:val="18"/>
                <w:szCs w:val="18"/>
                <w:color w:val="auto"/>
                <w:w w:val="97"/>
              </w:rPr>
              <w:t>shares if the underwriters exercise</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w w:val="94"/>
              </w:rPr>
              <w:t>their non-allotment option in full), which, for so long as Post or its affiliates (other than us) directly own more than 50% of the BellRing</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w w:val="94"/>
              </w:rPr>
              <w:t>Brands, LLC Units as described in this prospectus, will represent 33% of the combined voting power of the common stock of BellRing</w:t>
            </w:r>
          </w:p>
        </w:tc>
      </w:tr>
      <w:tr>
        <w:trPr>
          <w:trHeight w:val="216"/>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Arial" w:cs="Arial" w:eastAsia="Arial" w:hAnsi="Arial"/>
                <w:sz w:val="18"/>
                <w:szCs w:val="18"/>
                <w:color w:val="auto"/>
                <w:w w:val="93"/>
              </w:rPr>
              <w:t>Brands, Inc. and 100% of the economic interest in BellRing Brands, Inc., and (ii) through BellRing Brands, Inc.’s ownership of BellRing</w:t>
            </w:r>
          </w:p>
        </w:tc>
      </w:tr>
      <w:tr>
        <w:trPr>
          <w:trHeight w:val="216"/>
        </w:trPr>
        <w:tc>
          <w:tcPr>
            <w:tcW w:w="300" w:type="dxa"/>
            <w:vAlign w:val="bottom"/>
          </w:tcPr>
          <w:p>
            <w:pPr>
              <w:spacing w:after="0"/>
              <w:rPr>
                <w:sz w:val="18"/>
                <w:szCs w:val="18"/>
                <w:color w:val="auto"/>
              </w:rPr>
            </w:pPr>
          </w:p>
        </w:tc>
        <w:tc>
          <w:tcPr>
            <w:tcW w:w="7460" w:type="dxa"/>
            <w:vAlign w:val="bottom"/>
            <w:gridSpan w:val="3"/>
          </w:tcPr>
          <w:p>
            <w:pPr>
              <w:ind w:left="240"/>
              <w:spacing w:after="0"/>
              <w:rPr>
                <w:sz w:val="20"/>
                <w:szCs w:val="20"/>
                <w:color w:val="auto"/>
              </w:rPr>
            </w:pPr>
            <w:r>
              <w:rPr>
                <w:rFonts w:ascii="Arial" w:cs="Arial" w:eastAsia="Arial" w:hAnsi="Arial"/>
                <w:sz w:val="18"/>
                <w:szCs w:val="18"/>
                <w:color w:val="auto"/>
                <w:w w:val="96"/>
              </w:rPr>
              <w:t>Brands, LLC Units, indirectly will hold   % of the economic interest in BellRing Brands, LLC (or</w:t>
            </w:r>
          </w:p>
        </w:tc>
        <w:tc>
          <w:tcPr>
            <w:tcW w:w="2780" w:type="dxa"/>
            <w:vAlign w:val="bottom"/>
          </w:tcPr>
          <w:p>
            <w:pPr>
              <w:ind w:left="120"/>
              <w:spacing w:after="0"/>
              <w:rPr>
                <w:sz w:val="20"/>
                <w:szCs w:val="20"/>
                <w:color w:val="auto"/>
              </w:rPr>
            </w:pPr>
            <w:r>
              <w:rPr>
                <w:rFonts w:ascii="Arial" w:cs="Arial" w:eastAsia="Arial" w:hAnsi="Arial"/>
                <w:sz w:val="18"/>
                <w:szCs w:val="18"/>
                <w:color w:val="auto"/>
                <w:w w:val="95"/>
              </w:rPr>
              <w:t>% if the underwriters exercise their</w:t>
            </w:r>
          </w:p>
        </w:tc>
      </w:tr>
      <w:tr>
        <w:trPr>
          <w:trHeight w:val="230"/>
        </w:trPr>
        <w:tc>
          <w:tcPr>
            <w:tcW w:w="300" w:type="dxa"/>
            <w:vAlign w:val="bottom"/>
          </w:tcPr>
          <w:p>
            <w:pPr>
              <w:spacing w:after="0"/>
              <w:rPr>
                <w:sz w:val="20"/>
                <w:szCs w:val="20"/>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over-allotment option in full).</w:t>
            </w:r>
          </w:p>
        </w:tc>
        <w:tc>
          <w:tcPr>
            <w:tcW w:w="372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107" w:lineRule="exact"/>
        <w:rPr>
          <w:sz w:val="20"/>
          <w:szCs w:val="20"/>
          <w:color w:val="auto"/>
        </w:rPr>
      </w:pPr>
    </w:p>
    <w:p>
      <w:pPr>
        <w:ind w:left="1180" w:right="200" w:hanging="544"/>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a one-to-one ratio between the number of shares of Class A common stock issued by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spacing w:after="0" w:line="342" w:lineRule="auto"/>
        <w:rPr>
          <w:sz w:val="20"/>
          <w:szCs w:val="20"/>
          <w:color w:val="auto"/>
        </w:rPr>
      </w:pPr>
      <w:r>
        <w:rPr>
          <w:rFonts w:ascii="Arial" w:cs="Arial" w:eastAsia="Arial" w:hAnsi="Arial"/>
          <w:sz w:val="16"/>
          <w:szCs w:val="16"/>
          <w:color w:val="auto"/>
        </w:rPr>
        <w:t>BellRing Brands, Inc. and the number of BellRing Brands, LLC Units owned by BellRing Brands, Inc. See “Certain Relationships and Related Party Transactions—Post-Offering Relationship with Post—Amended and Restated Limited Liability Company Agreement.”</w:t>
      </w:r>
    </w:p>
    <w:p>
      <w:pPr>
        <w:spacing w:after="0" w:line="29" w:lineRule="exact"/>
        <w:rPr>
          <w:sz w:val="20"/>
          <w:szCs w:val="20"/>
          <w:color w:val="auto"/>
        </w:rPr>
      </w:pPr>
    </w:p>
    <w:p>
      <w:pPr>
        <w:ind w:left="1180" w:hanging="544"/>
        <w:spacing w:after="0" w:line="253"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For so long as Post or its affiliates (other than us) directly own more than 50% of the BellRing Brands, LLC Units as described in this prospectus, Post will control BellRing Brands, Inc. through its ownership of the Class B common stock of BellRing Brands, Inc.</w:t>
      </w:r>
    </w:p>
    <w:p>
      <w:pPr>
        <w:spacing w:after="0" w:line="100" w:lineRule="exact"/>
        <w:rPr>
          <w:rFonts w:ascii="Arial" w:cs="Arial" w:eastAsia="Arial" w:hAnsi="Arial"/>
          <w:sz w:val="18"/>
          <w:szCs w:val="18"/>
          <w:color w:val="auto"/>
        </w:rPr>
      </w:pPr>
    </w:p>
    <w:p>
      <w:pPr>
        <w:ind w:left="1180" w:right="220" w:hanging="544"/>
        <w:spacing w:after="0" w:line="26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a portion of the consolidated net earnings (loss) will be allocated to the non-controlling interest to reflect the entitlement of Post to a portion of the consolidated net earnings (loss).</w:t>
      </w:r>
    </w:p>
    <w:p>
      <w:pPr>
        <w:spacing w:after="0" w:line="289" w:lineRule="exact"/>
        <w:rPr>
          <w:rFonts w:ascii="Arial" w:cs="Arial" w:eastAsia="Arial" w:hAnsi="Arial"/>
          <w:sz w:val="18"/>
          <w:szCs w:val="18"/>
          <w:color w:val="auto"/>
        </w:rPr>
      </w:pPr>
    </w:p>
    <w:p>
      <w:pPr>
        <w:ind w:left="900" w:hanging="256"/>
        <w:spacing w:after="0"/>
        <w:tabs>
          <w:tab w:leader="none" w:pos="900" w:val="left"/>
        </w:tabs>
        <w:numPr>
          <w:ilvl w:val="1"/>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(i) BellRing Brands, LLC will become the borrower under the Post bridge loan, and Post and its subsidiary guarantors (which will not include BellRing Brands, LLC or its domestic subsidiaries) will be released from all obligations under the Post bridge loan,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We will not receive any of the proceeds of the Post bridge loan. See “Description of Certain Indebtedness.”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w:t>
      </w:r>
    </w:p>
    <w:p>
      <w:pPr>
        <w:spacing w:after="0" w:line="46"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debt facilities consisting of a $ million revolving credit facility and a $ million term loan facility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See “Description of Certain Indebtedness.”</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24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1180" w:right="300" w:hanging="544"/>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will be no borrowings under the revolving credit facility portion of the new debt facilities of BellRing Brands, LLC in connection with this offering;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the term loan portion of the new debt facilities of BellRing Brands, LLC concurrently with the</w:t>
      </w:r>
    </w:p>
    <w:p>
      <w:pPr>
        <w:spacing w:after="0" w:line="23" w:lineRule="exact"/>
        <w:rPr>
          <w:sz w:val="20"/>
          <w:szCs w:val="20"/>
          <w:color w:val="auto"/>
        </w:rPr>
      </w:pPr>
    </w:p>
    <w:p>
      <w:pPr>
        <w:ind w:left="1180"/>
        <w:spacing w:after="0"/>
        <w:tabs>
          <w:tab w:leader="none" w:pos="6640" w:val="left"/>
        </w:tabs>
        <w:rPr>
          <w:sz w:val="20"/>
          <w:szCs w:val="20"/>
          <w:color w:val="auto"/>
        </w:rPr>
      </w:pPr>
      <w:r>
        <w:rPr>
          <w:rFonts w:ascii="Arial" w:cs="Arial" w:eastAsia="Arial" w:hAnsi="Arial"/>
          <w:sz w:val="18"/>
          <w:szCs w:val="18"/>
          <w:color w:val="auto"/>
        </w:rPr>
        <w:t>completion of this offering will be incurred at an assumed interest rate of</w:t>
      </w:r>
      <w:r>
        <w:rPr>
          <w:sz w:val="20"/>
          <w:szCs w:val="20"/>
          <w:color w:val="auto"/>
        </w:rPr>
        <w:tab/>
      </w:r>
      <w:r>
        <w:rPr>
          <w:rFonts w:ascii="Arial" w:cs="Arial" w:eastAsia="Arial" w:hAnsi="Arial"/>
          <w:sz w:val="16"/>
          <w:szCs w:val="16"/>
          <w:color w:val="auto"/>
        </w:rPr>
        <w:t>% and that BellRing Brands, LLC will receive net proceeds</w:t>
      </w:r>
    </w:p>
    <w:p>
      <w:pPr>
        <w:spacing w:after="0" w:line="9" w:lineRule="exact"/>
        <w:rPr>
          <w:sz w:val="20"/>
          <w:szCs w:val="20"/>
          <w:color w:val="auto"/>
        </w:rPr>
      </w:pPr>
    </w:p>
    <w:p>
      <w:pPr>
        <w:ind w:left="1180"/>
        <w:spacing w:after="0"/>
        <w:tabs>
          <w:tab w:leader="none" w:pos="3320" w:val="left"/>
        </w:tabs>
        <w:rPr>
          <w:sz w:val="20"/>
          <w:szCs w:val="20"/>
          <w:color w:val="auto"/>
        </w:rPr>
      </w:pPr>
      <w:r>
        <w:rPr>
          <w:rFonts w:ascii="Arial" w:cs="Arial" w:eastAsia="Arial" w:hAnsi="Arial"/>
          <w:sz w:val="18"/>
          <w:szCs w:val="18"/>
          <w:color w:val="auto"/>
        </w:rPr>
        <w:t>from the borrowings of $</w:t>
      </w:r>
      <w:r>
        <w:rPr>
          <w:sz w:val="20"/>
          <w:szCs w:val="20"/>
          <w:color w:val="auto"/>
        </w:rPr>
        <w:tab/>
      </w:r>
      <w:r>
        <w:rPr>
          <w:rFonts w:ascii="Arial" w:cs="Arial" w:eastAsia="Arial" w:hAnsi="Arial"/>
          <w:sz w:val="16"/>
          <w:szCs w:val="16"/>
          <w:color w:val="auto"/>
        </w:rPr>
        <w:t>million, after deducting fees and expenses.</w:t>
      </w:r>
    </w:p>
    <w:p>
      <w:pPr>
        <w:spacing w:after="0" w:line="21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final principal balance of the term loan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 nature of the changes, the impact on the pro forma financial information could be material. For example, each 0.125% increase or decrease in the stated interest rate assumed above for the debt facilities would increase or decrease pro</w:t>
      </w:r>
    </w:p>
    <w:p>
      <w:pPr>
        <w:spacing w:after="0" w:line="2"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forma interest expense by approximately $ million for the fiscal year ended September 30, 2018 and approximately $ million for the nine months ended June 30, 2019 (assuming the principal balance of the debt facilities does not change from that assumed above).</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640"/>
        <w:spacing w:after="0"/>
        <w:tabs>
          <w:tab w:leader="none" w:pos="4180" w:val="left"/>
          <w:tab w:leader="none" w:pos="8700" w:val="left"/>
        </w:tabs>
        <w:rPr>
          <w:sz w:val="20"/>
          <w:szCs w:val="20"/>
          <w:color w:val="auto"/>
        </w:rPr>
      </w:pPr>
      <w:r>
        <w:rPr>
          <w:rFonts w:ascii="Arial" w:cs="Arial" w:eastAsia="Arial" w:hAnsi="Arial"/>
          <w:sz w:val="18"/>
          <w:szCs w:val="18"/>
          <w:color w:val="auto"/>
        </w:rPr>
        <w:t>BellRing Brands, Inc. expects to issue</w:t>
      </w:r>
      <w:r>
        <w:rPr>
          <w:sz w:val="20"/>
          <w:szCs w:val="20"/>
          <w:color w:val="auto"/>
        </w:rPr>
        <w:tab/>
      </w:r>
      <w:r>
        <w:rPr>
          <w:rFonts w:ascii="Arial" w:cs="Arial" w:eastAsia="Arial" w:hAnsi="Arial"/>
          <w:sz w:val="18"/>
          <w:szCs w:val="18"/>
          <w:color w:val="auto"/>
        </w:rPr>
        <w:t>shares of Class A common stock in this offering (or</w:t>
      </w:r>
      <w:r>
        <w:rPr>
          <w:sz w:val="20"/>
          <w:szCs w:val="20"/>
          <w:color w:val="auto"/>
        </w:rPr>
        <w:tab/>
      </w:r>
      <w:r>
        <w:rPr>
          <w:rFonts w:ascii="Arial" w:cs="Arial" w:eastAsia="Arial" w:hAnsi="Arial"/>
          <w:sz w:val="16"/>
          <w:szCs w:val="16"/>
          <w:color w:val="auto"/>
        </w:rPr>
        <w:t>shares if the underwriters exercise</w:t>
      </w:r>
    </w:p>
    <w:p>
      <w:pPr>
        <w:spacing w:after="0" w:line="23" w:lineRule="exact"/>
        <w:rPr>
          <w:sz w:val="20"/>
          <w:szCs w:val="20"/>
          <w:color w:val="auto"/>
        </w:rPr>
      </w:pPr>
    </w:p>
    <w:p>
      <w:pPr>
        <w:ind w:left="200" w:right="540"/>
        <w:spacing w:after="0" w:line="186" w:lineRule="auto"/>
        <w:rPr>
          <w:sz w:val="20"/>
          <w:szCs w:val="20"/>
          <w:color w:val="auto"/>
        </w:rPr>
      </w:pPr>
      <w:r>
        <w:rPr>
          <w:rFonts w:ascii="Arial" w:cs="Arial" w:eastAsia="Arial" w:hAnsi="Arial"/>
          <w:sz w:val="12"/>
          <w:szCs w:val="12"/>
          <w:color w:val="auto"/>
        </w:rPr>
        <w:t>their over-allotment in full). The unaudited pro forma consolidated basic and diluted earnings per share for the periods presented are based on the combined basic and diluted weighted-average shares outstanding to be issued by BellRing Brands, Inc. in this offering. The calculation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includes shares of Class A common stock assumed to be sold in this offering. The share of BellRing Brands, Inc. Class B common stock does not share in its earnings and is therefore not included in the weighted average shares outstanding or net earnings available per common share.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BellRing Brands, Inc. expects to receive net proceeds from this offering of approximately $ million (or approximately $ million if the underwriters exercise their over-allotment option in full), assuming the shares are offered at $ per share (the midpoint of the estimated offering price</w:t>
      </w:r>
    </w:p>
    <w:p>
      <w:pPr>
        <w:ind w:left="200" w:right="160"/>
        <w:spacing w:after="0" w:line="261" w:lineRule="auto"/>
        <w:rPr>
          <w:sz w:val="20"/>
          <w:szCs w:val="20"/>
          <w:color w:val="auto"/>
        </w:rPr>
      </w:pPr>
      <w:r>
        <w:rPr>
          <w:rFonts w:ascii="Arial" w:cs="Arial" w:eastAsia="Arial" w:hAnsi="Arial"/>
          <w:sz w:val="18"/>
          <w:szCs w:val="18"/>
          <w:color w:val="auto"/>
        </w:rPr>
        <w:t>range set forth on the cover page of this prospectus), after deducting underwriting discounts and commissions and estimated offering expenses payable by us.</w:t>
      </w:r>
    </w:p>
    <w:p>
      <w:pPr>
        <w:spacing w:after="0" w:line="18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640"/>
        <w:spacing w:after="0"/>
        <w:tabs>
          <w:tab w:leader="none" w:pos="7140" w:val="left"/>
        </w:tabs>
        <w:rPr>
          <w:sz w:val="20"/>
          <w:szCs w:val="20"/>
          <w:color w:val="auto"/>
        </w:rPr>
      </w:pPr>
      <w:r>
        <w:rPr>
          <w:rFonts w:ascii="Arial" w:cs="Arial" w:eastAsia="Arial" w:hAnsi="Arial"/>
          <w:sz w:val="17"/>
          <w:szCs w:val="17"/>
          <w:color w:val="auto"/>
        </w:rPr>
        <w:t>To reflect the tax effect of the pro forma adjustments at an assumed effective tax rate of</w:t>
        <w:tab/>
        <w:t>%.</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Upon the completion of the formation transactions, BellRing Brands, Inc. will enter into the tax receivable agreement with Post and BellRing Brands, LLC described under “Certain Relationships and Related Party Transactions—Post-Offering Relationship with Post—Tax Receivable Agreement.” BellRing Brands, Inc. may incur obligations under the tax receivable agreement subsequent to the completion of the formation transactions, as well as in connection with certain tax benefits BellRing Brands, Inc. may realize in connection with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formation transactions. Due to the uncertainty in the amount and timing of future redemptions of BellRing Brands, LLC Units by Post (or its transferees or assignees), no increases in tax basis in BellRing Brands, LLC’s assets or other tax benefits that may be realized thereunder have been assumed in the unaudited pro forma condensed consolidated financial information. For an illustration of the amount, based upon certain assumptions, that would be payable by BellRing Brands, Inc. under the tax receivable agreement if all of Post’s (and its transferees’ and assignees’) BellRing Brands, LLC Units were redeemed, see above under “Unaudited Pro Forma Condensed Consolidated Financial Information.”</w:t>
      </w:r>
    </w:p>
    <w:p>
      <w:pPr>
        <w:spacing w:after="0" w:line="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24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the historical combined financial statements and the accompanying notes and other financial information for Post’s Active Nutrition business (“Active Nutrition”),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BellRing Brands, Inc. was formed as a Delaware corporation in 2019 for the purpose of completing this offering. Upon completion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formation transactions, BellRing Brands, LLC will become the holder of Posts’s Active Nutrition business, which, effective as of the fiscal quarter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ended June 30, 2015, has been comprised of Premier Nutrition, Dymatize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GmbH, which manufactures and sells Active Nutrition products in certain international markets. We are a provider of highly nutritious, great-tasting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products including RTD protein shakes, other RTD beverages, powders, nutrition bars and nutritional supplements in the convenient nutrition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category. The following discussion contains references to the nine months ended June 30, 2019 and 2018 and the years ended September 30, 2018, 2017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2016, which represent the financial results of our predecessor, Active Nutrition, for the same periods.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success of companies in the convenient nutrition category is driven by how well such companies can grow, develop and differentiate their brands. We expect the convergence of several factors to support the continued growth of the convenient nutrition category, including:</w:t>
      </w:r>
    </w:p>
    <w:p>
      <w:pPr>
        <w:spacing w:after="0" w:line="29" w:lineRule="exact"/>
        <w:rPr>
          <w:sz w:val="20"/>
          <w:szCs w:val="20"/>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1" w:lineRule="exact"/>
        <w:rPr>
          <w:sz w:val="20"/>
          <w:szCs w:val="20"/>
          <w:color w:val="auto"/>
        </w:rPr>
      </w:pPr>
    </w:p>
    <w:p>
      <w:pPr>
        <w:ind w:left="1180" w:right="620" w:hanging="544"/>
        <w:spacing w:after="0" w:line="342" w:lineRule="auto"/>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highly competitive nature of the industry, which involves competition from a host of nutritional food and beverage companies, including manufacturers of other branded food and beverage products as well as manufacturers of private label products; and</w:t>
      </w:r>
    </w:p>
    <w:p>
      <w:pPr>
        <w:spacing w:after="0" w:line="29" w:lineRule="exact"/>
        <w:rPr>
          <w:rFonts w:ascii="Arial" w:cs="Arial" w:eastAsia="Arial" w:hAnsi="Arial"/>
          <w:sz w:val="16"/>
          <w:szCs w:val="16"/>
          <w:color w:val="auto"/>
        </w:rPr>
      </w:pPr>
    </w:p>
    <w:p>
      <w:pPr>
        <w:ind w:left="1180" w:right="300" w:hanging="544"/>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addition to the company trends described above, we also experienced short-term supply constraints for our RTD protein shakes during the nine months ended June 30, 2019. With the rapid consumption growth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have added significant capacity at our contract manufacturing partners in order to keep up with consumer demand. However, due to a combination of better than expected volume growth for our </w:t>
      </w: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RTD shakes in the second half of fiscal 2018 and delays in planned incremental production capacity by our third party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network, our customer demand exceeded our available capacity and resulted in inventory below acceptable levels at September 30, 2018. To increase inventory and to minimize the overall impact to customers and consumers, we temporarily reduced our available RTD protein shake flavors in the first quarter of fiscal 2019 from seven to its two best-selling flavors, chocolate and vanilla. This decision adversely impacted the year-over-year growth rate for the nine months ended June 30, 2019 compared to growth trends experienced in fiscal 2018 and 2017. During the second quarter of fiscal 2019, all flavors were re-introduced. With these actions as well as planned incremental capacity in the second half of fiscal 2019, we believe we will be able to meet expected customer demand and our inventory levels will be enough to accelerate our growth beyond that experienced since the beginning of fiscal 2019. At June 30, 2019, inventory had returned to normal levels and modest additional increases in inventory levels are expected through the end of fiscal 2019.</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consist of the following:</w:t>
      </w:r>
    </w:p>
    <w:p>
      <w:pPr>
        <w:spacing w:after="0" w:line="131" w:lineRule="exact"/>
        <w:rPr>
          <w:sz w:val="20"/>
          <w:szCs w:val="20"/>
          <w:color w:val="auto"/>
        </w:rPr>
      </w:pPr>
    </w:p>
    <w:p>
      <w:pPr>
        <w:ind w:left="1180" w:hanging="544"/>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cost of goods sold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1180" w:right="24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1180" w:right="20" w:hanging="544"/>
        <w:spacing w:after="0" w:line="276" w:lineRule="auto"/>
        <w:tabs>
          <w:tab w:leader="none" w:pos="11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 all packaging and ingredients used, for an agreed-upon tolling charge for each item produced as well as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77" w:lineRule="exact"/>
        <w:rPr>
          <w:rFonts w:ascii="Arial" w:cs="Arial" w:eastAsia="Arial" w:hAnsi="Arial"/>
          <w:sz w:val="17"/>
          <w:szCs w:val="17"/>
          <w:color w:val="auto"/>
        </w:rPr>
      </w:pPr>
    </w:p>
    <w:p>
      <w:pPr>
        <w:ind w:left="1180" w:right="240" w:hanging="544"/>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Our freight costs are impacted by fuel costs, as well as carrier availability.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included in selling, general and administrative expenses in the statements of operations include:</w:t>
      </w:r>
    </w:p>
    <w:p>
      <w:pPr>
        <w:spacing w:after="0" w:line="131" w:lineRule="exact"/>
        <w:rPr>
          <w:sz w:val="20"/>
          <w:szCs w:val="20"/>
          <w:color w:val="auto"/>
        </w:rPr>
      </w:pPr>
    </w:p>
    <w:p>
      <w:pPr>
        <w:ind w:left="1180" w:hanging="544"/>
        <w:spacing w:after="0"/>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corporate allocations</w:t>
      </w:r>
      <w:r>
        <w:rPr>
          <w:rFonts w:ascii="Arial" w:cs="Arial" w:eastAsia="Arial" w:hAnsi="Arial"/>
          <w:sz w:val="16"/>
          <w:szCs w:val="16"/>
          <w:color w:val="auto"/>
        </w:rPr>
        <w:t>, which include allocations from Post of general and administrative costs, including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costs related to the finance, information technology, legal, human resources, quality, supply chain and purchasing functions.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earnings before income taxes (“EBIT”) margins because of customer spending patterns and timing of promotional activity. Historically, our first fiscal quarter is seasonally low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During the nine months ended June 30, 2019 and 2018, “Earnings before Income Taxes” in the Condensed Combined Statements of Operations and Comprehensive Income were impacted by the following items:</w:t>
      </w:r>
    </w:p>
    <w:p>
      <w:pPr>
        <w:spacing w:after="0" w:line="76" w:lineRule="exact"/>
        <w:rPr>
          <w:sz w:val="20"/>
          <w:szCs w:val="20"/>
          <w:color w:val="auto"/>
        </w:rPr>
      </w:pPr>
    </w:p>
    <w:p>
      <w:pPr>
        <w:ind w:left="1180" w:right="320" w:hanging="544"/>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short-term supply constraints for our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separation costs of $4.0 million related to our separation from Post for the nine months ended June 30, 2019;</w:t>
      </w:r>
    </w:p>
    <w:p>
      <w:pPr>
        <w:spacing w:after="0" w:line="130" w:lineRule="exact"/>
        <w:rPr>
          <w:rFonts w:ascii="Arial" w:cs="Arial" w:eastAsia="Arial" w:hAnsi="Arial"/>
          <w:sz w:val="18"/>
          <w:szCs w:val="18"/>
          <w:color w:val="auto"/>
        </w:rPr>
      </w:pPr>
    </w:p>
    <w:p>
      <w:pPr>
        <w:ind w:left="1180" w:right="200" w:hanging="544"/>
        <w:spacing w:after="0" w:line="264"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of $5.3 million from selling expenses to net sales in the nine months ended June 30, 2019, in connection with the adoption of Accounting Standards Update (“ASU”) 2014-09, “Revenue from Contracts with Customers (Topic 606);” and</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nine months ended June 30,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1" w:lineRule="exact"/>
        <w:rPr>
          <w:sz w:val="20"/>
          <w:szCs w:val="20"/>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1180" w:right="460" w:hanging="544"/>
        <w:spacing w:after="0" w:line="277"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restructuring and plant closure costs of $5.0 million and losses on assets held for sale of $4.5 million in the year ended September 30, 2016.</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Nine months ended June 30, 2019 and 2018</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Active Nutrition</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7"/>
          </w:tcPr>
          <w:p>
            <w:pPr>
              <w:jc w:val="right"/>
              <w:ind w:right="240"/>
              <w:spacing w:after="0" w:line="142" w:lineRule="exact"/>
              <w:rPr>
                <w:sz w:val="20"/>
                <w:szCs w:val="20"/>
                <w:color w:val="auto"/>
              </w:rPr>
            </w:pPr>
            <w:r>
              <w:rPr>
                <w:rFonts w:ascii="Arial" w:cs="Arial" w:eastAsia="Arial" w:hAnsi="Arial"/>
                <w:sz w:val="14"/>
                <w:szCs w:val="14"/>
                <w:b w:val="1"/>
                <w:bCs w:val="1"/>
                <w:color w:val="auto"/>
              </w:rPr>
              <w:t>Nine Months Ended June 30,</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680" w:type="dxa"/>
            <w:vAlign w:val="bottom"/>
            <w:gridSpan w:val="2"/>
          </w:tcPr>
          <w:p>
            <w:pPr>
              <w:ind w:left="58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Change</w:t>
            </w:r>
          </w:p>
        </w:tc>
        <w:tc>
          <w:tcPr>
            <w:tcW w:w="8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639.9</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404.8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235.1</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EBIT Margin</w:t>
            </w:r>
          </w:p>
        </w:tc>
        <w:tc>
          <w:tcPr>
            <w:tcW w:w="444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3160" w:type="dxa"/>
            <w:vAlign w:val="bottom"/>
          </w:tcPr>
          <w:p>
            <w:pPr>
              <w:jc w:val="right"/>
              <w:ind w:right="235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4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3160" w:type="dxa"/>
            <w:vAlign w:val="bottom"/>
            <w:shd w:val="clear" w:color="auto" w:fill="CCEEFF"/>
          </w:tcPr>
          <w:p>
            <w:pPr>
              <w:jc w:val="right"/>
              <w:ind w:right="2350"/>
              <w:spacing w:after="0"/>
              <w:rPr>
                <w:sz w:val="20"/>
                <w:szCs w:val="20"/>
                <w:color w:val="auto"/>
              </w:rPr>
            </w:pPr>
            <w:r>
              <w:rPr>
                <w:rFonts w:ascii="Arial" w:cs="Arial" w:eastAsia="Arial" w:hAnsi="Arial"/>
                <w:sz w:val="18"/>
                <w:szCs w:val="18"/>
                <w:color w:val="auto"/>
              </w:rPr>
              <w:t>16%</w:t>
            </w: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190"/>
              <w:spacing w:after="0"/>
              <w:rPr>
                <w:sz w:val="20"/>
                <w:szCs w:val="20"/>
                <w:color w:val="auto"/>
              </w:rPr>
            </w:pPr>
            <w:r>
              <w:rPr>
                <w:rFonts w:ascii="Arial" w:cs="Arial" w:eastAsia="Arial" w:hAnsi="Arial"/>
                <w:sz w:val="18"/>
                <w:szCs w:val="18"/>
                <w:color w:val="auto"/>
              </w:rPr>
              <w:t>82</w:t>
            </w:r>
          </w:p>
        </w:tc>
        <w:tc>
          <w:tcPr>
            <w:tcW w:w="31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Net sales increased $32.3 million, or 5%, during the nine months ended June 30, 2019, as compared to the corresponding period in the prior year, primarily due to higher volume and higher average net selling prices.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$47.2 million, or 10%, with volume up 7%, primarily driven by increases in sales of RTD protein shake products, partially offset by lower sales of nutrition bars. Sales of RTD protein shakes in the nine months ended June 30, 2019 were positively impacted by a pull forward of orders by a large customer from the fourth quarter of fiscal 2019. However, increases in RTD protein shake product volumes for the nine months ended June 30, 2019 were below recent growth trends primarily due to short-term supply constraints (for further discussion, see “Industry &amp; Company Trends” above).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up $2.8 million, or 3%, with volume up 2%, primarily due to distribution gains in the club and mass channels and organic growth in the eCommerce channel, partially offset by declines in the specialty channel. Sales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were down $13.5 million, or 28%, with volume down 31%, driven by distribution losses and strategic sales reductions of low performing products within our North American portfolio. Sales of all other products were down $4.2 million. Current year net sales were impacted by the reclassification of certain payments to customers of $5.3 million from selling expenses to net sales in connection with the adoption of ASU 2014-09 (see below for further discussion).</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EBIT increased $43.7 million, or 53%, for the nine months ended June 30, 2019, as compared to the corresponding period in the prior year. EBIT in the nine months ended June 30, 2018 was impacted by a litigation settlement accrual of $9.0 million. Excluding this impact, EBIT increased</w:t>
      </w:r>
    </w:p>
    <w:p>
      <w:pPr>
        <w:ind w:left="200" w:right="40"/>
        <w:spacing w:after="0" w:line="253" w:lineRule="auto"/>
        <w:rPr>
          <w:sz w:val="20"/>
          <w:szCs w:val="20"/>
          <w:color w:val="auto"/>
        </w:rPr>
      </w:pPr>
      <w:r>
        <w:rPr>
          <w:rFonts w:ascii="Arial" w:cs="Arial" w:eastAsia="Arial" w:hAnsi="Arial"/>
          <w:sz w:val="18"/>
          <w:szCs w:val="18"/>
          <w:color w:val="auto"/>
        </w:rPr>
        <w:t>$34.7 million, or 38%. Gross profit margins improved to 37% in the nine months ended June 30, 2019, from 34% in the prior year period. These increases were driven by higher average net selling prices, as previously discussed, lower net product costs of $16.0 million, as favorable raw materials and freight costs were partially offset by increased manufacturing costs, and reduced advertising and consumer spending of $7.4 million. These positive impacts were partially offset by higher employee-related expenses and increased corporate cost allocations of $5.0 million driven primarily by costs incurred related to our separation from Post.</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effective income tax rate was 23.8% and 15.8% for the nine months ended June 30, 2019 and 2018, respectively. In accordance with Accounting Standards Codification (“ASC”) Topic 740, “Income Taxes,” income tax expense is recorded for interim periods using the estimated annual effective income tax rate for the full fiscal year adjusted for the impact of discrete items occurring during the interim periods.</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was prorated with the pre-December 22, 2017 U.S. federal corporate income tax rate of 35% for the 2018 tax year. This proration resulted in a blended U.S. federal corporate income tax rate of 24.5% for fiscal 2018. During the nine months ended June, 2018, Active Nutrition (i) remeasured its existing deferred tax assets and liabilities considering both the 2018 fiscal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 payments to customers were reclassified from “Selling, general and administrative expenses” to “Net Sales” in the Condensed Combined Statement of Operations and Comprehensive Income for the nine months ended June 30, 2019. For additional information regarding ASU 2014-09, refer to Note 3 of “Notes to Condensed Combined Financial Statements” for the nine months ended June 30, 2019 and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Active Nutrition</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 in millions; favorable/(unfavorable)</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rPr>
              <w:t>Year Ended September 30,</w:t>
            </w: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7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Change</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549.8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467.4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395.5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277.7</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Earnings before Income Taxes</w:t>
            </w: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Pr>
          <w:p>
            <w:pPr>
              <w:ind w:left="340"/>
              <w:spacing w:after="0"/>
              <w:rPr>
                <w:sz w:val="20"/>
                <w:szCs w:val="20"/>
                <w:color w:val="auto"/>
              </w:rPr>
            </w:pPr>
            <w:r>
              <w:rPr>
                <w:rFonts w:ascii="Arial" w:cs="Arial" w:eastAsia="Arial" w:hAnsi="Arial"/>
                <w:sz w:val="18"/>
                <w:szCs w:val="18"/>
                <w:b w:val="1"/>
                <w:bCs w:val="1"/>
                <w:color w:val="auto"/>
              </w:rPr>
              <w:t>Net Earnings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34%</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34%</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EBIT Margin</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1960" w:type="dxa"/>
            <w:vAlign w:val="bottom"/>
          </w:tcPr>
          <w:p>
            <w:pPr>
              <w:jc w:val="right"/>
              <w:ind w:right="1230"/>
              <w:spacing w:after="0"/>
              <w:rPr>
                <w:sz w:val="20"/>
                <w:szCs w:val="20"/>
                <w:color w:val="auto"/>
              </w:rPr>
            </w:pPr>
            <w:r>
              <w:rPr>
                <w:rFonts w:ascii="Arial" w:cs="Arial" w:eastAsia="Arial" w:hAnsi="Arial"/>
                <w:sz w:val="18"/>
                <w:szCs w:val="18"/>
                <w:color w:val="auto"/>
              </w:rPr>
              <w:t>9%</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2760" w:type="dxa"/>
            <w:vAlign w:val="bottom"/>
          </w:tcPr>
          <w:p>
            <w:pPr>
              <w:jc w:val="right"/>
              <w:ind w:right="20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c>
          <w:tcPr>
            <w:tcW w:w="19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46%</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w:t>
            </w:r>
          </w:p>
        </w:tc>
        <w:tc>
          <w:tcPr>
            <w:tcW w:w="276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rPr>
              <w:t>37%</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impacts were partially offset by new product introductions and favorable foreign exchange rates. Sales of all other products were up $0.3 million.</w:t>
      </w:r>
    </w:p>
    <w:p>
      <w:pPr>
        <w:spacing w:after="0" w:line="3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EBIT increased $54.2 million, or 83%, for the year ended September 30, 2018. EBIT in the year ended September 30, 2018 was impacted by a litigation settlement accrual of $9.0 million and in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 xml:space="preserve">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Net sales increased $138.5 million, or 24%, during the year ended September 30, 2017, as compared to the corresponding period in the prior year. Sales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down $4.8 million, or 4%, primarily due to weakness in the domestic specialty channel and higher promotional activity, partially offset by an increase in volume of 10%. The increase in volume is primarily the result of distribution gains in the eCommerce channel and international growth. Sales of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8"/>
          <w:szCs w:val="18"/>
          <w:i w:val="1"/>
          <w:iCs w:val="1"/>
          <w:color w:val="auto"/>
        </w:rPr>
        <w:t>Supreme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and</w:t>
      </w:r>
      <w:r>
        <w:rPr>
          <w:rFonts w:ascii="Arial" w:cs="Arial" w:eastAsia="Arial" w:hAnsi="Arial"/>
          <w:sz w:val="18"/>
          <w:szCs w:val="18"/>
          <w:i w:val="1"/>
          <w:iCs w:val="1"/>
          <w:color w:val="auto"/>
        </w:rPr>
        <w:t xml:space="preserve"> Joint Juice </w:t>
      </w:r>
      <w:r>
        <w:rPr>
          <w:rFonts w:ascii="Arial" w:cs="Arial" w:eastAsia="Arial" w:hAnsi="Arial"/>
          <w:sz w:val="18"/>
          <w:szCs w:val="18"/>
          <w:color w:val="auto"/>
        </w:rPr>
        <w:t>products.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200" w:right="100" w:firstLine="441"/>
        <w:spacing w:after="0" w:line="288"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ind w:left="200" w:right="120"/>
        <w:spacing w:after="0" w:line="253"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Active Nutrition</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92"/>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160" w:hanging="436"/>
        <w:spacing w:after="0" w:line="264"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1" w:lineRule="exact"/>
        <w:rPr>
          <w:sz w:val="20"/>
          <w:szCs w:val="20"/>
          <w:color w:val="auto"/>
        </w:rPr>
      </w:pPr>
    </w:p>
    <w:p>
      <w:pPr>
        <w:ind w:left="200" w:right="80" w:firstLine="441"/>
        <w:spacing w:after="0" w:line="284"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is prorated with the pre-December 22, 2017 U.S. federal corporate income tax rate of 35% for the 2018 tax year. This proration resulted in a blended U.S. federal corporate income tax rate of 24.5% for fiscal 2018. Adjustments were made in the following instances: (i) Active Nutrition remeasured its existing deferred tax assets and liabilities considering both the 2018 fiscal blended rate and the 21% rate for future periods and recorded a tax benefit of</w:t>
      </w:r>
    </w:p>
    <w:p>
      <w:pPr>
        <w:spacing w:after="0" w:line="1" w:lineRule="exact"/>
        <w:rPr>
          <w:sz w:val="20"/>
          <w:szCs w:val="20"/>
          <w:color w:val="auto"/>
        </w:rPr>
      </w:pPr>
    </w:p>
    <w:p>
      <w:pPr>
        <w:ind w:left="200" w:right="780"/>
        <w:spacing w:after="0" w:line="261" w:lineRule="auto"/>
        <w:rPr>
          <w:sz w:val="20"/>
          <w:szCs w:val="20"/>
          <w:color w:val="auto"/>
        </w:rPr>
      </w:pPr>
      <w:r>
        <w:rPr>
          <w:rFonts w:ascii="Arial" w:cs="Arial" w:eastAsia="Arial" w:hAnsi="Arial"/>
          <w:sz w:val="18"/>
          <w:szCs w:val="18"/>
          <w:color w:val="auto"/>
        </w:rPr>
        <w:t>$9.9 million and (ii) Active Nutrition calculated the one-time transition tax and recorded tax expense of $0.5 million. Full expensing of certain depreciable assets will result in a temporary difference as assets are placed in service.</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Active Nutrition</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5"/>
          </w:tcPr>
          <w:p>
            <w:pPr>
              <w:jc w:val="right"/>
              <w:ind w:right="240"/>
              <w:spacing w:after="0" w:line="119"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0"/>
                <w:szCs w:val="10"/>
                <w:color w:val="auto"/>
              </w:rPr>
            </w:pPr>
          </w:p>
        </w:tc>
        <w:tc>
          <w:tcPr>
            <w:tcW w:w="21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6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activities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100.5</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gridSpan w:val="3"/>
          </w:tcPr>
          <w:p>
            <w:pPr>
              <w:jc w:val="right"/>
              <w:ind w:right="379"/>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(99.5)</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(133.0)</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(7.5</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(1.1</w:t>
            </w:r>
          </w:p>
        </w:tc>
        <w:tc>
          <w:tcPr>
            <w:tcW w:w="500" w:type="dxa"/>
            <w:vAlign w:val="bottom"/>
          </w:tcPr>
          <w:p>
            <w:pPr>
              <w:jc w:val="right"/>
              <w:ind w:right="4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requirements are provided directly by Post and cash generated by us is generally remitted directly to Post. 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BellRing Brands, Inc. expects to receive net proceeds from this offering of approximately $ million (or approximately $ million if the underwriters exercise their over-allotment option in full), assuming the shares are offered at $ per share (the midpoint of the estimated offering price</w:t>
      </w:r>
    </w:p>
    <w:p>
      <w:pPr>
        <w:ind w:left="200" w:right="160"/>
        <w:spacing w:after="0" w:line="261" w:lineRule="auto"/>
        <w:rPr>
          <w:sz w:val="20"/>
          <w:szCs w:val="20"/>
          <w:color w:val="auto"/>
        </w:rPr>
      </w:pPr>
      <w:r>
        <w:rPr>
          <w:rFonts w:ascii="Arial" w:cs="Arial" w:eastAsia="Arial" w:hAnsi="Arial"/>
          <w:sz w:val="18"/>
          <w:szCs w:val="18"/>
          <w:color w:val="auto"/>
        </w:rPr>
        <w:t>range set forth on the cover page of this prospectus), after deducting underwriting discounts and commissions and estimated offering expenses payable by us.</w:t>
      </w:r>
    </w:p>
    <w:p>
      <w:pPr>
        <w:spacing w:after="0" w:line="18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Prior to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w:t>
      </w:r>
    </w:p>
    <w:p>
      <w:pPr>
        <w:spacing w:after="0" w:line="46"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debt facilities consisting of a $ million revolving credit facility and a $ million term loan facility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term loan portion of the debt facilities, will receive net</w:t>
      </w:r>
    </w:p>
    <w:p>
      <w:pPr>
        <w:spacing w:after="0" w:line="3" w:lineRule="exact"/>
        <w:rPr>
          <w:sz w:val="20"/>
          <w:szCs w:val="20"/>
          <w:color w:val="auto"/>
        </w:rPr>
      </w:pPr>
    </w:p>
    <w:p>
      <w:pPr>
        <w:ind w:left="200"/>
        <w:spacing w:after="0"/>
        <w:tabs>
          <w:tab w:leader="none" w:pos="2600" w:val="left"/>
        </w:tabs>
        <w:rPr>
          <w:sz w:val="20"/>
          <w:szCs w:val="20"/>
          <w:color w:val="auto"/>
        </w:rPr>
      </w:pPr>
      <w:r>
        <w:rPr>
          <w:rFonts w:ascii="Arial" w:cs="Arial" w:eastAsia="Arial" w:hAnsi="Arial"/>
          <w:sz w:val="18"/>
          <w:szCs w:val="18"/>
          <w:color w:val="auto"/>
        </w:rPr>
        <w:t>proceeds of approximately $</w:t>
      </w:r>
      <w:r>
        <w:rPr>
          <w:sz w:val="20"/>
          <w:szCs w:val="20"/>
          <w:color w:val="auto"/>
        </w:rPr>
        <w:tab/>
      </w:r>
      <w:r>
        <w:rPr>
          <w:rFonts w:ascii="Arial" w:cs="Arial" w:eastAsia="Arial" w:hAnsi="Arial"/>
          <w:sz w:val="16"/>
          <w:szCs w:val="16"/>
          <w:color w:val="auto"/>
        </w:rPr>
        <w:t>million, after deducting fees and expenses.</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w:t>
      </w:r>
    </w:p>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5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part of the formation transactions and this offering, BellRing Brands, LLC and its subsidiaries and BellRing Brands, Inc. will be designated “unrestricted subsidiaries” under Post’s senior note indentures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88"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Additionally, BellRing Brands, Inc. intends to enter into a tax receivable agreement with Post and BellRing Brands, LLC that will provide for the payment by BellRing Brands, Inc. or one of its subsidiaries to Post (or certain of its transferees or other assignees) of 85% of the amount of cash savings, if any, in U.S. federal income tax, as well as state and local income tax and franchise tax (using an assumed tax rate) and foreign tax that BellRing Brands, Inc. realizes (or, in some circumstances, BellRing Brands, Inc. is deemed to realize) as a result of (a) the increase in the tax basis of assets of BellRing Brands, LLC attributable to (i) the redemption of Post’s (or certain transferees’ or assignees’) BellRing Brands, LLC Units for shares of BellRing Brands, Inc.’s Class A common stock or cash, (ii) deemed sales by Post (or certain of its transferees or assignees) of BellRing Brands, LLC Units or assets to BellRing Brands, Inc., (iii) certain actual or deemed distributions from BellRing Brands, LLC to Post (or certain transferees or assignees) and (iv) certain formation transactions, (b) disproportionate allocations of tax benefits to BellRing Brands, Inc. as a result of Section 704(c) of the Code and (c) certain tax benefits (e.g., imputed interest, basis adjustments, etc.) attributable to payments under the tax receivable agreement.</w:t>
      </w:r>
    </w:p>
    <w:p>
      <w:pPr>
        <w:spacing w:after="0" w:line="16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2019 or fiscal 2020.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8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See “Certain Relationships and Related Party Transactions—Post-Offering Relationship with Post—Amended and Restated Limited Liability Company Agreement— Distributions and Allocations.” The amended and restated limited liability company agreement provides, to the extent cash is available, for distributions pro rata to the holders of BellRing Brands, LLC Units such that members receive an amount of cash sufficient to cover the estimated taxes payable by them including, in the case of BellRing Brands, Inc., an amount sufficient to allow BellRing Brands, Inc. to make any payments required under the tax receivable agreement.</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Cash provided by operating activities for the nine months ended June 30, 2019 decreased by $41.1 million compared to the prior year period. The decrease was driven by unfavorable working capital changes of $85.9 million, partially offset by higher earnings before income taxes. Changes in working capital were primarily driven by the impacts of fluctuations in the timing of sales largely connected with the reintroduction of all </w:t>
      </w:r>
      <w:r>
        <w:rPr>
          <w:rFonts w:ascii="Arial" w:cs="Arial" w:eastAsia="Arial" w:hAnsi="Arial"/>
          <w:sz w:val="18"/>
          <w:szCs w:val="18"/>
          <w:i w:val="1"/>
          <w:iCs w:val="1"/>
          <w:color w:val="auto"/>
        </w:rPr>
        <w:t>Premier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Protein </w:t>
      </w:r>
      <w:r>
        <w:rPr>
          <w:rFonts w:ascii="Arial" w:cs="Arial" w:eastAsia="Arial" w:hAnsi="Arial"/>
          <w:sz w:val="18"/>
          <w:szCs w:val="18"/>
          <w:color w:val="auto"/>
        </w:rPr>
        <w:t>RTD shake flavors in the second quarter of fiscal 2019 (for further discussion, see “Industry &amp;</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 xml:space="preserve">Company Trends” above) and fluctuations in the timing of purchases and payments of trade payables. Additionally, working capital was impacted in the fiscal 2019 period by 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the timing of purchases and payments of trade payables and an increase in accrued legal settlements, partially offset by increased receivables due to higher net sales.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provided by operating activities for the year ended September 30, 2017 increased by $39.6 million compared to the year ended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Cash used in investing activities for the nine months ended June 30, 2019 decreased by $0.4 million compared to the prior year period, resulting from a decrease in 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Nine months ended June 30, 2019 compared to 2018</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Cash used in financing activities for the nine months ended June 30, 2019 decreased $34.5 million compared to the prior year period. Financing activities primarily related to cash transfers to and from Post.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components of net transfers included cash deposits from Active Nutrition to Post and cash borrowings received from Post used to fund operations or capital expenditures and allocations of Post’s corporate expenses (see Note 8 of “Notes to Condensed Combined Financial Statements” for the nine months ended June 30, 2019 and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2018 increased $49.0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1100" w:type="dxa"/>
            <w:vAlign w:val="bottom"/>
            <w:gridSpan w:val="3"/>
          </w:tcPr>
          <w:p>
            <w:pPr>
              <w:ind w:left="460"/>
              <w:spacing w:after="0"/>
              <w:rPr>
                <w:sz w:val="20"/>
                <w:szCs w:val="20"/>
                <w:color w:val="auto"/>
              </w:rPr>
            </w:pPr>
            <w:r>
              <w:rPr>
                <w:rFonts w:ascii="Arial" w:cs="Arial" w:eastAsia="Arial" w:hAnsi="Arial"/>
                <w:sz w:val="14"/>
                <w:szCs w:val="14"/>
                <w:b w:val="1"/>
                <w:bCs w:val="1"/>
                <w:color w:val="auto"/>
                <w:w w:val="89"/>
              </w:rPr>
              <w:t>Less Than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1-3 Years</w:t>
            </w:r>
          </w:p>
        </w:tc>
        <w:tc>
          <w:tcPr>
            <w:tcW w:w="10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9"/>
              </w:rPr>
              <w:t>3-5 Years</w:t>
            </w:r>
          </w:p>
        </w:tc>
        <w:tc>
          <w:tcPr>
            <w:tcW w:w="12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$ 114.3</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20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$ 119.5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60" w:hanging="436"/>
        <w:spacing w:after="0" w:line="256"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ind w:left="640" w:right="760" w:hanging="436"/>
        <w:spacing w:after="0" w:line="250"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640" w:right="180" w:hanging="436"/>
        <w:spacing w:after="0" w:line="255"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COMMODITY TRENDS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2018, 2017 and 2016, but could have a material impact in the future if inflation rates were to significantly exceed our ability to achieve price increases.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CURRENCY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88"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77" w:lineRule="exact"/>
        <w:rPr>
          <w:sz w:val="20"/>
          <w:szCs w:val="20"/>
          <w:color w:val="auto"/>
        </w:rPr>
      </w:pPr>
    </w:p>
    <w:p>
      <w:pPr>
        <w:ind w:left="200" w:right="380" w:firstLine="441"/>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–Revenue is recognized when title of goods is transferred to the customer, as specified by the shipping terms.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gross sales, including amounts billed to customers for shipping and handling, less sales discounts and trade allowances. Customer trade allowances are generally computed as a</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178"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3"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 for</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5" w:lineRule="exact"/>
        <w:rPr>
          <w:sz w:val="20"/>
          <w:szCs w:val="20"/>
          <w:color w:val="auto"/>
        </w:rPr>
      </w:pPr>
    </w:p>
    <w:p>
      <w:pPr>
        <w:ind w:left="200" w:firstLine="441"/>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the cost of acquired businesses over the fair market value of their identifiable net assets. We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of its reporting units.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 unit. The estimated fair values of each reporting unit were determined using a combined income and market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 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6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require step two of the analysis prescribed prior to the adoption of ASU 2017-04, Active Nutrition recorded an impairment charge of goodwill down to fair value. At the time of the analysis, the Dymatize reporting unit had $26.5 million of remaining goodwill, and therefore an impairment charge was recorded for the entire goodwill balance of $26.5 million.</w:t>
      </w:r>
    </w:p>
    <w:p>
      <w:pPr>
        <w:spacing w:after="0" w:line="16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exceeded their carrying values by more than 100%.</w:t>
      </w:r>
    </w:p>
    <w:p>
      <w:pPr>
        <w:spacing w:after="0" w:line="184" w:lineRule="exact"/>
        <w:rPr>
          <w:sz w:val="20"/>
          <w:szCs w:val="20"/>
          <w:color w:val="auto"/>
        </w:rPr>
      </w:pPr>
    </w:p>
    <w:p>
      <w:pPr>
        <w:ind w:left="200" w:right="40" w:firstLine="441"/>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nine months ended June 30, 2019 and 2018 for more information about estimates affecting income taxes.</w:t>
      </w:r>
    </w:p>
    <w:p>
      <w:pPr>
        <w:spacing w:after="0" w:line="39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nine months ended June 30, 2019 and 2018 for a discussion regarding recently issued and adopted accounting standards.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240" w:top="459" w:right="5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target a broad range of consumers and compete in all major product forms, including RTD protein shakes, powders and nutrition bars. Our products are distributed across a diverse network of channels including club, FDM, eCommerce, convenience and specialty. Our vision is to create a healthier world where EVERYONE actively seeks and has access to great-tasting nutrition. Our commitment to consumers is to strive to make highly effective products that deliver best-in-class nutritionals and superior taste. Our Company is guided by the following core values:</w:t>
      </w:r>
    </w:p>
    <w:p>
      <w:pPr>
        <w:spacing w:after="0" w:line="84" w:lineRule="exact"/>
        <w:rPr>
          <w:sz w:val="20"/>
          <w:szCs w:val="20"/>
          <w:color w:val="auto"/>
        </w:rPr>
      </w:pPr>
    </w:p>
    <w:p>
      <w:pPr>
        <w:ind w:left="1180" w:right="98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80" w:right="160" w:hanging="544"/>
        <w:spacing w:after="0" w:line="264"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is not always easy (or enjoyable) to be healthy. This is why we never compromise on our commitment to strive to make highly effective products that deliver best-in-class nutritionals and superior taste.</w:t>
      </w:r>
    </w:p>
    <w:p>
      <w:pPr>
        <w:spacing w:after="0" w:line="86"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1180" w:right="380" w:hanging="544"/>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 xml:space="preserve">Our largest brand,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was the brand in the U.S. convenient nutrition category with the greatest growth according to Nielsen data for Total US xAOC including Convenience for the 52 week period ended January 16, 2019, continues, we believe, to have strong growth within the category and is positioned to appeal to mainstream consumers focused on healthy nutrition.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which comprise the majority of our net sales, hold the #1 share position in RTD protein shakes as measured by Nielsen household panel data for all outlets for the 52 week period ended December 29, 2018.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grew at a CAGR of 42% from fiscal 2016 to fiscal 2018. Our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brand is a market leader targeting fitness enthusiasts, who value the brand for its science-based product development and athletic performance focus. Our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is one of the most well-known brands in the convenient nutrition category based on a survey powered by Qualtrics performed in February 2019 and targets a range of consumers from committed athletes to active individuals.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169545</wp:posOffset>
            </wp:positionV>
            <wp:extent cx="5120005" cy="31559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2000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840"/>
        <w:spacing w:after="0"/>
        <w:tabs>
          <w:tab w:leader="none" w:pos="698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866130" cy="18783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6613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12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60"/>
          </w:cols>
          <w:pgMar w:left="24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where we have the largest presence, is the fastest-growing need state in the category based on Nielsen data for Total US xAOC including Convenience for 2014 to 2018 and spans a range of consumption occasions, including breakfast, snack, meal replacement and treat. In the U.S., management estimates that the everyday nutrition need state accounted for $3.0 billion in sales for the 52 week period ended November 24, 2018 and grew at a 20% CAGR from 2014 to 2018, based on data from Nielsen for Total US xAOC including Convenience.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75"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based on Nielsen household panel data for the 52 week period ended December 29, 2018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8"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were formed as a Delaware corporation in 2019 for the purpose of completing this offering. Upon completion of the formation transactions, BellRing Brands, LLC will become the holder of Post’s Active Nutrition business, which, effective as of the fiscal quarter ended June 30, 2015, has been comprised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8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 xml:space="preserve">In fiscal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i w:val="1"/>
          <w:iCs w:val="1"/>
          <w:color w:val="auto"/>
        </w:rPr>
        <w:t xml:space="preserve">Joint Juice </w:t>
      </w:r>
      <w:r>
        <w:rPr>
          <w:rFonts w:ascii="Arial" w:cs="Arial" w:eastAsia="Arial" w:hAnsi="Arial"/>
          <w:sz w:val="16"/>
          <w:szCs w:val="16"/>
          <w:color w:val="auto"/>
        </w:rPr>
        <w:t>brand. Premier Nutrition, Inc. was founded in 1997, and Joint Juice, Inc. was founded in 1999. In 2011, Joint Juice, Inc. acquired the</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brand and related assets from Premier Nutrition, Inc. via a corporate restructuring, and the resulting entity assumed the name Premier Nutrition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Premier 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54"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and nutrition bars under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Dymatize Enterprises was founded in 1994. At the time of the acquisition,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7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 xml:space="preserve">In fiscal 2015, Post acquired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brands, Active Nutrition International (formerly known as PowerBar Europe GmbH) and manufacturing facilities in Boise, Idaho and Voerde, Germany.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was founded in 1986. In fiscal 2015, Post sold the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 In that same fiscal year, Post also ceased all production at, and thereafter sold, the Boise manufacturing facility. All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operate in the $32.7 billion global convenient nutrition category based on Euromonitor data for 2018, a rapidly-growing and on-trend category within food and beverage. The U.S. is our primary market and is the largest and most developed market in the world, accounting for $17.1 billion of category sales in 2018 based on Euromonitor data. In the U.S., based on Euromonitor data, the convenient nutrition category grew at a CAGR of 9% from 2014 to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approximately 38% of the U.S. market is comprised of tracked channels with the remaining 62% in untracked channels (Costco, eCommerce, natural, specialty, vending and foodservice). Bars, RTDs and powders are the three primary product forms in the U.S. According to Nielsen data for Total US xAOC including Convenience for the 52 week period ended December 29, 2018, bars have a 46% dollar share, RTDs have a 39% dollar share, powders have an 11% dollar share and other product forms have a 3% dollar share (numbers do not add to 100% due to rounding). However, management believes the powder share for the total U.S. market (tracked and untracked) is significantly greater than the 11% share in tracked channels.</w:t>
      </w: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Tracked Channels</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160655</wp:posOffset>
            </wp:positionV>
            <wp:extent cx="2752725" cy="2452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5272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Source: Nielsen, Total US xAOC including Convenience, 52 week period ended 12/29/2018</w:t>
      </w:r>
    </w:p>
    <w:p>
      <w:pPr>
        <w:spacing w:after="0" w:line="96" w:lineRule="exact"/>
        <w:rPr>
          <w:sz w:val="20"/>
          <w:szCs w:val="20"/>
          <w:color w:val="auto"/>
        </w:rPr>
      </w:pPr>
    </w:p>
    <w:p>
      <w:pPr>
        <w:ind w:left="306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category study performed by Seurat Group in May 2018: everyday nutrition, adult nutrition, sports nutrition and weight management. Using data from Nielsen for Total US xAOC including Convenience for the 52 week period ended November 24, 2018, management estimates that, excluding the private label sales from the category (which accounts for 5% of the sales in the category), everyday nutrition represents a 49% share of the category, adult nutrition represents a 17% share of the category, sports nutrition represents a 17% share of the category and weight management represents a 16% share of the category (numbers do not add to 100% due to rounding).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169545</wp:posOffset>
            </wp:positionV>
            <wp:extent cx="5017135" cy="4185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1713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 xml:space="preserve">Everyday nutrition is the largest, fastest-growing need state in the category based on Nielsen data for Total US xAOC including Convenience for 2014 to 2018 and spans a range of consumption occasions (breakfast, snack, meal replacement and treat).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developed brand equities and product value propositions to appeal to a broad range of consumer need states.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brands are focused primarily on sports nutrition, which we define as consumers looking to supplement sports endurance and body building needs.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Nielsen 2018 Consumer Insights article shows U.S. consumers have a growing appetite for protein with 55% of U.S. households indicating that protein is now an important attribute to consider when buying food for their households. In addition, the IRI 2016 State of the Snack Food Industry report highlights that consumers are increasingly eating smaller meals more frequently throughout the day and 46% of consumers snack more than three times a day.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“Mainstreaming” convenient nutrition is fueling growth in the category across all forms, with total U.S. household penetration reaching 54% for the 52 week period ended June 30, 2018 (an increase from 52% for a comparable period in 2017) according to Nielsen household panel data for all outlets. Nutritional drinks, including protein shakes, are increasingly being used as convenient and nutritious meal replacements, as illustrated by a 2016 Mintel report revealing that 39% of consumers use nutritional and performance drinks as a substitute for breakfast. In addition, according to the same report, three in five consumers use nutritional and performance drinks as a meal replacement, and 48% of consumers consume them as part of a meal, up from just 20% in 2012. Protein powders are gaining more shelf space in traditional retail channels such as grocery and convenience based on Nielsen data for Total US xAOC including Convenience for 2017 to 2018. Management believes there is a significant growth opportunity in liquids and powders as household penetration for the 52 week period ended December 29, 2018 according to Nielsen household panel data for all outlets was only 23% for liquids and 11% for powders, compared to 43% for bars.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U.S. market is the largest and most developed market in the convenient nutrition category. However, we believe the international market remains a sizeable and underdeveloped opportunity where our Company is positioned for success. The $15.6 billion international convenient nutrition category based on Euromonitor data for 2018 consists of developed established markets such as Western Europe, the U.K., Japan and Australia and large emerging markets such as China, India and Brazil.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Additionally, as the IRI 2016 State of the Snack Food Industry report highlights,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according to Nielsen household panel data for all outlets. These statistics, together with a modest household penetration of just 5% for our RTD protein shakes for the 52 week period ended December 29, 2018 according to Nielsen household panel data for all outlets, demonstrate our significant room for further growth.</w:t>
      </w:r>
    </w:p>
    <w:p>
      <w:pPr>
        <w:spacing w:after="0" w:line="18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largest brand and is positioned to appeal to mainstream consumers seeking convenient, delicious protein products they can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enjoy throughout the day. Our flagship 11 ounce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based on Nielsen household panel data for all outlets for the 52 week period ended December 29, 2018.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RTD category based on Nielsen household panel data for all outlets for the 52 week period ended December 29, 2018.</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8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7"/>
          <w:szCs w:val="17"/>
          <w:i w:val="1"/>
          <w:iCs w:val="1"/>
          <w:color w:val="auto"/>
        </w:rPr>
        <w:t xml:space="preserve">PowerBar </w:t>
      </w:r>
      <w:r>
        <w:rPr>
          <w:rFonts w:ascii="Arial" w:cs="Arial" w:eastAsia="Arial" w:hAnsi="Arial"/>
          <w:sz w:val="17"/>
          <w:szCs w:val="17"/>
          <w:color w:val="auto"/>
        </w:rPr>
        <w:t>is positioned as a high-quality brand both in the U.S. and internationally and has a notable presence in Western Europe.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portfolio to include new flavors, high protein Clear RTD beverages, powders and nutrition bars.</w:t>
      </w:r>
    </w:p>
    <w:p>
      <w:pPr>
        <w:spacing w:after="0" w:line="17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has expanded its product portfolio to include a natural vegan protein bar and protein bars fortified with calcium and magnesium.</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major club and mass customers.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200" w:right="520" w:firstLine="441"/>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 as they arise.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3"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141605</wp:posOffset>
            </wp:positionV>
            <wp:extent cx="4853940" cy="38931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5394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 our largest brand, holds the #1 share position in RTD protein shakes as measured by Nielsen household panel data for all outlets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52 week period ended December 29, 2018. However,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household penetration is 5% (compared to 23% for liquids in the convenient nutrition category) for the 52 week period ended December 29, 2018 according to Nielsen household panel data for all outlets, which we believe provides significant opportunity for further expansion. 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play in healthy and active lifestyles. We plan to continue 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January 26,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7"/>
          <w:szCs w:val="17"/>
          <w:i w:val="1"/>
          <w:iCs w:val="1"/>
          <w:color w:val="auto"/>
        </w:rPr>
        <w:t>Dymatize</w:t>
      </w:r>
      <w:r>
        <w:rPr>
          <w:rFonts w:ascii="Arial" w:cs="Arial" w:eastAsia="Arial" w:hAnsi="Arial"/>
          <w:sz w:val="17"/>
          <w:szCs w:val="17"/>
          <w:color w:val="auto"/>
        </w:rPr>
        <w:t>, which recently entered into the club and mass channels, also is already experiencing strong velocities versus its competitors based on data from Nielsen for Total US xAOC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since the end of fiscal 2015 and accounted for 25% of fiscal 2018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We expect to introduce two additional flavors in the fall of 2019. We also have improved the taste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powder and nutrition bar formulations to ensure we continue to delight consumers. We believe our new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powder offering is already generating top 10% category velocities in FDM in less than twelve months based on Nielsen tracked channels data for the 52 week period ended February 23,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nutrition bars achieved the first and second highest velocities for bars according to German Nielsen data for December 2018 and, we believe, continue to have strong growth in Germany.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February 23, 2019. We launched this platform across both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and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The </w:t>
      </w:r>
      <w:r>
        <w:rPr>
          <w:rFonts w:ascii="Arial" w:cs="Arial" w:eastAsia="Arial" w:hAnsi="Arial"/>
          <w:sz w:val="16"/>
          <w:szCs w:val="16"/>
          <w:i w:val="1"/>
          <w:iCs w:val="1"/>
          <w:color w:val="auto"/>
        </w:rPr>
        <w:t>Premier Protein Clear</w:t>
      </w:r>
      <w:r>
        <w:rPr>
          <w:rFonts w:ascii="Arial" w:cs="Arial" w:eastAsia="Arial" w:hAnsi="Arial"/>
          <w:sz w:val="16"/>
          <w:szCs w:val="16"/>
          <w:color w:val="auto"/>
        </w:rPr>
        <w:t xml:space="preserve"> RTD product is now distributed nationwide in Costco and other key retailers. </w:t>
      </w:r>
      <w:r>
        <w:rPr>
          <w:rFonts w:ascii="Arial" w:cs="Arial" w:eastAsia="Arial" w:hAnsi="Arial"/>
          <w:sz w:val="16"/>
          <w:szCs w:val="16"/>
          <w:i w:val="1"/>
          <w:iCs w:val="1"/>
          <w:color w:val="auto"/>
        </w:rPr>
        <w:t xml:space="preserve">Dymatize </w:t>
      </w:r>
      <w:r>
        <w:rPr>
          <w:rFonts w:ascii="Arial" w:cs="Arial" w:eastAsia="Arial" w:hAnsi="Arial"/>
          <w:sz w:val="16"/>
          <w:szCs w:val="16"/>
          <w:color w:val="auto"/>
        </w:rPr>
        <w:t>continues to be a leader in disruptive product innovation with several leading products for its core enthusiasts, the most recent being</w:t>
      </w:r>
      <w:r>
        <w:rPr>
          <w:rFonts w:ascii="Arial" w:cs="Arial" w:eastAsia="Arial" w:hAnsi="Arial"/>
          <w:sz w:val="16"/>
          <w:szCs w:val="16"/>
          <w:i w:val="1"/>
          <w:iCs w:val="1"/>
          <w:color w:val="auto"/>
        </w:rPr>
        <w:t xml:space="preserve"> All9 Amino</w:t>
      </w:r>
      <w:r>
        <w:rPr>
          <w:rFonts w:ascii="Arial" w:cs="Arial" w:eastAsia="Arial" w:hAnsi="Arial"/>
          <w:sz w:val="16"/>
          <w:szCs w:val="16"/>
          <w:color w:val="auto"/>
        </w:rPr>
        <w:t>, a supplement that provides the nine essential amino acids for optimal muscle protein synthesis.</w:t>
      </w:r>
    </w:p>
    <w:p>
      <w:pPr>
        <w:spacing w:after="0" w:line="169"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1"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 xml:space="preserve">We have an established and growing international business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continue distribution momentum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We are seeking to expand our wholesale and direct-to-consumer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business with specific emphasis on growing sales of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We are focused on leveraging recent marketing investments to accelerate FDM expansion of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in Western Europe, while continuing to maintain a strong presence in the specialty channel, which drives brand awareness.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intend to drive the expansion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by offering a wider range of products in the FDM channel and investing behind our existing eCommerce platform.</w:t>
      </w:r>
    </w:p>
    <w:p>
      <w:pPr>
        <w:spacing w:after="0" w:line="192"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a leading mainstream, lifestyle brand in the convenient nutrition category, holding the #1 share position in the U.S. convenient</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RTD category as measured by Nielsen household panel data for all outlets for the 52 week period ended December 29, 2018.</w:t>
      </w:r>
    </w:p>
    <w:p>
      <w:pPr>
        <w:spacing w:after="0" w:line="124"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 and appeal to a broad range of consumer need states. As a result, it has been one of the few brands in the category that has successfully expanded across consumer types as well as product forms.</w:t>
      </w:r>
    </w:p>
    <w:p>
      <w:pPr>
        <w:spacing w:after="0" w:line="17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was the RTD protein beverage brand in the U.S. convenient nutrition category with the greatest growth based on Nielsen data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Total US xAOC including Convenience the 52 week period ended January 16, 2019 and continues, we believe, to have strong growth within the category. In Nielsen tracked channels, our RTD protein shake sales have organically grown at a 68% CAGR from 2015 to 2018 based on Nielsen data for Total US xAOC including Convenience, considerably outpacing the broader category.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growth over this period has expanded the broader convenient nutrition category, driving 53% of convenient nutrition RTD category growth according to Nielsen data for Total US xAOC including Convenience for the 52 week period ended January 26, 2019. </w:t>
      </w:r>
      <w:r>
        <w:rPr>
          <w:rFonts w:ascii="Arial" w:cs="Arial" w:eastAsia="Arial" w:hAnsi="Arial"/>
          <w:sz w:val="17"/>
          <w:szCs w:val="17"/>
          <w:i w:val="1"/>
          <w:iCs w:val="1"/>
          <w:color w:val="auto"/>
        </w:rPr>
        <w:t>Premier Protein</w:t>
      </w:r>
      <w:r>
        <w:rPr>
          <w:rFonts w:ascii="Arial" w:cs="Arial" w:eastAsia="Arial" w:hAnsi="Arial"/>
          <w:sz w:val="17"/>
          <w:szCs w:val="17"/>
          <w:color w:val="auto"/>
        </w:rPr>
        <w:t>’s organic growth is fueled by our consumers’ loyalty to and love for the brand and its products, as new users are often introduced by their friends, families or health care providers.</w:t>
      </w:r>
    </w:p>
    <w:p>
      <w:pPr>
        <w:spacing w:after="0" w:line="17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characteristics and category-leading consumer loyalty differentiate the brand from its competitors. Based on Nielsen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consumer metrics, we believe the brand’s RTD protein shakes outpace the competition in buy rate, purchase size, repeat rate and share of requirements. Despite these metrics, according to Nielsen household panel data for all outlets for the 52 week period ended December 29, 2018, </w:t>
      </w:r>
      <w:r>
        <w:rPr>
          <w:rFonts w:ascii="Arial" w:cs="Arial" w:eastAsia="Arial" w:hAnsi="Arial"/>
          <w:sz w:val="18"/>
          <w:szCs w:val="18"/>
          <w:i w:val="1"/>
          <w:iCs w:val="1"/>
          <w:color w:val="auto"/>
        </w:rPr>
        <w:t>Premier Protein</w:t>
      </w:r>
      <w:r>
        <w:rPr>
          <w:rFonts w:ascii="Arial" w:cs="Arial" w:eastAsia="Arial" w:hAnsi="Arial"/>
          <w:sz w:val="18"/>
          <w:szCs w:val="18"/>
          <w:color w:val="auto"/>
        </w:rPr>
        <w:t>’s U.S. household penetration rate of 5% remains well below the household penetration rate for liquids in the convenient nutrition category of 23%, which we believe underscores the brand’s significant runway for growth.</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w w:val="96"/>
              </w:rPr>
              <w:t>Key Metric: Nielsen Household Panel, All Outlets, 52 week period ended 12/29/18</w:t>
            </w:r>
          </w:p>
        </w:tc>
        <w:tc>
          <w:tcPr>
            <w:tcW w:w="2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tcPr>
          <w:p>
            <w:pPr>
              <w:jc w:val="right"/>
              <w:ind w:right="139"/>
              <w:spacing w:after="0"/>
              <w:rPr>
                <w:sz w:val="20"/>
                <w:szCs w:val="20"/>
                <w:color w:val="auto"/>
              </w:rPr>
            </w:pPr>
            <w:r>
              <w:rPr>
                <w:rFonts w:ascii="Arial" w:cs="Arial" w:eastAsia="Arial" w:hAnsi="Arial"/>
                <w:sz w:val="14"/>
                <w:szCs w:val="14"/>
                <w:b w:val="1"/>
                <w:bCs w:val="1"/>
                <w:color w:val="auto"/>
              </w:rPr>
              <w:t>Premier Protein RTD Shakes</w:t>
            </w:r>
          </w:p>
        </w:tc>
      </w:tr>
      <w:tr>
        <w:trPr>
          <w:trHeight w:val="210"/>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Buy Rate</w:t>
            </w:r>
          </w:p>
        </w:tc>
        <w:tc>
          <w:tcPr>
            <w:tcW w:w="2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rPr>
              <w:t>$ 76.5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 Size</w:t>
            </w:r>
          </w:p>
        </w:tc>
        <w:tc>
          <w:tcPr>
            <w:tcW w:w="5860" w:type="dxa"/>
            <w:vAlign w:val="bottom"/>
            <w:gridSpan w:val="3"/>
          </w:tcPr>
          <w:p>
            <w:pPr>
              <w:jc w:val="right"/>
              <w:ind w:right="819"/>
              <w:spacing w:after="0"/>
              <w:rPr>
                <w:sz w:val="20"/>
                <w:szCs w:val="20"/>
                <w:color w:val="auto"/>
              </w:rPr>
            </w:pPr>
            <w:r>
              <w:rPr>
                <w:rFonts w:ascii="Arial" w:cs="Arial" w:eastAsia="Arial" w:hAnsi="Arial"/>
                <w:sz w:val="18"/>
                <w:szCs w:val="18"/>
                <w:color w:val="auto"/>
              </w:rPr>
              <w:t>$ 23.6</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Repeat Rate</w:t>
            </w:r>
          </w:p>
        </w:tc>
        <w:tc>
          <w:tcPr>
            <w:tcW w:w="5860" w:type="dxa"/>
            <w:vAlign w:val="bottom"/>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Share of Requirements (Loyalty)</w:t>
            </w:r>
          </w:p>
        </w:tc>
        <w:tc>
          <w:tcPr>
            <w:tcW w:w="5860" w:type="dxa"/>
            <w:vAlign w:val="bottom"/>
            <w:gridSpan w:val="3"/>
          </w:tcPr>
          <w:p>
            <w:pPr>
              <w:jc w:val="right"/>
              <w:ind w:right="819"/>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5860" w:type="dxa"/>
            <w:vAlign w:val="bottom"/>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5%</w:t>
            </w:r>
          </w:p>
        </w:tc>
      </w:tr>
      <w:tr>
        <w:trPr>
          <w:trHeight w:val="36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180" w:type="dxa"/>
            <w:vAlign w:val="bottom"/>
          </w:tcPr>
          <w:p>
            <w:pPr>
              <w:jc w:val="right"/>
              <w:ind w:right="1630"/>
              <w:spacing w:after="0"/>
              <w:rPr>
                <w:sz w:val="20"/>
                <w:szCs w:val="20"/>
                <w:color w:val="auto"/>
              </w:rPr>
            </w:pPr>
            <w:r>
              <w:rPr>
                <w:rFonts w:ascii="Arial" w:cs="Arial" w:eastAsia="Arial" w:hAnsi="Arial"/>
                <w:sz w:val="18"/>
                <w:szCs w:val="18"/>
                <w:color w:val="auto"/>
              </w:rPr>
              <w:t>107</w:t>
            </w:r>
          </w:p>
        </w:tc>
        <w:tc>
          <w:tcPr>
            <w:tcW w:w="14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’s product portfolio consists of RTD protein shakes, refreshing protein beverages, nutrition bars and protein powders.</w:t>
      </w:r>
      <w:r>
        <w:rPr>
          <w:rFonts w:ascii="Arial" w:cs="Arial" w:eastAsia="Arial" w:hAnsi="Arial"/>
          <w:sz w:val="16"/>
          <w:szCs w:val="16"/>
          <w:i w:val="1"/>
          <w:iCs w:val="1"/>
          <w:color w:val="auto"/>
        </w:rPr>
        <w:t xml:space="preserve"> Premier Protein</w:t>
      </w:r>
      <w:r>
        <w:rPr>
          <w:rFonts w:ascii="Arial" w:cs="Arial" w:eastAsia="Arial" w:hAnsi="Arial"/>
          <w:sz w:val="16"/>
          <w:szCs w:val="16"/>
          <w:color w:val="auto"/>
        </w:rPr>
        <w:t>’s flagship 11 ounce RTD protein shakes contain 30 grams of protein with only one gram of sugar and 160 calories. They are gluten-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soy-free, 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of every age in all four need states.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are available in a variety of flavors including chocolate, vanilla, cookies &amp; cream, caramel, bananas &amp; cream, strawberries &amp; cream and peaches &amp; cream. Two additional flavors will be introduced in the fall of 2019.</w:t>
      </w:r>
    </w:p>
    <w:p>
      <w:pPr>
        <w:spacing w:after="0" w:line="16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has accelerated efforts to expand its portfolio of high protein products across new product forms. The brand recently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protein powders and refreshing protein beverages, and plans to launch a new nutrition bar line in fiscal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18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intend to expand the portfolio in fiscal 2019 to deliver a new indulgent 20 gram nutrition bar with superior taste and texture to appeal to more mainstream consumers.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Internationally,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can be found in major Canadian retailers and recently has expanded its high protein offerings into Europe with five nutrition bars and two protein powders.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nutrition bars have achieved the first and second highest velocities for bars according to German Nielsen data for December 2018 and, we believe, continue to have strong growth in Germany.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also is sold in the club channel in Mexico, Japan and Korea.</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still in the early stages of its expansion. We expect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We intend to innovate across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bringing new flavors and products to our loyal consumer base.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 xml:space="preserve">In addition to powders,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offers a suite of products to meet the needs of athletes—including pre-workout and post-workout recovery products. In late fiscal 2018,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launched a line of value-priced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products formulated for the mainstream athlete to be sold in FDM channels.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is an industry-leading brand, winning a number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Bodybuilding.com Awards, including:</w:t>
      </w:r>
    </w:p>
    <w:p>
      <w:pPr>
        <w:spacing w:after="0" w:line="116" w:lineRule="exact"/>
        <w:rPr>
          <w:sz w:val="20"/>
          <w:szCs w:val="20"/>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2019. The brand delivers nutrient dense products to fuel consumers with ambitious, athletic lifestyles.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is positioned as a high-quality brand internationally and has a notable presence in Western Europe. The brand also has recently expanded into eCommerce as well as the FDM channels to drive incremental scale. In German Nielsen tracked channels,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is #2 in the sports nutrition category and is the #1 energy bar brand as measured by 2018 volume, organically growing at a CAGR of 9% from 2016 to 2018.</w:t>
      </w:r>
    </w:p>
    <w:p>
      <w:pPr>
        <w:spacing w:after="0" w:line="173"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7" w:lineRule="exact"/>
        <w:rPr>
          <w:sz w:val="20"/>
          <w:szCs w:val="20"/>
          <w:color w:val="auto"/>
        </w:rPr>
      </w:pPr>
    </w:p>
    <w:p>
      <w:pPr>
        <w:ind w:left="1180" w:right="260" w:hanging="544"/>
        <w:spacing w:after="0" w:line="282"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designed for specific usage occasions for committed athletes;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2" w:lineRule="exact"/>
        <w:rPr>
          <w:rFonts w:ascii="Arial" w:cs="Arial" w:eastAsia="Arial" w:hAnsi="Arial"/>
          <w:sz w:val="17"/>
          <w:szCs w:val="17"/>
          <w:color w:val="auto"/>
        </w:rPr>
      </w:pPr>
    </w:p>
    <w:p>
      <w:pPr>
        <w:ind w:left="1180" w:right="380" w:hanging="544"/>
        <w:spacing w:after="0" w:line="282"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Other Brands</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 velocities, consumer insights and proven ability to grow their sales in the convenient nutrition category. In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 markets in the E.U. and the U.K. for multiple channels, including FDM, convenience, specialty and eCommerce. We also sell through distributors in the specialty channel.</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leads the category in consumer loyalty and repeat purchases and has enthusiastic fans who grow the brand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we believe delivers a differentiated offering of nutritional products.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2" w:lineRule="exact"/>
        <w:rPr>
          <w:sz w:val="20"/>
          <w:szCs w:val="20"/>
          <w:color w:val="auto"/>
        </w:rPr>
      </w:pPr>
    </w:p>
    <w:p>
      <w:pPr>
        <w:ind w:left="1180" w:right="140" w:hanging="544"/>
        <w:spacing w:after="0" w:line="266"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on our products, a source of recipes and health inspiration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point to purchase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In 2018, www.premierprotein.com had more than 1.3 million visitors according to Google Analytics.</w:t>
      </w:r>
    </w:p>
    <w:p>
      <w:pPr>
        <w:spacing w:after="0" w:line="81" w:lineRule="exact"/>
        <w:rPr>
          <w:rFonts w:ascii="Arial" w:cs="Arial" w:eastAsia="Arial" w:hAnsi="Arial"/>
          <w:sz w:val="18"/>
          <w:szCs w:val="18"/>
          <w:color w:val="auto"/>
        </w:rPr>
      </w:pPr>
    </w:p>
    <w:p>
      <w:pPr>
        <w:ind w:left="1180" w:right="180" w:hanging="544"/>
        <w:spacing w:after="0" w:line="282"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social media channel. We leverage Instagram to connect with our fans and influencers,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 product news and offer giveaways.</w:t>
      </w:r>
    </w:p>
    <w:p>
      <w:pPr>
        <w:spacing w:after="0" w:line="67" w:lineRule="exact"/>
        <w:rPr>
          <w:rFonts w:ascii="Arial" w:cs="Arial" w:eastAsia="Arial" w:hAnsi="Arial"/>
          <w:sz w:val="18"/>
          <w:szCs w:val="18"/>
          <w:color w:val="auto"/>
        </w:rPr>
      </w:pPr>
    </w:p>
    <w:p>
      <w:pPr>
        <w:ind w:left="1180" w:right="20" w:hanging="544"/>
        <w:spacing w:after="0" w:line="261"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highest reach social platform with approximately one million likes as of April 2019, which is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highest in the category. We also maintain a product rating of 4.6/5 stars, according to over 3,000 reviewers. Facebook is our primary social channel for sharing product news, posting motivational stories to accompany our fans on their fitness journey and answering consumer questions.</w:t>
      </w:r>
    </w:p>
    <w:p>
      <w:pPr>
        <w:spacing w:after="0" w:line="85" w:lineRule="exact"/>
        <w:rPr>
          <w:rFonts w:ascii="Arial" w:cs="Arial" w:eastAsia="Arial" w:hAnsi="Arial"/>
          <w:sz w:val="18"/>
          <w:szCs w:val="18"/>
          <w:color w:val="auto"/>
        </w:rPr>
      </w:pPr>
    </w:p>
    <w:p>
      <w:pPr>
        <w:ind w:left="1180" w:hanging="544"/>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42" w:lineRule="exact"/>
        <w:rPr>
          <w:rFonts w:ascii="Arial" w:cs="Arial" w:eastAsia="Arial" w:hAnsi="Arial"/>
          <w:sz w:val="17"/>
          <w:szCs w:val="17"/>
          <w:color w:val="auto"/>
        </w:rPr>
      </w:pPr>
    </w:p>
    <w:p>
      <w:pPr>
        <w:ind w:left="1180" w:right="400" w:hanging="544"/>
        <w:spacing w:after="0" w:line="282"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w:t>
      </w:r>
      <w:r>
        <w:rPr>
          <w:rFonts w:ascii="Arial" w:cs="Arial" w:eastAsia="Arial" w:hAnsi="Arial"/>
          <w:sz w:val="18"/>
          <w:szCs w:val="18"/>
          <w:b w:val="1"/>
          <w:bCs w:val="1"/>
          <w:color w:val="auto"/>
        </w:rPr>
        <w:t xml:space="preserve"> </w:t>
      </w:r>
      <w:r>
        <w:rPr>
          <w:rFonts w:ascii="Arial" w:cs="Arial" w:eastAsia="Arial" w:hAnsi="Arial"/>
          <w:sz w:val="18"/>
          <w:szCs w:val="18"/>
          <w:color w:val="auto"/>
        </w:rPr>
        <w:t>recipes on our Pinterest board to help incorporate protein into their diets.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Our influencers are highly vetted and selected based on brand fit, content quality, organic product usage and engagement rates. Consistent with the brand’s strategy, we work with real life, approachable fans with whom our consumers can relate. For fiscal 2018, we estimate that our influencers’ social media channels delivered over 3.4 million impressions for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32 million impressions per month. As of March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1" w:lineRule="exact"/>
        <w:rPr>
          <w:sz w:val="20"/>
          <w:szCs w:val="20"/>
          <w:color w:val="auto"/>
        </w:rPr>
      </w:pPr>
    </w:p>
    <w:p>
      <w:pPr>
        <w:ind w:left="1180" w:right="780" w:hanging="544"/>
        <w:spacing w:after="0" w:line="313" w:lineRule="auto"/>
        <w:tabs>
          <w:tab w:leader="none" w:pos="11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3" w:lineRule="exact"/>
        <w:rPr>
          <w:rFonts w:ascii="Arial" w:cs="Arial" w:eastAsia="Arial" w:hAnsi="Arial"/>
          <w:sz w:val="17"/>
          <w:szCs w:val="17"/>
          <w:color w:val="auto"/>
        </w:rPr>
      </w:pPr>
    </w:p>
    <w:p>
      <w:pPr>
        <w:ind w:left="1180" w:right="80" w:hanging="544"/>
        <w:spacing w:after="0" w:line="266"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March 2019, we had more than 200,000 Instagram followers, growing 37% over the prior year.</w:t>
      </w:r>
    </w:p>
    <w:p>
      <w:pPr>
        <w:spacing w:after="0" w:line="81" w:lineRule="exact"/>
        <w:rPr>
          <w:rFonts w:ascii="Arial" w:cs="Arial" w:eastAsia="Arial" w:hAnsi="Arial"/>
          <w:sz w:val="18"/>
          <w:szCs w:val="18"/>
          <w:color w:val="auto"/>
        </w:rPr>
      </w:pPr>
    </w:p>
    <w:p>
      <w:pPr>
        <w:jc w:val="both"/>
        <w:ind w:left="1180" w:right="140" w:hanging="544"/>
        <w:spacing w:after="0" w:line="347" w:lineRule="auto"/>
        <w:tabs>
          <w:tab w:leader="none" w:pos="118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March 2019, we had more than 800,000 Facebook followers, growing 32% over the prior year.</w:t>
      </w:r>
    </w:p>
    <w:p>
      <w:pPr>
        <w:spacing w:after="0" w:line="21" w:lineRule="exact"/>
        <w:rPr>
          <w:rFonts w:ascii="Arial" w:cs="Arial" w:eastAsia="Arial" w:hAnsi="Arial"/>
          <w:sz w:val="16"/>
          <w:szCs w:val="16"/>
          <w:color w:val="auto"/>
        </w:rPr>
      </w:pPr>
    </w:p>
    <w:p>
      <w:pPr>
        <w:ind w:left="1180" w:hanging="544"/>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ind w:left="200" w:right="26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2" w:lineRule="exact"/>
        <w:rPr>
          <w:sz w:val="20"/>
          <w:szCs w:val="20"/>
          <w:color w:val="auto"/>
        </w:rPr>
      </w:pPr>
    </w:p>
    <w:p>
      <w:pPr>
        <w:ind w:left="1180" w:right="20" w:hanging="544"/>
        <w:spacing w:after="0" w:line="266"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for our products, as a source of athlete and nutrition inspiration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as a point of purchase for all existing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In 2018, www.powerbar.eu had more than 400,000 unique visitors according to Google Analytics.</w:t>
      </w:r>
    </w:p>
    <w:p>
      <w:pPr>
        <w:spacing w:after="0" w:line="81" w:lineRule="exact"/>
        <w:rPr>
          <w:rFonts w:ascii="Arial" w:cs="Arial" w:eastAsia="Arial" w:hAnsi="Arial"/>
          <w:sz w:val="18"/>
          <w:szCs w:val="18"/>
          <w:color w:val="auto"/>
        </w:rPr>
      </w:pPr>
    </w:p>
    <w:p>
      <w:pPr>
        <w:ind w:left="1180" w:right="200" w:hanging="544"/>
        <w:spacing w:after="0" w:line="266"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and fastest-growing social media channel. We leverage Instagram to connect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fans, athletes and influencers. We also use Instagram to share product news and event stories as well as to conduct raffles and lotteries to drive community engagement.</w:t>
      </w:r>
    </w:p>
    <w:p>
      <w:pPr>
        <w:spacing w:after="0" w:line="81" w:lineRule="exact"/>
        <w:rPr>
          <w:rFonts w:ascii="Arial" w:cs="Arial" w:eastAsia="Arial" w:hAnsi="Arial"/>
          <w:sz w:val="18"/>
          <w:szCs w:val="18"/>
          <w:color w:val="auto"/>
        </w:rPr>
      </w:pPr>
    </w:p>
    <w:p>
      <w:pPr>
        <w:ind w:left="1180" w:right="220" w:hanging="544"/>
        <w:spacing w:after="0" w:line="282"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and answering consumer queries.</w:t>
      </w:r>
    </w:p>
    <w:p>
      <w:pPr>
        <w:spacing w:after="0" w:line="67" w:lineRule="exact"/>
        <w:rPr>
          <w:rFonts w:ascii="Arial" w:cs="Arial" w:eastAsia="Arial" w:hAnsi="Arial"/>
          <w:sz w:val="18"/>
          <w:szCs w:val="18"/>
          <w:color w:val="auto"/>
        </w:rPr>
      </w:pPr>
    </w:p>
    <w:p>
      <w:pPr>
        <w:ind w:left="1180" w:hanging="544"/>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described above, we use digital marketing, including our brand websites and social media sites, to communicate news about our brands directly to consumers who access our websites and social media sites and to address questions, comments or concerns about our products. Also, social media monitoring allows us to better understand industry and competitive trends. Although we do not view metrics such as brand website visits or social media followers as precise measures of the performance of products or promotions or the impact of news about our products, the metrics are useful to our management team in assessing how products, promotions or product news resonate with our fan base. These metrics contain certain limitations, as discussed under “Industry and Market Data.”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leverage extensive research and data tools to understand consumer trends and work in partnership with our customers to remain at the forefront of innovation.</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3" w:lineRule="exact"/>
        <w:rPr>
          <w:sz w:val="20"/>
          <w:szCs w:val="20"/>
          <w:color w:val="auto"/>
        </w:rPr>
      </w:pPr>
    </w:p>
    <w:p>
      <w:pPr>
        <w:ind w:left="200" w:right="20" w:firstLine="441"/>
        <w:spacing w:after="0" w:line="274" w:lineRule="auto"/>
        <w:rPr>
          <w:sz w:val="20"/>
          <w:szCs w:val="20"/>
          <w:color w:val="auto"/>
        </w:rPr>
      </w:pPr>
      <w:r>
        <w:rPr>
          <w:rFonts w:ascii="Arial" w:cs="Arial" w:eastAsia="Arial" w:hAnsi="Arial"/>
          <w:sz w:val="17"/>
          <w:szCs w:val="17"/>
          <w:b w:val="1"/>
          <w:bCs w:val="1"/>
          <w:i w:val="1"/>
          <w:iCs w:val="1"/>
          <w:color w:val="auto"/>
        </w:rPr>
        <w:t>Sourcing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Raw materials used in our business consist of ingredients and packaging materials purchased from local, regional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 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4"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from our contract manufacturers, which include all packaging and ingredients used, for an agreed-upon tolling charge for each item produced as well other minor costs. We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 xml:space="preserve">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Dymatize </w:t>
      </w:r>
      <w:r>
        <w:rPr>
          <w:rFonts w:ascii="Arial" w:cs="Arial" w:eastAsia="Arial" w:hAnsi="Arial"/>
          <w:sz w:val="18"/>
          <w:szCs w:val="18"/>
          <w:color w:val="auto"/>
        </w:rPr>
        <w:t>brands.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the international Food Safety Standards (ISO/FSSC 22.000, IFS or BRC), and OHSAS 18001 (Health and Safety).</w:t>
      </w:r>
    </w:p>
    <w:p>
      <w:pPr>
        <w:spacing w:after="0" w:line="173" w:lineRule="exact"/>
        <w:rPr>
          <w:sz w:val="20"/>
          <w:szCs w:val="20"/>
          <w:color w:val="auto"/>
        </w:rPr>
      </w:pPr>
    </w:p>
    <w:p>
      <w:pPr>
        <w:jc w:val="both"/>
        <w:ind w:left="200" w:right="340" w:firstLine="441"/>
        <w:spacing w:after="0" w:line="257"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sites maintain Global Food Safety Initiative certifications,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84" w:lineRule="exact"/>
        <w:rPr>
          <w:sz w:val="20"/>
          <w:szCs w:val="20"/>
          <w:color w:val="auto"/>
        </w:rPr>
      </w:pPr>
    </w:p>
    <w:p>
      <w:pPr>
        <w:ind w:left="200" w:right="160" w:firstLine="441"/>
        <w:spacing w:after="0" w:line="289"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2"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have experienced in the past, and expect to continue to experience, seasonal fluctuations in our sales and EBIT margins because of consumer spending patterns and timing of promotional activity. Historically, our first quarter of the fiscal year is seasonally 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expect to enter into a sublease for our principal executive offices in St. Louis, Missouri. The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Worb,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200" w:right="400" w:firstLine="441"/>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3" w:lineRule="exact"/>
        <w:rPr>
          <w:sz w:val="20"/>
          <w:szCs w:val="20"/>
          <w:color w:val="auto"/>
        </w:rPr>
      </w:pPr>
    </w:p>
    <w:p>
      <w:pPr>
        <w:ind w:left="200" w:right="700" w:firstLine="441"/>
        <w:spacing w:after="0" w:line="342"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8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have approximately 370 employees as of March 1, 2019. Of these employees, approximately 190 are in the U.S., approximately 170 are in Germany and approximately 10 are in other countries.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6 of “Notes to Combined Financial Statements” for the years ended September 30, 2018, 2017 and 2016 and Note 9 of “Notes to Condensed Combined Financial Statements” for the nine months ended June 30, 2019 and 2018.</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6" w:lineRule="exact"/>
        <w:rPr>
          <w:sz w:val="20"/>
          <w:szCs w:val="20"/>
          <w:color w:val="auto"/>
        </w:rPr>
      </w:pPr>
    </w:p>
    <w:p>
      <w:pPr>
        <w:ind w:left="1180" w:hanging="54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80" w:right="120" w:hanging="544"/>
        <w:spacing w:after="0" w:line="264"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7" w:lineRule="exact"/>
        <w:rPr>
          <w:sz w:val="20"/>
          <w:szCs w:val="20"/>
          <w:color w:val="auto"/>
        </w:rPr>
      </w:pPr>
    </w:p>
    <w:p>
      <w:pPr>
        <w:ind w:left="1180" w:hanging="544"/>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1180" w:right="580" w:hanging="544"/>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544"/>
        <w:spacing w:after="0" w:line="264"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As of the date of this prospectus, we have not determined who will be our executive officers and directors at the time of this offering, other than Robert V. Vitale, who is expected to be our Executive Chairman, Darcy Horn Davenport, who is expected to serve as our President and Chief Executive Officer and as a member of our Board of Directors, and Paul A. Rode, who is expected to serve as our Chief Financial Officer. In subsequent amendments to this prospectus, we will identify the individuals who will be our other executive officers, if any, and directors at the time of this offering and provide the relevant disclosures regarding such individuals and the composition of our Board of Directors. The following sets forth, as of the date of this prospectus, information regarding individuals who are expected to serve as our executive officers and directors at the time of this offering.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ind w:left="120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Executive Chairman</w:t>
            </w:r>
          </w:p>
        </w:tc>
        <w:tc>
          <w:tcPr>
            <w:tcW w:w="0" w:type="dxa"/>
            <w:vAlign w:val="bottom"/>
          </w:tcPr>
          <w:p>
            <w:pPr>
              <w:spacing w:after="0"/>
              <w:rPr>
                <w:sz w:val="1"/>
                <w:szCs w:val="1"/>
                <w:color w:val="auto"/>
              </w:rPr>
            </w:pPr>
          </w:p>
        </w:tc>
      </w:tr>
      <w:tr>
        <w:trPr>
          <w:trHeight w:val="284"/>
        </w:trPr>
        <w:tc>
          <w:tcPr>
            <w:tcW w:w="2860" w:type="dxa"/>
            <w:vAlign w:val="bottom"/>
            <w:gridSpan w:val="3"/>
          </w:tcPr>
          <w:p>
            <w:pPr>
              <w:spacing w:after="0"/>
              <w:rPr>
                <w:sz w:val="20"/>
                <w:szCs w:val="20"/>
                <w:color w:val="auto"/>
              </w:rPr>
            </w:pPr>
            <w:r>
              <w:rPr>
                <w:rFonts w:ascii="Arial" w:cs="Arial" w:eastAsia="Arial" w:hAnsi="Arial"/>
                <w:sz w:val="18"/>
                <w:szCs w:val="18"/>
                <w:color w:val="auto"/>
              </w:rPr>
              <w:t>Darcy Horn Davenport</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rPr>
              <w:t>46</w:t>
            </w:r>
          </w:p>
        </w:tc>
        <w:tc>
          <w:tcPr>
            <w:tcW w:w="6720" w:type="dxa"/>
            <w:vAlign w:val="bottom"/>
            <w:gridSpan w:val="3"/>
          </w:tcPr>
          <w:p>
            <w:pPr>
              <w:ind w:left="540"/>
              <w:spacing w:after="0"/>
              <w:rPr>
                <w:sz w:val="20"/>
                <w:szCs w:val="20"/>
                <w:color w:val="auto"/>
              </w:rPr>
            </w:pPr>
            <w:r>
              <w:rPr>
                <w:rFonts w:ascii="Arial" w:cs="Arial" w:eastAsia="Arial" w:hAnsi="Arial"/>
                <w:sz w:val="18"/>
                <w:szCs w:val="18"/>
                <w:color w:val="auto"/>
              </w:rPr>
              <w:t>President and Chief Executive Officer,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48</w:t>
            </w:r>
          </w:p>
        </w:tc>
        <w:tc>
          <w:tcPr>
            <w:tcW w:w="6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Robert V. Vitale </w:t>
      </w:r>
      <w:r>
        <w:rPr>
          <w:rFonts w:ascii="Arial" w:cs="Arial" w:eastAsia="Arial" w:hAnsi="Arial"/>
          <w:sz w:val="17"/>
          <w:szCs w:val="17"/>
          <w:color w:val="auto"/>
        </w:rPr>
        <w:t>will serve as our Executive Chairman upon completion of this offering. Mr. Vitale has been the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8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i w:val="1"/>
          <w:iCs w:val="1"/>
          <w:color w:val="auto"/>
        </w:rPr>
        <w:t xml:space="preserve">Darcy Horn Davenport </w:t>
      </w:r>
      <w:r>
        <w:rPr>
          <w:rFonts w:ascii="Arial" w:cs="Arial" w:eastAsia="Arial" w:hAnsi="Arial"/>
          <w:sz w:val="16"/>
          <w:szCs w:val="16"/>
          <w:color w:val="auto"/>
        </w:rPr>
        <w:t>will serve as our President and Chief Executive Officer and as a member of our Board of Directors upon completion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offering. Ms. Davenport has served as President of Post’s Active Nutrition business since October 2017 and as President of Premier Nutrition, which will be a subsidiary of BellRing Brands, Inc. upon completion of the offering,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 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i w:val="1"/>
          <w:iCs w:val="1"/>
          <w:color w:val="auto"/>
        </w:rPr>
        <w:t xml:space="preserve">Paul A. Rode </w:t>
      </w:r>
      <w:r>
        <w:rPr>
          <w:rFonts w:ascii="Arial" w:cs="Arial" w:eastAsia="Arial" w:hAnsi="Arial"/>
          <w:sz w:val="18"/>
          <w:szCs w:val="18"/>
          <w:color w:val="auto"/>
        </w:rPr>
        <w:t>will serve as our Chief Financial Officer. Mr. Rode has served as Chief Financial Officer of Post’s Active Nutrition business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2015 and as Chief Financial Officer of Consumer Brands, a prior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1" w:lineRule="exact"/>
        <w:rPr>
          <w:sz w:val="20"/>
          <w:szCs w:val="20"/>
          <w:color w:val="auto"/>
        </w:rPr>
      </w:pPr>
    </w:p>
    <w:p>
      <w:pPr>
        <w:ind w:left="1180" w:hanging="54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7" w:lineRule="exact"/>
        <w:rPr>
          <w:sz w:val="20"/>
          <w:szCs w:val="20"/>
          <w:color w:val="auto"/>
        </w:rPr>
      </w:pPr>
    </w:p>
    <w:p>
      <w:pPr>
        <w:ind w:left="200" w:right="80" w:firstLine="981"/>
        <w:spacing w:after="0" w:line="259" w:lineRule="auto"/>
        <w:rPr>
          <w:sz w:val="20"/>
          <w:szCs w:val="20"/>
          <w:color w:val="auto"/>
        </w:rPr>
      </w:pPr>
      <w:r>
        <w:rPr>
          <w:rFonts w:ascii="Arial" w:cs="Arial" w:eastAsia="Arial" w:hAnsi="Arial"/>
          <w:sz w:val="18"/>
          <w:szCs w:val="18"/>
          <w:color w:val="auto"/>
        </w:rPr>
        <w:t>will serve as Class I directors, will serve as Class II directors and will serve as Class III directors.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Upon the completion of this offering, our Board of Directors will be set at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158" w:lineRule="exact"/>
        <w:rPr>
          <w:sz w:val="20"/>
          <w:szCs w:val="20"/>
          <w:color w:val="auto"/>
        </w:rPr>
      </w:pPr>
    </w:p>
    <w:p>
      <w:pPr>
        <w:ind w:left="200" w:right="240" w:firstLine="441"/>
        <w:spacing w:after="0" w:line="258" w:lineRule="auto"/>
        <w:rPr>
          <w:sz w:val="20"/>
          <w:szCs w:val="20"/>
          <w:color w:val="auto"/>
        </w:rPr>
      </w:pPr>
      <w:r>
        <w:rPr>
          <w:rFonts w:ascii="Arial" w:cs="Arial" w:eastAsia="Arial" w:hAnsi="Arial"/>
          <w:sz w:val="18"/>
          <w:szCs w:val="18"/>
          <w:color w:val="auto"/>
        </w:rPr>
        <w:t>Post has designated , and as its nominees under the investor rights agreement that we will enter into with Post as part of the formation transactions and this offering, with to serve as a Class I director, to serve as a Class II director and</w:t>
      </w:r>
    </w:p>
    <w:p>
      <w:pPr>
        <w:spacing w:after="0" w:line="1"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to serve as a Class III director. If a vacancy is created on our Board of Directors as a result of the death, disability, retirement, resignation or removal of a director who is a Post nominee, Post will have the right to designate such person’s replacement.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Please refer to “Certain Relationships and Related Party Transactions – Post-Offering Relationship with Post – Investor Rights Agreement.”</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expect our Board of Directors will consist of a majority of independent directors upon the completion of this offering. Upon the completion of</w:t>
      </w:r>
    </w:p>
    <w:p>
      <w:pPr>
        <w:spacing w:after="0" w:line="46" w:lineRule="exact"/>
        <w:rPr>
          <w:sz w:val="20"/>
          <w:szCs w:val="20"/>
          <w:color w:val="auto"/>
        </w:rPr>
      </w:pPr>
    </w:p>
    <w:p>
      <w:pPr>
        <w:ind w:left="200" w:right="500"/>
        <w:spacing w:after="0" w:line="255" w:lineRule="auto"/>
        <w:rPr>
          <w:sz w:val="20"/>
          <w:szCs w:val="20"/>
          <w:color w:val="auto"/>
        </w:rPr>
      </w:pPr>
      <w:r>
        <w:rPr>
          <w:rFonts w:ascii="Arial" w:cs="Arial" w:eastAsia="Arial" w:hAnsi="Arial"/>
          <w:sz w:val="18"/>
          <w:szCs w:val="18"/>
          <w:color w:val="auto"/>
        </w:rPr>
        <w:t>this offering, we expect that of the members of our Board of Directors will qualify as “independent” under the NYSE corporate governance standards. Our Board of Directors has determined as of the date of this prospectus that each of is an independent director as defined under the NYSE corporate governance standards.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Our Board of Directors will establish standing committees in connection with the discharge of its responsibilities. Upon the completion of this offering, these committees will include an Audit Committee and a Corporate Governance and Compensation Committee. Our Board of Directors also may establish such other committees as it deems appropriate, in accordance with applicable law and regulations and our corporate governance documents. Under the investor rights agreement, Post has the right to designate the members of each committee until the votes that may be cast by Post under our amended and restated certificate of incorporation are less than 25% of the total voting power of all of our shares of common stock. Please refer to “Certain Relationships and Related Party Transactions – Post-Offering Relationship with Post – Investor Rights Agreement.”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3"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 (viii) coordinating and overseeing the annual self-assessment of our Board of Directors and management. Under</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Upon the completion of this offering, we expect that all of the members of our Corporate Governance and Compensation Committee will be “independent” as defined under the NYSE corporate governance standards.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380" w:firstLine="441"/>
        <w:spacing w:after="0" w:line="288" w:lineRule="auto"/>
        <w:rPr>
          <w:sz w:val="20"/>
          <w:szCs w:val="20"/>
          <w:color w:val="auto"/>
        </w:rPr>
      </w:pPr>
      <w:r>
        <w:rPr>
          <w:rFonts w:ascii="Arial" w:cs="Arial" w:eastAsia="Arial" w:hAnsi="Arial"/>
          <w:sz w:val="16"/>
          <w:szCs w:val="16"/>
          <w:color w:val="auto"/>
        </w:rPr>
        <w:t>Upon the completion of this offering, our Board of Directors will adopt a code of conduct that applies to all of our directors, officers and employees, including any persons serving as a principal executive officer, principal financial officer, principal accounting officer and controller and persons performing similar functions. Upon completion of this offering, the full text of the code of conduct will be available on our website located</w:t>
      </w:r>
    </w:p>
    <w:p>
      <w:pPr>
        <w:ind w:left="200" w:right="200"/>
        <w:spacing w:after="0" w:line="261" w:lineRule="auto"/>
        <w:rPr>
          <w:sz w:val="20"/>
          <w:szCs w:val="20"/>
          <w:color w:val="auto"/>
        </w:rPr>
      </w:pPr>
      <w:r>
        <w:rPr>
          <w:rFonts w:ascii="Arial" w:cs="Arial" w:eastAsia="Arial" w:hAnsi="Arial"/>
          <w:sz w:val="18"/>
          <w:szCs w:val="18"/>
          <w:color w:val="auto"/>
        </w:rPr>
        <w:t>at . We intend to disclose any amendments to or waivers from a provision of our code of conduct that applies to our executive officers on our website.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89"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None of our current directors has received compensation for his or her service as our director. Upon the completion of this offering, we expect that our Board of Directors will adopt a compensation program for our independent directors that will enable us to attract and retain qualified directors, provide them with compensation at a level that is consistent with our compensation objectives and encourage their ownership of our Class A common stock to further the alignment of their interests with the interests of our stockholders.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As of the date of this prospectus, we have not yet finalized our named executive officers other than Robert V. Vitale, our Executive Chairman, and Darcy Horn Davenport, our President and Chief Executive Officer, each of whom served as principal executive officers of the Company in fiscal 2018, and Paul A. Rode, our Chief Financial Officer. We refer to these executive officers as our “named executive officers” or “NEOs.” We will identify our other named executive officer(s) and include the relevant disclosures relating to his or her compensation in subsequent amendments to this prospectus.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sections set forth certain information about compensation paid to our named executive officers.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2018 and, where required, fiscal 2017 by our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Salary</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500" w:type="dxa"/>
            <w:vAlign w:val="bottom"/>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00" w:type="dxa"/>
            <w:vAlign w:val="bottom"/>
          </w:tcPr>
          <w:p>
            <w:pPr>
              <w:jc w:val="right"/>
              <w:ind w:right="89"/>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49"/>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(5)</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6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16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2018</w:t>
            </w:r>
          </w:p>
        </w:tc>
        <w:tc>
          <w:tcPr>
            <w:tcW w:w="2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Executive Chairman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400" w:type="dxa"/>
            <w:vAlign w:val="bottom"/>
            <w:gridSpan w:val="3"/>
          </w:tcPr>
          <w:p>
            <w:pPr>
              <w:spacing w:after="0"/>
              <w:rPr>
                <w:sz w:val="20"/>
                <w:szCs w:val="20"/>
                <w:color w:val="auto"/>
              </w:rPr>
            </w:pPr>
            <w:r>
              <w:rPr>
                <w:rFonts w:ascii="Arial" w:cs="Arial" w:eastAsia="Arial" w:hAnsi="Arial"/>
                <w:sz w:val="14"/>
                <w:szCs w:val="14"/>
                <w:color w:val="auto"/>
              </w:rPr>
              <w:t>Darcy Horn Davenport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477,292</w:t>
            </w:r>
          </w:p>
        </w:tc>
        <w:tc>
          <w:tcPr>
            <w:tcW w:w="24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296,371</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454,030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13,218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65,378</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1,853,969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gridSpan w:val="2"/>
          </w:tcPr>
          <w:p>
            <w:pPr>
              <w:ind w:left="120"/>
              <w:spacing w:after="0"/>
              <w:rPr>
                <w:sz w:val="20"/>
                <w:szCs w:val="20"/>
                <w:color w:val="auto"/>
              </w:rPr>
            </w:pPr>
            <w:r>
              <w:rPr>
                <w:rFonts w:ascii="Arial" w:cs="Arial" w:eastAsia="Arial" w:hAnsi="Arial"/>
                <w:sz w:val="14"/>
                <w:szCs w:val="14"/>
                <w:i w:val="1"/>
                <w:iCs w:val="1"/>
                <w:color w:val="auto"/>
              </w:rPr>
              <w:t>President and Chief Executive Officer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2018</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280,456</w:t>
            </w:r>
          </w:p>
        </w:tc>
        <w:tc>
          <w:tcPr>
            <w:tcW w:w="2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176,531</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160,390</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5,376</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27,988</w:t>
            </w: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650,741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0" w:lineRule="exact"/>
        <w:rPr>
          <w:sz w:val="20"/>
          <w:szCs w:val="20"/>
          <w:color w:val="auto"/>
        </w:rPr>
      </w:pPr>
    </w:p>
    <w:p>
      <w:pPr>
        <w:ind w:left="640" w:right="160" w:hanging="436"/>
        <w:spacing w:after="0" w:line="248" w:lineRule="auto"/>
        <w:tabs>
          <w:tab w:leader="none" w:pos="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2017 and fiscal 2018 compensation is fully disclosed in Post’s filings with the SEC.</w:t>
      </w:r>
    </w:p>
    <w:p>
      <w:pPr>
        <w:ind w:left="640" w:right="120" w:hanging="436"/>
        <w:spacing w:after="0" w:line="238" w:lineRule="auto"/>
        <w:tabs>
          <w:tab w:leader="none" w:pos="6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See Note 12 to Post’s Active Nutrition business fiscal 2018 financial statements included herein for a discussion of the determination of these amounts under FASB ASC Topic 718.</w:t>
      </w:r>
    </w:p>
    <w:p>
      <w:pPr>
        <w:ind w:left="640" w:right="80" w:hanging="436"/>
        <w:spacing w:after="0" w:line="221"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See Note 12 to Post’s Active Nutrition business fiscal 2018 financial statements included herein for a discussion of the determination of these amounts under FASB ASC Topic 718.</w:t>
      </w:r>
    </w:p>
    <w:p>
      <w:pPr>
        <w:ind w:left="640" w:hanging="436"/>
        <w:spacing w:after="0" w:line="221"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the fiscal year under the Post Holdings, Inc. Annual Bonus Program, discussed below.</w:t>
      </w:r>
    </w:p>
    <w:p>
      <w:pPr>
        <w:ind w:left="640" w:right="200" w:hanging="436"/>
        <w:spacing w:after="0" w:line="237"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As described above in “Management—Compensation Committee Interlocks and Insider Participation,” the fiscal 2018 compensation of our named executive officers was determined by Mr. Vitale or Ms. Davenport. We anticipate that Mr. Vitale and Ms. Davenport will continue to establish and manage the compensation of our named executive officers until the completion of this offering. After the completion of this offering, our executive compensation programs will be designed and implemented by our Board of Directors, through our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6"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ind w:left="200"/>
        <w:spacing w:after="0"/>
        <w:rPr>
          <w:sz w:val="20"/>
          <w:szCs w:val="20"/>
          <w:color w:val="auto"/>
        </w:rPr>
      </w:pPr>
      <w:r>
        <w:rPr>
          <w:rFonts w:ascii="Arial" w:cs="Arial" w:eastAsia="Arial" w:hAnsi="Arial"/>
          <w:sz w:val="16"/>
          <w:szCs w:val="16"/>
          <w:color w:val="auto"/>
        </w:rPr>
        <w:t>Mr. Vitale’s fiscal 2017 and fiscal 2018 compensation and the benefit plans in which he participates are fully disclosed in Post’s filings with the SEC.</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Base salaries are designed to recognize and reward the skill, competency, experience and performance a named executive officer brings to the position. The total base salaries earned by our named executive officers in fiscal 2018 are disclosed in the Summary Compensation Table above.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fiscal 2018, each of our named executive officers participated in the Post Holdings, Inc. Annual Bonus Program, which is an annual cash incentive plan. The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Ms. Davenport’s target bonus amount was 100% of her base salary, and Mr. Rode’s target bonus amount was 50% of his base salary. Final bonus amounts were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Equity awards for our named executive officers were awarded under the Post Holdings, Inc. 2012 Long-Term Incentive Plan (the “2012 LTIP”) and the Post Holdings, Inc. 2016 Long-Term Incentive Plan (the “2016 LTIP” and, together with the 2012 LTIP, the “Post LTIPs”). Awards made to named executive officers consisted of restricted stock units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92"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intend to adopt our own equity incentive compensation plan for the benefit of our eligible employees in connection with the offering, as described more fully below under “—BellRing Brands, Inc. 2019 Long-Term Incentive Plan.”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2018.</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2018.</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salary to be paid at a future date. In addition, Post has the ability to provide a discretionary employer contribution at the times and in the amounts designated by Post, which, if made, vest at 25% for each year of service. Eligible employees may defer between 1% and 75% of their base salary.</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8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 Savings Investment Plan (the “401(k) Plan”)</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Post maintains the 401(k) Plan, which is a defined contribution savings plan for all eligible employees of the Company, including each of our named executive officers. The 401(k) Plan is subject to certain provisions of the Employee Retirement Income Security Act of 1974, as amended (“ERISA”), and the Code. The 401(k) Plan is designed to meet ERISA’s reporting and disclosure and fiduciary requirements, as well as to meet the minimum standards for participation and vesting. The Plan also is intended to qualify as a cash or deferred profit sharing plan under Section 401(k) of the Code, is intended to be qualified under Section 401(a) of the Code and is the subject of a favorable determination letter from the IRS.</w:t>
      </w:r>
    </w:p>
    <w:p>
      <w:pPr>
        <w:spacing w:after="0" w:line="15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Under the 401(k) Plan, our named executive officers may make pre-tax and Roth contributions of their eligible compensation, which are credited with a dollar-for-dollar employer matching contribution of up to 6%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eligible compensation deferred. Matching contributions made through December 31, 2017 vest at 20% for each year of service. Effective January 1, 2018, the 401(k) Plan was amended to provide that matching contributions made on or after January 1, 2018 are vested when made. Our named executive officers may select from a variety of investment funds, including the Post Common Stock Fund. The matching contributions made by Post under the 401(k) Plan for our named executive officers, as well as the discretionary contributions made by Post under the Executive Savings Investment Plan for our named executive officers, for fiscal 2018 were as follows: Ms. Davenport, $64,664; and Mr. Rode, $27,379. Such amounts are included in the “All Other Compensation” column in the Summary Compensation Table above.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adopt our own 401(k) plan in connection with the contemplated transactions.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September 30, 2018</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10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Plan Awards:</w:t>
            </w:r>
          </w:p>
        </w:tc>
        <w:tc>
          <w:tcPr>
            <w:tcW w:w="2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Units</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Stock</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2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8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That Have</w:t>
            </w:r>
          </w:p>
        </w:tc>
        <w:tc>
          <w:tcPr>
            <w:tcW w:w="80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Stock That</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98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2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00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(10)</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(10)</w:t>
            </w:r>
          </w:p>
        </w:tc>
        <w:tc>
          <w:tcPr>
            <w:tcW w:w="0" w:type="dxa"/>
            <w:vAlign w:val="bottom"/>
          </w:tcPr>
          <w:p>
            <w:pPr>
              <w:spacing w:after="0"/>
              <w:rPr>
                <w:sz w:val="1"/>
                <w:szCs w:val="1"/>
                <w:color w:val="auto"/>
              </w:rPr>
            </w:pPr>
          </w:p>
        </w:tc>
      </w:tr>
      <w:tr>
        <w:trPr>
          <w:trHeight w:val="158"/>
        </w:trPr>
        <w:tc>
          <w:tcPr>
            <w:tcW w:w="28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0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920" w:type="dxa"/>
            <w:vAlign w:val="bottom"/>
            <w:gridSpan w:val="2"/>
          </w:tcPr>
          <w:p>
            <w:pPr>
              <w:jc w:val="center"/>
              <w:ind w:left="188"/>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800" w:type="dxa"/>
            <w:vAlign w:val="bottom"/>
            <w:gridSpan w:val="2"/>
          </w:tcPr>
          <w:p>
            <w:pPr>
              <w:jc w:val="center"/>
              <w:ind w:left="48"/>
              <w:spacing w:after="0" w:line="158" w:lineRule="exact"/>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24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3,333</w:t>
            </w:r>
            <w:r>
              <w:rPr>
                <w:rFonts w:ascii="Arial" w:cs="Arial" w:eastAsia="Arial" w:hAnsi="Arial"/>
                <w:sz w:val="12"/>
                <w:szCs w:val="12"/>
                <w:color w:val="auto"/>
              </w:rPr>
              <w:t>(2)</w:t>
            </w:r>
          </w:p>
        </w:tc>
        <w:tc>
          <w:tcPr>
            <w:tcW w:w="10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6,667</w:t>
            </w:r>
          </w:p>
        </w:tc>
        <w:tc>
          <w:tcPr>
            <w:tcW w:w="40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4"/>
                <w:szCs w:val="14"/>
                <w:color w:val="auto"/>
              </w:rPr>
              <w:t>71.32</w:t>
            </w:r>
          </w:p>
        </w:tc>
        <w:tc>
          <w:tcPr>
            <w:tcW w:w="2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11/14/2026</w:t>
            </w:r>
          </w:p>
        </w:tc>
        <w:tc>
          <w:tcPr>
            <w:tcW w:w="120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584</w:t>
            </w:r>
            <w:r>
              <w:rPr>
                <w:rFonts w:ascii="Arial" w:cs="Arial" w:eastAsia="Arial" w:hAnsi="Arial"/>
                <w:sz w:val="12"/>
                <w:szCs w:val="12"/>
                <w:color w:val="auto"/>
              </w:rPr>
              <w:t>(4)</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57,255</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15,975</w:t>
            </w:r>
            <w:r>
              <w:rPr>
                <w:rFonts w:ascii="Arial" w:cs="Arial" w:eastAsia="Arial" w:hAnsi="Arial"/>
                <w:sz w:val="12"/>
                <w:szCs w:val="12"/>
                <w:color w:val="auto"/>
              </w:rPr>
              <w:t>(3)</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79.52</w:t>
            </w: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12/01/2027</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4,000</w:t>
            </w:r>
            <w:r>
              <w:rPr>
                <w:rFonts w:ascii="Arial" w:cs="Arial" w:eastAsia="Arial" w:hAnsi="Arial"/>
                <w:sz w:val="12"/>
                <w:szCs w:val="12"/>
                <w:color w:val="auto"/>
              </w:rPr>
              <w:t>(5)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392,160</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3,727</w:t>
            </w:r>
            <w:r>
              <w:rPr>
                <w:rFonts w:ascii="Arial" w:cs="Arial" w:eastAsia="Arial" w:hAnsi="Arial"/>
                <w:sz w:val="12"/>
                <w:szCs w:val="12"/>
                <w:color w:val="auto"/>
              </w:rPr>
              <w:t>(6)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365,395</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(7)</w:t>
            </w:r>
          </w:p>
        </w:tc>
        <w:tc>
          <w:tcPr>
            <w:tcW w:w="8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490,200</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920</w:t>
            </w:r>
            <w:r>
              <w:rPr>
                <w:rFonts w:ascii="Arial" w:cs="Arial" w:eastAsia="Arial" w:hAnsi="Arial"/>
                <w:sz w:val="12"/>
                <w:szCs w:val="12"/>
                <w:color w:val="auto"/>
              </w:rPr>
              <w:t>(4)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90,197</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1,484</w:t>
            </w:r>
            <w:r>
              <w:rPr>
                <w:rFonts w:ascii="Arial" w:cs="Arial" w:eastAsia="Arial" w:hAnsi="Arial"/>
                <w:sz w:val="12"/>
                <w:szCs w:val="12"/>
                <w:color w:val="auto"/>
              </w:rPr>
              <w:t>(8)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145,491</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2,234</w:t>
            </w:r>
            <w:r>
              <w:rPr>
                <w:rFonts w:ascii="Arial" w:cs="Arial" w:eastAsia="Arial" w:hAnsi="Arial"/>
                <w:sz w:val="12"/>
                <w:szCs w:val="12"/>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219,021</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0" w:lineRule="exact"/>
        <w:rPr>
          <w:sz w:val="20"/>
          <w:szCs w:val="20"/>
          <w:color w:val="auto"/>
        </w:rPr>
      </w:pPr>
    </w:p>
    <w:p>
      <w:pPr>
        <w:ind w:left="640" w:right="100" w:hanging="436"/>
        <w:spacing w:after="0" w:line="230"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64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64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640" w:right="20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17, 2016, 2017 and 2018. The RSUs will be paid in shares of Post’s common stock within sixty days from each of the applicable vesting dates.</w:t>
      </w:r>
    </w:p>
    <w:p>
      <w:pPr>
        <w:ind w:left="640" w:right="20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640" w:right="20" w:hanging="436"/>
        <w:spacing w:after="0" w:line="238" w:lineRule="auto"/>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640" w:right="20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640" w:right="300" w:hanging="436"/>
        <w:spacing w:after="0" w:line="22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640" w:hanging="436"/>
        <w:spacing w:after="0"/>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Post’s closing stock price of $98.04 on September 28, 2018, the last trading day of fiscal 2018.</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fiscal 2018, in the event of an involuntary termination of employment (whether in connection with a change in control of the Company or not), Ms. Davenport was eligible for compensation and benefits under the Post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Holdings, Inc. Executive Severance Plan (the “Executive Severance Plan”), and Mr. Rode was eligible for compensation and benefits under the Post Holdings, Inc. Severance Plan for Salary Grade 16 and Above (the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2018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We anticipate that our named executive officers will no longer be eligible for severance under the Executive Severance Plan or the Salary Grade 16 Plan, as applicable, and that the Company will implement its own severance plan, following the consummation of the contemplated transactions.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fiscal 2018,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1" w:lineRule="exact"/>
        <w:rPr>
          <w:sz w:val="20"/>
          <w:szCs w:val="20"/>
          <w:color w:val="auto"/>
        </w:rPr>
      </w:pPr>
    </w:p>
    <w:p>
      <w:pPr>
        <w:ind w:left="1180" w:right="320" w:hanging="544"/>
        <w:spacing w:after="0" w:line="308" w:lineRule="auto"/>
        <w:tabs>
          <w:tab w:leader="none" w:pos="11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1180" w:right="40" w:hanging="544"/>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ind w:left="200" w:firstLine="4"/>
        <w:spacing w:after="0" w:line="323" w:lineRule="auto"/>
        <w:tabs>
          <w:tab w:leader="none" w:pos="4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Salary Grade 16 Plan, Mr. Rode was eligible for severance benefits in the event of an involuntary termination without “cause.” The payment of benefits under the Salary Grade 16 Plan is conditioned upon Mr. Rode executing a general release of claims that includes confidentiality and cooperation provisions, among other provisions.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1" w:lineRule="exact"/>
        <w:rPr>
          <w:sz w:val="20"/>
          <w:szCs w:val="20"/>
          <w:color w:val="auto"/>
        </w:rPr>
      </w:pPr>
    </w:p>
    <w:p>
      <w:pPr>
        <w:ind w:left="1180" w:right="440" w:hanging="544"/>
        <w:spacing w:after="0" w:line="277"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Salary Grade 16 Plan also provides that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Equity awards in respect of Post common stock granted to our named executive officers under the 2012 LTIP and the 2016 LTIP are subject to special provisions in the event of certain involuntary terminations and/or a change in control (as defined under the applicable award agreement) as described herein. The agreements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governing all of our named executive officers’ NQSOs and RSUs issued under the 2016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1180" w:right="740" w:hanging="544"/>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both the 2012 Plan and the 2016 Plan vest in whole or in part upon a termination because of death or disability.</w:t>
      </w:r>
    </w:p>
    <w:p>
      <w:pPr>
        <w:spacing w:after="0" w:line="75" w:lineRule="exact"/>
        <w:rPr>
          <w:rFonts w:ascii="Arial" w:cs="Arial" w:eastAsia="Arial" w:hAnsi="Arial"/>
          <w:sz w:val="18"/>
          <w:szCs w:val="18"/>
          <w:color w:val="auto"/>
        </w:rPr>
      </w:pPr>
    </w:p>
    <w:p>
      <w:pPr>
        <w:ind w:left="1180" w:right="80" w:hanging="544"/>
        <w:spacing w:after="0" w:line="279" w:lineRule="auto"/>
        <w:tabs>
          <w:tab w:leader="none" w:pos="1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Under an RSU award made to Mr. Rode on June 17, 2014 under the 2012 Plan and which is scheduled to be fully vested on July 17, 2024, if Mr. Rode’s employment had been terminated by the Company or another Post affiliate without cause in fiscal 2018, any unvested RSUs would have become vested. This accelerated vesting provision also would apply if Mr. Rode’s employment with the Company or a subsidiary of the Company terminates as a result of the sale of the Company or a subsidiary of the Company.</w:t>
      </w:r>
    </w:p>
    <w:p>
      <w:pPr>
        <w:spacing w:after="0" w:line="17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Vested stock options granted under the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in the months following completion of the offering.</w:t>
      </w:r>
    </w:p>
    <w:p>
      <w:pPr>
        <w:spacing w:after="0" w:line="18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connection with the consummation of this offering, we anticipate adopting an equity incentive compensation plan for the benefit of our eligible employees. We currently are developing the terms of this equity incentive compensation plan, which we will describe in subsequent amendments to this prospectus.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following the completion of the formation transactions and this offering for:</w:t>
      </w:r>
    </w:p>
    <w:p>
      <w:pPr>
        <w:spacing w:after="0" w:line="76" w:lineRule="exact"/>
        <w:rPr>
          <w:sz w:val="20"/>
          <w:szCs w:val="20"/>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or redemption right). The number of shares of our Class A common stock outstanding and the percentage of beneficial ownership immediately following this offering are based on the number of BellRing Brands, LLC Units to be issued in connection with the formation transactions (based on the midpoint of the estimated initial public offering price range set forth on the cover page of this prospectus) and the assumed redemption by Post of all of its BellRing Brands, LLC Units for shares of our Class A common stock. Subject to the terms of the amended and restated limited liability company agreement, BellRing Brands, LLC Units may be redeemed for, at the option of BellRing Brands, LLC (as determined by its Board of Managers), shares of our Class A common stock, or for cash. The redemption of BellRing Brands, LLC Units for shares of Class A common stock will be at an initial redemption rate of one share of Class A common stock for one BellRing Brands, LLC Unit, subject to customary redemption rate adjustments for stock splits, stock dividends and reclassifications. See “Certain Relationships and Related Party Transactions—Post-Offering Relationship with Post—Amended and Restated Limited Liability Company Agreement.”</w:t>
      </w:r>
    </w:p>
    <w:p>
      <w:pPr>
        <w:spacing w:after="0" w:line="17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3"/>
          </w:tcPr>
          <w:p>
            <w:pPr>
              <w:jc w:val="center"/>
              <w:ind w:right="608"/>
              <w:spacing w:after="0"/>
              <w:rPr>
                <w:sz w:val="20"/>
                <w:szCs w:val="20"/>
                <w:color w:val="auto"/>
              </w:rPr>
            </w:pPr>
            <w:r>
              <w:rPr>
                <w:rFonts w:ascii="Arial" w:cs="Arial" w:eastAsia="Arial" w:hAnsi="Arial"/>
                <w:sz w:val="14"/>
                <w:szCs w:val="14"/>
                <w:b w:val="1"/>
                <w:bCs w:val="1"/>
                <w:color w:val="auto"/>
                <w:w w:val="89"/>
              </w:rPr>
              <w:t>Class A</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600" w:type="dxa"/>
            <w:vAlign w:val="bottom"/>
          </w:tcPr>
          <w:p>
            <w:pPr>
              <w:spacing w:after="0"/>
              <w:rPr>
                <w:sz w:val="14"/>
                <w:szCs w:val="14"/>
                <w:color w:val="auto"/>
              </w:rPr>
            </w:pPr>
          </w:p>
        </w:tc>
        <w:tc>
          <w:tcPr>
            <w:tcW w:w="18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1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 Name</w:t>
            </w:r>
          </w:p>
        </w:tc>
        <w:tc>
          <w:tcPr>
            <w:tcW w:w="27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left="373"/>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left="353"/>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80" w:type="dxa"/>
            <w:vAlign w:val="bottom"/>
            <w:gridSpan w:val="3"/>
            <w:vMerge w:val="continue"/>
          </w:tcPr>
          <w:p>
            <w:pPr>
              <w:spacing w:after="0"/>
              <w:rPr>
                <w:sz w:val="15"/>
                <w:szCs w:val="15"/>
                <w:color w:val="auto"/>
              </w:rPr>
            </w:pPr>
          </w:p>
        </w:tc>
        <w:tc>
          <w:tcPr>
            <w:tcW w:w="270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of Class</w:t>
            </w:r>
            <w:r>
              <w:rPr>
                <w:rFonts w:ascii="Arial" w:cs="Arial" w:eastAsia="Arial" w:hAnsi="Arial"/>
                <w:sz w:val="12"/>
                <w:szCs w:val="12"/>
                <w:b w:val="1"/>
                <w:bCs w:val="1"/>
                <w:color w:val="auto"/>
                <w:w w:val="89"/>
              </w:rPr>
              <w:t>(1)</w:t>
            </w:r>
          </w:p>
        </w:tc>
        <w:tc>
          <w:tcPr>
            <w:tcW w:w="60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of Class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6"/>
              </w:rPr>
              <w:t>Principal Stockholder:</w:t>
            </w:r>
          </w:p>
        </w:tc>
        <w:tc>
          <w:tcPr>
            <w:tcW w:w="260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right"/>
              <w:ind w:right="399"/>
              <w:spacing w:after="0"/>
              <w:rPr>
                <w:sz w:val="20"/>
                <w:szCs w:val="20"/>
                <w:color w:val="auto"/>
              </w:rPr>
            </w:pPr>
            <w:r>
              <w:rPr>
                <w:rFonts w:ascii="Arial" w:cs="Arial" w:eastAsia="Arial" w:hAnsi="Arial"/>
                <w:sz w:val="12"/>
                <w:szCs w:val="12"/>
                <w:color w:val="auto"/>
                <w:w w:val="81"/>
              </w:rPr>
              <w:t>(3)</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Directors and Director Nominees:</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Robert V. Vitale</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Darcy Horn Davenport</w:t>
            </w: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Paul A. Rode</w:t>
            </w: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gridSpan w:val="2"/>
          </w:tcPr>
          <w:p>
            <w:pPr>
              <w:spacing w:after="0"/>
              <w:rPr>
                <w:sz w:val="12"/>
                <w:szCs w:val="12"/>
                <w:color w:val="auto"/>
              </w:rPr>
            </w:pPr>
          </w:p>
        </w:tc>
        <w:tc>
          <w:tcPr>
            <w:tcW w:w="26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All directors, director nominees and executive officers as a group (</w:t>
            </w:r>
          </w:p>
        </w:tc>
        <w:tc>
          <w:tcPr>
            <w:tcW w:w="3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persons)</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3"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Less than one percent.</w:t>
      </w:r>
    </w:p>
    <w:p>
      <w:pPr>
        <w:ind w:left="640" w:hanging="436"/>
        <w:spacing w:after="0" w:line="221"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640" w:right="40" w:hanging="436"/>
        <w:spacing w:after="0" w:line="221"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ind w:left="640" w:hanging="436"/>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the shares of Class A common stock that may be acquired upon the redemption of BellRing Brands, LLC Units held by Post.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Prior to the completion of this offering, Post will borrow $ million under the Post bridge loan pursuant to a bridge facility agreement that Post and certain of its subsidiaries as guarantors (other than BellRing Brands, Inc., but including BellRing Brands, LLC and its domestic subsidiaries) will enter into with various financial institutions, including certain affiliates of the underwriters in this offering. The Post bridge loan will bear interest at a</w:t>
      </w:r>
    </w:p>
    <w:tbl>
      <w:tblPr>
        <w:tblLayout w:type="fixed"/>
        <w:tblInd w:w="200" w:type="dxa"/>
        <w:tblCellMar>
          <w:top w:w="0" w:type="dxa"/>
          <w:left w:w="0" w:type="dxa"/>
          <w:bottom w:w="0" w:type="dxa"/>
          <w:right w:w="0" w:type="dxa"/>
        </w:tblCellMar>
      </w:tblPr>
      <w:tr>
        <w:trPr>
          <w:trHeight w:val="202"/>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rate per annum equal to (i) with respect to the period commencing on</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 and ending on</w:t>
            </w:r>
          </w:p>
        </w:tc>
        <w:tc>
          <w:tcPr>
            <w:tcW w:w="27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 the Eurodollar Rate (as such term is</w:t>
            </w:r>
          </w:p>
        </w:tc>
        <w:tc>
          <w:tcPr>
            <w:tcW w:w="200" w:type="dxa"/>
            <w:vAlign w:val="bottom"/>
          </w:tcPr>
          <w:p>
            <w:pPr>
              <w:spacing w:after="0"/>
              <w:rPr>
                <w:sz w:val="17"/>
                <w:szCs w:val="17"/>
                <w:color w:val="auto"/>
              </w:rPr>
            </w:pP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w w:val="92"/>
              </w:rPr>
              <w:t>defined in the bridge facility agreement) plus 450 basis points, (ii) with respect to the period commencing on</w:t>
            </w:r>
          </w:p>
        </w:tc>
        <w:tc>
          <w:tcPr>
            <w:tcW w:w="860" w:type="dxa"/>
            <w:vAlign w:val="bottom"/>
          </w:tcPr>
          <w:p>
            <w:pPr>
              <w:spacing w:after="0"/>
              <w:rPr>
                <w:sz w:val="18"/>
                <w:szCs w:val="18"/>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color w:val="auto"/>
                <w:w w:val="88"/>
              </w:rPr>
              <w:t>, and ending on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w w:val="91"/>
              </w:rPr>
              <w:t>the Eurodollar Rate plus 500 basis points, (iii) with respect to the period between</w:t>
            </w:r>
          </w:p>
        </w:tc>
        <w:tc>
          <w:tcPr>
            <w:tcW w:w="2040" w:type="dxa"/>
            <w:vAlign w:val="bottom"/>
          </w:tcPr>
          <w:p>
            <w:pPr>
              <w:ind w:left="960"/>
              <w:spacing w:after="0"/>
              <w:rPr>
                <w:sz w:val="20"/>
                <w:szCs w:val="20"/>
                <w:color w:val="auto"/>
              </w:rPr>
            </w:pPr>
            <w:r>
              <w:rPr>
                <w:rFonts w:ascii="Arial" w:cs="Arial" w:eastAsia="Arial" w:hAnsi="Arial"/>
                <w:sz w:val="18"/>
                <w:szCs w:val="18"/>
                <w:color w:val="auto"/>
              </w:rPr>
              <w:t>and</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w w:val="94"/>
              </w:rPr>
              <w:t>, 12.00% and (iv) with respect to the</w:t>
            </w:r>
          </w:p>
        </w:tc>
        <w:tc>
          <w:tcPr>
            <w:tcW w:w="200" w:type="dxa"/>
            <w:vAlign w:val="bottom"/>
          </w:tcPr>
          <w:p>
            <w:pPr>
              <w:spacing w:after="0"/>
              <w:rPr>
                <w:sz w:val="18"/>
                <w:szCs w:val="18"/>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period on or after</w:t>
            </w:r>
          </w:p>
        </w:tc>
        <w:tc>
          <w:tcPr>
            <w:tcW w:w="7020" w:type="dxa"/>
            <w:vAlign w:val="bottom"/>
            <w:gridSpan w:val="3"/>
          </w:tcPr>
          <w:p>
            <w:pPr>
              <w:ind w:left="480"/>
              <w:spacing w:after="0"/>
              <w:rPr>
                <w:sz w:val="20"/>
                <w:szCs w:val="20"/>
                <w:color w:val="auto"/>
              </w:rPr>
            </w:pPr>
            <w:r>
              <w:rPr>
                <w:rFonts w:ascii="Arial" w:cs="Arial" w:eastAsia="Arial" w:hAnsi="Arial"/>
                <w:sz w:val="18"/>
                <w:szCs w:val="18"/>
                <w:color w:val="auto"/>
                <w:w w:val="89"/>
              </w:rPr>
              <w:t>through the maturity date, 12.25%. Payments of interest on the Post bridge loan are due on</w:t>
            </w:r>
          </w:p>
        </w:tc>
        <w:tc>
          <w:tcPr>
            <w:tcW w:w="19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ind w:left="1140"/>
        <w:spacing w:after="0"/>
        <w:rPr>
          <w:sz w:val="20"/>
          <w:szCs w:val="20"/>
          <w:color w:val="auto"/>
        </w:rPr>
      </w:pPr>
      <w:r>
        <w:rPr>
          <w:rFonts w:ascii="Arial" w:cs="Arial" w:eastAsia="Arial" w:hAnsi="Arial"/>
          <w:sz w:val="18"/>
          <w:szCs w:val="18"/>
          <w:color w:val="auto"/>
        </w:rPr>
        <w:t>and the last day of each quarter thereafter. The Post bridge loan will mature on August 23, 2024.</w:t>
      </w:r>
    </w:p>
    <w:p>
      <w:pPr>
        <w:spacing w:after="0" w:line="211"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w:t>
      </w:r>
    </w:p>
    <w:p>
      <w:pPr>
        <w:spacing w:after="0" w:line="2" w:lineRule="exact"/>
        <w:rPr>
          <w:sz w:val="20"/>
          <w:szCs w:val="20"/>
          <w:color w:val="auto"/>
        </w:rPr>
      </w:pPr>
    </w:p>
    <w:p>
      <w:pPr>
        <w:ind w:left="520" w:hanging="316"/>
        <w:spacing w:after="0"/>
        <w:tabs>
          <w:tab w:leader="none" w:pos="5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BellRing Brands, LLC’s obligations under the Post bridge loan will become secured by a first priority security interest in substantially all of the</w:t>
      </w:r>
    </w:p>
    <w:p>
      <w:pPr>
        <w:spacing w:after="0" w:line="20" w:lineRule="exact"/>
        <w:rPr>
          <w:rFonts w:ascii="Arial" w:cs="Arial" w:eastAsia="Arial" w:hAnsi="Arial"/>
          <w:sz w:val="17"/>
          <w:szCs w:val="17"/>
          <w:color w:val="auto"/>
        </w:rPr>
      </w:pPr>
    </w:p>
    <w:p>
      <w:pPr>
        <w:ind w:left="200" w:right="40"/>
        <w:spacing w:after="0" w:line="255" w:lineRule="auto"/>
        <w:rPr>
          <w:rFonts w:ascii="Arial" w:cs="Arial" w:eastAsia="Arial" w:hAnsi="Arial"/>
          <w:sz w:val="17"/>
          <w:szCs w:val="17"/>
          <w:color w:val="auto"/>
        </w:rPr>
      </w:pPr>
      <w:r>
        <w:rPr>
          <w:rFonts w:ascii="Arial" w:cs="Arial" w:eastAsia="Arial" w:hAnsi="Arial"/>
          <w:sz w:val="18"/>
          <w:szCs w:val="18"/>
          <w:color w:val="auto"/>
        </w:rPr>
        <w:t>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w:t>
      </w:r>
    </w:p>
    <w:p>
      <w:pPr>
        <w:spacing w:after="0" w:line="46"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debt facilities consisting of a $ million revolving credit facility and a $ million term loan facility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the term loan portion of the debt facilities, will receive net</w:t>
      </w:r>
    </w:p>
    <w:p>
      <w:pPr>
        <w:spacing w:after="0" w:line="3" w:lineRule="exact"/>
        <w:rPr>
          <w:sz w:val="20"/>
          <w:szCs w:val="20"/>
          <w:color w:val="auto"/>
        </w:rPr>
      </w:pPr>
    </w:p>
    <w:p>
      <w:pPr>
        <w:ind w:left="200"/>
        <w:spacing w:after="0"/>
        <w:tabs>
          <w:tab w:leader="none" w:pos="2600" w:val="left"/>
        </w:tabs>
        <w:rPr>
          <w:sz w:val="20"/>
          <w:szCs w:val="20"/>
          <w:color w:val="auto"/>
        </w:rPr>
      </w:pPr>
      <w:r>
        <w:rPr>
          <w:rFonts w:ascii="Arial" w:cs="Arial" w:eastAsia="Arial" w:hAnsi="Arial"/>
          <w:sz w:val="18"/>
          <w:szCs w:val="18"/>
          <w:color w:val="auto"/>
        </w:rPr>
        <w:t>proceeds of approximately $</w:t>
      </w:r>
      <w:r>
        <w:rPr>
          <w:sz w:val="20"/>
          <w:szCs w:val="20"/>
          <w:color w:val="auto"/>
        </w:rPr>
        <w:tab/>
      </w:r>
      <w:r>
        <w:rPr>
          <w:rFonts w:ascii="Arial" w:cs="Arial" w:eastAsia="Arial" w:hAnsi="Arial"/>
          <w:sz w:val="16"/>
          <w:szCs w:val="16"/>
          <w:color w:val="auto"/>
        </w:rPr>
        <w:t>million, after deducting fees and expenses.</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maturity, amortization, prepayment requirements and interest rates under the debt facilities will be determined by agreement with the lenders. We expect the debt facilities to contain customary representations and warranties that are made at 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expect that the BellRing Brands, LLC obligations under the debt facilities will be unconditionally guaranteed by its existing and subsequently acquired or organized domestic subsidiaries (other than immaterial subsidiaries) and that the debt facilities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240" w:top="459"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each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connection with the formation transactions and this offering, we intend to amend and restate our certificate of incorporation so that our authorized capital stock will consist of 500,000,000 shares of Class A common stock, par value $0.01 per share, one share of Class B common stock, par value $0.01 per share, and 50,000,000 shares of preferred stock, par value $0.01 per share.</w:t>
      </w:r>
    </w:p>
    <w:p>
      <w:pPr>
        <w:spacing w:after="0" w:line="181" w:lineRule="exact"/>
        <w:rPr>
          <w:sz w:val="20"/>
          <w:szCs w:val="20"/>
          <w:color w:val="auto"/>
        </w:rPr>
      </w:pPr>
    </w:p>
    <w:p>
      <w:pPr>
        <w:ind w:left="200" w:right="320" w:firstLine="441"/>
        <w:spacing w:after="0" w:line="274" w:lineRule="auto"/>
        <w:rPr>
          <w:sz w:val="20"/>
          <w:szCs w:val="20"/>
          <w:color w:val="auto"/>
        </w:rPr>
      </w:pPr>
      <w:r>
        <w:rPr>
          <w:rFonts w:ascii="Arial" w:cs="Arial" w:eastAsia="Arial" w:hAnsi="Arial"/>
          <w:sz w:val="17"/>
          <w:szCs w:val="17"/>
          <w:color w:val="auto"/>
        </w:rPr>
        <w:t>After consummation of this offering, we expect to have shares of our Class A common stock outstanding (or shares if the underwriters exercise their over-allotment option in full), one share of our Class B common stock outstanding and no shares of preferred stock</w:t>
      </w:r>
    </w:p>
    <w:p>
      <w:pPr>
        <w:ind w:left="200"/>
        <w:spacing w:after="0"/>
        <w:tabs>
          <w:tab w:leader="none" w:pos="8060" w:val="left"/>
        </w:tabs>
        <w:rPr>
          <w:sz w:val="20"/>
          <w:szCs w:val="20"/>
          <w:color w:val="auto"/>
        </w:rPr>
      </w:pPr>
      <w:r>
        <w:rPr>
          <w:rFonts w:ascii="Arial" w:cs="Arial" w:eastAsia="Arial" w:hAnsi="Arial"/>
          <w:sz w:val="18"/>
          <w:szCs w:val="18"/>
          <w:color w:val="auto"/>
        </w:rPr>
        <w:t>outstanding. We intend to apply to list our Class A common stock on the NYSE under the symbol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Holders of our Class A common stock will be entitled to one vote for each share held on all matters submitted to stockholders for their vote or approval. For so long as Post or its affiliates (other than us) directly own more than 50% of the BellRing Brands, LLC Units, the aggregate voting power of the share of our Class B common stock will represent 67% of the combined voting power of the common stock of BellRing Brands, Inc. and, in the aggregate, the holders of the Class A common stock will have 33% of the combined voting power of the common stock of BellRing Brands, Inc. In the event that Post and its affiliates (other than us) hold 50% or less of the BellRing Brands, LLC Units, the holder of the share of Class B common stock shall be entitled to a number of votes equal to the number of BellRing Brands, LLC Units held by all persons other than us; provided, that (i) Post, or its applicable affiliate, as the holder of the share of our Class B common stock, will only be entitled to cast a number of votes on its own behalf and at its own discretion equal to the number of BellRing Brands, LLC Units held by Post and its affiliates (other than us), and (ii) in the event that any BellRing Brands, LLC Units are held by persons other than us or Post and its affiliates, then Post, or its applicable affiliate, as the holder of the share of our Class B common stock, will cast the remainder of the votes to which the share of our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amended and restated limited liability company agreement. The holders of our Class A common stock and the holder of our Class B common stock will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Following the formation transactions and this offering, Post will own the share of our Class B common stock and will therefore control 67% of the combined voting power of our outstanding common stock. In any event, Post will be able to control our business policies and affairs and any action requiring the general approval of our stockholders, including the adoption of amendments to our amended and restated certificate of</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incorporation and our amended and restated bylaws, the approval of mergers or sales of substantially all of our assets and the removal of members of our Board of Directors with or without cause. For so long as Post or its affiliates (other than us) directly own more than 50% of the BellRing Brands, LLC Units as described in this prospectus,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The holders of our Class A common stock will be entitled to receive dividends when, as and if declared by our Board of Directors out of legally available funds. The holder of our Class B common stock will not have any right to receive dividends.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its par value, the holder of our Class B common stock will not have any right to receive a distribution upon a liquidation or dissolution of our Company.</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Subject to the terms of the amended and restated limited liability company agreement, BellRing Brands, LLC Units will be redeemable for, at BellRing Brands, LLC’s option (as determined by its Board of Managers), (i) shares of our Class A common stock or (ii) cash (based on the market price of the shares of our Class A common stock). Each such redemption will be at an initial redemption rate of one share of Class A common stock for one BellRing Brands, LLC Unit, subject to customary redemption rate adjustments for stock splits, stock dividends and reclassifications.</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The share of our Class B common stock will initially be owned by Post and may not be transferred except to an affiliate of Post (other than us); provided that Post may grant one or more proxies to, or enter into one or more voting agreements or other voting arrangements with, any persons other than us or Post’s affiliates to whom Post or any of its affiliates (other than us) transfers BellRing Brands, LLC Units pursuant to the amended and restated limited liability company agreement, and Post may transfer the share of our Class B common stock in connection with any distribution of its ownership interests in BellRing Brands, LLC by means of a tax-free spin-off or split-off to its shareholders.</w:t>
      </w:r>
    </w:p>
    <w:p>
      <w:pPr>
        <w:spacing w:after="0" w:line="15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The outstanding share of our Class B common stock issued in connection with the formation transactions will be fully paid and non-assessable, and the shares of our Class A common stock offered by us in this offering, upon payment and delivery in accordance with the underwriting agreement, will be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Following the formation transactions and this offering, we will be authorized to issue up to 50,000,000 shares of preferred stock. Our Board of 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our stockholders, subject to applicable rules of the NYSE and Delaware law.</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Delaware General Corporation Law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66"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78"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See “Risk Factors—Risks Related to Our Relationship with Post—Post’s interests may conflict with our interests and the interests of our stockholders. Conflicts of interest or disputes between Post and our Company could be resolved in a manner unfavorable to our Company and our other stockholders” and “—Our amended and restated certificate of incorporation could prevent us from benefiting from corporate opportunities that might otherwise have been available to us.”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u w:val="single" w:color="auto"/>
          <w:color w:val="auto"/>
        </w:rPr>
        <w:t>Action by Written Consent; Special Meetings of Stockholders</w:t>
      </w:r>
      <w:r>
        <w:rPr>
          <w:rFonts w:ascii="Arial" w:cs="Arial" w:eastAsia="Arial" w:hAnsi="Arial"/>
          <w:sz w:val="16"/>
          <w:szCs w:val="16"/>
          <w:color w:val="auto"/>
        </w:rPr>
        <w:t>. Our amended and restated certificate of incorporation and our amended and restated bylaws will provide that, following the date on which Post and its various affiliates cease to own of record more than 50% of the BellRing Brands, LLC Units (the “triggering event”), stockholder action can be taken only at an annual or special meeting of stockholders and cannot be taken by written consent in lieu of a meeting. Prior to the triggering event, stockholder action may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Post and its successors (but only for so long as Post and its subsidiaries own of record, in the aggregate, more than 50% of the BellRing Brands, LLC Units) or the President. Except as described above, stockholders will not be permitted to call a special meeting or to require our Board of Directors to call a special meeting.</w:t>
      </w:r>
    </w:p>
    <w:p>
      <w:pPr>
        <w:spacing w:after="0" w:line="166"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except that, in the event that the date of the meeting is more than</w:t>
      </w:r>
    </w:p>
    <w:p>
      <w:pPr>
        <w:spacing w:after="0" w:line="2"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except that, for so long as the investor rights agreement is in effect, such advance notice requirements shall not apply to Post with respect to any individual nominated or designated by Post for election or appointment to our Board of Directors. For stockholder proposals, the notice must include a description of the proposal, the reasons for the proposal and other specified matters. Our Board of Directors may reject any proposals that have not followed these procedures or that are not a proper subject for stockholder action in accordance with the provisions of applicable law. Although our amended and restated bylaws will not give our Board of Directors the power to approve or disapprove stockholder nominations of candidates or proposals regarding other business to be conducted at a special or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7"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u w:val="single" w:color="auto"/>
          <w:color w:val="auto"/>
        </w:rPr>
        <w:t>Directors, and Not Stockholders, Fix the Size of the Board of Directors</w:t>
      </w:r>
      <w:r>
        <w:rPr>
          <w:rFonts w:ascii="Arial" w:cs="Arial" w:eastAsia="Arial" w:hAnsi="Arial"/>
          <w:sz w:val="16"/>
          <w:szCs w:val="16"/>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Upon consummation of this offering,</w:t>
      </w:r>
    </w:p>
    <w:p>
      <w:pPr>
        <w:ind w:left="200"/>
        <w:spacing w:after="0"/>
        <w:tabs>
          <w:tab w:leader="none" w:pos="3600" w:val="left"/>
        </w:tabs>
        <w:rPr>
          <w:sz w:val="20"/>
          <w:szCs w:val="20"/>
          <w:color w:val="auto"/>
        </w:rPr>
      </w:pPr>
      <w:r>
        <w:rPr>
          <w:rFonts w:ascii="Arial" w:cs="Arial" w:eastAsia="Arial" w:hAnsi="Arial"/>
          <w:sz w:val="18"/>
          <w:szCs w:val="18"/>
          <w:color w:val="auto"/>
        </w:rPr>
        <w:t>our Board of Directors will consist of</w:t>
      </w:r>
      <w:r>
        <w:rPr>
          <w:sz w:val="20"/>
          <w:szCs w:val="20"/>
          <w:color w:val="auto"/>
        </w:rPr>
        <w:tab/>
      </w:r>
      <w:r>
        <w:rPr>
          <w:rFonts w:ascii="Arial" w:cs="Arial" w:eastAsia="Arial" w:hAnsi="Arial"/>
          <w:sz w:val="15"/>
          <w:szCs w:val="15"/>
          <w:color w:val="auto"/>
        </w:rPr>
        <w:t>members.</w:t>
      </w:r>
    </w:p>
    <w:p>
      <w:pPr>
        <w:spacing w:after="0" w:line="21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and the rights of Post under the investor rights agreement (for so long as it remains in effect), any vacancy on our Board of Directors occurring for any reason prior to the expiration of the term of the director class in which the vacancy occurs (including vacancies which occur by reason of an increase in the number of directors) will be filled by (i) the affirmative vote of a majority of the remaining directors, even if less than a quorum, (ii) at a special meeting of the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stockholders called for such purpose or (iii) prior to the triggering event, by written consent of one or more of our stockholders. A director elected to fill a vacancy will be elected for the unexpired term of his or her predecessor. These provisions could make it more difficult for stockholders to affect the composition of our Board of Directors.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u w:val="single" w:color="auto"/>
          <w:color w:val="auto"/>
        </w:rPr>
        <w:t>Classified Board of Directors</w:t>
      </w:r>
      <w:r>
        <w:rPr>
          <w:rFonts w:ascii="Arial" w:cs="Arial" w:eastAsia="Arial" w:hAnsi="Arial"/>
          <w:sz w:val="17"/>
          <w:szCs w:val="17"/>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 be as equal as reasonably possible. With respect to the members of the Board in office immediately after consummation of this offering, the first class of directors will hold office until the first annual stockholders’ meeting for election of directors, the second class of directors will hold office until the second annual stockholders’ meeting for election of directors, and the third class of directors will hold office until the third annual stockholders’ meeting for election of directors. Each class will thereafter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u w:val="single" w:color="auto"/>
          <w:color w:val="auto"/>
        </w:rPr>
        <w:t>Authorized but Unissued Shares</w:t>
      </w:r>
      <w:r>
        <w:rPr>
          <w:rFonts w:ascii="Arial" w:cs="Arial" w:eastAsia="Arial" w:hAnsi="Arial"/>
          <w:sz w:val="17"/>
          <w:szCs w:val="17"/>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u w:val="single" w:color="auto"/>
          <w:color w:val="auto"/>
        </w:rPr>
        <w:t>Business Combinations with Interested Stockholders</w:t>
      </w:r>
      <w:r>
        <w:rPr>
          <w:rFonts w:ascii="Arial" w:cs="Arial" w:eastAsia="Arial" w:hAnsi="Arial"/>
          <w:sz w:val="17"/>
          <w:szCs w:val="17"/>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certain transferees designated by Post (including any such person who is granted a proxy by, or enters into a voting agreement with, Post pursuant to the amended and restated limited liability company agreement) will not be deemed to be “interested stockholders,” regardless of the percentage of our voting stock owned by them, and accordingly will not be subject to such restrictions.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200" w:right="260" w:firstLine="441"/>
        <w:spacing w:after="0" w:line="279" w:lineRule="auto"/>
        <w:rPr>
          <w:sz w:val="20"/>
          <w:szCs w:val="20"/>
          <w:color w:val="auto"/>
        </w:rPr>
      </w:pPr>
      <w:r>
        <w:rPr>
          <w:rFonts w:ascii="Arial" w:cs="Arial" w:eastAsia="Arial" w:hAnsi="Arial"/>
          <w:sz w:val="17"/>
          <w:szCs w:val="17"/>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 certificate of incorporation may be amended in accordance with and upon the vote prescribed by Delaware law, except that:</w:t>
      </w:r>
    </w:p>
    <w:p>
      <w:pPr>
        <w:spacing w:after="0" w:line="77" w:lineRule="exact"/>
        <w:rPr>
          <w:sz w:val="20"/>
          <w:szCs w:val="20"/>
          <w:color w:val="auto"/>
        </w:rPr>
      </w:pPr>
    </w:p>
    <w:p>
      <w:pPr>
        <w:ind w:left="1180" w:right="120" w:hanging="544"/>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holders of our Class A common stock and our Class B common stock will each be entitled to vote separately upon any amendment to our amended and restated certificate of incorporation (including by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77" w:lineRule="auto"/>
        <w:rPr>
          <w:sz w:val="20"/>
          <w:szCs w:val="20"/>
          <w:color w:val="auto"/>
        </w:rPr>
      </w:pPr>
      <w:r>
        <w:rPr>
          <w:rFonts w:ascii="Arial" w:cs="Arial" w:eastAsia="Arial" w:hAnsi="Arial"/>
          <w:sz w:val="18"/>
          <w:szCs w:val="18"/>
          <w:color w:val="auto"/>
        </w:rPr>
        <w:t>merger, consolidation, reorganization or similar event) that would alter or change the powers, preferences or special rights of the shares of such class of common stock in a manner that affects them adversely.</w:t>
      </w:r>
    </w:p>
    <w:p>
      <w:pPr>
        <w:spacing w:after="0" w:line="76" w:lineRule="exact"/>
        <w:rPr>
          <w:sz w:val="20"/>
          <w:szCs w:val="20"/>
          <w:color w:val="auto"/>
        </w:rPr>
      </w:pPr>
    </w:p>
    <w:p>
      <w:pPr>
        <w:jc w:val="both"/>
        <w:ind w:left="1180" w:right="780" w:hanging="544"/>
        <w:spacing w:after="0" w:line="312" w:lineRule="auto"/>
        <w:tabs>
          <w:tab w:leader="none" w:pos="1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Section 11 of our amended and restated certificate of incorporation (relating to indemnification) may be amended (or a provision inconsistent with Section 11 adopted) only upon the affirmative vote of not less than 85% of all of the voting power of all of the outstanding shares of our common stock then entitled to vote in the election of directors, voting together as a single class.</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a majority of all of the members of our Board of Directors may amend, alter, change or repeal any provision of our amended and restated bylaws, except that our Board of Directors may not amend, alter, change or repeal any provision of the bylaws relating to their amendment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 restated bylaws upon the affirmative vote of a majority of all of the voting power of the Company entitled to vote thereon, except that the stockholders will not have the power to amend, alter, change or repeal any provision of the bylaws relating to their amendment in any manner that alters our Board of Directors’ power to amend, alter, change or repeal the bylaws.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29" w:lineRule="exact"/>
        <w:rPr>
          <w:sz w:val="20"/>
          <w:szCs w:val="20"/>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Class A common stock is currently not listed on any securities exchange. We intend to apply to have our Class A common stock listed on the</w:t>
      </w:r>
    </w:p>
    <w:p>
      <w:pPr>
        <w:spacing w:after="0" w:line="46" w:lineRule="exact"/>
        <w:rPr>
          <w:sz w:val="20"/>
          <w:szCs w:val="20"/>
          <w:color w:val="auto"/>
        </w:rPr>
      </w:pPr>
    </w:p>
    <w:p>
      <w:pPr>
        <w:ind w:left="200"/>
        <w:spacing w:after="0"/>
        <w:tabs>
          <w:tab w:leader="none" w:pos="2800" w:val="left"/>
        </w:tabs>
        <w:rPr>
          <w:sz w:val="20"/>
          <w:szCs w:val="20"/>
          <w:color w:val="auto"/>
        </w:rPr>
      </w:pPr>
      <w:r>
        <w:rPr>
          <w:rFonts w:ascii="Arial" w:cs="Arial" w:eastAsia="Arial" w:hAnsi="Arial"/>
          <w:sz w:val="18"/>
          <w:szCs w:val="18"/>
          <w:color w:val="auto"/>
        </w:rPr>
        <w:t>NYSE under the symbol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100"/>
          </w:cols>
          <w:pgMar w:left="240" w:top="459" w:right="559" w:bottom="1440" w:gutter="0" w:footer="0" w:header="0"/>
        </w:sectPr>
      </w:pP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completion of this offering, the transfer agent and registrar for our Class A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3" w:lineRule="exact"/>
        <w:rPr>
          <w:sz w:val="20"/>
          <w:szCs w:val="20"/>
          <w:color w:val="auto"/>
        </w:rPr>
      </w:pPr>
    </w:p>
    <w:p>
      <w:pPr>
        <w:sectPr>
          <w:pgSz w:w="11900" w:h="16838" w:orient="portrait"/>
          <w:cols w:equalWidth="0" w:num="2">
            <w:col w:w="8140" w:space="720"/>
            <w:col w:w="2240"/>
          </w:cols>
          <w:pgMar w:left="240" w:top="459" w:right="559" w:bottom="1440" w:gutter="0" w:footer="0" w:header="0"/>
          <w:type w:val="continuous"/>
        </w:sectPr>
      </w:pPr>
    </w:p>
    <w:p>
      <w:pPr>
        <w:jc w:val="center"/>
        <w:ind w:right="-319"/>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100"/>
          </w:cols>
          <w:pgMar w:left="240" w:top="459" w:right="5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58" w:lineRule="exact"/>
        <w:rPr>
          <w:sz w:val="20"/>
          <w:szCs w:val="20"/>
          <w:color w:val="auto"/>
        </w:rPr>
      </w:pPr>
    </w:p>
    <w:p>
      <w:pPr>
        <w:ind w:left="200" w:right="440" w:firstLine="441"/>
        <w:spacing w:after="0" w:line="312" w:lineRule="auto"/>
        <w:rPr>
          <w:sz w:val="20"/>
          <w:szCs w:val="20"/>
          <w:color w:val="auto"/>
        </w:rPr>
      </w:pPr>
      <w:r>
        <w:rPr>
          <w:rFonts w:ascii="Arial" w:cs="Arial" w:eastAsia="Arial" w:hAnsi="Arial"/>
          <w:sz w:val="16"/>
          <w:szCs w:val="16"/>
          <w:color w:val="auto"/>
        </w:rPr>
        <w:t>All of the shares of Class A common stock (or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w:t>
      </w:r>
    </w:p>
    <w:p>
      <w:pPr>
        <w:spacing w:after="0" w:line="35"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BellRing Brands, Inc. and Post. Post will hold BellRing Brands, LLC Units equal to % of the economic interest in BellRing Brands, LLC (or % if the underwriters exercise their over-allotment option in full) and one share of our Class B common stock, which, so long as Post or its affiliates (other than us) directly own more than 50% of the BellRing Brands, LLC Units as described in this prospectus, will represent 67% of the combined voting power of our outstanding common stock. Pursuant to the terms of the amended and restated limited liability company agreement, the holders of BellRing Brands, LLC Units (other than us) may from time to time redeem their BellRing Brands, LLC Units for, at the option of BellRing Brands, LLC (as determined by its Board of Managers), (i) shares of our Class A common stock on a one-for-one equivalent basis or (ii) cash (based on the market price of the shares of our Class A common stock), subject to customary redemption rate adjustments for stock splits, stock dividends and reclassifications. The share of BellRing Brands, Inc. Class B common stock will be initially owned by Post and may only be transferred to affiliates of</w:t>
      </w:r>
    </w:p>
    <w:p>
      <w:pPr>
        <w:spacing w:after="0" w:line="5" w:lineRule="exact"/>
        <w:rPr>
          <w:sz w:val="20"/>
          <w:szCs w:val="20"/>
          <w:color w:val="auto"/>
        </w:rPr>
      </w:pPr>
    </w:p>
    <w:p>
      <w:pPr>
        <w:ind w:left="200" w:right="460"/>
        <w:spacing w:after="0" w:line="261" w:lineRule="auto"/>
        <w:rPr>
          <w:sz w:val="20"/>
          <w:szCs w:val="20"/>
          <w:color w:val="auto"/>
        </w:rPr>
      </w:pPr>
      <w:r>
        <w:rPr>
          <w:rFonts w:ascii="Arial" w:cs="Arial" w:eastAsia="Arial" w:hAnsi="Arial"/>
          <w:sz w:val="18"/>
          <w:szCs w:val="18"/>
          <w:color w:val="auto"/>
        </w:rPr>
        <w:t>Post (other than us). The shares of our Class A common stock issuable upon redemption of BellRing Brands, LLC Units held by Post would be considered “restricted securities,” as that term is defined in Rule 144 at the time of this offering.</w:t>
      </w:r>
    </w:p>
    <w:p>
      <w:pPr>
        <w:spacing w:after="0" w:line="18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Post and certain of our executive officers and directors will enter into lock-up agreements under which they will agree not to sell or otherwise transfer shares of our Class A common stock or BellRing Brands, LLC Units or securities, convertible into or exchangeable for shares of our Class A stock as applicable, for a period of 180 days after the date of this prospectus. These lock-up restrictions may be extended in specified circumstances and are subject to certain exceptions. As a result of these contractual restrictions, shares of our Class A common stock and the other securities subject to lock-up agreements will not be eligible for sale until these agreements expire or the restrictions are waived by the underwriters.</w:t>
      </w:r>
    </w:p>
    <w:p>
      <w:pPr>
        <w:spacing w:after="0" w:line="158"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In addition, we will agree with the underwriters not to sell any shares of our Class A common stock or securities convertible into or exchangeable for shares of our Class A common stock for a period of 180 days after the date of this prospectus, subject to certain exceptions, including for sales in connection with this offering or with the grant or exercise of stock based equity awards. The underwriters may, at any time, waive these restrictions.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who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non-affiliated person who has beneficially owned the shares proposed to be sold for at least one year, including the holding period of any prior owner other than an affiliate of us, will be entitled to sell these shares without limitation.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180-day lock-up period described above, within any three-month period, a number of shares that does not exceed the greater of:</w:t>
      </w:r>
    </w:p>
    <w:p>
      <w:pPr>
        <w:spacing w:after="0" w:line="76" w:lineRule="exact"/>
        <w:rPr>
          <w:sz w:val="20"/>
          <w:szCs w:val="20"/>
          <w:color w:val="auto"/>
        </w:rPr>
      </w:pPr>
    </w:p>
    <w:p>
      <w:pPr>
        <w:ind w:left="1180" w:right="60" w:hanging="539"/>
        <w:spacing w:after="0" w:line="264" w:lineRule="auto"/>
        <w:tabs>
          <w:tab w:leader="none" w:pos="1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shares of our Class A common stock then outstanding, which will equal approximately shares immediately after this offering (assuming the underwriters do not elect to exercise their over-allotment option to purchase additional shares of our Class A common stock); or</w:t>
      </w:r>
    </w:p>
    <w:p>
      <w:pPr>
        <w:spacing w:after="0" w:line="87" w:lineRule="exact"/>
        <w:rPr>
          <w:sz w:val="20"/>
          <w:szCs w:val="20"/>
          <w:color w:val="auto"/>
        </w:rPr>
      </w:pPr>
    </w:p>
    <w:p>
      <w:pPr>
        <w:ind w:left="1180" w:right="160" w:hanging="544"/>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We intend to file with the SEC a registration statement on Form S-8 covering the shares of our Class A common stock that will be reserved for issuance under the BellRing Brands, Inc. 2019 Long-Term Incentive Plan.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BellRing Brands, Inc. 2019 Long-Term Incentive Plan will be eligible for sale by the recipient in the public market, subject to the lock-up agreements and Rule 144 restrictions described above.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the date this offering is completed,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supply chain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nine months ended June 30, 2019 and 2018 and Note 10 of “Notes to Combined Financial Statements” for the three fiscal years ended September 30, 2018 included in this prospectus.</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also will enter into certain agreements with Post in connection with this offering and relating to our relationship with Post after this offering, which are described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enter into the following agreements with Post relating to this offering and our relationship with Post after this offering:</w:t>
      </w:r>
    </w:p>
    <w:p>
      <w:pPr>
        <w:spacing w:after="0" w:line="131" w:lineRule="exact"/>
        <w:rPr>
          <w:sz w:val="20"/>
          <w:szCs w:val="20"/>
          <w:color w:val="auto"/>
        </w:rPr>
      </w:pPr>
    </w:p>
    <w:p>
      <w:pPr>
        <w:ind w:left="1180" w:hanging="544"/>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master services agreement.</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material terms to be included in each of these agreements are summarized below. The summary of each such agreement is qualified by reference in its entirety to the full text of the applicable agreement, each of which are or will be filed as an exhibit to the registration statement of which this prospectus is a part.</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will enter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master transaction agreement with Post which will set forth the agreements among BellRing Brands, Inc., BellRing Brands, LLC and its subsidiaries, and Post and its subsidiaries (other than us), regarding the principal transactions required to effect the formation transactions and this offering, and will govern the relationship between Post and us after this offering. For a description of the formation transactions, see “Prospectus Summary—Formation Transactions.”</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will detail the steps and related timing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formation transactions. The master transaction agreement also will identify assets to be transferred, liabilities to be assumed and contracts to be assigned to each of BellRing Brands, LLC and Post as part of the separation of the Active Nutrition business from Post.</w:t>
      </w:r>
    </w:p>
    <w:p>
      <w:pPr>
        <w:spacing w:after="0" w:line="166"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master transaction agreement will provide, among other things, that, subject to certain exceptions and the terms and conditions contained therein, on the date this offering is completed:</w:t>
      </w:r>
    </w:p>
    <w:p>
      <w:pPr>
        <w:spacing w:after="0" w:line="76" w:lineRule="exact"/>
        <w:rPr>
          <w:sz w:val="20"/>
          <w:szCs w:val="20"/>
          <w:color w:val="auto"/>
        </w:rPr>
      </w:pPr>
    </w:p>
    <w:p>
      <w:pPr>
        <w:ind w:left="1180" w:right="200" w:hanging="544"/>
        <w:spacing w:after="0" w:line="312" w:lineRule="auto"/>
        <w:tabs>
          <w:tab w:leader="none" w:pos="1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544"/>
        <w:spacing w:after="0" w:line="259"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 and</w:t>
      </w:r>
    </w:p>
    <w:p>
      <w:pPr>
        <w:spacing w:after="0" w:line="92" w:lineRule="exact"/>
        <w:rPr>
          <w:rFonts w:ascii="Arial" w:cs="Arial" w:eastAsia="Arial" w:hAnsi="Arial"/>
          <w:sz w:val="18"/>
          <w:szCs w:val="18"/>
          <w:color w:val="auto"/>
        </w:rPr>
      </w:pPr>
    </w:p>
    <w:p>
      <w:pPr>
        <w:ind w:left="1180" w:right="180" w:hanging="544"/>
        <w:spacing w:after="0" w:line="279" w:lineRule="auto"/>
        <w:tabs>
          <w:tab w:leader="none" w:pos="1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BellRing Brands, LLC Assets and the BellRing Brands, LLC Liabilities (such assets and liabilities, other than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will provide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will provide that, to the extent that any transfers or assignments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The master transaction agreement will provide that, except as otherwise provided in the master transaction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consummation of this offering.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6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i w:val="1"/>
          <w:iCs w:val="1"/>
          <w:color w:val="auto"/>
        </w:rPr>
        <w:t xml:space="preserve">Financial Reporting Covenants; Auditors and Audits; Annual Financial Statements and Accounting. </w:t>
      </w:r>
      <w:r>
        <w:rPr>
          <w:rFonts w:ascii="Arial" w:cs="Arial" w:eastAsia="Arial" w:hAnsi="Arial"/>
          <w:sz w:val="17"/>
          <w:szCs w:val="17"/>
          <w:color w:val="auto"/>
        </w:rPr>
        <w:t>Under the master transaction agreement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BellRing Brands, Inc. and BellRing Brands, LLC will agree that, until such time as Post is no longer required to include, for any fiscal year presented in any Form 10-K of Post, the consolidated results of operations and financial position of BellRing Brands, Inc. or any of its subsidiaries or to account for its investment in BellRing Brands, Inc. or any of its subsidiaries under the equity method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accounting, among other things (all references to “BellRing Brands, Inc. and its subsidiaries” include BellRing Brands, LLC and its subsidiaries, as applicable):</w:t>
      </w:r>
    </w:p>
    <w:p>
      <w:pPr>
        <w:spacing w:after="0" w:line="76" w:lineRule="exact"/>
        <w:rPr>
          <w:sz w:val="20"/>
          <w:szCs w:val="20"/>
          <w:color w:val="auto"/>
        </w:rPr>
      </w:pPr>
    </w:p>
    <w:p>
      <w:pPr>
        <w:ind w:left="1180" w:hanging="544"/>
        <w:spacing w:after="0" w:line="255"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8" w:lineRule="exact"/>
        <w:rPr>
          <w:rFonts w:ascii="Arial" w:cs="Arial" w:eastAsia="Arial" w:hAnsi="Arial"/>
          <w:sz w:val="18"/>
          <w:szCs w:val="18"/>
          <w:color w:val="auto"/>
        </w:rPr>
      </w:pPr>
    </w:p>
    <w:p>
      <w:pPr>
        <w:ind w:left="1180" w:hanging="544"/>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1180" w:right="180" w:hanging="544"/>
        <w:spacing w:after="0" w:line="342"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29" w:lineRule="exact"/>
        <w:rPr>
          <w:rFonts w:ascii="Arial" w:cs="Arial" w:eastAsia="Arial" w:hAnsi="Arial"/>
          <w:sz w:val="16"/>
          <w:szCs w:val="16"/>
          <w:color w:val="auto"/>
        </w:rPr>
      </w:pPr>
    </w:p>
    <w:p>
      <w:pPr>
        <w:jc w:val="both"/>
        <w:ind w:left="1180" w:right="60" w:hanging="544"/>
        <w:spacing w:after="0" w:line="279" w:lineRule="auto"/>
        <w:tabs>
          <w:tab w:leader="none" w:pos="1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NYSE (or such other national security exchange on which the Class A common stock is listed) and other public filings, press releases and public and private offering documents;</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jc w:val="both"/>
        <w:ind w:left="1180" w:right="40" w:hanging="544"/>
        <w:spacing w:after="0" w:line="342"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public filings;</w:t>
      </w:r>
    </w:p>
    <w:p>
      <w:pPr>
        <w:spacing w:after="0" w:line="29" w:lineRule="exact"/>
        <w:rPr>
          <w:rFonts w:ascii="Arial" w:cs="Arial" w:eastAsia="Arial" w:hAnsi="Arial"/>
          <w:sz w:val="16"/>
          <w:szCs w:val="16"/>
          <w:color w:val="auto"/>
        </w:rPr>
      </w:pPr>
    </w:p>
    <w:p>
      <w:pPr>
        <w:ind w:left="1180" w:right="120" w:hanging="544"/>
        <w:spacing w:after="0" w:line="302"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59" w:lineRule="exact"/>
        <w:rPr>
          <w:rFonts w:ascii="Arial" w:cs="Arial" w:eastAsia="Arial" w:hAnsi="Arial"/>
          <w:sz w:val="16"/>
          <w:szCs w:val="16"/>
          <w:color w:val="auto"/>
        </w:rPr>
      </w:pPr>
    </w:p>
    <w:p>
      <w:pPr>
        <w:ind w:left="1180" w:right="280" w:hanging="544"/>
        <w:spacing w:after="0" w:line="264"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6" w:lineRule="exact"/>
        <w:rPr>
          <w:rFonts w:ascii="Arial" w:cs="Arial" w:eastAsia="Arial" w:hAnsi="Arial"/>
          <w:sz w:val="18"/>
          <w:szCs w:val="18"/>
          <w:color w:val="auto"/>
        </w:rPr>
      </w:pPr>
    </w:p>
    <w:p>
      <w:pPr>
        <w:ind w:left="1180" w:right="100" w:hanging="544"/>
        <w:spacing w:after="0" w:line="259"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2" w:lineRule="exact"/>
        <w:rPr>
          <w:rFonts w:ascii="Arial" w:cs="Arial" w:eastAsia="Arial" w:hAnsi="Arial"/>
          <w:sz w:val="18"/>
          <w:szCs w:val="18"/>
          <w:color w:val="auto"/>
        </w:rPr>
      </w:pPr>
    </w:p>
    <w:p>
      <w:pPr>
        <w:ind w:left="1180" w:right="20" w:hanging="544"/>
        <w:spacing w:after="0" w:line="25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The master transaction agreement will provide for cross-indemnities principally designed to place financial responsibility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and liabilities of our business with us and financial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87" w:lineRule="exact"/>
        <w:rPr>
          <w:sz w:val="20"/>
          <w:szCs w:val="20"/>
          <w:color w:val="auto"/>
        </w:rPr>
      </w:pPr>
    </w:p>
    <w:p>
      <w:pPr>
        <w:ind w:left="1180" w:right="20" w:hanging="544"/>
        <w:spacing w:after="0" w:line="264"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LLC Liabilities and, in the case of Post, would include the Post Liabilities) and the other ancillary agreements;</w:t>
      </w:r>
    </w:p>
    <w:p>
      <w:pPr>
        <w:spacing w:after="0" w:line="86" w:lineRule="exact"/>
        <w:rPr>
          <w:rFonts w:ascii="Arial" w:cs="Arial" w:eastAsia="Arial" w:hAnsi="Arial"/>
          <w:sz w:val="18"/>
          <w:szCs w:val="18"/>
          <w:color w:val="auto"/>
        </w:rPr>
      </w:pPr>
    </w:p>
    <w:p>
      <w:pPr>
        <w:ind w:left="1180" w:right="140" w:hanging="544"/>
        <w:spacing w:after="0" w:line="34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failure of BellRing Brands, LLC or Post to pay, perform or otherwise promptly discharge any of the BellRing Brands, LLC Liabilities or the Post Liabilities, respectively, in accordance with their terms, whether prior to, at or after the consummation of this offering;</w:t>
      </w:r>
    </w:p>
    <w:p>
      <w:pPr>
        <w:spacing w:after="0" w:line="29" w:lineRule="exact"/>
        <w:rPr>
          <w:rFonts w:ascii="Arial" w:cs="Arial" w:eastAsia="Arial" w:hAnsi="Arial"/>
          <w:sz w:val="16"/>
          <w:szCs w:val="16"/>
          <w:color w:val="auto"/>
        </w:rPr>
      </w:pPr>
    </w:p>
    <w:p>
      <w:pPr>
        <w:ind w:left="1180" w:right="320" w:hanging="544"/>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1180" w:right="280" w:hanging="544"/>
        <w:spacing w:after="0" w:line="264"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1"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ind w:left="200" w:right="20" w:firstLine="4"/>
        <w:spacing w:after="0" w:line="252" w:lineRule="auto"/>
        <w:tabs>
          <w:tab w:leader="none" w:pos="4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following this offering to the extent (A) such information pertains to us or our business or (B) Post has provided prior written notice to us that such information will be included in one or more annual, quarterly or current reports, specifying how such information will be presented, and the information is included in such annual, quarterly or current reports (except, in the case of this clause (B), for liabilities arising out of or resulting from, or in connection with, any action or inaction of Post or any of its subsidiaries (other than us), including as a result of any misstatement or omission of any information by Post to us).</w:t>
      </w:r>
    </w:p>
    <w:p>
      <w:pPr>
        <w:spacing w:after="0" w:line="192"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or (2) provided by Post to us specifically for inclusion in BellRing Brands, Inc.’s annual, quarterly or current reports following this offering to the extent (A) such information pertains to (x) Post or</w:t>
      </w:r>
    </w:p>
    <w:p>
      <w:pPr>
        <w:spacing w:after="0" w:line="5" w:lineRule="exact"/>
        <w:rPr>
          <w:sz w:val="20"/>
          <w:szCs w:val="20"/>
          <w:color w:val="auto"/>
        </w:rPr>
      </w:pPr>
    </w:p>
    <w:p>
      <w:pPr>
        <w:jc w:val="both"/>
        <w:ind w:left="200" w:right="180" w:firstLine="4"/>
        <w:spacing w:after="0" w:line="295" w:lineRule="auto"/>
        <w:tabs>
          <w:tab w:leader="none" w:pos="4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Post’s business (for the avoidance of doubt, other than our business) or (B) BellRing Brands, Inc. has provided written notice to Post that such information will be included in one or more of its annual, quarterly or current reports, specifying how such information will be presented, and the information is included in such annual, quarterly or current reports (except, in the case of this clause (B), for liabilities arising out of or resulting from, or in connection with, any action or inaction of us, including as a result of any misstatement or omission of any information by us to Post).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will govern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4"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Employee Matters Agreement. </w:t>
      </w:r>
      <w:r>
        <w:rPr>
          <w:rFonts w:ascii="Arial" w:cs="Arial" w:eastAsia="Arial" w:hAnsi="Arial"/>
          <w:sz w:val="18"/>
          <w:szCs w:val="18"/>
          <w:color w:val="auto"/>
        </w:rPr>
        <w:t>As part of the formation transactions and this offering, we will enter into the employee matters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The employee matters agreement will cover a wide range of compensation and benefit matters related to this offering. In general, under the employee matters agreement:</w:t>
      </w:r>
    </w:p>
    <w:p>
      <w:pPr>
        <w:spacing w:after="0" w:line="87" w:lineRule="exact"/>
        <w:rPr>
          <w:sz w:val="20"/>
          <w:szCs w:val="20"/>
          <w:color w:val="auto"/>
        </w:rPr>
      </w:pPr>
    </w:p>
    <w:p>
      <w:pPr>
        <w:ind w:left="1180" w:right="100" w:hanging="544"/>
        <w:spacing w:after="0" w:line="312" w:lineRule="auto"/>
        <w:tabs>
          <w:tab w:leader="none" w:pos="1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Post will assume or retain: (1) all liabilities with respect to Post employees, former Post employees and their dependents and beneficiaries under all Post employee benefit plans (other than our employees and our former employees) and (2) all liabilities with respect to the employment of all Post employees and former Post employees (other than our employees and our former employees); and</w:t>
      </w:r>
    </w:p>
    <w:p>
      <w:pPr>
        <w:spacing w:after="0" w:line="52" w:lineRule="exact"/>
        <w:rPr>
          <w:rFonts w:ascii="Arial" w:cs="Arial" w:eastAsia="Arial" w:hAnsi="Arial"/>
          <w:sz w:val="16"/>
          <w:szCs w:val="16"/>
          <w:color w:val="auto"/>
        </w:rPr>
      </w:pPr>
    </w:p>
    <w:p>
      <w:pPr>
        <w:ind w:left="1180" w:right="200" w:hanging="544"/>
        <w:spacing w:after="0" w:line="302" w:lineRule="auto"/>
        <w:tabs>
          <w:tab w:leader="none" w:pos="1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will assume or retain: (1) all liabilities related to benefits for our employees and their dependents and beneficiaries, (2) all liabilities with respect to the employment or termination of employment of our employees and our former employees and (3) all liabilities with respect to the expense of equity compensation that vests or becomes payable for our employees and our former employees, which equity was issued under the 2012 LTIP, the 2016 LTIP or the Post Holdings, Inc. 2019 Long-Term Incentive Plan.</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After this offering, it is anticipated that our U.S. employees will continue participating in some health and welfare benefits under plans sponsored by Post, and that with respect to some portion of these benefits, we will establish our own plans in the months following completion of the offering. We anticipate that we will establish our own 401(k) plan effective either at the time of this offering or at the start of the next calendar year following this offering. Additionally, we anticipate that our management employees will no longer be eligible for deferrals under Post’s non-qualified deferred compensation plans beginning January 1, 2020.</w:t>
      </w:r>
    </w:p>
    <w:p>
      <w:pPr>
        <w:spacing w:after="0" w:line="188"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anticipate that the employee matters agreement also will provide that we will reimburse Post for the cost of Post equity awards, if any, that become payable or are exercised by our employees and former employees after this offering.</w:t>
      </w:r>
    </w:p>
    <w:p>
      <w:pPr>
        <w:spacing w:after="0" w:line="170" w:lineRule="exact"/>
        <w:rPr>
          <w:sz w:val="20"/>
          <w:szCs w:val="20"/>
          <w:color w:val="auto"/>
        </w:rPr>
      </w:pPr>
    </w:p>
    <w:p>
      <w:pPr>
        <w:jc w:val="both"/>
        <w:ind w:left="200" w:right="480" w:firstLine="441"/>
        <w:spacing w:after="0" w:line="312" w:lineRule="auto"/>
        <w:rPr>
          <w:sz w:val="20"/>
          <w:szCs w:val="20"/>
          <w:color w:val="auto"/>
        </w:rPr>
      </w:pPr>
      <w:r>
        <w:rPr>
          <w:rFonts w:ascii="Arial" w:cs="Arial" w:eastAsia="Arial" w:hAnsi="Arial"/>
          <w:sz w:val="16"/>
          <w:szCs w:val="16"/>
          <w:color w:val="auto"/>
        </w:rPr>
        <w:t>Under the employee matters agreement,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the applicable Post Long-Term Incentive Plan and any award agreements applicable thereunder.</w:t>
      </w:r>
    </w:p>
    <w:p>
      <w:pPr>
        <w:spacing w:after="0" w:line="3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Investor Rights Agreement. </w:t>
      </w:r>
      <w:r>
        <w:rPr>
          <w:rFonts w:ascii="Arial" w:cs="Arial" w:eastAsia="Arial" w:hAnsi="Arial"/>
          <w:sz w:val="18"/>
          <w:szCs w:val="18"/>
          <w:color w:val="auto"/>
        </w:rPr>
        <w:t>As part of the formation transactions and this offering, we will enter into the investor rights agreement with Post.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rights agreement will provide Post with certain demand, shelf and piggyback registration rights with respect to its shares of BellRing Brands, Inc. Class A common stock and also will provide Post with certain governance rights, depending on the percentage of the total voting power of BellRing Brands, Inc. outstanding common stock held by Post.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1" w:lineRule="exact"/>
        <w:rPr>
          <w:sz w:val="20"/>
          <w:szCs w:val="20"/>
          <w:color w:val="auto"/>
        </w:rPr>
      </w:pPr>
    </w:p>
    <w:p>
      <w:pPr>
        <w:ind w:left="1180" w:right="520" w:hanging="544"/>
        <w:spacing w:after="0" w:line="342" w:lineRule="auto"/>
        <w:tabs>
          <w:tab w:leader="none" w:pos="11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80" w:hanging="544"/>
        <w:spacing w:after="0" w:line="308" w:lineRule="auto"/>
        <w:tabs>
          <w:tab w:leader="none" w:pos="1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once we are eligible to do so, Post and its affiliates will have the right to cause us to file and have declared effective a shelf registration statement on Form S-3 with respect to all of their shares of BellRing Brands, Inc. Class A common stock; and</w:t>
      </w:r>
    </w:p>
    <w:p>
      <w:pPr>
        <w:spacing w:after="0" w:line="51" w:lineRule="exact"/>
        <w:rPr>
          <w:rFonts w:ascii="Arial" w:cs="Arial" w:eastAsia="Arial" w:hAnsi="Arial"/>
          <w:sz w:val="17"/>
          <w:szCs w:val="17"/>
          <w:color w:val="auto"/>
        </w:rPr>
      </w:pPr>
    </w:p>
    <w:p>
      <w:pPr>
        <w:ind w:left="1180" w:hanging="544"/>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investor rights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5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of the completion of this offering, our Board of Directors will have members, divided into three classes. The investor rights agreement will provide that Post, subject to applicable corporate governance rules of the SEC and the NYSE (which may require Post to designate independent directors), will have the right to designate: (i) a majority of the directors (and if the number of directors is even, one director more than 50% of the number of directors) if the votes that may be cast by Post under our amended and restated certificate of incorporation are more than 50% of the total voting power of our outstanding common stock, (ii) one less than a majority of the directors (and if the number of directors is even, 50% of the number of directors) if the votes that may be cast by Post under our amended and restated certificate of incorporation are more than 25% but 50% or less of the total voting power of our outstanding common stock and (iii) one-third of the directors (rounded down to the nearest whole number)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If a vacancy is created on our Board of Directors as a result of the death, disability, retirement, resignation or removal of a director who was designated by Post, Post will have the right to designate such person’s replacement. For so long as the votes that may be cast by Post under our amended and restated certificate of incorporation are 25% or more of the outstanding BellRing Brands, Inc. common stock, Post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and will use reasonable best efforts to cause such person to be elected as a director.</w:t>
      </w:r>
    </w:p>
    <w:p>
      <w:pPr>
        <w:spacing w:after="0" w:line="169"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investor rights agreement will terminate when Post and its permitted transferees hold less than 2.5% of the total voting power of our outstanding common stock.</w:t>
      </w:r>
    </w:p>
    <w:p>
      <w:pPr>
        <w:spacing w:after="0" w:line="166" w:lineRule="exact"/>
        <w:rPr>
          <w:sz w:val="20"/>
          <w:szCs w:val="20"/>
          <w:color w:val="auto"/>
        </w:rPr>
      </w:pPr>
    </w:p>
    <w:p>
      <w:pPr>
        <w:ind w:left="200" w:right="120" w:firstLine="441"/>
        <w:spacing w:after="0" w:line="261" w:lineRule="auto"/>
        <w:rPr>
          <w:sz w:val="20"/>
          <w:szCs w:val="20"/>
          <w:color w:val="auto"/>
        </w:rPr>
      </w:pPr>
      <w:r>
        <w:rPr>
          <w:rFonts w:ascii="Arial" w:cs="Arial" w:eastAsia="Arial" w:hAnsi="Arial"/>
          <w:sz w:val="18"/>
          <w:szCs w:val="18"/>
          <w:b w:val="1"/>
          <w:bCs w:val="1"/>
          <w:i w:val="1"/>
          <w:iCs w:val="1"/>
          <w:color w:val="auto"/>
        </w:rPr>
        <w:t>Amended and Restated Limited Liability Company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 formation transactions and this offering, we, Post and BellRing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LLC will enter into 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184"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i w:val="1"/>
          <w:iCs w:val="1"/>
          <w:color w:val="auto"/>
        </w:rPr>
        <w:t>Reorganization</w:t>
      </w:r>
      <w:r>
        <w:rPr>
          <w:rFonts w:ascii="Arial" w:cs="Arial" w:eastAsia="Arial" w:hAnsi="Arial"/>
          <w:sz w:val="16"/>
          <w:szCs w:val="16"/>
          <w:color w:val="auto"/>
        </w:rPr>
        <w:t>. As part of the formation transactions, BellRing Brands, LLC will establish two new classes of its common units, a voting</w:t>
      </w:r>
      <w:r>
        <w:rPr>
          <w:rFonts w:ascii="Arial" w:cs="Arial" w:eastAsia="Arial" w:hAnsi="Arial"/>
          <w:sz w:val="16"/>
          <w:szCs w:val="16"/>
          <w:i w:val="1"/>
          <w:iCs w:val="1"/>
          <w:color w:val="auto"/>
        </w:rPr>
        <w:t xml:space="preserve"> </w:t>
      </w:r>
      <w:r>
        <w:rPr>
          <w:rFonts w:ascii="Arial" w:cs="Arial" w:eastAsia="Arial" w:hAnsi="Arial"/>
          <w:sz w:val="16"/>
          <w:szCs w:val="16"/>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w:t>
      </w:r>
    </w:p>
    <w:p>
      <w:pPr>
        <w:spacing w:after="0" w:line="2" w:lineRule="exact"/>
        <w:rPr>
          <w:sz w:val="20"/>
          <w:szCs w:val="20"/>
          <w:color w:val="auto"/>
        </w:rPr>
      </w:pPr>
    </w:p>
    <w:p>
      <w:pPr>
        <w:ind w:left="200" w:right="80"/>
        <w:spacing w:after="0" w:line="290" w:lineRule="auto"/>
        <w:rPr>
          <w:sz w:val="20"/>
          <w:szCs w:val="20"/>
          <w:color w:val="auto"/>
        </w:rPr>
      </w:pPr>
      <w:r>
        <w:rPr>
          <w:rFonts w:ascii="Arial" w:cs="Arial" w:eastAsia="Arial" w:hAnsi="Arial"/>
          <w:sz w:val="17"/>
          <w:szCs w:val="17"/>
          <w:color w:val="auto"/>
        </w:rPr>
        <w:t>reclassified into BellRing Brands, LLC Units in connection with the formation transactions. In connection with the formation transactions and this offering, additional BellRing Brands, LLC Units will be issued to BellRing Brands, Inc. as described under “Prospectus Summary—Formation</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60"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Transactions.” The Board of Managers may cause BellRing Brands, LLC to issue from time to time such additional units or other equity securities as it may determine.</w:t>
      </w:r>
    </w:p>
    <w:p>
      <w:pPr>
        <w:spacing w:after="0" w:line="17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i w:val="1"/>
          <w:iCs w:val="1"/>
          <w:color w:val="auto"/>
        </w:rPr>
        <w:t>Governance</w:t>
      </w:r>
      <w:r>
        <w:rPr>
          <w:rFonts w:ascii="Arial" w:cs="Arial" w:eastAsia="Arial" w:hAnsi="Arial"/>
          <w:sz w:val="16"/>
          <w:szCs w:val="16"/>
          <w:color w:val="auto"/>
        </w:rPr>
        <w:t>. BellRing Brands, LLC will be managed by its Board of Managers. The number of managers of BellRing Brands, LLC will be fixed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not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 common stock (for so long as Post or its affiliates (other than us) directly own more than 50% of the BellRing Brands, LLC Units as set forth in this prospectus) and the investor rights agreement, which will give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17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other BellRing Brands, LLC Unit.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5"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will provide,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obligations of BellRing Brands, Inc. under the tax receivable agreement.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i w:val="1"/>
          <w:iCs w:val="1"/>
          <w:color w:val="auto"/>
        </w:rPr>
        <w:t>Coordination of BellRing Brands, Inc. and BellRing Brands, LLC</w:t>
      </w:r>
      <w:r>
        <w:rPr>
          <w:rFonts w:ascii="Arial" w:cs="Arial" w:eastAsia="Arial" w:hAnsi="Arial"/>
          <w:sz w:val="17"/>
          <w:szCs w:val="17"/>
          <w:color w:val="auto"/>
        </w:rPr>
        <w:t>. Under the amended and restated limited liability company agreement,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issues a share of Class A common stock or any other equity security entitled to any economic rights (including, without limitation, in this offering or pursuant to equity compensation plans or outstanding options, rights, warrants or other awards thereunder), which such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provided, that the net proceeds BellRing Brands, Inc. receives with respect to the corresponding economic company security, if any, must be concurrently contributed to BellRing Brands, LLC, subject to certain exceptions; provided further, that if BellRing Brands, Inc. issues any shares of Class A common stock in order to purchase or fund the purchase from any person other than a member of BellRing Brands, LLC of a number of BellRing Brands, LLC Units or to purchase or fund the purchase of shares of Class A common stock, then BellRing Brands, LLC is not required to issue any new BellRing Brands, LLC Units and BellRing Brands, Inc. is not required to contribute such net proceeds to BellRing Brands, LLC.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9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to comply with the provisions of the amended and restated limited liability company agreement described above in connection with the issuance, redemption or repurchase of any shares of Class A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for so long as Post holds at least 10% of the BellRing Brands, LLC Units.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Transfer of BellRing Brands, LLC Units</w:t>
      </w:r>
      <w:r>
        <w:rPr>
          <w:rFonts w:ascii="Arial" w:cs="Arial" w:eastAsia="Arial" w:hAnsi="Arial"/>
          <w:sz w:val="16"/>
          <w:szCs w:val="16"/>
          <w:color w:val="auto"/>
        </w:rPr>
        <w:t>. No member of BellRing Brands, LLC may directly or indirectly transfer all or any part of its BellRing</w:t>
      </w:r>
      <w:r>
        <w:rPr>
          <w:rFonts w:ascii="Arial" w:cs="Arial" w:eastAsia="Arial" w:hAnsi="Arial"/>
          <w:sz w:val="16"/>
          <w:szCs w:val="16"/>
          <w:i w:val="1"/>
          <w:iCs w:val="1"/>
          <w:color w:val="auto"/>
        </w:rPr>
        <w:t xml:space="preserve"> </w:t>
      </w:r>
      <w:r>
        <w:rPr>
          <w:rFonts w:ascii="Arial" w:cs="Arial" w:eastAsia="Arial" w:hAnsi="Arial"/>
          <w:sz w:val="16"/>
          <w:szCs w:val="16"/>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the following permitted transfers:</w:t>
      </w:r>
    </w:p>
    <w:p>
      <w:pPr>
        <w:spacing w:after="0" w:line="60" w:lineRule="exact"/>
        <w:rPr>
          <w:sz w:val="20"/>
          <w:szCs w:val="20"/>
          <w:color w:val="auto"/>
        </w:rPr>
      </w:pPr>
    </w:p>
    <w:p>
      <w:pPr>
        <w:ind w:left="1180" w:right="280" w:hanging="544"/>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pursuant to a tender offer, share exchange offer, issuer bid, take-over bid, recapitalization or similar transaction with respect to Class A common stock or a merger, consolidation or other business combination of BellRing Brands, Inc.;</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by Post to another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in connection with a redemption of BellRing Brands, LLC Units (as described below under “—Redemption Rights”);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of restricted securities (as defined in the investor rights agreement) in accordance with the investor rights agreement;</w:t>
      </w:r>
    </w:p>
    <w:p>
      <w:pPr>
        <w:spacing w:after="0" w:line="142" w:lineRule="exact"/>
        <w:rPr>
          <w:rFonts w:ascii="Arial" w:cs="Arial" w:eastAsia="Arial" w:hAnsi="Arial"/>
          <w:sz w:val="17"/>
          <w:szCs w:val="17"/>
          <w:color w:val="auto"/>
        </w:rPr>
      </w:pPr>
    </w:p>
    <w:p>
      <w:pPr>
        <w:ind w:left="1180" w:right="100" w:hanging="544"/>
        <w:spacing w:after="0" w:line="264"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by Post in connection with any tax-free distribution of its beneficial retained interest in BellRing Brands, LLC to its shareholders (including transfers to a subsidiary of Post in connection therewith (whether or not accompanied by a merger of such subsidiary with BellRing Brands, Inc. or any of its subsidiaries)); and</w:t>
      </w:r>
    </w:p>
    <w:p>
      <w:pPr>
        <w:spacing w:after="0" w:line="86" w:lineRule="exact"/>
        <w:rPr>
          <w:rFonts w:ascii="Arial" w:cs="Arial" w:eastAsia="Arial" w:hAnsi="Arial"/>
          <w:sz w:val="18"/>
          <w:szCs w:val="18"/>
          <w:color w:val="auto"/>
        </w:rPr>
      </w:pPr>
    </w:p>
    <w:p>
      <w:pPr>
        <w:ind w:left="1180" w:hanging="544"/>
        <w:spacing w:after="0"/>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transfer of shares of our Class A common stock.</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in either case, Post or such affiliate must grant to the transferee a written proxy, or enter into a written voting agreement or other voting arrangement with such transferee; provided, that no such proxy, voting agreement or other voting arrangement will be required in connection with a transfer by Post</w:t>
      </w:r>
    </w:p>
    <w:p>
      <w:pPr>
        <w:spacing w:after="0" w:line="2" w:lineRule="exact"/>
        <w:rPr>
          <w:sz w:val="20"/>
          <w:szCs w:val="20"/>
          <w:color w:val="auto"/>
        </w:rPr>
      </w:pPr>
    </w:p>
    <w:p>
      <w:pPr>
        <w:ind w:left="200" w:firstLine="4"/>
        <w:spacing w:after="0" w:line="295" w:lineRule="auto"/>
        <w:tabs>
          <w:tab w:leader="none" w:pos="415" w:val="left"/>
        </w:tabs>
        <w:numPr>
          <w:ilvl w:val="0"/>
          <w:numId w:val="94"/>
        </w:numPr>
        <w:rPr>
          <w:rFonts w:ascii="Arial" w:cs="Arial" w:eastAsia="Arial" w:hAnsi="Arial"/>
          <w:sz w:val="16"/>
          <w:szCs w:val="16"/>
          <w:color w:val="auto"/>
        </w:rPr>
      </w:pPr>
      <w:r>
        <w:rPr>
          <w:rFonts w:ascii="Arial" w:cs="Arial" w:eastAsia="Arial" w:hAnsi="Arial"/>
          <w:sz w:val="16"/>
          <w:szCs w:val="16"/>
          <w:color w:val="auto"/>
        </w:rPr>
        <w:t>pursuant to a tender offer, share exchange offer, issuer bid, take-over bid, recapitalization or similar transaction with respect to Class A common stock or a merger, consolidation or other business combination of BellRing Brands, Inc., (ii) as part of a redemption of BellRing Brands, LLC Units, (iii) of “registrable securities” (as defined in the investor rights agreement) in accordance with the investor rights agreement, (iv) as part of any tax-free distribution of its beneficial retained interest in BellRing Brands, LLC to its shareholders or (v) of shares of our Class A common stock.</w:t>
      </w:r>
    </w:p>
    <w:p>
      <w:pPr>
        <w:spacing w:after="0" w:line="16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76" w:lineRule="exact"/>
        <w:rPr>
          <w:sz w:val="20"/>
          <w:szCs w:val="20"/>
          <w:color w:val="auto"/>
        </w:rPr>
      </w:pPr>
    </w:p>
    <w:p>
      <w:pPr>
        <w:ind w:left="1180" w:right="120" w:hanging="544"/>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86" w:lineRule="exact"/>
        <w:rPr>
          <w:rFonts w:ascii="Arial" w:cs="Arial" w:eastAsia="Arial" w:hAnsi="Arial"/>
          <w:sz w:val="18"/>
          <w:szCs w:val="18"/>
          <w:color w:val="auto"/>
        </w:rPr>
      </w:pPr>
    </w:p>
    <w:p>
      <w:pPr>
        <w:ind w:left="1180" w:right="20" w:hanging="544"/>
        <w:spacing w:after="0" w:line="259"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92" w:lineRule="exact"/>
        <w:rPr>
          <w:rFonts w:ascii="Arial" w:cs="Arial" w:eastAsia="Arial" w:hAnsi="Arial"/>
          <w:sz w:val="18"/>
          <w:szCs w:val="18"/>
          <w:color w:val="auto"/>
        </w:rPr>
      </w:pPr>
    </w:p>
    <w:p>
      <w:pPr>
        <w:ind w:left="1180" w:right="380" w:hanging="544"/>
        <w:spacing w:after="0" w:line="279" w:lineRule="auto"/>
        <w:tabs>
          <w:tab w:leader="none" w:pos="11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 common stock or us will constitute a</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80"/>
        <w:spacing w:after="0" w:line="277" w:lineRule="auto"/>
        <w:rPr>
          <w:sz w:val="20"/>
          <w:szCs w:val="20"/>
          <w:color w:val="auto"/>
        </w:rPr>
      </w:pPr>
      <w:r>
        <w:rPr>
          <w:rFonts w:ascii="Arial" w:cs="Arial" w:eastAsia="Arial" w:hAnsi="Arial"/>
          <w:sz w:val="18"/>
          <w:szCs w:val="18"/>
          <w:color w:val="auto"/>
        </w:rPr>
        <w:t>revocation of the rights granted under such proxy, agreement or other arrangement with respect to the BellRing Brands, LLC Units so transferred.</w:t>
      </w:r>
    </w:p>
    <w:p>
      <w:pPr>
        <w:spacing w:after="0" w:line="166" w:lineRule="exact"/>
        <w:rPr>
          <w:sz w:val="20"/>
          <w:szCs w:val="20"/>
          <w:color w:val="auto"/>
        </w:rPr>
      </w:pPr>
    </w:p>
    <w:p>
      <w:pPr>
        <w:ind w:left="200" w:firstLine="441"/>
        <w:spacing w:after="0" w:line="274" w:lineRule="auto"/>
        <w:rPr>
          <w:sz w:val="20"/>
          <w:szCs w:val="20"/>
          <w:color w:val="auto"/>
        </w:rPr>
      </w:pPr>
      <w:r>
        <w:rPr>
          <w:rFonts w:ascii="Arial" w:cs="Arial" w:eastAsia="Arial" w:hAnsi="Arial"/>
          <w:sz w:val="17"/>
          <w:szCs w:val="17"/>
          <w:i w:val="1"/>
          <w:iCs w:val="1"/>
          <w:color w:val="auto"/>
        </w:rPr>
        <w:t>Redemption Rights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Each member (other than us) will have the right to cause BellRing Brands, LLC to redeem its BellRing Brands, LLC Units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at BellRing Brands, LLC’s option (as determined by its Board of Managers), (i) shares of our Class A common stock or (ii)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their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 claims, damages or liabilities incurred by reason of any act or omission performed or omitted by such covered person in good faith on behalf of BellRing Brands, LLC.</w:t>
      </w:r>
    </w:p>
    <w:p>
      <w:pPr>
        <w:spacing w:after="0" w:line="173"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7" w:lineRule="exact"/>
        <w:rPr>
          <w:sz w:val="20"/>
          <w:szCs w:val="20"/>
          <w:color w:val="auto"/>
        </w:rPr>
      </w:pPr>
    </w:p>
    <w:p>
      <w:pPr>
        <w:jc w:val="both"/>
        <w:ind w:left="200" w:right="100" w:firstLine="441"/>
        <w:spacing w:after="0" w:line="30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7" w:lineRule="exact"/>
        <w:rPr>
          <w:sz w:val="20"/>
          <w:szCs w:val="20"/>
          <w:color w:val="auto"/>
        </w:rPr>
      </w:pPr>
    </w:p>
    <w:p>
      <w:pPr>
        <w:jc w:val="both"/>
        <w:ind w:left="200" w:right="100" w:firstLine="441"/>
        <w:spacing w:after="0" w:line="276" w:lineRule="auto"/>
        <w:rPr>
          <w:sz w:val="20"/>
          <w:szCs w:val="20"/>
          <w:color w:val="auto"/>
        </w:rPr>
      </w:pPr>
      <w:r>
        <w:rPr>
          <w:rFonts w:ascii="Arial" w:cs="Arial" w:eastAsia="Arial" w:hAnsi="Arial"/>
          <w:sz w:val="17"/>
          <w:szCs w:val="17"/>
          <w:i w:val="1"/>
          <w:iCs w:val="1"/>
          <w:color w:val="auto"/>
        </w:rPr>
        <w:t>Amendments</w:t>
      </w:r>
      <w:r>
        <w:rPr>
          <w:rFonts w:ascii="Arial" w:cs="Arial" w:eastAsia="Arial" w:hAnsi="Arial"/>
          <w:sz w:val="17"/>
          <w:szCs w:val="17"/>
          <w:color w:val="auto"/>
        </w:rPr>
        <w:t>. The amended and restated limited liability company agreement may be amended at any time and from time to time by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Managers, although no amendment to the amended and restated limited liability company agreement may adversely modify in any material respect the BellRing Brands, LLC Units or any other class of units (or the rights, preferences or privileges of the BellRing Brands, LLC Units or any other class of units) then held by any members of BellRing Brands, LLC in any materially disproportionate manner to those then held by any other members without the prior written consent of a majority in interest of such disproportionately affected member or members.</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Tax Receivable Agreement. </w:t>
      </w:r>
      <w:r>
        <w:rPr>
          <w:rFonts w:ascii="Arial" w:cs="Arial" w:eastAsia="Arial" w:hAnsi="Arial"/>
          <w:sz w:val="18"/>
          <w:szCs w:val="18"/>
          <w:color w:val="auto"/>
        </w:rPr>
        <w:t>Post (or certain of its transferees or assignees) may redeem BellRing Brands, LLC Units for, at the option of BellRing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LLC (as determined by its Board of Managers), shares of our Class A common stock or cash pursuant to the amended and restated limited liability company agreement. See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4" w:lineRule="auto"/>
        <w:rPr>
          <w:sz w:val="20"/>
          <w:szCs w:val="20"/>
          <w:color w:val="auto"/>
        </w:rPr>
      </w:pPr>
      <w:r>
        <w:rPr>
          <w:rFonts w:ascii="Arial" w:cs="Arial" w:eastAsia="Arial" w:hAnsi="Arial"/>
          <w:sz w:val="16"/>
          <w:szCs w:val="16"/>
          <w:color w:val="auto"/>
        </w:rPr>
        <w:t>“—Amended and Restated Limited Liability Company Agreement.” These redemptions, as well as certain other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share of the tax basis of BellRing Brands, LLC’s assets that otherwise would not have been available to us.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w:t>
      </w:r>
    </w:p>
    <w:p>
      <w:pPr>
        <w:spacing w:after="0" w:line="3"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Section 704(c) of the Code, we will be entitled to certain tax benefits generated by the tax basis in BellRing Brands, LLC’s assets in excess of our pro rata share of such basis. The IRS may challenge all or part of these tax basis increases and tax benefits and no assurances can be made regarding the availability of these tax basis increases or other tax benefits.</w:t>
      </w:r>
    </w:p>
    <w:p>
      <w:pPr>
        <w:spacing w:after="0" w:line="190"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Upon the closing of this offering, we will enter into the tax receivable agreement with Post and BellRing Brands, LLC. Under the tax receivable agreement, we will be required to make cash payments to Post (or certain of its transferees or other assignees) equal to 85% of the amount of cash savings, if any, in U.S. federal income tax, as well as state and local income tax and franchise tax (using an assumed tax rate) and foreign tax,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amended and restated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to the tax receivable agreement. BellRing Brands, LLC will have in effect an election under Section 754 of the Code effective for each taxable year in which a redemption of BellRing Brands, LLC Units for shares of our Class A common stock or cash occurs. Payments under the tax receivable agreement are not conditioned on Post’s continued ownership of BellRing Brands, LLC Units or our Class A common stock or Class B common stock after this offering. The rights of Post under the tax receivable agreement are assignable to transferees of Post’s BellRing Brands, LLC Units (other than us as transferee pursuant to subsequent redemptions of the transferred BellRing Brands, LLC Units).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to calculate tax benefits. We expect to benefit from the remaining 15% of tax benefits, if any, that we may realize (or in some cases, are deemed to realize). The payment obligations under the tax receivable agreement are obligations of BellRing Brands, Inc. and not of BellRing Brands, LLC.</w:t>
      </w:r>
    </w:p>
    <w:p>
      <w:pPr>
        <w:spacing w:after="0" w:line="39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actual increase in tax basis and the amount and timing of any payments under the tax receivable agreement will vary depending upon a number of factors, including:</w:t>
      </w:r>
    </w:p>
    <w:p>
      <w:pPr>
        <w:spacing w:after="0" w:line="76" w:lineRule="exact"/>
        <w:rPr>
          <w:sz w:val="20"/>
          <w:szCs w:val="20"/>
          <w:color w:val="auto"/>
        </w:rPr>
      </w:pPr>
    </w:p>
    <w:p>
      <w:pPr>
        <w:ind w:left="1180" w:right="100" w:hanging="544"/>
        <w:spacing w:after="0" w:line="264"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in connection with this offering and at the time of redemptions</w:t>
      </w:r>
      <w:r>
        <w:rPr>
          <w:rFonts w:ascii="Arial" w:cs="Arial" w:eastAsia="Arial" w:hAnsi="Arial"/>
          <w:sz w:val="18"/>
          <w:szCs w:val="18"/>
          <w:color w:val="auto"/>
        </w:rPr>
        <w:t>—the basis adjustments,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any related increase in any tax deductions, is directly related to the price of shares of our Class A common stock at the time of the closing of this offering and each redemption;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544"/>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the timing of any redemptions</w:t>
      </w:r>
      <w:r>
        <w:rPr>
          <w:rFonts w:ascii="Arial" w:cs="Arial" w:eastAsia="Arial" w:hAnsi="Arial"/>
          <w:sz w:val="18"/>
          <w:szCs w:val="18"/>
          <w:color w:val="auto"/>
        </w:rPr>
        <w:t>—for instance, the increase in any tax deductions will vary depending on the fair value, which may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of the depreciable or amortizable assets of BellRing Brands, LLC at the time of each redemption;</w:t>
      </w:r>
    </w:p>
    <w:p>
      <w:pPr>
        <w:spacing w:after="0" w:line="75" w:lineRule="exact"/>
        <w:rPr>
          <w:rFonts w:ascii="Arial" w:cs="Arial" w:eastAsia="Arial" w:hAnsi="Arial"/>
          <w:sz w:val="18"/>
          <w:szCs w:val="18"/>
          <w:color w:val="auto"/>
        </w:rPr>
      </w:pPr>
    </w:p>
    <w:p>
      <w:pPr>
        <w:ind w:left="1180" w:right="500" w:hanging="544"/>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are taxable</w:t>
      </w:r>
      <w:r>
        <w:rPr>
          <w:rFonts w:ascii="Arial" w:cs="Arial" w:eastAsia="Arial" w:hAnsi="Arial"/>
          <w:sz w:val="18"/>
          <w:szCs w:val="18"/>
          <w:color w:val="auto"/>
        </w:rPr>
        <w:t>—if a redemption is not taxable for any reason, increased tax deductions will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w:t>
      </w:r>
    </w:p>
    <w:p>
      <w:pPr>
        <w:spacing w:after="0" w:line="75" w:lineRule="exact"/>
        <w:rPr>
          <w:rFonts w:ascii="Arial" w:cs="Arial" w:eastAsia="Arial" w:hAnsi="Arial"/>
          <w:sz w:val="18"/>
          <w:szCs w:val="18"/>
          <w:color w:val="auto"/>
        </w:rPr>
      </w:pPr>
    </w:p>
    <w:p>
      <w:pPr>
        <w:ind w:left="1180" w:right="20" w:hanging="544"/>
        <w:spacing w:after="0" w:line="293"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those benefits are treated as realized under the terms of the tax receivable agreement. If we do not have taxable income, we generally will not be required (absent a change of control or other circumstances requiring an early termination payment) to make payments under the tax receivable agreement for 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 and</w:t>
      </w:r>
    </w:p>
    <w:p>
      <w:pPr>
        <w:spacing w:after="0" w:line="70" w:lineRule="exact"/>
        <w:rPr>
          <w:rFonts w:ascii="Arial" w:cs="Arial" w:eastAsia="Arial" w:hAnsi="Arial"/>
          <w:sz w:val="16"/>
          <w:szCs w:val="16"/>
          <w:color w:val="auto"/>
        </w:rPr>
      </w:pPr>
    </w:p>
    <w:p>
      <w:pPr>
        <w:ind w:left="1180" w:hanging="544"/>
        <w:spacing w:after="0"/>
        <w:tabs>
          <w:tab w:leader="none" w:pos="118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any future changes in federal corporate income tax rates.</w:t>
      </w:r>
    </w:p>
    <w:p>
      <w:pPr>
        <w:spacing w:after="0" w:line="225"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(using assumed state and local tax rates) to the amount of such taxes that we would have been required to pay had there been no basis adjustments, or disproportionate allocations of tax benefits to BellRing Brands, Inc. as a result of Section 704(c) of the Code, and had the tax receivable agreement not been entered into. The tax receivable agreement will generally apply to each of our taxable years, beginning with the first taxable year ending after the consummation of this offering. There is no maximum term for the tax receivable agreement; however, the tax receivable agreement may be voluntarily terminated by a majority of our independent directors pursuant to an early termination procedure and will be terminated upon the occurrence of certain mergers, asset sales, other forms of business combination or other changes of control (but specifically excluding any distributions by Post of its retained beneficial interest in BellRing Brands, LLC by means of a tax-free spin-off to its shareholders) or our material breach of our material obligations under the tax receivable agreement, and in each case we will be obligated to pay Post (and its transferees and assignees) an agreed upon amount equal to the estimated present value of the remaining payments to be made under the tax receivable agreement (calculated based on certain assumptions, including regarding tax rates and utilization of the basis adjustments).</w:t>
      </w:r>
    </w:p>
    <w:p>
      <w:pPr>
        <w:spacing w:after="0" w:line="1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Post has advised us that, although it has no definitive plans to exit its interests in BellRing Brands, Inc. or BellRing Brands, LLC, it does not currently expect that any such exit would include the redemption of its BellRing Brands, LLC Units, as described above, due to unfavorable tax consequences that it could incur as a result, particularly in light of the availability of more tax-efficient exit alternatives – including tax-free “spin-off” or “split-off” transactions (which are not expected to result in adjustments to the tax basis of the assets of BellRing Brands, LLC). Post (or its transferees or assignees) may nevertheless determine to engage in redemptions or exchanges in its sole discretion. For an illustration of the amount, based upon certain assumptions, that would be payable by BellRing Brands, Inc. under the tax receivable agreement if all of Post’s (and its transferees’ and assignees’) BellRing Brands, LLC Units were redeemed, see “Unaudited Pro Forma Condensed Consolidated Financial Information.”</w:t>
      </w:r>
    </w:p>
    <w:p>
      <w:pPr>
        <w:spacing w:after="0" w:line="167"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Decisions made by us in the course of running our business, such as with respect to mergers, asset sales, other forms of business combinations or other changes in control, may influence the timing and amount of payments that are received by Post (or its assignees or transferees)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7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tax receivable agreement will provide that, upon a merger, asset sale or other form of business combination or certain other changes of control or if, at any time, a majority of our independent directors elect an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the market value of our Class A common stock at the time of termination, even if we do not receive the corresponding tax benefits until a later date when the BellRing Brands, LLC Units are actually redeemed. As a result of the foregoing, we would be required to make an immediate cash payment equal to the estimated present value of the anticipated future tax benefits that are the subject of the tax receivable agreement (using a discount rate equal to the lesser of 6.5% per annum, compounded annually, and LIBOR plus 300 basis points),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Such obligations under the tax receivable agreement, however, would not arise if Post distributes its beneficial retained interest in BellRing Brands, LLC by means of a tax-free spin-off to its shareholders. For an illustration of the amount, based upon certain assumptions, that would be payable by BellRing Brands, Inc. under the tax receivable agreement if a majority of our independent directors were to elect to terminate the tax receivable agreement immediately after this offering, see “Unaudited Pro Forma Condensed Consolidated Financial Information.”</w:t>
      </w:r>
    </w:p>
    <w:p>
      <w:pPr>
        <w:spacing w:after="0" w:line="17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If the outcome of any such challenge would reasonably be expected to materially affect a recipient’s payments under the tax receivable agreement, then we will not be permitted to settle or to fail to contest such challenge without the consent (not to be unreasonably withheld or delayed) of Post (and its transferees and assignees), and any such restrictions will apply for as long as the tax receivable agreement remains in effect.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180"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300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Upon consummation of this offering, BellRing Brands, Inc. will be a holding company, will have no material assets other than its ownership of BellRing Brands, LLC Units, and will have no independent means of generating revenue or cash flow. We expect that BellRing Brands, LLC will make distributions pro rata to holders of BellRing Brands, LLC Units in an amount sufficient to allow us to pay our tax obligations in respect of taxable income allocated to us from BellRing Brands, LLC, any payments due under the tax receivable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agreement and our operating expenses, which could be significant.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to calculate tax benefits. If BellRing Brands, LLC does not distribute sufficient funds for us to pay our operating expenses, including taxes and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could result in the acceleration of payments due under the tax receivable agreement.</w:t>
      </w:r>
    </w:p>
    <w:p>
      <w:pPr>
        <w:spacing w:after="0" w:line="18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Inc. and BellRing Brands, LLC will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tax matters agreement 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Under the tax matters agreement, Post will be responsible for all taxes for Post’s Active Nutrition business which relate to pre-offering periods, and BellRing Brands, LLC generally will be responsible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 and (ii) all taxes that relate to post-offering periods imposed with respect to consolidated, combined, unitary or separate tax returns of BellRing Brands, LLC or any of its subsidiaries as determined under the tax matters agreement.</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the tax matters agreement, for so long as BellRing Brands, LLC or any of its subsidiaries are includable in any consolidated income tax return required to be filed by Post, Post will maintain separate calculations of the separate taxes and tax attributes of BellRing Brands, LLC and its subsidiaries, on the one hand, and Post and each person required to join in a tax return on a consolidated, combined or unitary basis (other than BellRing Brands, LLC and its subsidiaries), on the other hand. To the extent that BellRing Brands, LLC or any of its subsidiaries are required to be included in any consolidated income tax return required to be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filed by Post, Post will prepare and file (or cause to be prepared and filed) each such return and will pay or cause to be paid all taxes due in respect thereof. In such event, BellRing Brands, LLC will pay to Post an amount of any taxes attributable to BellRing Brands, LLC and its subsidiaries that are actually paid by Post in respect of any such return, subject to certain offsets or additional payments relating to tax liability that is reduced by separate tax attributes of one group or another to the extent the tax liability for a later tax period is greater than it would have been had such separate tax attribute not been used to reduce tax liability in a prior tax period. In the event of an audit of Post, on the one hand, or BellRing Brands, LLC or any of its subsidiaries, on the other hand, the entity being audited will notify the other party of, and keep it reasonably informed with respect to, the portion of such audit the outcome of which is reasonably expected to affect the other party’s rights and obligations under the tax matters agreement. The other party will have the right to participate in and to monitor any such portion of such audit at its own expense, and the audited party will not settle or fail to contest any issue reasonably expected to materially affect the other party’s rights or obligations under the agreement without the other party’s prior written consent.</w:t>
      </w:r>
    </w:p>
    <w:p>
      <w:pPr>
        <w:spacing w:after="0" w:line="19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Master Services Agreement. </w:t>
      </w:r>
      <w:r>
        <w:rPr>
          <w:rFonts w:ascii="Arial" w:cs="Arial" w:eastAsia="Arial" w:hAnsi="Arial"/>
          <w:sz w:val="18"/>
          <w:szCs w:val="18"/>
          <w:color w:val="auto"/>
        </w:rPr>
        <w:t>As part of the formation transactions and this offering, we will enter into the master services agreement,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and Post currently expect that Post will provide some combination of the following services, among others, to us following completion of this offering:</w:t>
      </w:r>
    </w:p>
    <w:p>
      <w:pPr>
        <w:spacing w:after="0" w:line="87" w:lineRule="exact"/>
        <w:rPr>
          <w:sz w:val="20"/>
          <w:szCs w:val="20"/>
          <w:color w:val="auto"/>
        </w:rPr>
      </w:pPr>
    </w:p>
    <w:p>
      <w:pPr>
        <w:ind w:left="1180" w:right="620" w:hanging="544"/>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leasing/subleasing of office and/or data center space;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charges for these services will be agreed upon prior to the completion of this offering. In general, the services to be provided by Post will begin on the date of the completion of this offering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BellRing Brands, Inc. or the sale of all or substantially all of its consolidated assets, (ii) any services provided to a subsidiary of BellRing Brands, Inc. in the event of a change of control of the subsidiary or the sale of all or substantially all of its assets, and (iii) any services provided to a business line or operating division of BellRing Brands, Inc. or its subsidiaries in the event of a sale of such business line or operating division. We may terminate the master services agreement with respect to one or more particular services being received upon such notice as will be provided for in the master services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Upon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7" w:lineRule="exact"/>
        <w:rPr>
          <w:sz w:val="20"/>
          <w:szCs w:val="20"/>
          <w:color w:val="auto"/>
        </w:rPr>
      </w:pPr>
    </w:p>
    <w:p>
      <w:pPr>
        <w:ind w:left="1180" w:right="240" w:hanging="544"/>
        <w:spacing w:after="0" w:line="277"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544"/>
        <w:spacing w:after="0" w:line="277" w:lineRule="auto"/>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240" w:top="460"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6" w:lineRule="exact"/>
        <w:rPr>
          <w:sz w:val="20"/>
          <w:szCs w:val="20"/>
          <w:color w:val="auto"/>
        </w:rPr>
      </w:pPr>
    </w:p>
    <w:p>
      <w:pPr>
        <w:ind w:left="1180" w:hanging="544"/>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1180" w:right="360" w:hanging="544"/>
        <w:spacing w:after="0" w:line="291" w:lineRule="auto"/>
        <w:tabs>
          <w:tab w:leader="none" w:pos="1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w:t>
      </w:r>
    </w:p>
    <w:p>
      <w:pPr>
        <w:ind w:left="1180" w:right="320" w:hanging="4"/>
        <w:spacing w:after="0" w:line="261" w:lineRule="auto"/>
        <w:tabs>
          <w:tab w:leader="none" w:pos="143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U.S. person for U.S. federal income tax purposes.</w:t>
      </w:r>
    </w:p>
    <w:p>
      <w:pPr>
        <w:spacing w:after="0" w:line="184"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ind w:left="200" w:right="220" w:firstLine="4"/>
        <w:spacing w:after="0" w:line="271" w:lineRule="auto"/>
        <w:tabs>
          <w:tab w:leader="none" w:pos="4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7" w:lineRule="exact"/>
        <w:rPr>
          <w:sz w:val="20"/>
          <w:szCs w:val="20"/>
          <w:color w:val="auto"/>
        </w:rPr>
      </w:pPr>
    </w:p>
    <w:p>
      <w:pPr>
        <w:ind w:left="1180" w:hanging="544"/>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180" w:right="180" w:hanging="544"/>
        <w:spacing w:after="0" w:line="277"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1180" w:right="180" w:hanging="544"/>
        <w:spacing w:after="0" w:line="264" w:lineRule="auto"/>
        <w:tabs>
          <w:tab w:leader="none" w:pos="1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7"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9" w:lineRule="exact"/>
        <w:rPr>
          <w:sz w:val="20"/>
          <w:szCs w:val="20"/>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2" w:lineRule="exact"/>
        <w:rPr>
          <w:rFonts w:ascii="Arial" w:cs="Arial" w:eastAsia="Arial" w:hAnsi="Arial"/>
          <w:sz w:val="17"/>
          <w:szCs w:val="17"/>
          <w:color w:val="auto"/>
        </w:rPr>
      </w:pPr>
    </w:p>
    <w:p>
      <w:pPr>
        <w:ind w:left="1180" w:hanging="544"/>
        <w:spacing w:after="0" w:line="342" w:lineRule="auto"/>
        <w:tabs>
          <w:tab w:leader="none" w:pos="11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4"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Goldman Sachs &amp; Co. LLC, Citigroup Global Markets Inc. and J.P. Morgan Securities LLC are acting as representatives, have severally agreed to purchase, and we have agreed to sell to them, severally, the number of shares of Class A common stock indicated below:</w:t>
      </w:r>
    </w:p>
    <w:p>
      <w:pPr>
        <w:spacing w:after="0" w:line="193" w:lineRule="exact"/>
        <w:rPr>
          <w:sz w:val="20"/>
          <w:szCs w:val="20"/>
          <w:color w:val="auto"/>
        </w:rPr>
      </w:pPr>
    </w:p>
    <w:tbl>
      <w:tblPr>
        <w:tblLayout w:type="fixed"/>
        <w:tblInd w:w="4220" w:type="dxa"/>
        <w:tblCellMar>
          <w:top w:w="0" w:type="dxa"/>
          <w:left w:w="0" w:type="dxa"/>
          <w:bottom w:w="0" w:type="dxa"/>
          <w:right w:w="0" w:type="dxa"/>
        </w:tblCellMar>
      </w:tblPr>
      <w:tr>
        <w:trPr>
          <w:trHeight w:val="161"/>
        </w:trPr>
        <w:tc>
          <w:tcPr>
            <w:tcW w:w="20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500" w:type="dxa"/>
            <w:vAlign w:val="bottom"/>
          </w:tcPr>
          <w:p>
            <w:pPr>
              <w:jc w:val="center"/>
              <w:ind w:left="1648"/>
              <w:spacing w:after="0"/>
              <w:rPr>
                <w:sz w:val="20"/>
                <w:szCs w:val="20"/>
                <w:color w:val="auto"/>
              </w:rPr>
            </w:pPr>
            <w:r>
              <w:rPr>
                <w:rFonts w:ascii="Arial" w:cs="Arial" w:eastAsia="Arial" w:hAnsi="Arial"/>
                <w:sz w:val="14"/>
                <w:szCs w:val="14"/>
                <w:b w:val="1"/>
                <w:bCs w:val="1"/>
                <w:color w:val="auto"/>
                <w:w w:val="92"/>
              </w:rPr>
              <w:t>Number of Shares of Class A</w:t>
            </w:r>
          </w:p>
        </w:tc>
        <w:tc>
          <w:tcPr>
            <w:tcW w:w="0" w:type="dxa"/>
            <w:vAlign w:val="bottom"/>
          </w:tcPr>
          <w:p>
            <w:pPr>
              <w:spacing w:after="0"/>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3500" w:type="dxa"/>
            <w:vAlign w:val="bottom"/>
          </w:tcPr>
          <w:p>
            <w:pPr>
              <w:jc w:val="center"/>
              <w:ind w:left="1648"/>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-8890</wp:posOffset>
            </wp:positionV>
            <wp:extent cx="5248275" cy="146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5715</wp:posOffset>
            </wp:positionV>
            <wp:extent cx="11233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63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48275" cy="163195"/>
                    </a:xfrm>
                    <a:prstGeom prst="rect">
                      <a:avLst/>
                    </a:prstGeom>
                    <a:noFill/>
                  </pic:spPr>
                </pic:pic>
              </a:graphicData>
            </a:graphic>
          </wp:anchor>
        </w:drawing>
      </w:r>
    </w:p>
    <w:p>
      <w:pPr>
        <w:spacing w:after="0" w:line="25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5" w:lineRule="exact"/>
        <w:rPr>
          <w:sz w:val="20"/>
          <w:szCs w:val="20"/>
          <w:color w:val="auto"/>
        </w:rPr>
      </w:pPr>
    </w:p>
    <w:p>
      <w:pPr>
        <w:ind w:left="200" w:right="260" w:firstLine="441"/>
        <w:spacing w:after="0" w:line="291"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w:t>
      </w:r>
    </w:p>
    <w:p>
      <w:pPr>
        <w:ind w:left="200" w:right="140" w:firstLine="4"/>
        <w:spacing w:after="0" w:line="255" w:lineRule="auto"/>
        <w:tabs>
          <w:tab w:leader="none" w:pos="65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share under the public offering price. After the initial offering of the shares of Class A common stock, the offering price and other selling terms may from time to time be varied by the representatives. Sales of Class A common stock made outside of the U.S. may be made by affiliates of the underwriters.</w:t>
      </w:r>
    </w:p>
    <w:p>
      <w:pPr>
        <w:spacing w:after="0" w:line="19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show the per share and total public offering price, underwriting discounts and commissions, and proceeds before expenses to</w:t>
      </w:r>
    </w:p>
    <w:p>
      <w:pPr>
        <w:spacing w:after="0" w:line="46" w:lineRule="exact"/>
        <w:rPr>
          <w:sz w:val="20"/>
          <w:szCs w:val="20"/>
          <w:color w:val="auto"/>
        </w:rPr>
      </w:pPr>
    </w:p>
    <w:p>
      <w:pPr>
        <w:ind w:left="200" w:right="120"/>
        <w:spacing w:after="0" w:line="261" w:lineRule="auto"/>
        <w:rPr>
          <w:sz w:val="20"/>
          <w:szCs w:val="20"/>
          <w:color w:val="auto"/>
        </w:rPr>
      </w:pPr>
      <w:r>
        <w:rPr>
          <w:rFonts w:ascii="Arial" w:cs="Arial" w:eastAsia="Arial" w:hAnsi="Arial"/>
          <w:sz w:val="18"/>
          <w:szCs w:val="18"/>
          <w:color w:val="auto"/>
        </w:rPr>
        <w:t>us. Such amounts are shown assuming both no exercise and full exercise of the underwriters’ option to purchase up to an additional shares of Class A common stock.</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7"/>
              <w:spacing w:after="0"/>
              <w:rPr>
                <w:sz w:val="20"/>
                <w:szCs w:val="20"/>
                <w:color w:val="auto"/>
              </w:rPr>
            </w:pPr>
            <w:r>
              <w:rPr>
                <w:rFonts w:ascii="Arial" w:cs="Arial" w:eastAsia="Arial" w:hAnsi="Arial"/>
                <w:sz w:val="14"/>
                <w:szCs w:val="14"/>
                <w:b w:val="1"/>
                <w:bCs w:val="1"/>
                <w:color w:val="auto"/>
                <w:w w:val="99"/>
              </w:rPr>
              <w:t>No Exercise</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7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76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820" w:type="dxa"/>
            <w:vAlign w:val="bottom"/>
          </w:tcPr>
          <w:p>
            <w:pPr>
              <w:jc w:val="right"/>
              <w:ind w:right="1870"/>
              <w:spacing w:after="0"/>
              <w:rPr>
                <w:sz w:val="20"/>
                <w:szCs w:val="20"/>
                <w:color w:val="auto"/>
              </w:rPr>
            </w:pPr>
            <w:r>
              <w:rPr>
                <w:rFonts w:ascii="Arial" w:cs="Arial" w:eastAsia="Arial" w:hAnsi="Arial"/>
                <w:sz w:val="18"/>
                <w:szCs w:val="18"/>
                <w:color w:val="auto"/>
              </w:rPr>
              <w:t>161</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100" w:val="left"/>
        </w:tabs>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w:t>
      </w:r>
      <w:r>
        <w:rPr>
          <w:sz w:val="20"/>
          <w:szCs w:val="20"/>
          <w:color w:val="auto"/>
        </w:rPr>
        <w:tab/>
      </w:r>
      <w:r>
        <w:rPr>
          <w:rFonts w:ascii="Arial" w:cs="Arial" w:eastAsia="Arial" w:hAnsi="Arial"/>
          <w:sz w:val="15"/>
          <w:szCs w:val="15"/>
          <w:color w:val="auto"/>
        </w:rPr>
        <w:t>. We have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agreed to reimburse the underwriters for expenses relating to clearance of this offering with the Financial Industry Regulatory Authority, or FINRA, up</w:t>
      </w:r>
    </w:p>
    <w:p>
      <w:pPr>
        <w:spacing w:after="0" w:line="38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4"/>
          <w:szCs w:val="14"/>
          <w:color w:val="auto"/>
        </w:rPr>
        <w:t>.</w:t>
      </w:r>
    </w:p>
    <w:p>
      <w:pPr>
        <w:sectPr>
          <w:pgSz w:w="11900" w:h="16838" w:orient="portrait"/>
          <w:cols w:equalWidth="0" w:num="1">
            <w:col w:w="11160"/>
          </w:cols>
          <w:pgMar w:left="240" w:top="459" w:right="499" w:bottom="1440" w:gutter="0" w:footer="0" w:header="0"/>
        </w:sectPr>
      </w:pP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common stock offered by them.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of the total number of shares of Class A</w:t>
      </w:r>
    </w:p>
    <w:p>
      <w:pPr>
        <w:spacing w:after="0" w:line="463" w:lineRule="exact"/>
        <w:rPr>
          <w:sz w:val="20"/>
          <w:szCs w:val="20"/>
          <w:color w:val="auto"/>
        </w:rPr>
      </w:pPr>
    </w:p>
    <w:p>
      <w:pPr>
        <w:sectPr>
          <w:pgSz w:w="11900" w:h="16838" w:orient="portrait"/>
          <w:cols w:equalWidth="0" w:num="2">
            <w:col w:w="7800" w:space="240"/>
            <w:col w:w="3120"/>
          </w:cols>
          <w:pgMar w:left="240" w:top="459" w:right="49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We intend to apply to have our Class A common stock approved for listing on the NYSE under the trading symbol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9000" w:space="720"/>
            <w:col w:w="1440"/>
          </w:cols>
          <w:pgMar w:left="240" w:top="459" w:right="499" w:bottom="1440" w:gutter="0" w:footer="0" w:header="0"/>
          <w:type w:val="continuous"/>
        </w:sectPr>
      </w:pPr>
    </w:p>
    <w:p>
      <w:pPr>
        <w:spacing w:after="0" w:line="25" w:lineRule="exact"/>
        <w:rPr>
          <w:sz w:val="20"/>
          <w:szCs w:val="20"/>
          <w:color w:val="auto"/>
        </w:rPr>
      </w:pPr>
    </w:p>
    <w:p>
      <w:pPr>
        <w:jc w:val="both"/>
        <w:ind w:left="200" w:right="60" w:firstLine="441"/>
        <w:spacing w:after="0" w:line="288"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180 days after the date of this prospectus, provided, that such restricted period will end ten business days prior to the scheduled closure of our trading window for the first full fiscal quarter completed after the date of this prospectus if</w:t>
      </w:r>
    </w:p>
    <w:p>
      <w:pPr>
        <w:ind w:left="200" w:right="120" w:firstLine="4"/>
        <w:spacing w:after="0" w:line="261" w:lineRule="auto"/>
        <w:tabs>
          <w:tab w:leader="none" w:pos="49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89" w:lineRule="exact"/>
        <w:rPr>
          <w:rFonts w:ascii="Arial" w:cs="Arial" w:eastAsia="Arial" w:hAnsi="Arial"/>
          <w:sz w:val="18"/>
          <w:szCs w:val="18"/>
          <w:color w:val="auto"/>
        </w:rPr>
      </w:pPr>
    </w:p>
    <w:p>
      <w:pPr>
        <w:ind w:left="1180" w:right="20" w:hanging="544"/>
        <w:spacing w:after="0" w:line="264" w:lineRule="auto"/>
        <w:tabs>
          <w:tab w:leader="none" w:pos="11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180" w:right="280" w:hanging="544"/>
        <w:spacing w:after="0" w:line="277" w:lineRule="auto"/>
        <w:tabs>
          <w:tab w:leader="none" w:pos="11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restrictions in the immediately preceding paragraph do not apply to our directors, officers or other holders of our outstanding Class A common stock or other securities who are parties to the lock-up agreements in certain circumstances.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lock-up restrictions described above do not apply solely to us with respect to certain transactions.</w:t>
      </w:r>
    </w:p>
    <w:p>
      <w:pPr>
        <w:spacing w:after="0" w:line="225"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Morgan Stanley &amp; Co. LLC, Goldman Sachs &amp; Co. LLC, Citigroup Global Markets Inc. and J.P. Morgan Securities LLC, in their sole discretion, may release the common stock and other securities subject to the lock-up agreements described above in whole or in part at any time.</w:t>
      </w:r>
    </w:p>
    <w:p>
      <w:pPr>
        <w:spacing w:after="0" w:line="14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60"/>
          </w:cols>
          <w:pgMar w:left="240" w:top="459" w:right="49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underwriters also may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300" w:firstLine="441"/>
        <w:spacing w:after="0" w:line="285" w:lineRule="auto"/>
        <w:rPr>
          <w:sz w:val="20"/>
          <w:szCs w:val="20"/>
          <w:color w:val="auto"/>
        </w:rPr>
      </w:pPr>
      <w:r>
        <w:rPr>
          <w:rFonts w:ascii="Arial" w:cs="Arial" w:eastAsia="Arial" w:hAnsi="Arial"/>
          <w:sz w:val="16"/>
          <w:szCs w:val="16"/>
          <w:color w:val="auto"/>
        </w:rPr>
        <w:t>Affiliates of Morgan Stanley &amp; Co. LLC, Goldman Sachs &amp; Co. LLC, Citigroup Global Markets Inc. and J.P. Morgan Securities LLC, each of which is an underwriter in this offering, are lenders under the Post bridge loan. The proceeds received by BellRing Brands, LLC from its sale of BellRing Brands, LLC Units will be used to repay a portion of the Post bridge loan. Because of the manner in which the proceeds will be used, this offering will be conducted in accordance with Financial Industry Regulatory Authority, Inc., or FINRA, Rule 5121. This rule requires, among other things, that a qualified independent underwriter has participated in the preparation of, and has exercised the usual standards of ‘‘due diligence’’ with</w:t>
      </w:r>
    </w:p>
    <w:p>
      <w:pPr>
        <w:spacing w:after="0" w:line="2" w:lineRule="exact"/>
        <w:rPr>
          <w:sz w:val="20"/>
          <w:szCs w:val="20"/>
          <w:color w:val="auto"/>
        </w:rPr>
      </w:pPr>
    </w:p>
    <w:p>
      <w:pPr>
        <w:ind w:left="200" w:right="100"/>
        <w:spacing w:after="0" w:line="268" w:lineRule="auto"/>
        <w:rPr>
          <w:sz w:val="20"/>
          <w:szCs w:val="20"/>
          <w:color w:val="auto"/>
        </w:rPr>
      </w:pPr>
      <w:r>
        <w:rPr>
          <w:rFonts w:ascii="Arial" w:cs="Arial" w:eastAsia="Arial" w:hAnsi="Arial"/>
          <w:sz w:val="17"/>
          <w:szCs w:val="17"/>
          <w:color w:val="auto"/>
        </w:rPr>
        <w:t>respect to, this prospectus and the registration statement of which this prospectus forms a part. has agreed to act as qualified independent underwriter for the offering and to undertake the legal responsibilities and liabilities of an underwriter under the Securities Act, specifically including those inherent in Section 11 of the Securities Act. Additionally, affiliates of Morgan Stanley &amp; Co. LLC, Goldman Sachs &amp; Co. LLC, Citigroup Global Markets Inc. and J.P. Morgan Securities LLC, each of which is acting as an underwriter in this offering, will act as joint lead arrangers and joint bookrunners under a new term loan facility and a revolving credit facility that we expect to enter in connection with this offering. Moreover, none of Morgan Stanley &amp; Co. LLC, Goldman Sachs &amp; Co. LLC, Citigroup Global Markets Inc. and J.P. Morgan Securities LLC is permitted to sell Class A common stock in this offering to an account over which it exercises discretionary authority without the prior specific written approval of the account holder. See “Underwriting (Conflicts of Interest).”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342" w:lineRule="auto"/>
        <w:rPr>
          <w:sz w:val="20"/>
          <w:szCs w:val="20"/>
          <w:color w:val="auto"/>
        </w:rPr>
      </w:pPr>
      <w:r>
        <w:rPr>
          <w:rFonts w:ascii="Arial" w:cs="Arial" w:eastAsia="Arial" w:hAnsi="Arial"/>
          <w:sz w:val="16"/>
          <w:szCs w:val="16"/>
          <w:color w:val="auto"/>
        </w:rPr>
        <w:t>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of our Class A common stock was determined through negotiations among us, Post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Post nor the underwriters can assure investors that an active trading market for the shares will develop, or that after the offering the shares will trade in the public market at or above the initial public offering price.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2" w:lineRule="exact"/>
        <w:rPr>
          <w:sz w:val="20"/>
          <w:szCs w:val="20"/>
          <w:color w:val="auto"/>
        </w:rPr>
      </w:pPr>
    </w:p>
    <w:p>
      <w:pPr>
        <w:ind w:left="1180" w:hanging="54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the U.K., this prospectus is only addressed to and directed at qualified investors who are: (i) investment professionals falling within Article 19(5) of the Financial Services and Markets Act 2000 (Financial Promotion) Order 2005 (the “Order”); or (ii) high-net-worth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24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308" w:lineRule="auto"/>
        <w:rPr>
          <w:sz w:val="20"/>
          <w:szCs w:val="20"/>
          <w:color w:val="auto"/>
        </w:rPr>
      </w:pPr>
      <w:r>
        <w:rPr>
          <w:rFonts w:ascii="Arial" w:cs="Arial" w:eastAsia="Arial" w:hAnsi="Arial"/>
          <w:sz w:val="17"/>
          <w:szCs w:val="17"/>
          <w:color w:val="auto"/>
        </w:rPr>
        <w:t>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that is a trust (where the trustee is not an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six months after that trust has acquired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under Section 275 of the SFA, except: (i) to an institutional investor under Section 274 of the SFA or to a relevant person (as defined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275(2) of the SFA); (ii) where such transfer arises from an offer that is made on terms that such rights or interest are acquired for consideration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or other assets); (iii) where no consideration is or will be given for the transfer; (iv) where the transfer is by operation of law; (v) as specified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Section 276(7) of the SFA; or (vi) as specified in Regulation 32.</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balance sheet of BellRing Brands, Inc. as of August 7, 2019 included in this prospectus has been so included in reliance on the report of PricewaterhouseCoopers LLP, an independent registered public accounting firm, given on the authority of said firm as experts in auditing and accounting.</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said firm as experts in auditing and accounting.</w:t>
      </w: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89"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audited combined financial statements and the notes thereto certified by an independent public accounting firm.</w:t>
      </w:r>
    </w:p>
    <w:p>
      <w:pPr>
        <w:spacing w:after="0" w:line="187" w:lineRule="exact"/>
        <w:rPr>
          <w:sz w:val="20"/>
          <w:szCs w:val="20"/>
          <w:color w:val="auto"/>
        </w:rPr>
      </w:pPr>
    </w:p>
    <w:p>
      <w:pPr>
        <w:ind w:left="640"/>
        <w:spacing w:after="0"/>
        <w:tabs>
          <w:tab w:leader="none" w:pos="4040" w:val="left"/>
        </w:tabs>
        <w:rPr>
          <w:sz w:val="20"/>
          <w:szCs w:val="20"/>
          <w:color w:val="auto"/>
        </w:rPr>
      </w:pPr>
      <w:r>
        <w:rPr>
          <w:rFonts w:ascii="Arial" w:cs="Arial" w:eastAsia="Arial" w:hAnsi="Arial"/>
          <w:sz w:val="18"/>
          <w:szCs w:val="18"/>
          <w:color w:val="auto"/>
        </w:rPr>
        <w:t>We also maintain an internet website at</w:t>
      </w:r>
      <w:r>
        <w:rPr>
          <w:sz w:val="20"/>
          <w:szCs w:val="20"/>
          <w:color w:val="auto"/>
        </w:rPr>
        <w:tab/>
      </w:r>
      <w:r>
        <w:rPr>
          <w:rFonts w:ascii="Arial" w:cs="Arial" w:eastAsia="Arial" w:hAnsi="Arial"/>
          <w:sz w:val="16"/>
          <w:szCs w:val="16"/>
          <w:color w:val="auto"/>
        </w:rPr>
        <w:t>. Information on or accessible through our website is not part of this prospectus.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78">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Balance Sheet as of August 7, 2019</w:t>
              </w:r>
            </w:hyperlink>
          </w:p>
        </w:tc>
        <w:tc>
          <w:tcPr>
            <w:tcW w:w="1660" w:type="dxa"/>
            <w:vAlign w:val="bottom"/>
            <w:tcBorders>
              <w:top w:val="single" w:sz="8" w:color="0000EE"/>
            </w:tcBorders>
            <w:gridSpan w:val="7"/>
          </w:tcPr>
          <w:p>
            <w:pPr>
              <w:spacing w:after="0"/>
              <w:rPr>
                <w:sz w:val="17"/>
                <w:szCs w:val="17"/>
                <w:color w:val="auto"/>
              </w:rPr>
            </w:pPr>
          </w:p>
        </w:tc>
        <w:tc>
          <w:tcPr>
            <w:tcW w:w="63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80">
              <w:r>
                <w:rPr>
                  <w:rFonts w:ascii="Arial" w:cs="Arial" w:eastAsia="Arial" w:hAnsi="Arial"/>
                  <w:sz w:val="18"/>
                  <w:szCs w:val="18"/>
                  <w:color w:val="0000EE"/>
                  <w:w w:val="87"/>
                </w:rPr>
                <w:t>Notes to Balance Sheet</w:t>
              </w:r>
            </w:hyperlink>
          </w:p>
        </w:tc>
        <w:tc>
          <w:tcPr>
            <w:tcW w:w="89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181">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Combined Statements of Operations and Comprehensive Income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83">
              <w:r>
                <w:rPr>
                  <w:rFonts w:ascii="Arial" w:cs="Arial" w:eastAsia="Arial" w:hAnsi="Arial"/>
                  <w:sz w:val="18"/>
                  <w:szCs w:val="18"/>
                  <w:color w:val="0000EE"/>
                  <w:w w:val="88"/>
                </w:rPr>
                <w:t>Combined Balance Sheets</w:t>
              </w:r>
            </w:hyperlink>
          </w:p>
        </w:tc>
        <w:tc>
          <w:tcPr>
            <w:tcW w:w="2780" w:type="dxa"/>
            <w:vAlign w:val="bottom"/>
            <w:tcBorders>
              <w:top w:val="single" w:sz="8" w:color="0000EE"/>
            </w:tcBorders>
            <w:gridSpan w:val="10"/>
          </w:tcPr>
          <w:p>
            <w:pPr>
              <w:spacing w:after="0"/>
              <w:rPr>
                <w:sz w:val="17"/>
                <w:szCs w:val="17"/>
                <w:color w:val="auto"/>
              </w:rPr>
            </w:pPr>
          </w:p>
        </w:tc>
        <w:tc>
          <w:tcPr>
            <w:tcW w:w="5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84">
              <w:r>
                <w:rPr>
                  <w:rFonts w:ascii="Arial" w:cs="Arial" w:eastAsia="Arial" w:hAnsi="Arial"/>
                  <w:sz w:val="18"/>
                  <w:szCs w:val="18"/>
                  <w:color w:val="0000EE"/>
                  <w:w w:val="89"/>
                </w:rPr>
                <w:t>Combined Statements of Cash Flows</w:t>
              </w:r>
            </w:hyperlink>
          </w:p>
        </w:tc>
        <w:tc>
          <w:tcPr>
            <w:tcW w:w="79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85">
              <w:r>
                <w:rPr>
                  <w:rFonts w:ascii="Arial" w:cs="Arial" w:eastAsia="Arial" w:hAnsi="Arial"/>
                  <w:sz w:val="18"/>
                  <w:szCs w:val="18"/>
                  <w:color w:val="0000EE"/>
                  <w:w w:val="90"/>
                </w:rPr>
                <w:t>Combined Statements of Parent Company Equity</w:t>
              </w:r>
            </w:hyperlink>
          </w:p>
        </w:tc>
        <w:tc>
          <w:tcPr>
            <w:tcW w:w="70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86">
              <w:r>
                <w:rPr>
                  <w:rFonts w:ascii="Arial" w:cs="Arial" w:eastAsia="Arial" w:hAnsi="Arial"/>
                  <w:sz w:val="18"/>
                  <w:szCs w:val="18"/>
                  <w:color w:val="0000EE"/>
                  <w:w w:val="89"/>
                </w:rPr>
                <w:t>Notes to Combined Financial Statements</w:t>
              </w:r>
            </w:hyperlink>
          </w:p>
        </w:tc>
        <w:tc>
          <w:tcPr>
            <w:tcW w:w="76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326"/>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80" w:type="dxa"/>
            <w:vAlign w:val="bottom"/>
            <w:gridSpan w:val="14"/>
          </w:tcPr>
          <w:p>
            <w:pPr>
              <w:spacing w:after="0"/>
              <w:rPr>
                <w:sz w:val="20"/>
                <w:szCs w:val="20"/>
                <w:color w:val="auto"/>
              </w:rPr>
            </w:pPr>
            <w:r>
              <w:rPr>
                <w:rFonts w:ascii="Arial" w:cs="Arial" w:eastAsia="Arial" w:hAnsi="Arial"/>
                <w:sz w:val="18"/>
                <w:szCs w:val="18"/>
                <w:b w:val="1"/>
                <w:bCs w:val="1"/>
                <w:color w:val="auto"/>
              </w:rPr>
              <w:t>Nine Months Ended June 30, 2019 and 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spacing w:after="0" w:line="190" w:lineRule="exact"/>
              <w:rPr>
                <w:rFonts w:ascii="Arial" w:cs="Arial" w:eastAsia="Arial" w:hAnsi="Arial"/>
                <w:sz w:val="18"/>
                <w:szCs w:val="18"/>
                <w:color w:val="0000EE"/>
              </w:rPr>
            </w:pPr>
            <w:hyperlink w:anchor="page201">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02">
              <w:r>
                <w:rPr>
                  <w:rFonts w:ascii="Arial" w:cs="Arial" w:eastAsia="Arial" w:hAnsi="Arial"/>
                  <w:sz w:val="18"/>
                  <w:szCs w:val="18"/>
                  <w:color w:val="0000EE"/>
                  <w:w w:val="87"/>
                </w:rPr>
                <w:t>Condensed Combined Balance Sheets</w:t>
              </w:r>
            </w:hyperlink>
          </w:p>
        </w:tc>
        <w:tc>
          <w:tcPr>
            <w:tcW w:w="2780" w:type="dxa"/>
            <w:vAlign w:val="bottom"/>
            <w:tcBorders>
              <w:top w:val="single" w:sz="8" w:color="0000EE"/>
            </w:tcBorders>
            <w:gridSpan w:val="8"/>
          </w:tcPr>
          <w:p>
            <w:pPr>
              <w:spacing w:after="0"/>
              <w:rPr>
                <w:sz w:val="17"/>
                <w:szCs w:val="17"/>
                <w:color w:val="auto"/>
              </w:rPr>
            </w:pPr>
          </w:p>
        </w:tc>
        <w:tc>
          <w:tcPr>
            <w:tcW w:w="50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03">
              <w:r>
                <w:rPr>
                  <w:rFonts w:ascii="Arial" w:cs="Arial" w:eastAsia="Arial" w:hAnsi="Arial"/>
                  <w:sz w:val="18"/>
                  <w:szCs w:val="18"/>
                  <w:color w:val="0000EE"/>
                  <w:w w:val="88"/>
                </w:rPr>
                <w:t>Condensed Combined Statements of Cash Flows</w:t>
              </w:r>
            </w:hyperlink>
          </w:p>
        </w:tc>
        <w:tc>
          <w:tcPr>
            <w:tcW w:w="7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80" w:type="dxa"/>
            <w:vAlign w:val="bottom"/>
            <w:gridSpan w:val="14"/>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Notes to Condensed Combined Financial Statements</w:t>
              </w:r>
            </w:hyperlink>
          </w:p>
        </w:tc>
        <w:tc>
          <w:tcPr>
            <w:tcW w:w="61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16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have audited the accompanying balance sheet of BellRing Brands, Inc. (the “Company”) as of August 7, 2019, including the related notes (collectively referred to as the “financial statement”). In our opinion, the financial statement presents fairly, in all material respects, the financial position of the Company as of August 7, 2019 in conformity with accounting principles generally accepted in the United States of America.</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We conducted our audit of this financial statement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8,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BELLRING BRANDS, INC.</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BALANCE SHEET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62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4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August 7,</w:t>
            </w: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Balance Sheet.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BellRing Brands, Inc. (the “Corporation”) was formed as a Delaware corporation on March 20, 2019 for the purpose of completing a public offering and related transactions in order to carry on the Active Nutrition business of Post Holdings, Inc. The Corporation had no operations through the submission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60"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00" w:firstLine="441"/>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We conducted our audits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467.4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9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Property,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parent investment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484.4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560.4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583.2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Non-cash allocated expense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Decrease (increase) in 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in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700"/>
              <w:spacing w:after="0"/>
              <w:rPr>
                <w:sz w:val="20"/>
                <w:szCs w:val="20"/>
                <w:color w:val="auto"/>
              </w:rPr>
            </w:pPr>
            <w:r>
              <w:rPr>
                <w:rFonts w:ascii="Arial" w:cs="Arial" w:eastAsia="Arial" w:hAnsi="Arial"/>
                <w:sz w:val="18"/>
                <w:szCs w:val="18"/>
                <w:color w:val="auto"/>
              </w:rPr>
              <w:t>Increase (decrease) in non-current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(133.0)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Accumulated</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Comprehensive</w:t>
            </w:r>
          </w:p>
        </w:tc>
        <w:tc>
          <w:tcPr>
            <w:tcW w:w="32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3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3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intend to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Combined Statements of Cash Flows as a financing activity and on the Combined Balance Sheets as “Net parent investment.”</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Use of Estimates and Allocations</w:t>
      </w:r>
      <w:r>
        <w:rPr>
          <w:rFonts w:ascii="Arial" w:cs="Arial" w:eastAsia="Arial" w:hAnsi="Arial"/>
          <w:sz w:val="17"/>
          <w:szCs w:val="17"/>
          <w:color w:val="auto"/>
        </w:rPr>
        <w:t>—The combined financial statements of the Company are prepared in conformity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1"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6"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4"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r>
      <w:tr>
        <w:trPr>
          <w:trHeight w:val="142"/>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2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left="314"/>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Accum.</w:t>
            </w: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9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Accum.</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Amort.</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Amort.</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Trademarks and brands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58"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7"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6"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200"/>
          </w:cols>
          <w:pgMar w:left="240" w:top="460" w:right="459" w:bottom="1440" w:gutter="0" w:footer="0" w:header="0"/>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Charge to expense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Non-cash charges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expected restructuring charge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Cumulative incurred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80" w:hanging="176"/>
        <w:spacing w:after="0"/>
        <w:tabs>
          <w:tab w:leader="none" w:pos="1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43" w:lineRule="exact"/>
        <w:rPr>
          <w:sz w:val="20"/>
          <w:szCs w:val="20"/>
          <w:color w:val="auto"/>
        </w:rPr>
      </w:pPr>
    </w:p>
    <w:p>
      <w:pPr>
        <w:ind w:left="180" w:hanging="176"/>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2489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489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0" w:space="720"/>
            <w:col w:w="480"/>
          </w:cols>
          <w:pgMar w:left="240" w:top="460" w:right="459" w:bottom="1440" w:gutter="0" w:footer="0" w:header="0"/>
          <w:type w:val="continuous"/>
        </w:sectPr>
      </w:pP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2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8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right="260" w:hanging="436"/>
        <w:spacing w:after="0" w:line="264" w:lineRule="auto"/>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Assets</w:t>
            </w:r>
          </w:p>
        </w:tc>
        <w:tc>
          <w:tcPr>
            <w:tcW w:w="120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Assets</w:t>
            </w:r>
          </w:p>
        </w:tc>
        <w:tc>
          <w:tcPr>
            <w:tcW w:w="1220" w:type="dxa"/>
            <w:vAlign w:val="bottom"/>
            <w:gridSpan w:val="4"/>
          </w:tcPr>
          <w:p>
            <w:pPr>
              <w:ind w:left="260"/>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(32.6)</w:t>
            </w: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Total deferred taxes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Pr>
          <w:p>
            <w:pPr>
              <w:spacing w:after="0"/>
              <w:rPr>
                <w:sz w:val="24"/>
                <w:szCs w:val="24"/>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w w:val="98"/>
              </w:rPr>
              <w:t>Unrecognized tax benefits activity for the years ended September 30, 2018 and 2017 is presented in the following table: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Reductions for tax positions taken in prior years</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right="300" w:firstLine="441"/>
        <w:spacing w:after="0" w:line="308"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0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Rent expense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60" w:hanging="436"/>
        <w:spacing w:after="0" w:line="277"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46"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$84.9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$24.9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Finished products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Trade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$56.9</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Book cash overdrafts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58.7</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legal settlements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$17.5</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and promotion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Income and other taxes payable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2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$ 0.1</w:t>
            </w: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28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$4.6, $4.4 and $3.6 for the years ended September 30, 2018, 2017 and 2016, respectively, and are included in “Selling, general and administrative expenses” in the Combined Statements of Operations and Comprehensive Income. All allocated costs are included in “Change in net parent investment” within financing activities on the Combined Statements of Cash</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Flows. It is not 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Company’s employees participated in Post’s 2012 Long-Term Incentive Plan (the “2012 Plan”) and Post’s 2016 Long-Term Incentive Plan (the “2016 Plan”). The following disclosures reflect the details of Post’s stock-based compensation plans and are not reflective of the Company’s stock-based compensation subsequent to the initial public offering of BellRing Brands, Inc. common stock. On February 3, 2012, Post established the 2012 Plan, which permitted the issuance of various stock-based compensation awards of up to 6.5 million shares of Post’s common stock. On January 28, 2016, Post established the 2016 Plan, which permitted the issuance of stock-based compensation awards of up to 2.4 million shares of Post’s common stock, which includes shares remaining to be issued under the 2012 Plan which were transfered to the 2016 Plan upon its establishment. Awards issued under the 2012 Plan and 2016 Plan have a maximum term of 10 years, provided, however, that the corporate governance and compensation committee of Post’s board of directors may, in its discretion, grant awards with a longer term to participants who are located outside of the U.S.</w:t>
      </w:r>
    </w:p>
    <w:p>
      <w:pPr>
        <w:spacing w:after="0" w:line="166"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3"/>
            <w:vMerge w:val="restart"/>
          </w:tcPr>
          <w:p>
            <w:pPr>
              <w:jc w:val="center"/>
              <w:ind w:left="29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5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92"/>
              </w:rPr>
              <w:t>Term in Years</w:t>
            </w:r>
          </w:p>
        </w:tc>
        <w:tc>
          <w:tcPr>
            <w:tcW w:w="46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1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45.36</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Granted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248,206</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80.04</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(128,999)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(6,667)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13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13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43.67</w:t>
            </w: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5.24</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5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30.7%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30.6%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dividends</w:t>
            </w:r>
          </w:p>
        </w:tc>
        <w:tc>
          <w:tcPr>
            <w:tcW w:w="388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Restricted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8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478,325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5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48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(52,673)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8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00" w:type="dxa"/>
            <w:vAlign w:val="bottom"/>
            <w:gridSpan w:val="3"/>
          </w:tcPr>
          <w:p>
            <w:pPr>
              <w:jc w:val="right"/>
              <w:ind w:right="4160"/>
              <w:spacing w:after="0"/>
              <w:rPr>
                <w:sz w:val="20"/>
                <w:szCs w:val="20"/>
                <w:color w:val="auto"/>
              </w:rPr>
            </w:pPr>
            <w:r>
              <w:rPr>
                <w:rFonts w:ascii="Arial" w:cs="Arial" w:eastAsia="Arial" w:hAnsi="Arial"/>
                <w:sz w:val="18"/>
                <w:szCs w:val="18"/>
                <w:color w:val="auto"/>
              </w:rPr>
              <w:t>F-22</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4"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restart"/>
          </w:tcPr>
          <w:p>
            <w:pPr>
              <w:jc w:val="center"/>
              <w:ind w:left="2639"/>
              <w:spacing w:after="0"/>
              <w:rPr>
                <w:sz w:val="20"/>
                <w:szCs w:val="20"/>
                <w:color w:val="auto"/>
              </w:rPr>
            </w:pPr>
            <w:r>
              <w:rPr>
                <w:rFonts w:ascii="Arial" w:cs="Arial" w:eastAsia="Arial" w:hAnsi="Arial"/>
                <w:sz w:val="14"/>
                <w:szCs w:val="14"/>
                <w:b w:val="1"/>
                <w:bCs w:val="1"/>
                <w:color w:val="auto"/>
                <w:w w:val="91"/>
              </w:rPr>
              <w:t>Cash Settled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6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Stock 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3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Granted</w:t>
            </w:r>
          </w:p>
        </w:tc>
        <w:tc>
          <w:tcPr>
            <w:tcW w:w="30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4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30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sales by product are shown in the following table.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2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$469.3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Powders</w:t>
            </w:r>
          </w:p>
        </w:tc>
        <w:tc>
          <w:tcPr>
            <w:tcW w:w="590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5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900" w:type="dxa"/>
            <w:vAlign w:val="bottom"/>
            <w:gridSpan w:val="2"/>
          </w:tcPr>
          <w:p>
            <w:pPr>
              <w:jc w:val="right"/>
              <w:ind w:right="3659"/>
              <w:spacing w:after="0"/>
              <w:rPr>
                <w:sz w:val="20"/>
                <w:szCs w:val="20"/>
                <w:color w:val="auto"/>
              </w:rPr>
            </w:pPr>
            <w:r>
              <w:rPr>
                <w:rFonts w:ascii="Arial" w:cs="Arial" w:eastAsia="Arial" w:hAnsi="Arial"/>
                <w:sz w:val="18"/>
                <w:szCs w:val="18"/>
                <w:color w:val="auto"/>
              </w:rPr>
              <w:t>F-24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Nine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404.8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560" w:type="dxa"/>
            <w:vAlign w:val="bottom"/>
            <w:gridSpan w:val="4"/>
          </w:tcPr>
          <w:p>
            <w:pPr>
              <w:ind w:left="76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Property,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Net parent investment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491.0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Parent Company Equity</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597.6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Earnings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allocated expense from parent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Other changes in operating assets and liabilities: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receivables, net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decrease in inventories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prepaid expenses and other current assets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other assets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in non-current liabilities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(65.0)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in millions</w:t>
      </w:r>
      <w:r>
        <w:rPr>
          <w:rFonts w:ascii="Arial" w:cs="Arial" w:eastAsia="Arial" w:hAnsi="Arial"/>
          <w:sz w:val="18"/>
          <w:szCs w:val="18"/>
          <w:color w:val="auto"/>
        </w:rPr>
        <w:t>)</w:t>
      </w:r>
    </w:p>
    <w:p>
      <w:pPr>
        <w:spacing w:after="0" w:line="229"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As Of and For The</w:t>
      </w:r>
    </w:p>
    <w:p>
      <w:pPr>
        <w:jc w:val="center"/>
        <w:ind w:left="9400"/>
        <w:spacing w:after="0" w:line="226" w:lineRule="auto"/>
        <w:rPr>
          <w:sz w:val="20"/>
          <w:szCs w:val="20"/>
          <w:color w:val="auto"/>
        </w:rPr>
      </w:pPr>
      <w:r>
        <w:rPr>
          <w:rFonts w:ascii="Arial" w:cs="Arial" w:eastAsia="Arial" w:hAnsi="Arial"/>
          <w:sz w:val="14"/>
          <w:szCs w:val="14"/>
          <w:b w:val="1"/>
          <w:bCs w:val="1"/>
          <w:color w:val="auto"/>
        </w:rPr>
        <w:t>Nine Months Ended</w:t>
      </w:r>
    </w:p>
    <w:p>
      <w:pPr>
        <w:jc w:val="center"/>
        <w:ind w:left="9400"/>
        <w:spacing w:after="0" w:line="232" w:lineRule="auto"/>
        <w:rPr>
          <w:sz w:val="20"/>
          <w:szCs w:val="20"/>
          <w:color w:val="auto"/>
        </w:rPr>
      </w:pPr>
      <w:r>
        <w:rPr>
          <w:rFonts w:ascii="Arial" w:cs="Arial" w:eastAsia="Arial" w:hAnsi="Arial"/>
          <w:sz w:val="14"/>
          <w:szCs w:val="14"/>
          <w:b w:val="1"/>
          <w:bCs w:val="1"/>
          <w:color w:val="auto"/>
        </w:rPr>
        <w:t>June 30,</w:t>
      </w: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Parent Investment</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$ 453.1</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700"/>
              <w:spacing w:after="0"/>
              <w:rPr>
                <w:sz w:val="20"/>
                <w:szCs w:val="20"/>
                <w:color w:val="auto"/>
              </w:rPr>
            </w:pPr>
            <w:r>
              <w:rPr>
                <w:rFonts w:ascii="Arial" w:cs="Arial" w:eastAsia="Arial" w:hAnsi="Arial"/>
                <w:sz w:val="18"/>
                <w:szCs w:val="18"/>
                <w:b w:val="1"/>
                <w:bCs w:val="1"/>
                <w:color w:val="auto"/>
              </w:rPr>
              <w:t>Total Parent Company Equity</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$ 491.0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Active Nutrition business of Post (herein referred to as “Active Nutrition” or “the Company”)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Condensed Combined Statements of Cash Flows as “Change in net parent investment” within financing activities and on the Condensed Combined Balance Sheets as “Net parent investment.”</w:t>
      </w:r>
    </w:p>
    <w:p>
      <w:pPr>
        <w:spacing w:after="0" w:line="188" w:lineRule="exact"/>
        <w:rPr>
          <w:sz w:val="20"/>
          <w:szCs w:val="20"/>
          <w:color w:val="auto"/>
        </w:rPr>
      </w:pPr>
    </w:p>
    <w:p>
      <w:pPr>
        <w:ind w:left="200" w:right="600" w:firstLine="441"/>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cash flows and parent company equity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 Subsequent events have been assessed through the submission date and no events were identified to report or record.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2—RECENTLY ISSUED AND ADOPTED ACCOUNTING STANDARDS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Company’s results of operations, financial position, cash flows or parent company equity based on current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These ASUs are effective for annual periods beginning after December 15, 2018 and interim periods therein (i.e., Active Nutrition’s financial statements for the year ending September 30, 2020), with early adoption permitted. The Company will adopt these ASUs on October 1, 2019, and it expects to use the modified retrospective method of adoption. The Company has selected a software vendor and is in the process of assessing its lease agreements to identify those that fall within the scope of these ASUs. These ASUs will result in an increase in both assets and liabilities; however, the Company is unable to quantify the impact at this time. In addition, the Company expects to provide expanded disclosures upon adoption to present additional information related to its leasing arrangements.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$5.3 within the statement of operations and comprehensive income. For additional information, refer to Note 3.</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occur before the customer obtains control of the goods are deemed fulfillment activities and are accounted for as fulfillment costs. The Company’s contracts with customers generally contain one performance obligation.</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165"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used the modified retrospective transition method of adoption and elected the following practical expedients in accordance with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ASC Topic 606:</w:t>
      </w:r>
    </w:p>
    <w:p>
      <w:pPr>
        <w:spacing w:after="0" w:line="116" w:lineRule="exact"/>
        <w:rPr>
          <w:sz w:val="20"/>
          <w:szCs w:val="20"/>
          <w:color w:val="auto"/>
        </w:rPr>
      </w:pPr>
    </w:p>
    <w:p>
      <w:pPr>
        <w:ind w:left="1180" w:right="80" w:hanging="544"/>
        <w:spacing w:after="0" w:line="264"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promised services.</w:t>
      </w:r>
    </w:p>
    <w:p>
      <w:pPr>
        <w:spacing w:after="0" w:line="75" w:lineRule="exact"/>
        <w:rPr>
          <w:rFonts w:ascii="Arial" w:cs="Arial" w:eastAsia="Arial" w:hAnsi="Arial"/>
          <w:sz w:val="18"/>
          <w:szCs w:val="18"/>
          <w:color w:val="auto"/>
        </w:rPr>
      </w:pPr>
    </w:p>
    <w:p>
      <w:pPr>
        <w:ind w:left="1180" w:right="340" w:hanging="544"/>
        <w:spacing w:after="0" w:line="264"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$5.3 in the nine months ended June 30, 2019 previously classified in “Selling, general, and administrative expenses” were classified as “Net Sales” in the Condensed Combined Statement of Operations and Comprehensive Income.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ind w:left="380"/>
              <w:spacing w:after="0"/>
              <w:rPr>
                <w:sz w:val="20"/>
                <w:szCs w:val="20"/>
                <w:color w:val="auto"/>
              </w:rPr>
            </w:pPr>
            <w:r>
              <w:rPr>
                <w:rFonts w:ascii="Arial" w:cs="Arial" w:eastAsia="Arial" w:hAnsi="Arial"/>
                <w:sz w:val="13"/>
                <w:szCs w:val="13"/>
                <w:b w:val="1"/>
                <w:bCs w:val="1"/>
                <w:color w:val="auto"/>
                <w:w w:val="93"/>
              </w:rPr>
              <w:t>Nine Months Ended June 30, 2019</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68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2"/>
              </w:rPr>
              <w:t>As Reported</w:t>
            </w:r>
          </w:p>
        </w:tc>
        <w:tc>
          <w:tcPr>
            <w:tcW w:w="1160" w:type="dxa"/>
            <w:vAlign w:val="bottom"/>
            <w:gridSpan w:val="3"/>
          </w:tcPr>
          <w:p>
            <w:pPr>
              <w:ind w:left="480"/>
              <w:spacing w:after="0" w:line="110" w:lineRule="exact"/>
              <w:rPr>
                <w:sz w:val="20"/>
                <w:szCs w:val="20"/>
                <w:color w:val="auto"/>
              </w:rPr>
            </w:pPr>
            <w:r>
              <w:rPr>
                <w:rFonts w:ascii="Arial" w:cs="Arial" w:eastAsia="Arial" w:hAnsi="Arial"/>
                <w:sz w:val="12"/>
                <w:szCs w:val="12"/>
                <w:b w:val="1"/>
                <w:bCs w:val="1"/>
                <w:color w:val="auto"/>
                <w:w w:val="92"/>
              </w:rPr>
              <w:t>As Reported</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5"/>
              </w:rPr>
              <w:t>Under</w:t>
            </w:r>
          </w:p>
        </w:tc>
        <w:tc>
          <w:tcPr>
            <w:tcW w:w="4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Under Prior</w:t>
            </w:r>
          </w:p>
        </w:tc>
        <w:tc>
          <w:tcPr>
            <w:tcW w:w="1120" w:type="dxa"/>
            <w:vAlign w:val="bottom"/>
            <w:gridSpan w:val="4"/>
          </w:tcPr>
          <w:p>
            <w:pPr>
              <w:ind w:left="480"/>
              <w:spacing w:after="0" w:line="135" w:lineRule="exact"/>
              <w:rPr>
                <w:sz w:val="20"/>
                <w:szCs w:val="20"/>
                <w:color w:val="auto"/>
              </w:rPr>
            </w:pPr>
            <w:r>
              <w:rPr>
                <w:rFonts w:ascii="Arial" w:cs="Arial" w:eastAsia="Arial" w:hAnsi="Arial"/>
                <w:sz w:val="13"/>
                <w:szCs w:val="13"/>
                <w:b w:val="1"/>
                <w:bCs w:val="1"/>
                <w:color w:val="auto"/>
              </w:rPr>
              <w:t>Impact of</w:t>
            </w:r>
          </w:p>
        </w:tc>
      </w:tr>
      <w:tr>
        <w:trPr>
          <w:trHeight w:val="153"/>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3"/>
              </w:rPr>
              <w:t>Topic 606</w:t>
            </w:r>
          </w:p>
        </w:tc>
        <w:tc>
          <w:tcPr>
            <w:tcW w:w="4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Guidance</w:t>
            </w:r>
          </w:p>
        </w:tc>
        <w:tc>
          <w:tcPr>
            <w:tcW w:w="48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Adoption</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3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Earnings before Income Taxes</w:t>
            </w:r>
          </w:p>
        </w:tc>
        <w:tc>
          <w:tcPr>
            <w:tcW w:w="3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920" w:type="dxa"/>
            <w:vAlign w:val="bottom"/>
            <w:gridSpan w:val="2"/>
          </w:tcPr>
          <w:p>
            <w:pPr>
              <w:ind w:left="106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The following table presents net sales by product. The amounts for the nine months ended June 30, 2019 are presented under ASC Topic 606, “Revenue from Contracts with Customers” and the amounts for the nine months ended June 30, 2018 are presented under ASC Topic 605, “Revenue Recognition.”</w:t>
      </w:r>
    </w:p>
    <w:p>
      <w:pPr>
        <w:spacing w:after="0" w:line="200"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Nine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 beverages</w:t>
            </w:r>
          </w:p>
        </w:tc>
        <w:tc>
          <w:tcPr>
            <w:tcW w:w="3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$ 493.6</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Powders</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Sales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$ 607.6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effective income tax rate was 23.8% and 15.8% for the nine months ended June 30, 2019 and 2018, respectively. In accordance with ASC Topic 740, “Income Taxes,” the Company records income tax expense for interim periods using the estimated annual effective income tax rate for the full fiscal year adjusted for the impact of discrete items occurring during the interim periods.</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effective income tax rate in the nine months ended June 30, 2018 was impacted by the Tax Cuts and Jobs Act (the “Tax Act”), which was enacted on December 22, 2017. The Tax Act resulted in significant impacts to the Company’s accounting for income taxes, with the most significant of these impacts resulting from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2019 tax year and was prorated with the pre-December 22, 2017 U.S. federal corporate income tax rate of 35% for the Company’s 2018 tax year. This proration resulted in a blended U.S. federal corporate income tax rate of 24.5% for fiscal 2018. During the nine months ended June 30, 2018, the Company (i) remeasured its existing deferred tax assets and liabilities considering both the 2018 fiscal year blended rate and the 21% rate for periods beyond fiscal 2018 and recorded a tax benefit of $9.9 and (ii) calculated the one-time transition tax and recorded tax expense of $0.5. Full expensing of certain depreciable assets resulted in temporary differences, which were analyzed throughout fiscal 2018 as assets were placed in service.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Work in process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6—PROPERTY, NET</w:t>
            </w: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00" w:type="dxa"/>
            <w:vAlign w:val="bottom"/>
            <w:gridSpan w:val="2"/>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gridSpan w:val="3"/>
          </w:tcPr>
          <w:p>
            <w:pPr>
              <w:jc w:val="right"/>
              <w:ind w:right="3325"/>
              <w:spacing w:after="0"/>
              <w:rPr>
                <w:sz w:val="20"/>
                <w:szCs w:val="20"/>
                <w:color w:val="auto"/>
              </w:rPr>
            </w:pPr>
            <w:r>
              <w:rPr>
                <w:rFonts w:ascii="Arial" w:cs="Arial" w:eastAsia="Arial" w:hAnsi="Arial"/>
                <w:sz w:val="18"/>
                <w:szCs w:val="18"/>
                <w:color w:val="auto"/>
              </w:rPr>
              <w:t>F-32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7—INTANGIBLE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intangible assets subject to amortization are as follows: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280" w:type="dxa"/>
            <w:vAlign w:val="bottom"/>
            <w:gridSpan w:val="4"/>
          </w:tcPr>
          <w:p>
            <w:pPr>
              <w:jc w:val="right"/>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5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Net</w:t>
            </w:r>
          </w:p>
        </w:tc>
        <w:tc>
          <w:tcPr>
            <w:tcW w:w="26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34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5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340" w:type="dxa"/>
            <w:vAlign w:val="bottom"/>
            <w:gridSpan w:val="4"/>
          </w:tcPr>
          <w:p>
            <w:pPr>
              <w:ind w:left="260"/>
              <w:spacing w:after="0"/>
              <w:rPr>
                <w:sz w:val="20"/>
                <w:szCs w:val="20"/>
                <w:color w:val="auto"/>
              </w:rPr>
            </w:pPr>
            <w:r>
              <w:rPr>
                <w:rFonts w:ascii="Arial" w:cs="Arial" w:eastAsia="Arial" w:hAnsi="Arial"/>
                <w:sz w:val="14"/>
                <w:szCs w:val="14"/>
                <w:b w:val="1"/>
                <w:bCs w:val="1"/>
                <w:color w:val="auto"/>
              </w:rPr>
              <w:t>Amortization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680" w:type="dxa"/>
            <w:vAlign w:val="bottom"/>
            <w:tcBorders>
              <w:right w:val="single" w:sz="8" w:color="CCEEFF"/>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1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w:t>
            </w:r>
          </w:p>
        </w:tc>
        <w:tc>
          <w:tcPr>
            <w:tcW w:w="2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80" w:type="dxa"/>
            <w:vAlign w:val="bottom"/>
            <w:vMerge w:val="continue"/>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$155.4</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Arial" w:cs="Arial" w:eastAsia="Arial" w:hAnsi="Arial"/>
                <w:sz w:val="18"/>
                <w:szCs w:val="18"/>
                <w:color w:val="auto"/>
              </w:rPr>
              <w:t>Trademarks/brands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56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302.1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318.7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costs, including stock-based compensation expense, as well as costs related to the finance, information technology, legal, human resources, quality,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supply chain and purchasing functions. Costs for these functions and services performed by Post have been allocated to the Company based on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reasonable activity base (including specific costs, revenue, net assets and headcount, or a combination of such items) or another reasonable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method. Allocated costs were $8.3 and $3.3 for the nine months ended June 30, 2019 and 2018, respectively, and are included in “Selling, general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in the Condensed Combined Statements of Operations and Comprehensive Income. Allocated costs include $3.9 of costs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related to the separation of the Company from Post for the nine months ended June 30, 2019. Separation costs of $0.1 were recorded directly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nine months ended June 30, 2019, and were included in “selling, general and administrative expenses” in the Condensed Combined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Statements of Operations and Comprehensive Income. All allocated costs are included in “Change in net parent investment” within financing activities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 the Condensed Combined Statements of Cash Flows. It is not practicable to determine the actual expenses that would have been incurred for these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had the Company operated as a separate entity. Actual costs that would have been incurred had the Company operated as a separate public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during the periods presented would depend on a number of factors, including the organizational structure and strategic decisions made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various areas, such as human resources, legal, finance, information technology and infrastructure, among others. Management considers the allocation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method to be reasonable.</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Financial resources for the Company’s U.S. operations have historically been provided by Post, which has managed cash and cash equivalents on a centralized basis. Under Post’s centralized cash management system, cash requirements are provided directly by Post and cash generated by the Company is generally remitted directly to Post. Transaction systems (e.g. payroll and employee benefits) used to record and account for cash disbursements are generally provided by Post. Cash receipts associated with the U.S. business have been transferred to Post on a daily basis and Post has funded the Company’s cash disbursements. Financial resources for the Company’s international operations have been historically managed by the Company.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March 2013, a complaint was filed on behalf of a putative, nationwide class of consumers against Premier Nutrition Corporation (“Premier Nutrition”) in the U.S. District Court for the Northern District of California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 xml:space="preserve">seeking monetary damages and injunctive relief. The case asserted that some of Premier Nutrition’s advertising claims regarding its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line of glucosamine dietary supplements were false and misleading. In April 2016, the district court certified a California-only class of consumers in this lawsuit ( this lawsuit is hereinafter referred to as the “California Class Lawsuit”).</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Maryland, Massachusetts, Michigan, New Jersey, New Mexico, New York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At both June 30, 2019 and September 30, 2018, the Company had accrued $8.5 related to this matter that was included in “Other current liabilities” on the Condensed Combined Balance Sheets.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60"/>
        <w:spacing w:after="0"/>
        <w:rPr>
          <w:sz w:val="20"/>
          <w:szCs w:val="20"/>
          <w:color w:val="auto"/>
        </w:rPr>
      </w:pPr>
      <w:r>
        <w:rPr>
          <w:rFonts w:ascii="Arial" w:cs="Arial" w:eastAsia="Arial" w:hAnsi="Arial"/>
          <w:sz w:val="32"/>
          <w:szCs w:val="32"/>
          <w:i w:val="1"/>
          <w:iCs w:val="1"/>
          <w:color w:val="auto"/>
        </w:rPr>
        <w:t>Shares</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43"/>
          <w:szCs w:val="43"/>
          <w:i w:val="1"/>
          <w:iCs w:val="1"/>
          <w:color w:val="auto"/>
        </w:rPr>
        <w:t>BellRing Brands, Inc.</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 2019</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Goldman Sachs &amp; Co. LLC</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Citigroup</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32"/>
          <w:szCs w:val="32"/>
          <w:i w:val="1"/>
          <w:iCs w:val="1"/>
          <w:color w:val="auto"/>
        </w:rPr>
        <w:t>J.P. Morgan</w:t>
      </w:r>
    </w:p>
    <w:p>
      <w:pPr>
        <w:spacing w:after="0" w:line="200" w:lineRule="exact"/>
        <w:rPr>
          <w:sz w:val="20"/>
          <w:szCs w:val="20"/>
          <w:color w:val="auto"/>
        </w:rPr>
      </w:pPr>
    </w:p>
    <w:p>
      <w:pPr>
        <w:spacing w:after="0" w:line="356"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8" w:lineRule="exact"/>
        <w:rPr>
          <w:sz w:val="20"/>
          <w:szCs w:val="20"/>
          <w:color w:val="auto"/>
        </w:rPr>
      </w:pPr>
    </w:p>
    <w:p>
      <w:pPr>
        <w:jc w:val="both"/>
        <w:ind w:left="200" w:right="2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Until ,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various expenses, other than underwriting discounts and commissions, payable in connection with the offering of our Class A common stock contemplated by this Registration Statement. All of the fees set forth below are estimates.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fees and expenses</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1220" w:type="dxa"/>
            <w:vAlign w:val="bottom"/>
            <w:gridSpan w:val="2"/>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50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50"/>
        </w:trPr>
        <w:tc>
          <w:tcPr>
            <w:tcW w:w="6720" w:type="dxa"/>
            <w:vAlign w:val="bottom"/>
            <w:gridSpan w:val="3"/>
          </w:tcPr>
          <w:p>
            <w:pPr>
              <w:spacing w:after="0"/>
              <w:rPr>
                <w:sz w:val="20"/>
                <w:szCs w:val="20"/>
                <w:color w:val="auto"/>
              </w:rPr>
            </w:pPr>
            <w:r>
              <w:rPr>
                <w:rFonts w:ascii="Arial" w:cs="Arial" w:eastAsia="Arial" w:hAnsi="Arial"/>
                <w:sz w:val="18"/>
                <w:szCs w:val="18"/>
                <w:color w:val="auto"/>
              </w:rPr>
              <w:t>*  To be furnished by amendment.</w:t>
            </w:r>
          </w:p>
        </w:tc>
        <w:tc>
          <w:tcPr>
            <w:tcW w:w="3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BellRing Brands, Inc. The Delaware General Corporation law provides that Section 145 is not exclusive of other rights to which those seeking indemnification may be entitled under any bylaw, agreement, vote of stockholders or disinterested directors or otherwise. BellRing Brands, Inc.’s amended and restated certificate of incorporation will provide for indemnification by BellRing Brands, Inc. of its directors, officers, employees and agents to the fullest extent permitted by the Delaware General Corporation Law.</w:t>
      </w:r>
    </w:p>
    <w:p>
      <w:pPr>
        <w:spacing w:after="0" w:line="19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BellRing Brands, Inc.’s amended and restated certificate of incorporation will provide for such limitation of liability.</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addition, we intend to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also intend to enter into indemnification agreements with our directors and certain of our executive officers. These agreements will contain provisions that may require us, among other things, to indemnify these directors and executive officers against certain liabilities that may arise because of their status or service as directors or executive officers.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by the underwriters against certain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March 25, 2019, we issued 1,000 shares of common stock to Post Holdings, Inc. in exchange for $10.00 in the aggregate under an exemption from registration provided by Section 4(a)(2) of the Securities Act. In addition, in connection with the offering contemplated by this Registration Statement, we and Post Holdings, Inc. intend to complete a series of formation transactions, resulting in certain entities comprising the Active Nutrition business of Post’s Holdings, Inc. becoming our subsidiaries. In connection with these transactions, we will issue the share of our Class B common stock to Post Holdings, Inc., also under an exemption from registration provided by Section 4(a)(2) of the Securities Act. No underwriters will be involved in these transactions.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640" w:hanging="436"/>
        <w:spacing w:after="0" w:line="271" w:lineRule="auto"/>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4" w:lineRule="exact"/>
        <w:rPr>
          <w:rFonts w:ascii="Arial" w:cs="Arial" w:eastAsia="Arial" w:hAnsi="Arial"/>
          <w:sz w:val="17"/>
          <w:szCs w:val="17"/>
          <w:color w:val="auto"/>
        </w:rPr>
      </w:pPr>
    </w:p>
    <w:p>
      <w:pPr>
        <w:ind w:left="640" w:hanging="43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1180" w:right="60" w:hanging="430"/>
        <w:spacing w:after="0" w:line="291" w:lineRule="auto"/>
        <w:tabs>
          <w:tab w:leader="none" w:pos="11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180" w:right="620" w:hanging="4"/>
        <w:spacing w:after="0" w:line="261" w:lineRule="auto"/>
        <w:tabs>
          <w:tab w:leader="none" w:pos="1435" w:val="left"/>
        </w:tabs>
        <w:numPr>
          <w:ilvl w:val="2"/>
          <w:numId w:val="114"/>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 and</w:t>
      </w:r>
    </w:p>
    <w:p>
      <w:pPr>
        <w:spacing w:after="0" w:line="89" w:lineRule="exact"/>
        <w:rPr>
          <w:rFonts w:ascii="Arial" w:cs="Arial" w:eastAsia="Arial" w:hAnsi="Arial"/>
          <w:sz w:val="18"/>
          <w:szCs w:val="18"/>
          <w:color w:val="auto"/>
        </w:rPr>
      </w:pPr>
    </w:p>
    <w:p>
      <w:pPr>
        <w:jc w:val="both"/>
        <w:ind w:left="1180" w:right="100" w:hanging="430"/>
        <w:spacing w:after="0" w:line="264" w:lineRule="auto"/>
        <w:tabs>
          <w:tab w:leader="none" w:pos="11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rFonts w:ascii="Arial" w:cs="Arial" w:eastAsia="Arial" w:hAnsi="Arial"/>
          <w:sz w:val="18"/>
          <w:szCs w:val="18"/>
          <w:color w:val="auto"/>
        </w:rPr>
      </w:pPr>
    </w:p>
    <w:p>
      <w:pPr>
        <w:ind w:left="5700" w:hanging="166"/>
        <w:spacing w:after="0"/>
        <w:tabs>
          <w:tab w:leader="none" w:pos="570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- 2</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24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18"/>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Amended and Restated Certificate of Incorporation of BellRing Brands, Inc.</w:t>
            </w:r>
          </w:p>
        </w:tc>
      </w:tr>
      <w:tr>
        <w:trPr>
          <w:trHeight w:val="324"/>
        </w:trPr>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Amended and Restated Bylaws of BellRing Brands, Inc.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Class A Common Stock Certificate of BellRing Brands, Inc.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Class B Common Stock Certificate of BellRing Brands, Inc.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4120" w:type="dxa"/>
            <w:vAlign w:val="bottom"/>
          </w:tcPr>
          <w:p>
            <w:pPr>
              <w:ind w:left="520"/>
              <w:spacing w:after="0"/>
              <w:rPr>
                <w:sz w:val="20"/>
                <w:szCs w:val="20"/>
                <w:color w:val="auto"/>
              </w:rPr>
            </w:pPr>
            <w:r>
              <w:rPr>
                <w:rFonts w:ascii="Arial" w:cs="Arial" w:eastAsia="Arial" w:hAnsi="Arial"/>
                <w:sz w:val="18"/>
                <w:szCs w:val="18"/>
                <w:color w:val="auto"/>
              </w:rPr>
              <w:t>Opinion of Lewis Rice LLC</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10.1*</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Master Transaction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10.2*</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Employee Matters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10.3</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Investor Rights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10.4*</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Form of Amended and Restated Limited Liability Company Agreement of BellRing Brands, LLC</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10.5*</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Tax Matters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10.6*</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Tax Receivable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10.7*</w:t>
            </w:r>
          </w:p>
        </w:tc>
        <w:tc>
          <w:tcPr>
            <w:tcW w:w="4120" w:type="dxa"/>
            <w:vAlign w:val="bottom"/>
          </w:tcPr>
          <w:p>
            <w:pPr>
              <w:ind w:left="520"/>
              <w:spacing w:after="0"/>
              <w:rPr>
                <w:sz w:val="20"/>
                <w:szCs w:val="20"/>
                <w:color w:val="auto"/>
              </w:rPr>
            </w:pPr>
            <w:r>
              <w:rPr>
                <w:rFonts w:ascii="Arial" w:cs="Arial" w:eastAsia="Arial" w:hAnsi="Arial"/>
                <w:sz w:val="18"/>
                <w:szCs w:val="18"/>
                <w:color w:val="auto"/>
              </w:rPr>
              <w:t>Form of Master Services Agreement</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10"/>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10.8*</w:t>
            </w:r>
          </w:p>
        </w:tc>
        <w:tc>
          <w:tcPr>
            <w:tcW w:w="4120" w:type="dxa"/>
            <w:vAlign w:val="bottom"/>
          </w:tcPr>
          <w:p>
            <w:pPr>
              <w:ind w:left="520"/>
              <w:spacing w:after="0"/>
              <w:rPr>
                <w:sz w:val="20"/>
                <w:szCs w:val="20"/>
                <w:color w:val="auto"/>
              </w:rPr>
            </w:pPr>
            <w:r>
              <w:rPr>
                <w:rFonts w:ascii="Arial" w:cs="Arial" w:eastAsia="Arial" w:hAnsi="Arial"/>
                <w:sz w:val="18"/>
                <w:szCs w:val="18"/>
                <w:color w:val="auto"/>
              </w:rPr>
              <w:t>Bridge Facility Agreement dated as of</w:t>
            </w:r>
          </w:p>
        </w:tc>
        <w:tc>
          <w:tcPr>
            <w:tcW w:w="6240" w:type="dxa"/>
            <w:vAlign w:val="bottom"/>
            <w:gridSpan w:val="3"/>
          </w:tcPr>
          <w:p>
            <w:pPr>
              <w:ind w:left="100"/>
              <w:spacing w:after="0"/>
              <w:rPr>
                <w:sz w:val="20"/>
                <w:szCs w:val="20"/>
                <w:color w:val="auto"/>
              </w:rPr>
            </w:pPr>
            <w:r>
              <w:rPr>
                <w:rFonts w:ascii="Arial" w:cs="Arial" w:eastAsia="Arial" w:hAnsi="Arial"/>
                <w:sz w:val="18"/>
                <w:szCs w:val="18"/>
                <w:color w:val="auto"/>
              </w:rPr>
              <w:t>, 2019, among Post Holdings, Inc., Morgan Stanley Senior Funding, Inc., as</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Administrative Agent and other lenders from time to time party thereto</w:t>
            </w:r>
          </w:p>
        </w:tc>
      </w:tr>
      <w:tr>
        <w:trPr>
          <w:trHeight w:val="310"/>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10.9*</w:t>
            </w:r>
          </w:p>
        </w:tc>
        <w:tc>
          <w:tcPr>
            <w:tcW w:w="4120" w:type="dxa"/>
            <w:vAlign w:val="bottom"/>
          </w:tcPr>
          <w:p>
            <w:pPr>
              <w:ind w:left="520"/>
              <w:spacing w:after="0"/>
              <w:rPr>
                <w:sz w:val="20"/>
                <w:szCs w:val="20"/>
                <w:color w:val="auto"/>
              </w:rPr>
            </w:pPr>
            <w:r>
              <w:rPr>
                <w:rFonts w:ascii="Arial" w:cs="Arial" w:eastAsia="Arial" w:hAnsi="Arial"/>
                <w:sz w:val="18"/>
                <w:szCs w:val="18"/>
                <w:color w:val="auto"/>
                <w:w w:val="92"/>
              </w:rPr>
              <w:t>Guarantee and Collateral Agreement dated as of</w:t>
            </w:r>
          </w:p>
        </w:tc>
        <w:tc>
          <w:tcPr>
            <w:tcW w:w="6240" w:type="dxa"/>
            <w:vAlign w:val="bottom"/>
            <w:gridSpan w:val="3"/>
          </w:tcPr>
          <w:p>
            <w:pPr>
              <w:ind w:left="440"/>
              <w:spacing w:after="0"/>
              <w:rPr>
                <w:sz w:val="20"/>
                <w:szCs w:val="20"/>
                <w:color w:val="auto"/>
              </w:rPr>
            </w:pPr>
            <w:r>
              <w:rPr>
                <w:rFonts w:ascii="Arial" w:cs="Arial" w:eastAsia="Arial" w:hAnsi="Arial"/>
                <w:sz w:val="18"/>
                <w:szCs w:val="18"/>
                <w:color w:val="auto"/>
                <w:w w:val="90"/>
              </w:rPr>
              <w:t>, 2019 among Post Holdings, Inc., certain of its subsidiaries and Morgan Stanley</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ind w:left="520"/>
              <w:spacing w:after="0"/>
              <w:rPr>
                <w:sz w:val="20"/>
                <w:szCs w:val="20"/>
                <w:color w:val="auto"/>
              </w:rPr>
            </w:pPr>
            <w:r>
              <w:rPr>
                <w:rFonts w:ascii="Arial" w:cs="Arial" w:eastAsia="Arial" w:hAnsi="Arial"/>
                <w:sz w:val="18"/>
                <w:szCs w:val="18"/>
                <w:color w:val="auto"/>
                <w:w w:val="99"/>
              </w:rPr>
              <w:t>Senior Funding, Inc., as Administrative Agent</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10"/>
        </w:trPr>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10.10†</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w w:val="91"/>
              </w:rPr>
              <w:t>Stremick Heritage Foods, LLC and Premier Nutrition Corporation Manufacturing Agreement dated as of July 1, 2017, as amended June</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20" w:type="dxa"/>
            <w:vAlign w:val="bottom"/>
          </w:tcPr>
          <w:p>
            <w:pPr>
              <w:ind w:left="520"/>
              <w:spacing w:after="0"/>
              <w:rPr>
                <w:sz w:val="20"/>
                <w:szCs w:val="20"/>
                <w:color w:val="auto"/>
              </w:rPr>
            </w:pPr>
            <w:r>
              <w:rPr>
                <w:rFonts w:ascii="Arial" w:cs="Arial" w:eastAsia="Arial" w:hAnsi="Arial"/>
                <w:sz w:val="18"/>
                <w:szCs w:val="18"/>
                <w:color w:val="auto"/>
              </w:rPr>
              <w:t>11, 2018, October 1, 2018 and July 3, 2019</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21.1*</w:t>
            </w:r>
          </w:p>
        </w:tc>
        <w:tc>
          <w:tcPr>
            <w:tcW w:w="4120" w:type="dxa"/>
            <w:vAlign w:val="bottom"/>
          </w:tcPr>
          <w:p>
            <w:pPr>
              <w:ind w:left="520"/>
              <w:spacing w:after="0"/>
              <w:rPr>
                <w:sz w:val="20"/>
                <w:szCs w:val="20"/>
                <w:color w:val="auto"/>
              </w:rPr>
            </w:pPr>
            <w:r>
              <w:rPr>
                <w:rFonts w:ascii="Arial" w:cs="Arial" w:eastAsia="Arial" w:hAnsi="Arial"/>
                <w:sz w:val="18"/>
                <w:szCs w:val="18"/>
                <w:color w:val="auto"/>
              </w:rPr>
              <w:t>Subsidiaries of BellRing Brands, Inc.</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23.1*</w:t>
            </w:r>
          </w:p>
        </w:tc>
        <w:tc>
          <w:tcPr>
            <w:tcW w:w="4120" w:type="dxa"/>
            <w:vAlign w:val="bottom"/>
          </w:tcPr>
          <w:p>
            <w:pPr>
              <w:ind w:left="520"/>
              <w:spacing w:after="0"/>
              <w:rPr>
                <w:sz w:val="20"/>
                <w:szCs w:val="20"/>
                <w:color w:val="auto"/>
              </w:rPr>
            </w:pPr>
            <w:r>
              <w:rPr>
                <w:rFonts w:ascii="Arial" w:cs="Arial" w:eastAsia="Arial" w:hAnsi="Arial"/>
                <w:sz w:val="18"/>
                <w:szCs w:val="18"/>
                <w:color w:val="auto"/>
              </w:rPr>
              <w:t>Consent of PricewaterhouseCoopers LLP</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23.2*</w:t>
            </w:r>
          </w:p>
        </w:tc>
        <w:tc>
          <w:tcPr>
            <w:tcW w:w="10360" w:type="dxa"/>
            <w:vAlign w:val="bottom"/>
            <w:gridSpan w:val="4"/>
          </w:tcPr>
          <w:p>
            <w:pPr>
              <w:ind w:left="520"/>
              <w:spacing w:after="0"/>
              <w:rPr>
                <w:sz w:val="20"/>
                <w:szCs w:val="20"/>
                <w:color w:val="auto"/>
              </w:rPr>
            </w:pPr>
            <w:r>
              <w:rPr>
                <w:rFonts w:ascii="Arial" w:cs="Arial" w:eastAsia="Arial" w:hAnsi="Arial"/>
                <w:sz w:val="18"/>
                <w:szCs w:val="18"/>
                <w:color w:val="auto"/>
              </w:rPr>
              <w:t>Consent of Lewis Rice LLC (contained in Exhibit 5.1)</w:t>
            </w: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24.1*</w:t>
            </w:r>
          </w:p>
        </w:tc>
        <w:tc>
          <w:tcPr>
            <w:tcW w:w="4120" w:type="dxa"/>
            <w:vAlign w:val="bottom"/>
          </w:tcPr>
          <w:p>
            <w:pPr>
              <w:ind w:left="520"/>
              <w:spacing w:after="0"/>
              <w:rPr>
                <w:sz w:val="20"/>
                <w:szCs w:val="20"/>
                <w:color w:val="auto"/>
              </w:rPr>
            </w:pPr>
            <w:r>
              <w:rPr>
                <w:rFonts w:ascii="Arial" w:cs="Arial" w:eastAsia="Arial" w:hAnsi="Arial"/>
                <w:sz w:val="18"/>
                <w:szCs w:val="18"/>
                <w:color w:val="auto"/>
                <w:w w:val="92"/>
              </w:rPr>
              <w:t>Powers of Attorney (included on signature page)</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324"/>
        </w:trPr>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99.1*</w:t>
            </w:r>
          </w:p>
        </w:tc>
        <w:tc>
          <w:tcPr>
            <w:tcW w:w="4120" w:type="dxa"/>
            <w:vAlign w:val="bottom"/>
          </w:tcPr>
          <w:p>
            <w:pPr>
              <w:ind w:left="520"/>
              <w:spacing w:after="0"/>
              <w:rPr>
                <w:sz w:val="20"/>
                <w:szCs w:val="20"/>
                <w:color w:val="auto"/>
              </w:rPr>
            </w:pPr>
            <w:r>
              <w:rPr>
                <w:rFonts w:ascii="Arial" w:cs="Arial" w:eastAsia="Arial" w:hAnsi="Arial"/>
                <w:sz w:val="18"/>
                <w:szCs w:val="18"/>
                <w:color w:val="auto"/>
              </w:rPr>
              <w:t>Consents of Director Nominees</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420" w:hanging="216"/>
        <w:spacing w:after="0"/>
        <w:tabs>
          <w:tab w:leader="none" w:pos="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Certain portions of this document that constitute confidential information have been redacted in accordance with Regulation S-K, Item 601(b)(10).</w:t>
      </w:r>
    </w:p>
    <w:p>
      <w:pPr>
        <w:spacing w:after="0" w:line="16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 - 3</w:t>
      </w:r>
    </w:p>
    <w:p>
      <w:pPr>
        <w:sectPr>
          <w:pgSz w:w="11900" w:h="16838" w:orient="portrait"/>
          <w:cols w:equalWidth="0" w:num="1">
            <w:col w:w="11160"/>
          </w:cols>
          <w:pgMar w:left="240" w:top="460"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w:t>
            </w:r>
          </w:p>
        </w:tc>
        <w:tc>
          <w:tcPr>
            <w:tcW w:w="1580" w:type="dxa"/>
            <w:vAlign w:val="bottom"/>
          </w:tcPr>
          <w:p>
            <w:pPr>
              <w:ind w:left="560"/>
              <w:spacing w:after="0"/>
              <w:rPr>
                <w:sz w:val="20"/>
                <w:szCs w:val="20"/>
                <w:color w:val="auto"/>
              </w:rPr>
            </w:pPr>
            <w:r>
              <w:rPr>
                <w:rFonts w:ascii="Arial" w:cs="Arial" w:eastAsia="Arial" w:hAnsi="Arial"/>
                <w:sz w:val="18"/>
                <w:szCs w:val="18"/>
                <w:color w:val="auto"/>
              </w:rPr>
              <w:t>, State of</w:t>
            </w:r>
          </w:p>
        </w:tc>
        <w:tc>
          <w:tcPr>
            <w:tcW w:w="700" w:type="dxa"/>
            <w:vAlign w:val="bottom"/>
          </w:tcPr>
          <w:p>
            <w:pPr>
              <w:ind w:left="380"/>
              <w:spacing w:after="0"/>
              <w:rPr>
                <w:sz w:val="20"/>
                <w:szCs w:val="20"/>
                <w:color w:val="auto"/>
              </w:rPr>
            </w:pPr>
            <w:r>
              <w:rPr>
                <w:rFonts w:ascii="Arial" w:cs="Arial" w:eastAsia="Arial" w:hAnsi="Arial"/>
                <w:sz w:val="18"/>
                <w:szCs w:val="18"/>
                <w:color w:val="auto"/>
                <w:w w:val="99"/>
              </w:rPr>
              <w:t>, on</w:t>
            </w:r>
          </w:p>
        </w:tc>
        <w:tc>
          <w:tcPr>
            <w:tcW w:w="2400" w:type="dxa"/>
            <w:vAlign w:val="bottom"/>
            <w:gridSpan w:val="2"/>
          </w:tcPr>
          <w:p>
            <w:pPr>
              <w:jc w:val="right"/>
              <w:ind w:right="1180"/>
              <w:spacing w:after="0"/>
              <w:rPr>
                <w:sz w:val="20"/>
                <w:szCs w:val="20"/>
                <w:color w:val="auto"/>
              </w:rPr>
            </w:pPr>
            <w:r>
              <w:rPr>
                <w:rFonts w:ascii="Arial" w:cs="Arial" w:eastAsia="Arial" w:hAnsi="Arial"/>
                <w:sz w:val="18"/>
                <w:szCs w:val="18"/>
                <w:color w:val="auto"/>
              </w:rPr>
              <w:t>, 2019.</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45"/>
        </w:trPr>
        <w:tc>
          <w:tcPr>
            <w:tcW w:w="4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BellRing Brands, Inc.</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4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430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b w:val="1"/>
                <w:bCs w:val="1"/>
                <w:color w:val="auto"/>
              </w:rPr>
              <w:t>POWER OF ATTORNEY</w:t>
            </w:r>
          </w:p>
        </w:tc>
        <w:tc>
          <w:tcPr>
            <w:tcW w:w="42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432"/>
        </w:trPr>
        <w:tc>
          <w:tcPr>
            <w:tcW w:w="8980" w:type="dxa"/>
            <w:vAlign w:val="bottom"/>
            <w:gridSpan w:val="5"/>
          </w:tcPr>
          <w:p>
            <w:pPr>
              <w:jc w:val="right"/>
              <w:ind w:right="400"/>
              <w:spacing w:after="0"/>
              <w:rPr>
                <w:sz w:val="20"/>
                <w:szCs w:val="20"/>
                <w:color w:val="auto"/>
              </w:rPr>
            </w:pPr>
            <w:r>
              <w:rPr>
                <w:rFonts w:ascii="Arial" w:cs="Arial" w:eastAsia="Arial" w:hAnsi="Arial"/>
                <w:sz w:val="18"/>
                <w:szCs w:val="18"/>
                <w:color w:val="auto"/>
                <w:w w:val="95"/>
              </w:rPr>
              <w:t>Each of the undersigned officers and directors of BellRing Brands, Inc. hereby severally constitutes and appoints</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020" w:type="dxa"/>
            <w:vAlign w:val="bottom"/>
          </w:tcPr>
          <w:p>
            <w:pPr>
              <w:ind w:left="380"/>
              <w:spacing w:after="0"/>
              <w:rPr>
                <w:sz w:val="20"/>
                <w:szCs w:val="20"/>
                <w:color w:val="auto"/>
              </w:rPr>
            </w:pPr>
            <w:r>
              <w:rPr>
                <w:rFonts w:ascii="Arial" w:cs="Arial" w:eastAsia="Arial" w:hAnsi="Arial"/>
                <w:sz w:val="18"/>
                <w:szCs w:val="18"/>
                <w:color w:val="auto"/>
              </w:rPr>
              <w:t>, and</w:t>
            </w:r>
          </w:p>
        </w:tc>
      </w:tr>
    </w:tbl>
    <w:p>
      <w:pPr>
        <w:ind w:left="200" w:right="40"/>
        <w:spacing w:after="0" w:line="269" w:lineRule="auto"/>
        <w:rPr>
          <w:sz w:val="20"/>
          <w:szCs w:val="20"/>
          <w:color w:val="auto"/>
        </w:rPr>
      </w:pPr>
      <w:r>
        <w:rPr>
          <w:rFonts w:ascii="Arial" w:cs="Arial" w:eastAsia="Arial" w:hAnsi="Arial"/>
          <w:sz w:val="17"/>
          <w:szCs w:val="17"/>
          <w:color w:val="auto"/>
        </w:rPr>
        <w:t>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2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Date</w:t>
            </w:r>
          </w:p>
        </w:tc>
      </w:tr>
      <w:tr>
        <w:trPr>
          <w:trHeight w:val="20"/>
        </w:trPr>
        <w:tc>
          <w:tcPr>
            <w:tcW w:w="2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26"/>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372"/>
        </w:trPr>
        <w:tc>
          <w:tcPr>
            <w:tcW w:w="2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40" w:type="dxa"/>
            <w:vAlign w:val="bottom"/>
            <w:gridSpan w:val="3"/>
          </w:tcPr>
          <w:p>
            <w:pPr>
              <w:ind w:left="360"/>
              <w:spacing w:after="0"/>
              <w:rPr>
                <w:sz w:val="20"/>
                <w:szCs w:val="20"/>
                <w:color w:val="auto"/>
              </w:rPr>
            </w:pPr>
            <w:r>
              <w:rPr>
                <w:rFonts w:ascii="Arial" w:cs="Arial" w:eastAsia="Arial" w:hAnsi="Arial"/>
                <w:sz w:val="18"/>
                <w:szCs w:val="18"/>
                <w:color w:val="auto"/>
              </w:rPr>
              <w:t>II - 4</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General Corporation Law of the State of Delaware)</w:t>
      </w:r>
    </w:p>
    <w:p>
      <w:pPr>
        <w:spacing w:after="0" w:line="21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BellRing Brands,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62"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FIRST: The name of the Corporation is BellRing Brands, Inc. The date of filing of its original certificate of incorporation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with the Secretary of State of the State of Delaware was March 20, 2019.</w:t>
      </w:r>
    </w:p>
    <w:p>
      <w:pPr>
        <w:spacing w:after="0" w:line="62"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SECOND: This Amended and Restated Certificate of Incorporation (this “</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has been duly adopted in accordance with the provisions of Sections 242 and 245 of the General Corporation Law of the State of 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by written consent of the holders of all of the outstanding stock entitled to vote thereon in accordance with the provisions of Section 228 of the General Corporation Law.</w:t>
      </w:r>
    </w:p>
    <w:p>
      <w:pPr>
        <w:spacing w:after="0" w:line="7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THIRD: This Amended Certificate of Incorporation amends and restates in its entirety the Original Certificate of Incorporation of the Corporation to read as follows:</w:t>
      </w:r>
    </w:p>
    <w:p>
      <w:pPr>
        <w:spacing w:after="0" w:line="62" w:lineRule="exact"/>
        <w:rPr>
          <w:sz w:val="20"/>
          <w:szCs w:val="20"/>
          <w:color w:val="auto"/>
        </w:rPr>
      </w:pPr>
    </w:p>
    <w:p>
      <w:pPr>
        <w:ind w:left="620" w:hanging="176"/>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BellRing Brands, Inc.</w:t>
      </w:r>
    </w:p>
    <w:p>
      <w:pPr>
        <w:spacing w:after="0" w:line="117" w:lineRule="exact"/>
        <w:rPr>
          <w:rFonts w:ascii="Arial" w:cs="Arial" w:eastAsia="Arial" w:hAnsi="Arial"/>
          <w:sz w:val="18"/>
          <w:szCs w:val="18"/>
          <w:color w:val="auto"/>
        </w:rPr>
      </w:pPr>
    </w:p>
    <w:p>
      <w:pPr>
        <w:ind w:right="280" w:firstLine="444"/>
        <w:spacing w:after="0" w:line="264" w:lineRule="auto"/>
        <w:tabs>
          <w:tab w:leader="none" w:pos="62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Agent</w:t>
      </w:r>
      <w:r>
        <w:rPr>
          <w:rFonts w:ascii="Arial" w:cs="Arial" w:eastAsia="Arial" w:hAnsi="Arial"/>
          <w:sz w:val="18"/>
          <w:szCs w:val="18"/>
          <w:color w:val="auto"/>
        </w:rPr>
        <w:t>. The address of the Corporation’s registered office is Corporation Service Company, 251 Little Falls Drive in the City of Wilmington, County of New Castle, Delaware 19808; and the name of its registered agent at such address is Corporation Service Company.</w:t>
      </w:r>
    </w:p>
    <w:p>
      <w:pPr>
        <w:spacing w:after="0" w:line="73" w:lineRule="exact"/>
        <w:rPr>
          <w:rFonts w:ascii="Arial" w:cs="Arial" w:eastAsia="Arial" w:hAnsi="Arial"/>
          <w:sz w:val="18"/>
          <w:szCs w:val="18"/>
          <w:color w:val="auto"/>
        </w:rPr>
      </w:pPr>
    </w:p>
    <w:p>
      <w:pPr>
        <w:ind w:right="120" w:firstLine="444"/>
        <w:spacing w:after="0" w:line="277" w:lineRule="auto"/>
        <w:tabs>
          <w:tab w:leader="none" w:pos="62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right="200" w:firstLine="992"/>
        <w:spacing w:after="0" w:line="297" w:lineRule="auto"/>
        <w:rPr>
          <w:sz w:val="20"/>
          <w:szCs w:val="20"/>
          <w:color w:val="auto"/>
        </w:rPr>
      </w:pPr>
      <w:r>
        <w:rPr>
          <w:rFonts w:ascii="Arial" w:cs="Arial" w:eastAsia="Arial" w:hAnsi="Arial"/>
          <w:sz w:val="16"/>
          <w:szCs w:val="16"/>
          <w:color w:val="auto"/>
        </w:rPr>
        <w:t>4.1. The total number of shares of all classes of capital stock that the Corporation shall have authority to issue is Five Hundred Fifty Million One (550,000,001) shares, consisting of: (i) Five Hundred Million One (500,000,001) shares of common stock, divided into (a) Five Hundred Million (500,000,000) shares of Class A common stock, with the par value of $0.01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(b) one (1) share of Class B common stock, with the par value of $0.01 per share (the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Fifty Million (50,000,000) shares of preferred stock, with the par value of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50"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4.2. Upon the effectiveness of this Amended Certificate of Incorporation, the 1,000 shares of common stock of the Corporation issued on March 20, 2019 shall automatically be converted into one (1) share of Class B Common Stock of the Corporation.</w:t>
      </w:r>
    </w:p>
    <w:p>
      <w:pPr>
        <w:sectPr>
          <w:pgSz w:w="11900" w:h="16838" w:orient="portrait"/>
          <w:cols w:equalWidth="0" w:num="1">
            <w:col w:w="11020"/>
          </w:cols>
          <w:pgMar w:left="440" w:top="121" w:right="439" w:bottom="1440" w:gutter="0" w:footer="0" w:header="0"/>
        </w:sectPr>
      </w:pPr>
    </w:p>
    <w:bookmarkStart w:id="216" w:name="page217"/>
    <w:bookmarkEnd w:id="216"/>
    <w:p>
      <w:pPr>
        <w:ind w:firstLine="99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all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shall be required therefor. Notwithstanding the immediately preceding sentence, the number of authorized shares of any particular class may not be decreased below the number of shares of such class then outstanding, plus, in the case of Class A Common Stock, the number of shares of Class A Common Stock issuable in connection with (1) the redemption of all outstanding Nonvoting Common Units (as defined in Section 14) pursuant to Article IX of the LLC Agreement (as defined in Section 14) and (2) the exercise of outstanding options, warrants, exchange rights, conversion rights or similar rights for Class A Common Stock.</w:t>
      </w:r>
    </w:p>
    <w:p>
      <w:pPr>
        <w:spacing w:after="0" w:line="74" w:lineRule="exact"/>
        <w:rPr>
          <w:sz w:val="20"/>
          <w:szCs w:val="20"/>
          <w:color w:val="auto"/>
        </w:rPr>
      </w:pPr>
    </w:p>
    <w:p>
      <w:pPr>
        <w:ind w:left="1000" w:right="600" w:hanging="556"/>
        <w:spacing w:after="0" w:line="375" w:lineRule="auto"/>
        <w:tabs>
          <w:tab w:leader="none" w:pos="629"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 relative rights, preferences and limitations of the shares of each class of capital stock are as follows: 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660" w:hanging="224"/>
        <w:spacing w:after="0"/>
        <w:tabs>
          <w:tab w:leader="none" w:pos="166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987"/>
        <w:spacing w:after="0" w:line="289" w:lineRule="auto"/>
        <w:tabs>
          <w:tab w:leader="none" w:pos="2239" w:val="left"/>
        </w:tabs>
        <w:numPr>
          <w:ilvl w:val="2"/>
          <w:numId w:val="117"/>
        </w:numPr>
        <w:rPr>
          <w:rFonts w:ascii="Arial" w:cs="Arial" w:eastAsia="Arial" w:hAnsi="Arial"/>
          <w:sz w:val="16"/>
          <w:szCs w:val="16"/>
          <w:color w:val="auto"/>
        </w:rPr>
      </w:pPr>
      <w:r>
        <w:rPr>
          <w:rFonts w:ascii="Arial" w:cs="Arial" w:eastAsia="Arial" w:hAnsi="Arial"/>
          <w:sz w:val="16"/>
          <w:szCs w:val="16"/>
          <w:color w:val="auto"/>
        </w:rPr>
        <w:t>So long as Post holds in the aggregate more than 50% of the Nonvoting Common Units, then (i) each holder of Class A Common Stock shall be entitled, with respect to each share of Class A Common Stock held by such holder on the applicable record date, to one vote, in person or by proxy, on all matters on which stockholders generally are entitled to vote (whether at a meeting of stockholders or by written consent, and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at a meeting of stockholders or by written consent, and whether voting separately as a class or otherwise) equal to 67% of the combined voting power of the outstanding shares of Common Stock (for purposes of illustration, if 20,000,000 shares of Class A Common Stock are outstanding on the applicable record date, then the share of Class B Common Stock would be entitled to 40,606,060 votes, or 67% of the combined voting power of the outstanding shares of Common Stock).</w:t>
      </w:r>
    </w:p>
    <w:p>
      <w:pPr>
        <w:spacing w:after="0" w:line="58" w:lineRule="exact"/>
        <w:rPr>
          <w:rFonts w:ascii="Arial" w:cs="Arial" w:eastAsia="Arial" w:hAnsi="Arial"/>
          <w:sz w:val="16"/>
          <w:szCs w:val="16"/>
          <w:color w:val="auto"/>
        </w:rPr>
      </w:pPr>
    </w:p>
    <w:p>
      <w:pPr>
        <w:ind w:right="20" w:firstLine="1987"/>
        <w:spacing w:after="0" w:line="269" w:lineRule="auto"/>
        <w:tabs>
          <w:tab w:leader="none" w:pos="2239" w:val="left"/>
        </w:tabs>
        <w:numPr>
          <w:ilvl w:val="2"/>
          <w:numId w:val="117"/>
        </w:numPr>
        <w:rPr>
          <w:rFonts w:ascii="Arial" w:cs="Arial" w:eastAsia="Arial" w:hAnsi="Arial"/>
          <w:sz w:val="17"/>
          <w:szCs w:val="17"/>
          <w:color w:val="auto"/>
        </w:rPr>
      </w:pPr>
      <w:r>
        <w:rPr>
          <w:rFonts w:ascii="Arial" w:cs="Arial" w:eastAsia="Arial" w:hAnsi="Arial"/>
          <w:sz w:val="17"/>
          <w:szCs w:val="17"/>
          <w:color w:val="auto"/>
        </w:rPr>
        <w:t xml:space="preserve">In the event that, as of the record date for any meeting at which stockholders are entitled to vote, Post holds in the aggregate 50% or less of the Nonvoting Common Units outstanding as of such record date, then (i) each holder of Class A Common Stock shall be entitled, with respect to each share of Class A Common Stock held by such holder on the applicable record date, to one (1) vote, in person or by proxy, on all matters on which stockholders generally are entitled to vote (whether voting separately as a class or otherwise), and (ii) the holder of the share of Class B Common Stock shall be entitled, with respect to such share of Class B Common Stock held by such holder on the applicable record date, to a number of votes, in person or by one or more proxies, on all matters on which stockholders generally are entitled to vote (whether voting separately as a class or otherwise) equal to the number of Nonvoting Common Units held by all Persons other than the Corporation and its subsidiaries; </w:t>
      </w:r>
      <w:r>
        <w:rPr>
          <w:rFonts w:ascii="Arial" w:cs="Arial" w:eastAsia="Arial" w:hAnsi="Arial"/>
          <w:sz w:val="17"/>
          <w:szCs w:val="17"/>
          <w:u w:val="single" w:color="auto"/>
          <w:color w:val="auto"/>
        </w:rPr>
        <w:t>provided that</w:t>
      </w:r>
      <w:r>
        <w:rPr>
          <w:rFonts w:ascii="Arial" w:cs="Arial" w:eastAsia="Arial" w:hAnsi="Arial"/>
          <w:sz w:val="17"/>
          <w:szCs w:val="17"/>
          <w:color w:val="auto"/>
        </w:rPr>
        <w:t>, of such votes, (a) the holder of the share of Class B Common Stock shall only be entitled to cast a number of such votes on its own behalf, in person or by one or more proxies, and in its sole discretion equal to the number of Nonvoting Common Units held by Post on the applicable record date, and (b) in the event that, on the applicable record date, any of the Nonvoting Common Units are held by Persons other than the Corporation or any of its subsidiaries or Post (each such Person, a “</w:t>
      </w:r>
      <w:r>
        <w:rPr>
          <w:rFonts w:ascii="Arial" w:cs="Arial" w:eastAsia="Arial" w:hAnsi="Arial"/>
          <w:sz w:val="17"/>
          <w:szCs w:val="17"/>
          <w:u w:val="single" w:color="auto"/>
          <w:color w:val="auto"/>
        </w:rPr>
        <w:t>Non-Affiliated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17" w:name="page218"/>
    <w:bookmarkEnd w:id="217"/>
    <w:p>
      <w:pPr>
        <w:ind w:right="60"/>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Brands, LLC Member</w:t>
      </w:r>
      <w:r>
        <w:rPr>
          <w:rFonts w:ascii="Arial" w:cs="Arial" w:eastAsia="Arial" w:hAnsi="Arial"/>
          <w:sz w:val="17"/>
          <w:szCs w:val="17"/>
          <w:color w:val="auto"/>
        </w:rPr>
        <w:t>”), then the holder of the share of Class B Common Stock shall cast the remainder of the votes to which the outstanding share of Class B Common Stock shall be entitled only in accordance with instructions and directions from the Non-Affiliated BellRing Brands, LLC Member(s) in accordance with the proxy(ies) granted to, or the voting agreement(s) or other voting arrangement(s) entered into with, the Non-Affiliated BellRing Brands, LLC Member(s) pursuant to Section 8.04 of the LLC Agreement (for purposes of illustration, if 100,000,000 Nonvoting Common Units are outstanding on the applicable record date, the Corporation and its subsidiaries hold 20,000,000 Nonvoting Common Units and Post holds 50,000,000 Nonvoting Common Units, then the share of Class B Common Stock would be entitled to 80,000,000 votes, with 30,000,000 of such votes to be cast as directed by the Non-Affiliated BellRing Brands, LLC Member(s)).</w:t>
      </w:r>
    </w:p>
    <w:p>
      <w:pPr>
        <w:spacing w:after="0" w:line="70" w:lineRule="exact"/>
        <w:rPr>
          <w:sz w:val="20"/>
          <w:szCs w:val="20"/>
          <w:color w:val="auto"/>
        </w:rPr>
      </w:pPr>
    </w:p>
    <w:p>
      <w:pPr>
        <w:ind w:firstLine="1987"/>
        <w:spacing w:after="0" w:line="312" w:lineRule="auto"/>
        <w:tabs>
          <w:tab w:leader="none" w:pos="223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holders of the outstanding shares of Class A Common Stock and Class B Common Stock shall each be entitled to vote separately upon any amendment to this Amended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38" w:lineRule="exact"/>
        <w:rPr>
          <w:rFonts w:ascii="Arial" w:cs="Arial" w:eastAsia="Arial" w:hAnsi="Arial"/>
          <w:sz w:val="16"/>
          <w:szCs w:val="16"/>
          <w:color w:val="auto"/>
        </w:rPr>
      </w:pPr>
    </w:p>
    <w:p>
      <w:pPr>
        <w:jc w:val="both"/>
        <w:ind w:right="140" w:firstLine="1987"/>
        <w:spacing w:after="0" w:line="264" w:lineRule="auto"/>
        <w:tabs>
          <w:tab w:leader="none" w:pos="223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Except as otherwise required in this Amended Certificate of Incorporation or by applicable law, the holders of Common Stock shall vote together as a single class on all matters (or, if any holders of Preferred Stock are entitled to vote together with the holders of Common Stock, as a single class with the holders of Preferred Stock).</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80" w:firstLine="1987"/>
        <w:spacing w:after="0" w:line="302" w:lineRule="auto"/>
        <w:tabs>
          <w:tab w:leader="none" w:pos="223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Subject to applicable law and the rights, if any, of the holders of any outstanding series of Preferred Stock or any class or series of capital stock having a preference senior to or the right to participate with the Class A Common Stock with respect to the payment of dividends, dividends of cash or property may be declared and paid on the Class A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may determine.</w:t>
      </w:r>
    </w:p>
    <w:p>
      <w:pPr>
        <w:spacing w:after="0" w:line="46" w:lineRule="exact"/>
        <w:rPr>
          <w:rFonts w:ascii="Arial" w:cs="Arial" w:eastAsia="Arial" w:hAnsi="Arial"/>
          <w:sz w:val="16"/>
          <w:szCs w:val="16"/>
          <w:color w:val="auto"/>
        </w:rPr>
      </w:pPr>
    </w:p>
    <w:p>
      <w:pPr>
        <w:ind w:left="2240" w:hanging="253"/>
        <w:spacing w:after="0"/>
        <w:tabs>
          <w:tab w:leader="none" w:pos="224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Dividends of cash or property may not be declared or paid on the Class B Common Stock.</w:t>
      </w:r>
    </w:p>
    <w:p>
      <w:pPr>
        <w:spacing w:after="0" w:line="117" w:lineRule="exact"/>
        <w:rPr>
          <w:rFonts w:ascii="Arial" w:cs="Arial" w:eastAsia="Arial" w:hAnsi="Arial"/>
          <w:sz w:val="18"/>
          <w:szCs w:val="18"/>
          <w:color w:val="auto"/>
        </w:rPr>
      </w:pPr>
    </w:p>
    <w:p>
      <w:pPr>
        <w:ind w:right="80" w:firstLine="1987"/>
        <w:spacing w:after="0" w:line="259" w:lineRule="auto"/>
        <w:tabs>
          <w:tab w:leader="none" w:pos="223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In no event shall any stock dividend, stock split, reverse stock split, combination of stock, reclassification or recapitalization be declared or made on the Class A Common Stock (each, a “</w:t>
      </w:r>
      <w:r>
        <w:rPr>
          <w:rFonts w:ascii="Arial" w:cs="Arial" w:eastAsia="Arial" w:hAnsi="Arial"/>
          <w:sz w:val="18"/>
          <w:szCs w:val="18"/>
          <w:u w:val="single" w:color="auto"/>
          <w:color w:val="auto"/>
        </w:rPr>
        <w:t>Stock Adjustment</w:t>
      </w:r>
      <w:r>
        <w:rPr>
          <w:rFonts w:ascii="Arial" w:cs="Arial" w:eastAsia="Arial" w:hAnsi="Arial"/>
          <w:sz w:val="18"/>
          <w:szCs w:val="18"/>
          <w:color w:val="auto"/>
        </w:rPr>
        <w:t>”) unless the Stock Adjustment has been reflected in the same economically equivalent manner on all Nonvoting Common Units. Stock dividends with respect to the Class A Common Stock may only be paid with shares of Class A Common Stock.</w:t>
      </w:r>
    </w:p>
    <w:p>
      <w:pPr>
        <w:spacing w:after="0" w:line="78" w:lineRule="exact"/>
        <w:rPr>
          <w:rFonts w:ascii="Arial" w:cs="Arial" w:eastAsia="Arial" w:hAnsi="Arial"/>
          <w:sz w:val="18"/>
          <w:szCs w:val="18"/>
          <w:color w:val="auto"/>
        </w:rPr>
      </w:pPr>
    </w:p>
    <w:p>
      <w:pPr>
        <w:ind w:firstLine="1436"/>
        <w:spacing w:after="0" w:line="276" w:lineRule="auto"/>
        <w:tabs>
          <w:tab w:leader="none" w:pos="1748"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Liquidation</w:t>
      </w:r>
      <w:r>
        <w:rPr>
          <w:rFonts w:ascii="Arial" w:cs="Arial" w:eastAsia="Arial" w:hAnsi="Arial"/>
          <w:sz w:val="17"/>
          <w:szCs w:val="17"/>
          <w:color w:val="auto"/>
        </w:rPr>
        <w:t xml:space="preserve">. In the event of any voluntary or involuntary liquidation, dissolution or winding 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Common Stock shall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an amount per share equal to the par value thereof, and thereafter the holders of all outstanding shares of Class A Common Stock shall be entitled to receive the remaining assets of the Corporation available for distribution ratably in proportion to the number of shares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18" w:name="page219"/>
    <w:bookmarkEnd w:id="218"/>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Class A Common Stock held by each holder. Without limiting the rights of the holder of Class B Common Stock to redeem its Nonvoting Common Units for shares of Class A Common Stock in accordance with Article IX of the LLC Agreement (or for the consideration payable in respect of shares of Class A Common Stock in such voluntary or involuntary liquidation, dissolution or winding up), the holder of the share of Class B Common Stock, as such, shall not be entitled to receive, with respect to such share, any assets of the Corporation in excess of the par value thereof in the event of any voluntary or involuntary liquidation, dissolution or winding up of the affairs of the Corporation.</w:t>
      </w:r>
    </w:p>
    <w:p>
      <w:pPr>
        <w:spacing w:after="0" w:line="64" w:lineRule="exact"/>
        <w:rPr>
          <w:sz w:val="20"/>
          <w:szCs w:val="20"/>
          <w:color w:val="auto"/>
        </w:rPr>
      </w:pPr>
    </w:p>
    <w:p>
      <w:pPr>
        <w:ind w:firstLine="1436"/>
        <w:spacing w:after="0" w:line="287" w:lineRule="auto"/>
        <w:tabs>
          <w:tab w:leader="none" w:pos="173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Restrictions on Class B Common Stock</w:t>
      </w:r>
      <w:r>
        <w:rPr>
          <w:rFonts w:ascii="Arial" w:cs="Arial" w:eastAsia="Arial" w:hAnsi="Arial"/>
          <w:sz w:val="16"/>
          <w:szCs w:val="16"/>
          <w:color w:val="auto"/>
        </w:rPr>
        <w:t xml:space="preserve">. The share of Class B Common Stock may not be owned or held by or transferred to any Person other than Post;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Post, as the holder of the share of Class B Common Stock, shall be permitted to (a) grant one or more proxies to, or enter into one or more voting agreements or other voting arrangements with, any Non-Affiliated BellRing Brands, LLC Members pursuant to Section 8.04 of the LLC Agreement (and, for avoidance of doubt, (1) each such proxy, agreement or arrangement shall cover a specific number or percentage of votes to which the share of Class B Common Stock is entitled under this Amended Certificate of Incorporation, and (2) the holder(s) of such proxy(ies), agreement(s) or arrangement(s) may in its (their) discretion direct the holder of the Class B Common Stock as to the manner in which the votes covered by such proxy(ies), agreement(s) or arrangement(s) are to be cast (or not cast, as the case may be) and the holder of the Class B Common Stock shall so cast such votes as so directed by such holder(s), it being understood that some of the votes to which the share of Class B Common Stock is entitled may be voted in favor of, and others may be voted against, the particular matter upon which the holder of the Class B Common Stock is entitled to vote) and (b) transfer the share of Class B Common Stock in connection with any distribution of its ownership interest in BellRing Brands, LLC (as defined in Section 14) by means of a tax-free spin-off or split-off to its shareholders. Any stock certificate representing the share of Class B Common Stock shall include a legend referencing the restrictions described above.</w:t>
      </w:r>
    </w:p>
    <w:p>
      <w:pPr>
        <w:spacing w:after="0" w:line="60" w:lineRule="exact"/>
        <w:rPr>
          <w:rFonts w:ascii="Arial" w:cs="Arial" w:eastAsia="Arial" w:hAnsi="Arial"/>
          <w:sz w:val="16"/>
          <w:szCs w:val="16"/>
          <w:color w:val="auto"/>
        </w:rPr>
      </w:pPr>
    </w:p>
    <w:p>
      <w:pPr>
        <w:ind w:right="40" w:firstLine="1436"/>
        <w:spacing w:after="0" w:line="271" w:lineRule="auto"/>
        <w:tabs>
          <w:tab w:leader="none" w:pos="1687"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xml:space="preserve">. The issuance of shares of Class A Common Stock upon the exercise by a holder of Nonvoting Common Units of its right to redeem its Nonvoting Common Units for shares of Class A Common Stock in accordance with Article IX of the LLC Agreement shall be made without charge to such holder for any transfer taxes, stamp taxes or duties or other similar tax in respect of the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shares of Class A Common Stock are to be issued in a name other than that of the then record holder of the Nonvoting Common Units being redeemed (or The Depository Trust Company or its nominee for the account of a participant of The Depository Trust Company that shall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71"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19" w:name="page220"/>
    <w:bookmarkEnd w:id="219"/>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capital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capital stock of the Corporation (or any other securities of the Corporation or any other Person) at such price or prices or at such rates of exchange and with such adjustments, if any;</w:t>
      </w:r>
    </w:p>
    <w:p>
      <w:pPr>
        <w:spacing w:after="0" w:line="1" w:lineRule="exact"/>
        <w:rPr>
          <w:sz w:val="20"/>
          <w:szCs w:val="20"/>
          <w:color w:val="auto"/>
        </w:rPr>
      </w:pPr>
    </w:p>
    <w:p>
      <w:pPr>
        <w:ind w:right="20" w:firstLine="4"/>
        <w:spacing w:after="0" w:line="252" w:lineRule="auto"/>
        <w:tabs>
          <w:tab w:leader="none" w:pos="3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84" w:lineRule="exact"/>
        <w:rPr>
          <w:sz w:val="20"/>
          <w:szCs w:val="20"/>
          <w:color w:val="auto"/>
        </w:rPr>
      </w:pPr>
    </w:p>
    <w:p>
      <w:pPr>
        <w:ind w:left="620" w:hanging="176"/>
        <w:spacing w:after="0"/>
        <w:tabs>
          <w:tab w:leader="none" w:pos="6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Actions by Written Consent</w:t>
      </w:r>
      <w:r>
        <w:rPr>
          <w:rFonts w:ascii="Arial" w:cs="Arial" w:eastAsia="Arial" w:hAnsi="Arial"/>
          <w:sz w:val="16"/>
          <w:szCs w:val="16"/>
          <w:color w:val="auto"/>
        </w:rPr>
        <w:t>. From and after the Triggering Event, any action required by the General Corporation Law to be taken at any annual or special meeting of stockholders of the Corporation, or any action which may be taken at any annual or special meeting of such stockholders, may be effected only at a duly called annual or special meeting of stockholders of the Corporation and may not be effected by any consent in writing by such stockholders. Prior to the Triggering Event, any action required by the General Corporation Law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 or holders of Common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Corporation to those stockholders who have not consented in writing.</w:t>
      </w:r>
    </w:p>
    <w:p>
      <w:pPr>
        <w:spacing w:after="0" w:line="59"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Election of Directors by Written Ballot</w:t>
      </w:r>
      <w:r>
        <w:rPr>
          <w:rFonts w:ascii="Arial" w:cs="Arial" w:eastAsia="Arial" w:hAnsi="Arial"/>
          <w:sz w:val="18"/>
          <w:szCs w:val="18"/>
          <w:color w:val="auto"/>
        </w:rPr>
        <w:t>. Unless and except to the extent that the Amended and Restated Bylaws of the Corporation (as such Bylaws may be amended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shall so require, the election of the directors of the Corporation need not be by written ballot.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20" w:name="page221"/>
    <w:bookmarkEnd w:id="220"/>
    <w:p>
      <w:pPr>
        <w:ind w:left="620" w:hanging="176"/>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w:t>
      </w:r>
      <w:r>
        <w:rPr>
          <w:rFonts w:ascii="Arial" w:cs="Arial" w:eastAsia="Arial" w:hAnsi="Arial"/>
          <w:sz w:val="18"/>
          <w:szCs w:val="18"/>
          <w:color w:val="auto"/>
        </w:rPr>
        <w:t>.</w:t>
      </w:r>
    </w:p>
    <w:p>
      <w:pPr>
        <w:spacing w:after="0" w:line="117" w:lineRule="exact"/>
        <w:rPr>
          <w:sz w:val="20"/>
          <w:szCs w:val="20"/>
          <w:color w:val="auto"/>
        </w:rPr>
      </w:pPr>
    </w:p>
    <w:p>
      <w:pPr>
        <w:ind w:right="100" w:firstLine="992"/>
        <w:spacing w:after="0" w:line="27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Number and Classification</w:t>
      </w:r>
      <w:r>
        <w:rPr>
          <w:rFonts w:ascii="Arial" w:cs="Arial" w:eastAsia="Arial" w:hAnsi="Arial"/>
          <w:sz w:val="17"/>
          <w:szCs w:val="17"/>
          <w:color w:val="auto"/>
        </w:rPr>
        <w:t>. The number of directors shall be fixed by, or in the manner provided in, the Bylaws, but shall not be less than five nor more than twelve members. The directors shall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shall be elected for a three year term (and until their respective successors shall have been elected and qualified in each class or until their earlier death, resignation or removal), so that the term of one class of directors shall expire in each year.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Amended Certificate of Incorporation or any certificate of designation thereunder applicable thereto. As used in this Amended Certificate of Incorporation, the term “entire Board” means the total number of directors fixed by, or in accordance with, this Amended Certificate of Incorporation and the Bylaws.</w:t>
      </w:r>
    </w:p>
    <w:p>
      <w:pPr>
        <w:spacing w:after="0" w:line="70" w:lineRule="exact"/>
        <w:rPr>
          <w:sz w:val="20"/>
          <w:szCs w:val="20"/>
          <w:color w:val="auto"/>
        </w:rPr>
      </w:pPr>
    </w:p>
    <w:p>
      <w:pPr>
        <w:ind w:right="100" w:firstLine="992"/>
        <w:spacing w:after="0" w:line="27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Removal of Directors</w:t>
      </w:r>
      <w:r>
        <w:rPr>
          <w:rFonts w:ascii="Arial" w:cs="Arial" w:eastAsia="Arial" w:hAnsi="Arial"/>
          <w:sz w:val="17"/>
          <w:szCs w:val="17"/>
          <w:color w:val="auto"/>
        </w:rPr>
        <w:t>. Subject to the rights, if any, of the holders of any class of capital stock of the Corporation (other than the Common Stock) then outstanding, at a meeting called expressly for that purpose or by the written consent of stockholders as provided in Section 6.1, one or more members of the Board may be removed with or without cause by the affirmative vote of not less than a majority of the voting power of all of the outstanding shares of Common Stock then entitled to vote in the election of directors, voting together as a single class. Whenever the holders of the shares of any class are entitled to elect one or more directors, the provisions of this Section 7.2 shall apply in respect of the removal of a director or directors so elected, to the vote of the holders of the outstanding shares of that class and not to the vote of the holders of the outstanding shares as a whole. In addition, any director may be removed from office by the affirmative vote of a majority of the entire Board at any time prior to the expiration of the director’s term of office, as provided by law, in the event that the director fails, at the time of removal, to meet any qualifications stated in the Bylaws for election as a director or shall be in breach of any agreement between the director and the Corporation relating to the director’s service as a director or employee of the Corporation.</w:t>
      </w:r>
    </w:p>
    <w:p>
      <w:pPr>
        <w:spacing w:after="0" w:line="70" w:lineRule="exact"/>
        <w:rPr>
          <w:sz w:val="20"/>
          <w:szCs w:val="20"/>
          <w:color w:val="auto"/>
        </w:rPr>
      </w:pPr>
    </w:p>
    <w:p>
      <w:pPr>
        <w:ind w:right="20" w:firstLine="992"/>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Vacancies</w:t>
      </w:r>
      <w:r>
        <w:rPr>
          <w:rFonts w:ascii="Arial" w:cs="Arial" w:eastAsia="Arial" w:hAnsi="Arial"/>
          <w:sz w:val="17"/>
          <w:szCs w:val="17"/>
          <w:color w:val="auto"/>
        </w:rPr>
        <w:t>. Subject to the rights, if any, of the holders of any class of capital stock of the Corporation (other than the Common Stock) then outstanding and the rights of Post Holdings, Inc. and its successors and assigns under the Investor Rights Agreement (as defined in Section 14) (so long as such agreement is in effect), any vacancies in the Board which occur for any reason prior to the expiration of the term of office of the class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Corporation called for such purpose, or (iii) prior to the Triggering Event, by written consent of one or more stockholders of the Corporation as provided in Section 6.1, in each case until the next election of directors by the stockholders of the Corporation at which such class is elected.</w:t>
      </w:r>
    </w:p>
    <w:p>
      <w:pPr>
        <w:spacing w:after="0" w:line="71" w:lineRule="exact"/>
        <w:rPr>
          <w:sz w:val="20"/>
          <w:szCs w:val="20"/>
          <w:color w:val="auto"/>
        </w:rPr>
      </w:pPr>
    </w:p>
    <w:p>
      <w:pPr>
        <w:jc w:val="both"/>
        <w:ind w:firstLine="992"/>
        <w:spacing w:after="0" w:line="31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Amendment</w:t>
      </w:r>
      <w:r>
        <w:rPr>
          <w:rFonts w:ascii="Arial" w:cs="Arial" w:eastAsia="Arial" w:hAnsi="Arial"/>
          <w:sz w:val="16"/>
          <w:szCs w:val="16"/>
          <w:color w:val="auto"/>
        </w:rPr>
        <w:t>. Whenever the holders of shares of any class or series of capital stock of the Corporation (other than the Common Stock) are entitled to elect one or more directors, any amendment, alteration, change or repeal of this Section 7 also shall require the affirmative vote of not less than a majority of the outstanding shares of each such class or series of capital stock of the Corporation entitled to vote on such directors.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21" w:name="page222"/>
    <w:bookmarkEnd w:id="221"/>
    <w:p>
      <w:pPr>
        <w:ind w:left="620" w:hanging="176"/>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Combinations</w:t>
      </w:r>
      <w:r>
        <w:rPr>
          <w:rFonts w:ascii="Arial" w:cs="Arial" w:eastAsia="Arial" w:hAnsi="Arial"/>
          <w:sz w:val="18"/>
          <w:szCs w:val="18"/>
          <w:color w:val="auto"/>
        </w:rPr>
        <w:t>.</w:t>
      </w:r>
    </w:p>
    <w:p>
      <w:pPr>
        <w:spacing w:after="0" w:line="117"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Section 203 of the General Corporation Law</w:t>
      </w:r>
      <w:r>
        <w:rPr>
          <w:rFonts w:ascii="Arial" w:cs="Arial" w:eastAsia="Arial" w:hAnsi="Arial"/>
          <w:sz w:val="18"/>
          <w:szCs w:val="18"/>
          <w:color w:val="auto"/>
        </w:rPr>
        <w:t>. The Corporation shall not be subject to the provisions of Section 203 of the General Corporation Law.</w:t>
      </w:r>
    </w:p>
    <w:p>
      <w:pPr>
        <w:spacing w:after="0" w:line="62"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Limitations on Business Combinations</w:t>
      </w:r>
      <w:r>
        <w:rPr>
          <w:rFonts w:ascii="Arial" w:cs="Arial" w:eastAsia="Arial" w:hAnsi="Arial"/>
          <w:sz w:val="17"/>
          <w:szCs w:val="17"/>
          <w:color w:val="auto"/>
        </w:rPr>
        <w:t>. Notwithstanding Section 8.1, the Corporation shall not, at any point in time at which the Class A Common Stock is registered under Section 12(b) or 12(g) of the Exchange Act (as defined in Section 14) (or if the Class A Common Stock is no longer so registered as a result of action taken, directly or indirectly, by an Interested Stockholder (as defined in Section 8.3(iv)) or as a result of a transaction in which a person becomes an Interested Stockholder), engage in any Business Combination (as defined in Section 8.3(ii)) with any Interested Stockholder for a period of three years following the time that such stockholder became an Interested Stockholder, unless:</w:t>
      </w:r>
    </w:p>
    <w:p>
      <w:pPr>
        <w:spacing w:after="0" w:line="64" w:lineRule="exact"/>
        <w:rPr>
          <w:sz w:val="20"/>
          <w:szCs w:val="20"/>
          <w:color w:val="auto"/>
        </w:rPr>
      </w:pPr>
    </w:p>
    <w:p>
      <w:pPr>
        <w:ind w:right="440" w:firstLine="1436"/>
        <w:spacing w:after="0" w:line="277" w:lineRule="auto"/>
        <w:tabs>
          <w:tab w:leader="none" w:pos="16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right="180" w:firstLine="1436"/>
        <w:spacing w:after="0" w:line="297" w:lineRule="auto"/>
        <w:tabs>
          <w:tab w:leader="none" w:pos="169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in Section 8.3(viii))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or (2) employee stock plans in which employee participants do not have the right to determine confidentially whether shares held subject to the plan will be tendered in a tender or exchange offer, or</w:t>
      </w:r>
    </w:p>
    <w:p>
      <w:pPr>
        <w:spacing w:after="0" w:line="50" w:lineRule="exact"/>
        <w:rPr>
          <w:rFonts w:ascii="Arial" w:cs="Arial" w:eastAsia="Arial" w:hAnsi="Arial"/>
          <w:sz w:val="16"/>
          <w:szCs w:val="16"/>
          <w:color w:val="auto"/>
        </w:rPr>
      </w:pPr>
    </w:p>
    <w:p>
      <w:pPr>
        <w:ind w:right="560" w:firstLine="1436"/>
        <w:spacing w:after="0" w:line="264" w:lineRule="auto"/>
        <w:tabs>
          <w:tab w:leader="none" w:pos="174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two-thirds (2/3) of the outstanding Voting Stock of the Corporation which is not owned by the Interested Stockholder.</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in Section 14, for purposes of this Section 8:</w:t>
      </w:r>
    </w:p>
    <w:p>
      <w:pPr>
        <w:spacing w:after="0" w:line="117" w:lineRule="exact"/>
        <w:rPr>
          <w:sz w:val="20"/>
          <w:szCs w:val="20"/>
          <w:color w:val="auto"/>
        </w:rPr>
      </w:pPr>
    </w:p>
    <w:p>
      <w:pPr>
        <w:ind w:firstLine="1436"/>
        <w:spacing w:after="0" w:line="257" w:lineRule="auto"/>
        <w:tabs>
          <w:tab w:leader="none" w:pos="16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(1) any corporation, partnership, unincorporated association or other entity of which such Person is a director, officer, manager or partner or is, directly or indirectly, the Owner of 20% or more of any class of Voting Stock; (2) any trust or other estate in which such Person has at least a 20% beneficial interest or as to which such Person serves as trustee or in a similar fiduciary capacity; and (3) any relative or spouse of such Person, or any relative of such spouse, who has the same residence as such Person.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2" w:name="page223"/>
    <w:bookmarkEnd w:id="222"/>
    <w:p>
      <w:pPr>
        <w:ind w:left="1700" w:hanging="264"/>
        <w:spacing w:after="0"/>
        <w:tabs>
          <w:tab w:leader="none" w:pos="1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when used in reference to the Corporation and any Interested Stockholder, means:</w:t>
      </w:r>
    </w:p>
    <w:p>
      <w:pPr>
        <w:spacing w:after="0" w:line="117" w:lineRule="exact"/>
        <w:rPr>
          <w:rFonts w:ascii="Arial" w:cs="Arial" w:eastAsia="Arial" w:hAnsi="Arial"/>
          <w:sz w:val="18"/>
          <w:szCs w:val="18"/>
          <w:color w:val="auto"/>
        </w:rPr>
      </w:pPr>
    </w:p>
    <w:p>
      <w:pPr>
        <w:ind w:left="2240" w:hanging="253"/>
        <w:spacing w:after="0"/>
        <w:tabs>
          <w:tab w:leader="none" w:pos="224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ind w:right="20" w:firstLine="4"/>
        <w:spacing w:after="0" w:line="323" w:lineRule="auto"/>
        <w:tabs>
          <w:tab w:leader="none" w:pos="24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 the Interested Stockholder, or (b) with any other corporation, partnership, unincorporated association or other entity if the merger or consolidation is caused by the Interested Stockholder and as a result of such merger or consolidation Section 8.2 is not applicable to the surviving entity;</w:t>
      </w:r>
    </w:p>
    <w:p>
      <w:pPr>
        <w:spacing w:after="0" w:line="30" w:lineRule="exact"/>
        <w:rPr>
          <w:rFonts w:ascii="Arial" w:cs="Arial" w:eastAsia="Arial" w:hAnsi="Arial"/>
          <w:sz w:val="16"/>
          <w:szCs w:val="16"/>
          <w:color w:val="auto"/>
        </w:rPr>
      </w:pPr>
    </w:p>
    <w:p>
      <w:pPr>
        <w:ind w:right="100" w:firstLine="1987"/>
        <w:spacing w:after="0" w:line="257" w:lineRule="auto"/>
        <w:tabs>
          <w:tab w:leader="none" w:pos="2239"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of the assets of the Corporation determined on a consolidated basis or the aggregate market value of all of the outstanding Stock of the Corporation;</w:t>
      </w:r>
    </w:p>
    <w:p>
      <w:pPr>
        <w:spacing w:after="0" w:line="80" w:lineRule="exact"/>
        <w:rPr>
          <w:rFonts w:ascii="Arial" w:cs="Arial" w:eastAsia="Arial" w:hAnsi="Arial"/>
          <w:sz w:val="18"/>
          <w:szCs w:val="18"/>
          <w:color w:val="auto"/>
        </w:rPr>
      </w:pPr>
    </w:p>
    <w:p>
      <w:pPr>
        <w:ind w:right="80" w:firstLine="1987"/>
        <w:spacing w:after="0" w:line="269" w:lineRule="auto"/>
        <w:tabs>
          <w:tab w:leader="none" w:pos="2239" w:val="left"/>
        </w:tabs>
        <w:numPr>
          <w:ilvl w:val="2"/>
          <w:numId w:val="128"/>
        </w:numPr>
        <w:rPr>
          <w:rFonts w:ascii="Arial" w:cs="Arial" w:eastAsia="Arial" w:hAnsi="Arial"/>
          <w:sz w:val="17"/>
          <w:szCs w:val="17"/>
          <w:color w:val="auto"/>
        </w:rPr>
      </w:pPr>
      <w:r>
        <w:rPr>
          <w:rFonts w:ascii="Arial" w:cs="Arial" w:eastAsia="Arial" w:hAnsi="Arial"/>
          <w:sz w:val="17"/>
          <w:szCs w:val="17"/>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General Corporation Law; (c) pursuant to a dividend or distribution paid or made on, or the exercise, exchange or conversion of securities exercisable for, exchangeable for or convertible into, Stock of the Corporation or any such subsidiary which security is distributed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case under items (c)-(e) of this subsection (3)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74" w:lineRule="exact"/>
        <w:rPr>
          <w:rFonts w:ascii="Arial" w:cs="Arial" w:eastAsia="Arial" w:hAnsi="Arial"/>
          <w:sz w:val="17"/>
          <w:szCs w:val="17"/>
          <w:color w:val="auto"/>
        </w:rPr>
      </w:pPr>
    </w:p>
    <w:p>
      <w:pPr>
        <w:ind w:firstLine="1987"/>
        <w:spacing w:after="0" w:line="257" w:lineRule="auto"/>
        <w:tabs>
          <w:tab w:leader="none" w:pos="2239"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80" w:lineRule="exact"/>
        <w:rPr>
          <w:rFonts w:ascii="Arial" w:cs="Arial" w:eastAsia="Arial" w:hAnsi="Arial"/>
          <w:sz w:val="18"/>
          <w:szCs w:val="18"/>
          <w:color w:val="auto"/>
        </w:rPr>
      </w:pPr>
    </w:p>
    <w:p>
      <w:pPr>
        <w:ind w:right="120" w:firstLine="1987"/>
        <w:spacing w:after="0" w:line="264" w:lineRule="auto"/>
        <w:tabs>
          <w:tab w:leader="none" w:pos="2239"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(1)-(4) above) provided by or through the Corporation or any direct or indirect majority-owned subsidiary.</w:t>
      </w:r>
    </w:p>
    <w:p>
      <w:pPr>
        <w:spacing w:after="0" w:line="73" w:lineRule="exact"/>
        <w:rPr>
          <w:rFonts w:ascii="Arial" w:cs="Arial" w:eastAsia="Arial" w:hAnsi="Arial"/>
          <w:sz w:val="18"/>
          <w:szCs w:val="18"/>
          <w:color w:val="auto"/>
        </w:rPr>
      </w:pPr>
    </w:p>
    <w:p>
      <w:pPr>
        <w:ind w:right="80" w:firstLine="1436"/>
        <w:spacing w:after="0" w:line="264" w:lineRule="auto"/>
        <w:tabs>
          <w:tab w:leader="none" w:pos="174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3" w:name="page224"/>
    <w:bookmarkEnd w:id="223"/>
    <w:p>
      <w:pPr>
        <w:jc w:val="both"/>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8, as an agent, bank, broker, nominee, custodian or trustee for one or more Owners who do not individually or as a group have Control of such entity. The definition of Control and correlated terms set forth in Section 14 shall not apply for purposes of this Section 8.</w:t>
      </w:r>
    </w:p>
    <w:p>
      <w:pPr>
        <w:spacing w:after="0" w:line="80" w:lineRule="exact"/>
        <w:rPr>
          <w:sz w:val="20"/>
          <w:szCs w:val="20"/>
          <w:color w:val="auto"/>
        </w:rPr>
      </w:pPr>
    </w:p>
    <w:p>
      <w:pPr>
        <w:ind w:firstLine="1436"/>
        <w:spacing w:after="0" w:line="286" w:lineRule="auto"/>
        <w:tabs>
          <w:tab w:leader="none" w:pos="173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(1) is the Owner of 15% or more of the outstanding Voting Stock of the Corporation, or (2) is an Affiliate or Associate of the Corporation and was the Owner of 15% or more of the outstanding Voting Stock of the Corporation at any time within the three year period immediately prior to the date on which it is sought to be determined whether such Person is an Interested Stockholder, and the Affiliates and Associates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“Interested Stockholder” shall not include (a) Post (as defined in Section 14) or Post Transferees, or any Affiliates of any such Post Transferees, (b) any Person whose ownership of Stock in excess of the 15% limitation set forth herein is the result of any action taken solely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(b) shall be an Interested Stockholder if thereafter such Person acquires additional shares of Voting Stock of the Corporation, except as a result of further corporate action not caused, directly or indirectly, by such Person; or (c) any Person whose ownership of Stock in excess of the 15% limitation set forth herein is the result of any action taken inadvertently;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specified in this clause (c) (1) as soon as practicable divests itself of ownership of sufficient shares so that the Person ceases to otherwise be an Interested Stockholder, and (2) would not, at any time within the three year period immediately prior to a Business Combination between the Corporation and such Person, have been an Interested Stockholder but for the inadvertent acquisition of ownership.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0" w:lineRule="exact"/>
        <w:rPr>
          <w:rFonts w:ascii="Arial" w:cs="Arial" w:eastAsia="Arial" w:hAnsi="Arial"/>
          <w:sz w:val="16"/>
          <w:szCs w:val="16"/>
          <w:color w:val="auto"/>
        </w:rPr>
      </w:pPr>
    </w:p>
    <w:p>
      <w:pPr>
        <w:ind w:right="260" w:firstLine="1436"/>
        <w:spacing w:after="0" w:line="277" w:lineRule="auto"/>
        <w:tabs>
          <w:tab w:leader="none" w:pos="16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2" w:lineRule="exact"/>
        <w:rPr>
          <w:rFonts w:ascii="Arial" w:cs="Arial" w:eastAsia="Arial" w:hAnsi="Arial"/>
          <w:sz w:val="18"/>
          <w:szCs w:val="18"/>
          <w:color w:val="auto"/>
        </w:rPr>
      </w:pPr>
    </w:p>
    <w:p>
      <w:pPr>
        <w:ind w:left="2240" w:hanging="253"/>
        <w:spacing w:after="0"/>
        <w:tabs>
          <w:tab w:leader="none" w:pos="22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ind w:firstLine="1987"/>
        <w:spacing w:after="0" w:line="272" w:lineRule="auto"/>
        <w:tabs>
          <w:tab w:leader="none" w:pos="2239"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24" w:name="page225"/>
    <w:bookmarkEnd w:id="224"/>
    <w:p>
      <w:pPr>
        <w:ind w:left="-20" w:firstLine="1987"/>
        <w:spacing w:after="0" w:line="264" w:lineRule="auto"/>
        <w:tabs>
          <w:tab w:leader="none" w:pos="2219" w:val="left"/>
        </w:tabs>
        <w:numPr>
          <w:ilvl w:val="2"/>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any agreement, arrangement or understanding for the purpose of acquiring, holding, voting (except voting pursuant to a revocable proxy or consent as described in item (b) of subsection (2) above), or disposing of such Stock with any other Person that beneficially owns, or whose Affiliates or Associates beneficially own, directly or indirectly, such Stock.</w:t>
      </w:r>
    </w:p>
    <w:p>
      <w:pPr>
        <w:spacing w:after="0" w:line="73" w:lineRule="exact"/>
        <w:rPr>
          <w:rFonts w:ascii="Arial" w:cs="Arial" w:eastAsia="Arial" w:hAnsi="Arial"/>
          <w:sz w:val="18"/>
          <w:szCs w:val="18"/>
          <w:color w:val="auto"/>
        </w:rPr>
      </w:pPr>
    </w:p>
    <w:p>
      <w:pPr>
        <w:ind w:left="-20" w:right="80" w:firstLine="1436"/>
        <w:spacing w:after="0" w:line="293" w:lineRule="auto"/>
        <w:tabs>
          <w:tab w:leader="none" w:pos="171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Transferee</w:t>
      </w:r>
      <w:r>
        <w:rPr>
          <w:rFonts w:ascii="Arial" w:cs="Arial" w:eastAsia="Arial" w:hAnsi="Arial"/>
          <w:sz w:val="16"/>
          <w:szCs w:val="16"/>
          <w:color w:val="auto"/>
        </w:rPr>
        <w:t>” means any Person who (a) acquires Voting Stock of the Corporation from Post (other than in connection with a public offering) or (b) is granted a proxy by, or enters into a voting agreement or other voting arrangement with, Post pursuant to Section 8.04 of the LLC Agreement, and in either case is designated in writing by Post as a “Post Transferee.” For avoidance of doubt, a Person described in clause (b) of the preceding sentence who shall have been designated in writing by Post as a Post Transferee shall continue to be a Post Transferee in the event such Person acquires shares of Class A Common Stock through the exercise of its right to redeem the Nonvoting Common Units, which were the subject of such proxy, agreement or other arrangement, in accordance with Article IX of the LLC Agreement.</w:t>
      </w:r>
    </w:p>
    <w:p>
      <w:pPr>
        <w:spacing w:after="0" w:line="56" w:lineRule="exact"/>
        <w:rPr>
          <w:rFonts w:ascii="Arial" w:cs="Arial" w:eastAsia="Arial" w:hAnsi="Arial"/>
          <w:sz w:val="16"/>
          <w:szCs w:val="16"/>
          <w:color w:val="auto"/>
        </w:rPr>
      </w:pPr>
    </w:p>
    <w:p>
      <w:pPr>
        <w:ind w:left="1780" w:hanging="364"/>
        <w:spacing w:after="0"/>
        <w:tabs>
          <w:tab w:leader="none" w:pos="178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w:t>
      </w:r>
      <w:r>
        <w:rPr>
          <w:rFonts w:ascii="Arial" w:cs="Arial" w:eastAsia="Arial" w:hAnsi="Arial"/>
          <w:sz w:val="17"/>
          <w:szCs w:val="17"/>
          <w:color w:val="auto"/>
        </w:rPr>
        <w:t>” means, with respect to any corporation, capital stock and, with respect to any other entity, any equity interest.</w:t>
      </w:r>
    </w:p>
    <w:p>
      <w:pPr>
        <w:spacing w:after="0" w:line="128" w:lineRule="exact"/>
        <w:rPr>
          <w:rFonts w:ascii="Arial" w:cs="Arial" w:eastAsia="Arial" w:hAnsi="Arial"/>
          <w:sz w:val="17"/>
          <w:szCs w:val="17"/>
          <w:color w:val="auto"/>
        </w:rPr>
      </w:pPr>
    </w:p>
    <w:p>
      <w:pPr>
        <w:ind w:left="-20" w:right="360" w:firstLine="1436"/>
        <w:spacing w:after="0" w:line="277" w:lineRule="auto"/>
        <w:tabs>
          <w:tab w:leader="none" w:pos="181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(or such equivalent office with the power to direct or cause the direction of the management and policies of a Person).</w:t>
      </w:r>
    </w:p>
    <w:p>
      <w:pPr>
        <w:spacing w:after="0" w:line="62" w:lineRule="exact"/>
        <w:rPr>
          <w:rFonts w:ascii="Arial" w:cs="Arial" w:eastAsia="Arial" w:hAnsi="Arial"/>
          <w:sz w:val="18"/>
          <w:szCs w:val="18"/>
          <w:color w:val="auto"/>
        </w:rPr>
      </w:pPr>
    </w:p>
    <w:p>
      <w:pPr>
        <w:ind w:left="600" w:hanging="176"/>
        <w:spacing w:after="0"/>
        <w:tabs>
          <w:tab w:leader="none" w:pos="6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117" w:lineRule="exact"/>
        <w:rPr>
          <w:sz w:val="20"/>
          <w:szCs w:val="20"/>
          <w:color w:val="auto"/>
        </w:rPr>
      </w:pPr>
    </w:p>
    <w:p>
      <w:pPr>
        <w:ind w:left="-20" w:right="100" w:firstLine="1436"/>
        <w:spacing w:after="0" w:line="253" w:lineRule="auto"/>
        <w:tabs>
          <w:tab w:leader="none" w:pos="16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Subject to any express agreement that may from time to time be in effect, Post may, and shall have no duty not to, (a) carry on and conduct, whether directly or indirectly, including, but not limited to, as a partner in any partnership or member, manager or owner of any limited liability company or other type of entity, as a joint venturer in any joint venture, as an officer, director or stockholder of any corporation or as a participant in any syndicate, pool, trust or association, any business of any kind, nature or description, whether or not such business is competitive with or in the same or similar lines of business as the Corporation or any of its Controlled Companies (as defined in Section 14), (b) do business with any client, customer, vendor or lessor of the Corporation or any of its Controlled Companies and (c) make investments in any kind of property in which the Corporation or any of its Controlled Companies may make investments, and no Dual Role Person (as defined in Section 14) shall, to the fullest extent permitted by law, be deemed to have breached his, her or its fiduciary duties, if any, to the Corporation solely by reason of Post’s engaging in any such activity.</w:t>
      </w:r>
    </w:p>
    <w:p>
      <w:pPr>
        <w:spacing w:after="0" w:line="89" w:lineRule="exact"/>
        <w:rPr>
          <w:rFonts w:ascii="Arial" w:cs="Arial" w:eastAsia="Arial" w:hAnsi="Arial"/>
          <w:sz w:val="18"/>
          <w:szCs w:val="18"/>
          <w:color w:val="auto"/>
        </w:rPr>
      </w:pPr>
    </w:p>
    <w:p>
      <w:pPr>
        <w:ind w:left="-20" w:right="80" w:firstLine="1436"/>
        <w:spacing w:after="0" w:line="297" w:lineRule="auto"/>
        <w:tabs>
          <w:tab w:leader="none" w:pos="167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the fullest extent permitted by Section 122(17) of the General Corporation Law, the Corporation hereby renounces any interest or expectancy of the Corporation or any of its Controlled Companies to participate in any business of Post, and waives any claim against each Dual Role Person, and shall indemnify each Dual Role Person against any claim, that such Dual Role Person is liable to the Corporation or its stockholders for breach of any fiduciary duty solely by reason of such Dual Role Person’s participation in any such business. The Corporation shall pay in advance any expenses incurred in defense of any such claim against any Dual Role Person pursuant to Section 10 or as provided in the Bylaws.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225" w:name="page226"/>
    <w:bookmarkEnd w:id="225"/>
    <w:p>
      <w:pPr>
        <w:ind w:firstLine="1436"/>
        <w:spacing w:after="0" w:line="285" w:lineRule="auto"/>
        <w:tabs>
          <w:tab w:leader="none" w:pos="1748" w:val="left"/>
        </w:tabs>
        <w:numPr>
          <w:ilvl w:val="1"/>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fullest extent permitted by Section 122(17) of the General Corporation Law, the Corporation hereby renounces any interest or expectancy of the Corporation or any of its Controlled Companies in any potential transaction or matter which may constitute a corporate opportunity for both (a) Post and (b) the Corporation or any of its Controlled Companies, and waives any claim against each Dual Role Person, and shall indemnify each Dual Role Person against any claim, that such Dual Role Person is liable to the Corporation or its stockholders for breach of any fiduciary duty solely by reason of the fact that such Dual Role Person (a) pursues or acquires any corporate opportunity for the account of Post,</w:t>
      </w:r>
    </w:p>
    <w:p>
      <w:pPr>
        <w:spacing w:after="0" w:line="2" w:lineRule="exact"/>
        <w:rPr>
          <w:rFonts w:ascii="Arial" w:cs="Arial" w:eastAsia="Arial" w:hAnsi="Arial"/>
          <w:sz w:val="16"/>
          <w:szCs w:val="16"/>
          <w:color w:val="auto"/>
        </w:rPr>
      </w:pPr>
    </w:p>
    <w:p>
      <w:pPr>
        <w:ind w:firstLine="4"/>
        <w:spacing w:after="0" w:line="252"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directs, recommends or otherwise transfers such corporate opportunity to Post or (c) does not offer or communicate information regarding such corporate opportunity to the Corporation or any of its Controlled Companies because such Dual Role Person has directed or intends to direct such opportunity to Post;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any corporate opportunity which is expressly offered to a Dual Role Person solely in his or her capacity as a director, officer, manager, employee or agent of the Corporation or any of its Controlled Companies, as reasonably determined by such Dual Role Person, shall belong to the Corporation. The Corporation shall pay in advance any expenses incurred in defense of any such claim pursuant to Section 10 or as provided in the Bylaws.</w:t>
      </w:r>
    </w:p>
    <w:p>
      <w:pPr>
        <w:spacing w:after="0" w:line="86" w:lineRule="exact"/>
        <w:rPr>
          <w:sz w:val="20"/>
          <w:szCs w:val="20"/>
          <w:color w:val="auto"/>
        </w:rPr>
      </w:pPr>
    </w:p>
    <w:p>
      <w:pPr>
        <w:jc w:val="both"/>
        <w:ind w:right="300" w:firstLine="1436"/>
        <w:spacing w:after="0" w:line="264" w:lineRule="auto"/>
        <w:tabs>
          <w:tab w:leader="none" w:pos="173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foregoing provisions in this Section 9.1, and the action of any Dual Role Person taken in accordance with, or in reliance upon, the foregoing provisions in this Section 9.1, including entering into or performing any agreement, transaction or arrangement, are deemed and presumed to be fair to the Corporation.</w:t>
      </w:r>
    </w:p>
    <w:p>
      <w:pPr>
        <w:spacing w:after="0" w:line="73" w:lineRule="exact"/>
        <w:rPr>
          <w:sz w:val="20"/>
          <w:szCs w:val="20"/>
          <w:color w:val="auto"/>
        </w:rPr>
      </w:pPr>
    </w:p>
    <w:p>
      <w:pPr>
        <w:ind w:right="100" w:firstLine="992"/>
        <w:spacing w:after="0" w:line="276"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Certain Matters Deemed not Corporate Opportunities</w:t>
      </w:r>
      <w:r>
        <w:rPr>
          <w:rFonts w:ascii="Arial" w:cs="Arial" w:eastAsia="Arial" w:hAnsi="Arial"/>
          <w:sz w:val="17"/>
          <w:szCs w:val="17"/>
          <w:color w:val="auto"/>
        </w:rPr>
        <w:t>. In addition to and notwithstanding the foregoing provisions of this Section 9, the Corporation renounces any interest or expectancy of the Corporation or any of its Controlled Companies in, or in being offered an opportunity to participate in, any business opportunity pursued by or at the direction of Post that the Corporation is not financially able, contractually permitted or legally able to undertake. Moreover, nothing in this Section 9 shall amend or modify in any respect any written contractual agreement between Post, on the one hand, and the Corporation or any of its Controlled Companies, on the other hand.</w:t>
      </w:r>
    </w:p>
    <w:p>
      <w:pPr>
        <w:spacing w:after="0" w:line="64"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Deemed Notice</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purchasing or otherwise acquiring or obtaining any interest in any capital stock of the Corporation shall be deemed to have notice of and to have consented to the provisions of this Section 9.</w:t>
      </w:r>
    </w:p>
    <w:p>
      <w:pPr>
        <w:spacing w:after="0" w:line="62"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invalidity or unenforceability of any particular provision, or part of any provision, of this Section 9 shall not affect the other provisions or parts hereof, and this Section 9 shall be construed in all respects as if such invalid or unenforceable provisions or parts were omitted.</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Amendment; Terminations</w:t>
      </w:r>
      <w:r>
        <w:rPr>
          <w:rFonts w:ascii="Arial" w:cs="Arial" w:eastAsia="Arial" w:hAnsi="Arial"/>
          <w:sz w:val="18"/>
          <w:szCs w:val="18"/>
          <w:color w:val="auto"/>
        </w:rPr>
        <w:t>.</w:t>
      </w:r>
    </w:p>
    <w:p>
      <w:pPr>
        <w:spacing w:after="0" w:line="117" w:lineRule="exact"/>
        <w:rPr>
          <w:sz w:val="20"/>
          <w:szCs w:val="20"/>
          <w:color w:val="auto"/>
        </w:rPr>
      </w:pPr>
    </w:p>
    <w:p>
      <w:pPr>
        <w:ind w:right="260" w:firstLine="1436"/>
        <w:spacing w:after="0" w:line="264" w:lineRule="auto"/>
        <w:tabs>
          <w:tab w:leader="none" w:pos="16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provisions of this Section 9 shall have no further force or effect at such time as (1) the Corporation and Post are no longer Affiliates of one another and (2) none of the directors, officers, employees, agents and/or Affiliates of Post serve as directors, officers, managers, employees and/or agents of the Corporation or any of its Controlled Companies.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6" w:name="page227"/>
    <w:bookmarkEnd w:id="226"/>
    <w:p>
      <w:pPr>
        <w:ind w:right="140" w:firstLine="1436"/>
        <w:spacing w:after="0" w:line="293" w:lineRule="auto"/>
        <w:tabs>
          <w:tab w:leader="none" w:pos="1698" w:val="left"/>
        </w:tabs>
        <w:numPr>
          <w:ilvl w:val="1"/>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amendment, alteration, change, repeal or termination of this Section 9, nor the adoption of a provision inconsistent with this Section 9, shall eliminate or reduce the effect of such provisions with respect to (1) any matter occurring, or any action or proceeding accruing or arising, prior to such amendment, alteration, change, repeal, termination or adoption of an inconsistent provision or (2) any agreement, arrangement or other understanding between the Corporation and/or a Controlled Company, on the one hand, and Post, on the other hand, that was entered into prior to such amendment, alteration, change, repeal, termination or adoption of an inconsistent provision or any transaction entered into in the performance of such agreement, arrangement or other understanding, whether entered into before or after such time.</w:t>
      </w:r>
    </w:p>
    <w:p>
      <w:pPr>
        <w:spacing w:after="0" w:line="56" w:lineRule="exact"/>
        <w:rPr>
          <w:rFonts w:ascii="Arial" w:cs="Arial" w:eastAsia="Arial" w:hAnsi="Arial"/>
          <w:sz w:val="16"/>
          <w:szCs w:val="16"/>
          <w:color w:val="auto"/>
        </w:rPr>
      </w:pPr>
    </w:p>
    <w:p>
      <w:pPr>
        <w:ind w:left="720" w:hanging="276"/>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92"/>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Actions Involving Directors and Officers</w:t>
      </w:r>
      <w:r>
        <w:rPr>
          <w:rFonts w:ascii="Arial" w:cs="Arial" w:eastAsia="Arial" w:hAnsi="Arial"/>
          <w:sz w:val="18"/>
          <w:szCs w:val="18"/>
          <w:color w:val="auto"/>
        </w:rPr>
        <w:t>. The Corporation shall indemnify each person (other than a party plaintiff suing on his or her behalf or in the right of the Corporation) who at any time is serving or has served as a director or officer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the Corporation shall indemnify any such person who was or is a party (other than a party plaintiff suing on his or her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Actions Involving Employees or Agents</w:t>
      </w:r>
      <w:r>
        <w:rPr>
          <w:rFonts w:ascii="Arial" w:cs="Arial" w:eastAsia="Arial" w:hAnsi="Arial"/>
          <w:sz w:val="18"/>
          <w:szCs w:val="18"/>
          <w:color w:val="auto"/>
        </w:rPr>
        <w:t>.</w:t>
      </w:r>
    </w:p>
    <w:p>
      <w:pPr>
        <w:spacing w:after="0" w:line="117" w:lineRule="exact"/>
        <w:rPr>
          <w:sz w:val="20"/>
          <w:szCs w:val="20"/>
          <w:color w:val="auto"/>
        </w:rPr>
      </w:pPr>
    </w:p>
    <w:p>
      <w:pPr>
        <w:ind w:firstLine="1436"/>
        <w:spacing w:after="0" w:line="269" w:lineRule="auto"/>
        <w:tabs>
          <w:tab w:leader="none" w:pos="1647"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Permissive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Corporation may, if it deems appropriate and as may be permitted by this Section 10, indemnify any person (other than a party plaintiff suing on his or her own behalf or in the right of the Corporation) who at any time is serving or has served as an employee or agent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or to such lesser extent as the Corporation, in its discretion, may deem appropriate. Without limiting the generality of the foregoing, the Corporation may indemnify any such person who was or is a party (other than a party plaintiff suing on his or her own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74" w:lineRule="exact"/>
        <w:rPr>
          <w:rFonts w:ascii="Arial" w:cs="Arial" w:eastAsia="Arial" w:hAnsi="Arial"/>
          <w:sz w:val="17"/>
          <w:szCs w:val="17"/>
          <w:color w:val="auto"/>
        </w:rPr>
      </w:pPr>
    </w:p>
    <w:p>
      <w:pPr>
        <w:ind w:right="60" w:firstLine="1436"/>
        <w:spacing w:after="0" w:line="259" w:lineRule="auto"/>
        <w:tabs>
          <w:tab w:leader="none" w:pos="169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an employee or agent of the Corporation has been successful on the merits or otherwise in defense of any action, suit or proceeding referred to in Section 10.2(i), or in defense of any claim, issue or matter therein, he or she shall be indemnified against expenses (including, without limitation, attorneys’ fees) actually and reasonably incurred by him or her in connection with the action, suit or proceeding.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27" w:name="page228"/>
    <w:bookmarkEnd w:id="227"/>
    <w:p>
      <w:pPr>
        <w:ind w:right="40" w:firstLine="992"/>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10.3. </w:t>
      </w:r>
      <w:r>
        <w:rPr>
          <w:rFonts w:ascii="Arial" w:cs="Arial" w:eastAsia="Arial" w:hAnsi="Arial"/>
          <w:sz w:val="16"/>
          <w:szCs w:val="16"/>
          <w:u w:val="single" w:color="auto"/>
          <w:color w:val="auto"/>
        </w:rPr>
        <w:t>Determination of Right to Indemnification in Certain Circumstances</w:t>
      </w:r>
      <w:r>
        <w:rPr>
          <w:rFonts w:ascii="Arial" w:cs="Arial" w:eastAsia="Arial" w:hAnsi="Arial"/>
          <w:sz w:val="16"/>
          <w:szCs w:val="16"/>
          <w:color w:val="auto"/>
        </w:rPr>
        <w:t xml:space="preserve">. Any indemnification required under Section 10.1 or authorized by the Corporation in a specific case or otherwise required pursuant to Section 10.2 shall be made by the Corporation, unless a determination is made reasonably and promptly that indemnification of the director, officer, employee or agent is not proper under the circumstances. Such determination shall be made (1) by the Board by a majority vote of a quorum consisting of directors who were not parties to such action, suit or proceeding, (2) if such a quorum is not obtainable, or even if obtainable, by independent legal counsel in a written opinion or (3) by majority vote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determination shall preclude an action brought in an appropriate court to challenge such determination.</w:t>
      </w:r>
    </w:p>
    <w:p>
      <w:pPr>
        <w:spacing w:after="0" w:line="57" w:lineRule="exact"/>
        <w:rPr>
          <w:sz w:val="20"/>
          <w:szCs w:val="20"/>
          <w:color w:val="auto"/>
        </w:rPr>
      </w:pPr>
    </w:p>
    <w:p>
      <w:pPr>
        <w:ind w:right="100" w:firstLine="992"/>
        <w:spacing w:after="0" w:line="27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Advance Payment of Expenses</w:t>
      </w:r>
      <w:r>
        <w:rPr>
          <w:rFonts w:ascii="Arial" w:cs="Arial" w:eastAsia="Arial" w:hAnsi="Arial"/>
          <w:sz w:val="17"/>
          <w:szCs w:val="17"/>
          <w:color w:val="auto"/>
        </w:rPr>
        <w:t>. To the extent not prohibited by applicable law, expenses incurred in defense of a claim against a Dual Role Person (as defined in Section 14) pursuant to Section 9.1(ii) or Section 9.1(iii) and expenses incurred by a person who is or was a director or officer of the Corporation in defending a civil or criminal action, suit, proceeding or claim shall be paid by the Corporation in advance of the final disposition of such action, suit, proceeding or claim, and expenses incurred by a person who is or was an employee or agent of the Corporation in defending a civil or criminal action, suit, proceeding or claim may be paid by the Corporation in advance of the final disposition of such action, suit, proceeding or claim as authorized by or at the direction of the Board, in any case upon receipt of an undertaking by or on behalf of the director, officer, employee or agent to repay such amount if it shall ultimately be determined that such person is not entitled to be indemnified by the Corporation as authorized in or pursuant to this Section 10 or otherwise.</w:t>
      </w:r>
    </w:p>
    <w:p>
      <w:pPr>
        <w:spacing w:after="0" w:line="71" w:lineRule="exact"/>
        <w:rPr>
          <w:sz w:val="20"/>
          <w:szCs w:val="20"/>
          <w:color w:val="auto"/>
        </w:rPr>
      </w:pPr>
    </w:p>
    <w:p>
      <w:pPr>
        <w:ind w:right="80" w:firstLine="992"/>
        <w:spacing w:after="0" w:line="30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indemnification and other rights provided by this Section 10 shall not be deemed exclusive of any other rights to which those seeking indemnification may be entitled under any agreement, vote of stockholders or disinterested directors or otherwise, and the Corporation is hereby specifically authorized to provide such indemnification and other rights by any agreement, vote of stockholders or disinterested directors or otherwise. The Corporation shall be considered the indemnitor of first resort in all circumstances to which this Section 10 applies.</w:t>
      </w:r>
    </w:p>
    <w:p>
      <w:pPr>
        <w:spacing w:after="0" w:line="46" w:lineRule="exact"/>
        <w:rPr>
          <w:sz w:val="20"/>
          <w:szCs w:val="20"/>
          <w:color w:val="auto"/>
        </w:rPr>
      </w:pPr>
    </w:p>
    <w:p>
      <w:pPr>
        <w:ind w:right="20" w:firstLine="992"/>
        <w:spacing w:after="0" w:line="272"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Indemnification Agreements Authorized</w:t>
      </w:r>
      <w:r>
        <w:rPr>
          <w:rFonts w:ascii="Arial" w:cs="Arial" w:eastAsia="Arial" w:hAnsi="Arial"/>
          <w:sz w:val="17"/>
          <w:szCs w:val="17"/>
          <w:color w:val="auto"/>
        </w:rPr>
        <w:t>. Without limiting the other provisions of this Section 10, the Corporation is authorized from time to time, without further action by the stockholders of the Corporation, to enter into agreements with any director, officer, employee or agent of the Corporation, or any person who is otherwise serving on behalf of the Corporation at the request of the Corporation as a director, officer, manager, employee or agent of another corporation, partnership, joint venture, trust or other enterprise (whether incorporated or unincorporated, for-profit or not-for-profit),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70"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who is or was otherwise serving on behalf of the Corporation at the request of the Corporation as a director, officer, manager, employee or agent of another corporation, partnership, joint venture, trust or other enterprise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28" w:name="page229"/>
    <w:bookmarkEnd w:id="228"/>
    <w:p>
      <w:pPr>
        <w:jc w:val="both"/>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incorporated or unincorporated, for-profit or not-for-profit) against any claim, liability or expense asserted against such person and incurred by such person in any such capacity or arising out of such person’s status as such, whether or not the Corporation would have the power to indemnify such person against such liability under the provisions of this Section 10.</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Section 10:</w:t>
      </w:r>
    </w:p>
    <w:p>
      <w:pPr>
        <w:spacing w:after="0" w:line="117" w:lineRule="exact"/>
        <w:rPr>
          <w:sz w:val="20"/>
          <w:szCs w:val="20"/>
          <w:color w:val="auto"/>
        </w:rPr>
      </w:pPr>
    </w:p>
    <w:p>
      <w:pPr>
        <w:ind w:firstLine="1436"/>
        <w:spacing w:after="0" w:line="270" w:lineRule="auto"/>
        <w:tabs>
          <w:tab w:leader="none" w:pos="164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director, officer, employee or agent of the Corporation who shall serve as a director, officer, manager, employee, member or agent of another corporation, partnership, joint venture, trust or other enterprise of which the Corporation, directly or indirectly, is or was the owner of 20% or more of the outstanding voting stock (or comparable interests), shall be deemed to be so serving at the request of the Corporation, unless the Board shall determine otherwise. In all other instances when any person shall serve as a director, officer, manager, employee, member or agent of another corporation, partnership, joint venture, trust or other enterprise of which the Corporation is or was a shareholder or creditor, or in which the Corporation is or was otherwise interested, if it is not otherwise established that such person is or was serving as a director, officer, manager, employee, member or agent at the request of the Corporation, the Board may determine whether such service is or was at the request of the Corporation, and it shall not be necessary to show any actual or prior request for such service. For the avoidance of doubt, any person who is deemed to be serving at the request of the Corporation pursuant to this Section 10.8 is only deemed to be serving at the request of the Corporation for purposes of this Section 10, and is not actually employed by the Corporation.</w:t>
      </w:r>
    </w:p>
    <w:p>
      <w:pPr>
        <w:spacing w:after="0" w:line="69" w:lineRule="exact"/>
        <w:rPr>
          <w:rFonts w:ascii="Arial" w:cs="Arial" w:eastAsia="Arial" w:hAnsi="Arial"/>
          <w:sz w:val="17"/>
          <w:szCs w:val="17"/>
          <w:color w:val="auto"/>
        </w:rPr>
      </w:pPr>
    </w:p>
    <w:p>
      <w:pPr>
        <w:ind w:right="80" w:firstLine="1436"/>
        <w:spacing w:after="0" w:line="297" w:lineRule="auto"/>
        <w:tabs>
          <w:tab w:leader="none" w:pos="169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References to a corporation include all constituent corporations absorbed in a consolidation or merger as well as the resulting or surviving corporation so that any person who is or was a director, officer, manager, employee, member or agent of a constituent corporation or is or was serving at the request of a constituent corporation as a director, officer, manager, employee, member or agent of another corporation, partnership, joint venture, trust or other enterprise shall stand in the same position under the provisions of this Section 10 with respect to the resulting or surviving corporation as such person would if such person had served the resulting or surviving corporation in the same capacity.</w:t>
      </w:r>
    </w:p>
    <w:p>
      <w:pPr>
        <w:spacing w:after="0" w:line="50" w:lineRule="exact"/>
        <w:rPr>
          <w:rFonts w:ascii="Arial" w:cs="Arial" w:eastAsia="Arial" w:hAnsi="Arial"/>
          <w:sz w:val="16"/>
          <w:szCs w:val="16"/>
          <w:color w:val="auto"/>
        </w:rPr>
      </w:pPr>
    </w:p>
    <w:p>
      <w:pPr>
        <w:ind w:right="40" w:firstLine="1436"/>
        <w:spacing w:after="0" w:line="271" w:lineRule="auto"/>
        <w:tabs>
          <w:tab w:leader="none" w:pos="174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term “other enterprise” shall include, without limitation, employee benefit plans and voting or taking action with respect to stock or other assets therein; the term “serving at the request of the Corporation” shall include, without limitation, any service as a director, officer, manager, employee, member or agent of a corporation or other entity which imposes duties on, or involves services by, a director, officer, employee or agent of the Corporation with respect to any employee benefit plan or its participants or beneficiaries, and unless a person’s conduct in connection with an employee benefit plan is finally adjudicated to have been knowingly fraudulent, deliberately dishonest or willful misconduct, such person shall be deemed to have satisfied any standard of care required by or pursuant to this Section 10 in connection with such plan; and the term “fines” shall include, without limitation, any excise taxes assessed on a person with respect to an employee benefit plan and also shall include any damages (including treble damages) and any other civil penalties.</w:t>
      </w:r>
    </w:p>
    <w:p>
      <w:pPr>
        <w:spacing w:after="0" w:line="71"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Survival</w:t>
      </w:r>
      <w:r>
        <w:rPr>
          <w:rFonts w:ascii="Arial" w:cs="Arial" w:eastAsia="Arial" w:hAnsi="Arial"/>
          <w:sz w:val="18"/>
          <w:szCs w:val="18"/>
          <w:color w:val="auto"/>
        </w:rPr>
        <w:t>. The indemnification and other rights provided pursuant to this Section 10 shall apply both to action by any director, officer, employee or agent of the Corporation in an official capacity and to action in another capacity (including, without limitation, any other service on behalf of the Corporation or any service at the request of the Corporation as a director, officer, manager, employee, member or agent of another corporation, partnership, joint venture, trust or other enterprise (whether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29" w:name="page230"/>
    <w:bookmarkEnd w:id="229"/>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incorporated or unincorporated, for-profit or not-for-profit) while holding such office or position and shall continue as to a person who has ceased to be a director, officer, employee or agent of the Corporation and shall inure to the benefit of the heirs, executors and administrators of such a person. Notwithstanding any other provision in this Amended Certificate of Incorporation, any indemnification rights arising under or granted pursuant to this Section 10 shall survive amendment or repeal of this Section 10 with respect to any acts or omissions occurring prior to the effective time of such amendment or repeal and persons to whom such indemnification rights are given shall be entitled to rely upon such indemnification rights with respect to such acts or omissions occurring prior to the effective time of such amendment or repeal as a binding contract with the Corporation.</w:t>
      </w:r>
    </w:p>
    <w:p>
      <w:pPr>
        <w:spacing w:after="0" w:line="57" w:lineRule="exact"/>
        <w:rPr>
          <w:sz w:val="20"/>
          <w:szCs w:val="20"/>
          <w:color w:val="auto"/>
        </w:rPr>
      </w:pPr>
    </w:p>
    <w:p>
      <w:pPr>
        <w:ind w:right="80" w:firstLine="992"/>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Liability of the Directors</w:t>
      </w:r>
      <w:r>
        <w:rPr>
          <w:rFonts w:ascii="Arial" w:cs="Arial" w:eastAsia="Arial" w:hAnsi="Arial"/>
          <w:sz w:val="17"/>
          <w:szCs w:val="17"/>
          <w:color w:val="auto"/>
        </w:rPr>
        <w:t>. The liability of the Corporation’s directors to the Corporation or any of its stockholders for monetary damages for breach of fiduciary duty as a director shall be eliminated to the fullest extent permitted by law. It is the intention of the Corporation to eliminate such liability, whether to the Corporation, its stockholders or otherwise, to the fullest extent permitted by law. Consequently, should the General Corporation Law or any other applicable law be amended or adopted hereafter so as to permit the elimination or limitation of such liability, the liability of the directors of the Corporation shall be so eliminated or limited without the need for amendment of this Amended Certificate of Incorporation or further action on the part of the stockholders of the Corporation. Any repeal or modification of this Section 10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71" w:lineRule="exact"/>
        <w:rPr>
          <w:sz w:val="20"/>
          <w:szCs w:val="20"/>
          <w:color w:val="auto"/>
        </w:rPr>
      </w:pPr>
    </w:p>
    <w:p>
      <w:pPr>
        <w:jc w:val="both"/>
        <w:ind w:firstLine="992"/>
        <w:spacing w:after="0" w:line="264"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Amendment</w:t>
      </w:r>
      <w:r>
        <w:rPr>
          <w:rFonts w:ascii="Arial" w:cs="Arial" w:eastAsia="Arial" w:hAnsi="Arial"/>
          <w:sz w:val="18"/>
          <w:szCs w:val="18"/>
          <w:color w:val="auto"/>
        </w:rPr>
        <w:t>. This Section 10 may be amended, altered, changed or repealed, or a provision inconsistent with this Section 10 may be adopted, only upon the affirmative vote of not less than 85% of the total voting power of all of the outstanding shares of Common Stock then entitled to vote in the election of directors, voting together as a single class.</w:t>
      </w:r>
    </w:p>
    <w:p>
      <w:pPr>
        <w:spacing w:after="0" w:line="73" w:lineRule="exact"/>
        <w:rPr>
          <w:sz w:val="20"/>
          <w:szCs w:val="20"/>
          <w:color w:val="auto"/>
        </w:rPr>
      </w:pPr>
    </w:p>
    <w:p>
      <w:pPr>
        <w:ind w:right="80" w:firstLine="444"/>
        <w:spacing w:after="0" w:line="273" w:lineRule="auto"/>
        <w:tabs>
          <w:tab w:leader="none" w:pos="704"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Amendment or Repeal of Bylaws</w:t>
      </w:r>
      <w:r>
        <w:rPr>
          <w:rFonts w:ascii="Arial" w:cs="Arial" w:eastAsia="Arial" w:hAnsi="Arial"/>
          <w:sz w:val="17"/>
          <w:szCs w:val="17"/>
          <w:color w:val="auto"/>
        </w:rPr>
        <w:t xml:space="preserve">. A majority of all of the members of the Board may amend, alter, change or repeal any provision of the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any provision of the Bylaws relating to amendment in any manner that alters the stockholders’ power to amend, alter, change or repeal the Bylaws. The stockholders of the Corporation also may amend, alter, change or repeal any provision of the Bylaws upon the affirmative vote of a majority of all of the voting power of the Corporation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any provision of the Bylaws relating to amendment in any manner that alters the Board’s power to amend, alter, change or repeal the Bylaws.</w:t>
      </w:r>
    </w:p>
    <w:p>
      <w:pPr>
        <w:spacing w:after="0" w:line="70" w:lineRule="exact"/>
        <w:rPr>
          <w:rFonts w:ascii="Arial" w:cs="Arial" w:eastAsia="Arial" w:hAnsi="Arial"/>
          <w:sz w:val="17"/>
          <w:szCs w:val="17"/>
          <w:color w:val="auto"/>
        </w:rPr>
      </w:pPr>
    </w:p>
    <w:p>
      <w:pPr>
        <w:ind w:right="40" w:firstLine="444"/>
        <w:spacing w:after="0" w:line="302" w:lineRule="auto"/>
        <w:tabs>
          <w:tab w:leader="none" w:pos="711"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Amendment or Repeal of Certificate</w:t>
      </w:r>
      <w:r>
        <w:rPr>
          <w:rFonts w:ascii="Arial" w:cs="Arial" w:eastAsia="Arial" w:hAnsi="Arial"/>
          <w:sz w:val="16"/>
          <w:szCs w:val="16"/>
          <w:color w:val="auto"/>
        </w:rPr>
        <w:t>. The Corporation reserves the right to amend, alter, change or repeal any provision contained in this Amended Certificate of Incorporation in the manner now or hereafter prescribed by the General Corporation Law, except as otherwise set forth herein, and all rights, preferences and privileges of whatsoever nature conferred upon stockholders, directors or any other Persons whomsoever by and pursuant to this Amended Certificate of Incorporation in its present form or as hereafter amended, are granted and held subject to this reservation.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30" w:name="page231"/>
    <w:bookmarkEnd w:id="230"/>
    <w:p>
      <w:pPr>
        <w:ind w:firstLine="444"/>
        <w:spacing w:after="0" w:line="290" w:lineRule="auto"/>
        <w:tabs>
          <w:tab w:leader="none" w:pos="711"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Severability</w:t>
      </w:r>
      <w:r>
        <w:rPr>
          <w:rFonts w:ascii="Arial" w:cs="Arial" w:eastAsia="Arial" w:hAnsi="Arial"/>
          <w:sz w:val="16"/>
          <w:szCs w:val="16"/>
          <w:color w:val="auto"/>
        </w:rPr>
        <w:t>. If any provision or provisions of this Amended Certificate of Incorporation shall be held to be invalid, illegal or unenforceable as applied to any circumstance for any reason whatsoever: (i) the validity, legality and enforceability of such provisions in any other circumstance and of the remaining provisions of this Amended Certificate of Incorporation (including, without limitation, each portion of any paragraph of this Amended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Certificate of Incorporation (including, without limitation, each such portion of any paragraph of this Amended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58" w:lineRule="exact"/>
        <w:rPr>
          <w:rFonts w:ascii="Arial" w:cs="Arial" w:eastAsia="Arial" w:hAnsi="Arial"/>
          <w:sz w:val="16"/>
          <w:szCs w:val="16"/>
          <w:color w:val="auto"/>
        </w:rPr>
      </w:pPr>
    </w:p>
    <w:p>
      <w:pPr>
        <w:ind w:right="200" w:firstLine="444"/>
        <w:spacing w:after="0" w:line="277" w:lineRule="auto"/>
        <w:tabs>
          <w:tab w:leader="none" w:pos="71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Amended Certificate of Incorporation, unless the context otherwise requires or as set forth in another Section of this Amended Certificate of Incorporation, the term:</w:t>
      </w:r>
    </w:p>
    <w:p>
      <w:pPr>
        <w:spacing w:after="0" w:line="62"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Brands, LLC</w:t>
      </w:r>
      <w:r>
        <w:rPr>
          <w:rFonts w:ascii="Arial" w:cs="Arial" w:eastAsia="Arial" w:hAnsi="Arial"/>
          <w:sz w:val="18"/>
          <w:szCs w:val="18"/>
          <w:color w:val="auto"/>
        </w:rPr>
        <w:t>” means BellRing Brands, LLC, a Delaware limited liability company, and its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6.2.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power to direct or cause the direction of the management and policies of a Person, whether through the ownership of voting securities, by contract or otherwise. The definition of Control and correlated terms set forth in Section 8.3(iii) shall only apply for purposes of Section 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Company</w:t>
      </w:r>
      <w:r>
        <w:rPr>
          <w:rFonts w:ascii="Arial" w:cs="Arial" w:eastAsia="Arial" w:hAnsi="Arial"/>
          <w:sz w:val="17"/>
          <w:szCs w:val="17"/>
          <w:color w:val="auto"/>
        </w:rPr>
        <w:t>” means, with respect to the Corporation, any Person Controlled by the Corporation, including BellRing Brands, LLC.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Dual Role Person</w:t>
      </w:r>
      <w:r>
        <w:rPr>
          <w:rFonts w:ascii="Arial" w:cs="Arial" w:eastAsia="Arial" w:hAnsi="Arial"/>
          <w:sz w:val="18"/>
          <w:szCs w:val="18"/>
          <w:color w:val="auto"/>
        </w:rPr>
        <w:t>” means each of (1) any director, officer, manager, employee or agent of the Corporation and/or any of its Controlled Companies who is also a director, officer, employee, agent and/or Affiliate of Post and (2) Post.</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together with the rules and regulations promulgated thereunder.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07"/>
        </w:trPr>
        <w:tc>
          <w:tcPr>
            <w:tcW w:w="6420" w:type="dxa"/>
            <w:vAlign w:val="bottom"/>
            <w:gridSpan w:val="5"/>
          </w:tcPr>
          <w:p>
            <w:pPr>
              <w:ind w:left="440"/>
              <w:spacing w:after="0"/>
              <w:rPr>
                <w:sz w:val="20"/>
                <w:szCs w:val="20"/>
                <w:color w:val="auto"/>
              </w:rPr>
            </w:pPr>
            <w:r>
              <w:rPr>
                <w:rFonts w:ascii="Arial" w:cs="Arial" w:eastAsia="Arial" w:hAnsi="Arial"/>
                <w:sz w:val="18"/>
                <w:szCs w:val="18"/>
                <w:color w:val="auto"/>
              </w:rPr>
              <w:t>“General Corporation Law” is defined in the Recitals.</w:t>
            </w:r>
          </w:p>
        </w:tc>
        <w:tc>
          <w:tcPr>
            <w:tcW w:w="37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r>
      <w:tr>
        <w:trPr>
          <w:trHeight w:val="412"/>
        </w:trPr>
        <w:tc>
          <w:tcPr>
            <w:tcW w:w="6420" w:type="dxa"/>
            <w:vAlign w:val="bottom"/>
            <w:gridSpan w:val="5"/>
          </w:tcPr>
          <w:p>
            <w:pPr>
              <w:ind w:left="440"/>
              <w:spacing w:after="0"/>
              <w:rPr>
                <w:sz w:val="20"/>
                <w:szCs w:val="20"/>
                <w:color w:val="auto"/>
              </w:rPr>
            </w:pPr>
            <w:r>
              <w:rPr>
                <w:rFonts w:ascii="Arial" w:cs="Arial" w:eastAsia="Arial" w:hAnsi="Arial"/>
                <w:sz w:val="18"/>
                <w:szCs w:val="18"/>
                <w:color w:val="auto"/>
                <w:w w:val="95"/>
              </w:rPr>
              <w:t>“Investor Rights Agreement” means the Investor Rights Agreement dated as of</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w w:val="94"/>
              </w:rPr>
              <w:t>, 2019 between PHI and the Corporation (as the same may</w:t>
            </w: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6420" w:type="dxa"/>
            <w:vAlign w:val="bottom"/>
            <w:gridSpan w:val="5"/>
          </w:tcPr>
          <w:p>
            <w:pPr>
              <w:spacing w:after="0"/>
              <w:rPr>
                <w:sz w:val="20"/>
                <w:szCs w:val="20"/>
                <w:color w:val="auto"/>
              </w:rPr>
            </w:pPr>
            <w:r>
              <w:rPr>
                <w:rFonts w:ascii="Arial" w:cs="Arial" w:eastAsia="Arial" w:hAnsi="Arial"/>
                <w:sz w:val="18"/>
                <w:szCs w:val="18"/>
                <w:color w:val="auto"/>
                <w:w w:val="97"/>
              </w:rPr>
              <w:t>be amended, restated, supplemented and/or otherwise modified from time to time).</w:t>
            </w:r>
          </w:p>
        </w:tc>
        <w:tc>
          <w:tcPr>
            <w:tcW w:w="37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10160" w:type="dxa"/>
            <w:vAlign w:val="bottom"/>
            <w:gridSpan w:val="6"/>
          </w:tcPr>
          <w:p>
            <w:pPr>
              <w:ind w:left="440"/>
              <w:spacing w:after="0"/>
              <w:rPr>
                <w:sz w:val="20"/>
                <w:szCs w:val="20"/>
                <w:color w:val="auto"/>
              </w:rPr>
            </w:pPr>
            <w:r>
              <w:rPr>
                <w:rFonts w:ascii="Arial" w:cs="Arial" w:eastAsia="Arial" w:hAnsi="Arial"/>
                <w:sz w:val="18"/>
                <w:szCs w:val="18"/>
                <w:color w:val="auto"/>
                <w:w w:val="95"/>
              </w:rPr>
              <w:t>“LLC Agreement” means the Amended and Restated Limited Liability Company Agreement of BellRing Brands, LLC, dated as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0"/>
        </w:trPr>
        <w:tc>
          <w:tcPr>
            <w:tcW w:w="5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as the same may be amended, restated, supplemented and/or otherwise modified,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Non-Affiliated BellRing Brands, LLC Member</w:t>
      </w:r>
      <w:r>
        <w:rPr>
          <w:rFonts w:ascii="Arial" w:cs="Arial" w:eastAsia="Arial" w:hAnsi="Arial"/>
          <w:sz w:val="18"/>
          <w:szCs w:val="18"/>
          <w:color w:val="auto"/>
        </w:rPr>
        <w:t>” is defined in Section 5.1(i)(2).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Unit</w:t>
      </w:r>
      <w:r>
        <w:rPr>
          <w:rFonts w:ascii="Arial" w:cs="Arial" w:eastAsia="Arial" w:hAnsi="Arial"/>
          <w:sz w:val="18"/>
          <w:szCs w:val="18"/>
          <w:color w:val="auto"/>
        </w:rPr>
        <w:t>” means a Nonvoting Common Unit of BellRing Brands, LLC as defined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w:t>
      </w:r>
      <w:r>
        <w:rPr>
          <w:rFonts w:ascii="Arial" w:cs="Arial" w:eastAsia="Arial" w:hAnsi="Arial"/>
          <w:sz w:val="17"/>
          <w:szCs w:val="17"/>
          <w:color w:val="auto"/>
        </w:rPr>
        <w:t>” means Post Holdings, Inc. and its Affiliates (other than the Corporation and its Controlled Companies), successors and assigns.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Adjustment</w:t>
      </w:r>
      <w:r>
        <w:rPr>
          <w:rFonts w:ascii="Arial" w:cs="Arial" w:eastAsia="Arial" w:hAnsi="Arial"/>
          <w:sz w:val="18"/>
          <w:szCs w:val="18"/>
          <w:color w:val="auto"/>
        </w:rPr>
        <w:t>” is defined in Section 5.1(ii)(3).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Triggering Event</w:t>
      </w:r>
      <w:r>
        <w:rPr>
          <w:rFonts w:ascii="Arial" w:cs="Arial" w:eastAsia="Arial" w:hAnsi="Arial"/>
          <w:sz w:val="17"/>
          <w:szCs w:val="17"/>
          <w:color w:val="auto"/>
        </w:rPr>
        <w:t>” means the first date on which Post ceases to own of record more than 50% of the outstanding Nonvoting Common Units.</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57" w:right="539" w:bottom="1440" w:gutter="0" w:footer="0" w:header="0"/>
        </w:sectPr>
      </w:pPr>
    </w:p>
    <w:bookmarkStart w:id="232" w:name="page233"/>
    <w:bookmarkEnd w:id="23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Amended and Restated Certificate of Incorporation of BellRing Brands, Inc. has been duly executed by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authorized officer below this   day of</w:t>
            </w:r>
          </w:p>
        </w:tc>
        <w:tc>
          <w:tcPr>
            <w:tcW w:w="76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C</w:t>
      </w:r>
      <w:r>
        <w:rPr>
          <w:rFonts w:ascii="Arial" w:cs="Arial" w:eastAsia="Arial" w:hAnsi="Arial"/>
          <w:sz w:val="15"/>
          <w:szCs w:val="15"/>
          <w:color w:val="auto"/>
        </w:rPr>
        <w:t>ERTIFICATE OF</w:t>
      </w:r>
      <w:r>
        <w:rPr>
          <w:rFonts w:ascii="Arial" w:cs="Arial" w:eastAsia="Arial" w:hAnsi="Arial"/>
          <w:sz w:val="18"/>
          <w:szCs w:val="18"/>
          <w:color w:val="auto"/>
        </w:rPr>
        <w:t xml:space="preserve"> I</w:t>
      </w:r>
      <w:r>
        <w:rPr>
          <w:rFonts w:ascii="Arial" w:cs="Arial" w:eastAsia="Arial" w:hAnsi="Arial"/>
          <w:sz w:val="15"/>
          <w:szCs w:val="15"/>
          <w:color w:val="auto"/>
        </w:rPr>
        <w:t>NCORPORATION</w:t>
      </w:r>
      <w:r>
        <w:rPr>
          <w:rFonts w:ascii="Arial" w:cs="Arial" w:eastAsia="Arial" w:hAnsi="Arial"/>
          <w:sz w:val="18"/>
          <w:szCs w:val="18"/>
          <w:color w:val="auto"/>
        </w:rPr>
        <w:t>]</w:t>
      </w:r>
    </w:p>
    <w:p>
      <w:pPr>
        <w:sectPr>
          <w:pgSz w:w="11900" w:h="16838" w:orient="portrait"/>
          <w:cols w:equalWidth="0" w:num="1">
            <w:col w:w="10460"/>
          </w:cols>
          <w:pgMar w:left="440" w:top="274" w:right="99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BELLRING BRANDS, INC.</w:t>
      </w:r>
    </w:p>
    <w:p>
      <w:pPr>
        <w:spacing w:after="0" w:line="211" w:lineRule="exact"/>
        <w:rPr>
          <w:sz w:val="20"/>
          <w:szCs w:val="20"/>
          <w:color w:val="auto"/>
        </w:rPr>
      </w:pPr>
    </w:p>
    <w:p>
      <w:pPr>
        <w:ind w:left="4320"/>
        <w:spacing w:after="0"/>
        <w:tabs>
          <w:tab w:leader="none" w:pos="6640" w:val="left"/>
        </w:tabs>
        <w:rPr>
          <w:sz w:val="20"/>
          <w:szCs w:val="20"/>
          <w:color w:val="auto"/>
        </w:rPr>
      </w:pPr>
      <w:r>
        <w:rPr>
          <w:rFonts w:ascii="Arial" w:cs="Arial" w:eastAsia="Arial" w:hAnsi="Arial"/>
          <w:sz w:val="18"/>
          <w:szCs w:val="18"/>
          <w:color w:val="auto"/>
        </w:rPr>
        <w:t>(As Amended and Restated</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jc w:val="both"/>
        <w:ind w:right="140" w:firstLine="441"/>
        <w:spacing w:after="0" w:line="297" w:lineRule="auto"/>
        <w:rPr>
          <w:sz w:val="20"/>
          <w:szCs w:val="20"/>
          <w:color w:val="auto"/>
        </w:rPr>
      </w:pPr>
      <w:r>
        <w:rPr>
          <w:rFonts w:ascii="Arial" w:cs="Arial" w:eastAsia="Arial" w:hAnsi="Arial"/>
          <w:sz w:val="16"/>
          <w:szCs w:val="16"/>
          <w:color w:val="auto"/>
        </w:rPr>
        <w:t>SECTION 1. ANNUAL MEETING: The annual meeting of stockholders shall be held at the principal executive office of BellRing Brands, Inc. (the “</w:t>
      </w:r>
      <w:r>
        <w:rPr>
          <w:rFonts w:ascii="Arial" w:cs="Arial" w:eastAsia="Arial" w:hAnsi="Arial"/>
          <w:sz w:val="16"/>
          <w:szCs w:val="16"/>
          <w:u w:val="single" w:color="auto"/>
          <w:color w:val="auto"/>
        </w:rPr>
        <w:t>Company</w:t>
      </w:r>
      <w:r>
        <w:rPr>
          <w:rFonts w:ascii="Arial" w:cs="Arial" w:eastAsia="Arial" w:hAnsi="Arial"/>
          <w:sz w:val="16"/>
          <w:szCs w:val="16"/>
          <w:color w:val="auto"/>
        </w:rPr>
        <w:t>”), or at such other place either within or without the State of Delaware as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58"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SECTION 2. SPECIAL MEETINGS: Special meetings of the stockholders or of the holders of any class of capital stock of the Company, unless otherwise prescribed by statute or by the Certificate of Incorporation of the Company (as may be amended from time to time, including the terms of any certificate of designation for any series of the Company’s preferred stock,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may be called only by (a) the affirmative vote of a majority of the Board, (b) the Chairperson of the Board, (c) Post Holdings, Inc. and its successors (“</w:t>
      </w:r>
      <w:r>
        <w:rPr>
          <w:rFonts w:ascii="Arial" w:cs="Arial" w:eastAsia="Arial" w:hAnsi="Arial"/>
          <w:sz w:val="16"/>
          <w:szCs w:val="16"/>
          <w:u w:val="single" w:color="auto"/>
          <w:color w:val="auto"/>
        </w:rPr>
        <w:t>Post</w:t>
      </w:r>
      <w:r>
        <w:rPr>
          <w:rFonts w:ascii="Arial" w:cs="Arial" w:eastAsia="Arial" w:hAnsi="Arial"/>
          <w:sz w:val="16"/>
          <w:szCs w:val="16"/>
          <w:color w:val="auto"/>
        </w:rPr>
        <w:t>”), so long as Post and its subsidiaries (other than the Company and its subsidiaries) own of record, in the aggregate, more than 50% of the Nonvoting Common Units of BellRing Brands, LLC, a Delaware limited liability company (as defined in the Amended and Restated Limited Liability Company Agreement of BellRing Brands, LLC,</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dated as of , 2019, as the same may be amended, restated, supplemented and/or otherwise modified, from time to time) or (d) the President of the Company, in each case by request for such a meeting in writing. Such request shall be delivered to the Secretary of the Company and shall state the purpose or purposes of the proposed meeting. Upon such direction or request, subject to any requirements or limitations imposed by the Certificate of Incorporation, by these Bylaws or by law, it shall be the duty of the Secretary of the Company to call a special meeting of the stockholders to be held at such time as is specified in the request. Only such business shall be conducted, and only such proposals shall be acted upon, as is specified in the call of any special meeting of stockholders.</w:t>
      </w:r>
    </w:p>
    <w:p>
      <w:pPr>
        <w:spacing w:after="0" w:line="194"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SECTION 3. NOTICE: (a) Unless otherwise required by the General Corporation Law of the State of Delaware (as from time to time in effect, the “</w:t>
      </w:r>
      <w:r>
        <w:rPr>
          <w:rFonts w:ascii="Arial" w:cs="Arial" w:eastAsia="Arial" w:hAnsi="Arial"/>
          <w:sz w:val="16"/>
          <w:szCs w:val="16"/>
          <w:u w:val="single" w:color="auto"/>
          <w:color w:val="auto"/>
        </w:rPr>
        <w:t>General Corporation Law</w:t>
      </w:r>
      <w:r>
        <w:rPr>
          <w:rFonts w:ascii="Arial" w:cs="Arial" w:eastAsia="Arial" w:hAnsi="Arial"/>
          <w:sz w:val="16"/>
          <w:szCs w:val="16"/>
          <w:color w:val="auto"/>
        </w:rPr>
        <w:t>”),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Except as otherwise required by law, each notice of a meeting shall be given in any manner permitted by law not less than 10 nor more than 60 days before the meeting and shall state the time and place of the meeting, and unless it is the annual meeting, shall state at whose direction or request the meeting is called and the purposes for</w:t>
      </w:r>
    </w:p>
    <w:p>
      <w:pPr>
        <w:sectPr>
          <w:pgSz w:w="11900" w:h="16838" w:orient="portrait"/>
          <w:cols w:equalWidth="0" w:num="1">
            <w:col w:w="11020"/>
          </w:cols>
          <w:pgMar w:left="440" w:top="121" w:right="439" w:bottom="1440" w:gutter="0" w:footer="0" w:header="0"/>
        </w:sectPr>
      </w:pPr>
    </w:p>
    <w:bookmarkStart w:id="234" w:name="page235"/>
    <w:bookmarkEnd w:id="234"/>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 except that no special meeting of stockholders called by Post may be postponed, rescheduled or cancelled by the Company without the prior written consent of Post.</w:t>
      </w:r>
    </w:p>
    <w:p>
      <w:pPr>
        <w:spacing w:after="0" w:line="57" w:lineRule="exact"/>
        <w:rPr>
          <w:sz w:val="20"/>
          <w:szCs w:val="20"/>
          <w:color w:val="auto"/>
        </w:rPr>
      </w:pPr>
    </w:p>
    <w:p>
      <w:pPr>
        <w:ind w:right="60" w:firstLine="996"/>
        <w:spacing w:after="0" w:line="271" w:lineRule="auto"/>
        <w:tabs>
          <w:tab w:leader="none" w:pos="124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Without limiting the manner by which notice may otherwise be given effectively to stockholders, any notice to a stockholder given by the Company may be given by a form of electronic transmission consented to by the stockholder to whom the notice is given. Any such consent shall be revocable by the stockholder by written notice to the Company. Any such consent shall be deemed revoked (i) if the Company is unable to deliver by electronic transmission two consecutive notices given by the Company in accordance with such consent and (ii) such inability becomes known to the Secretary or Assistant Secretary of the Company or to the transfer agent or other person responsible for the giving of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inadvertent failure to treat such inability as a revocation shall not invalidate any meeting or other action.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70" w:lineRule="exact"/>
        <w:rPr>
          <w:rFonts w:ascii="Arial" w:cs="Arial" w:eastAsia="Arial" w:hAnsi="Arial"/>
          <w:sz w:val="17"/>
          <w:szCs w:val="17"/>
          <w:color w:val="auto"/>
        </w:rPr>
      </w:pPr>
    </w:p>
    <w:p>
      <w:pPr>
        <w:ind w:firstLine="996"/>
        <w:spacing w:after="0" w:line="291" w:lineRule="auto"/>
        <w:tabs>
          <w:tab w:leader="none" w:pos="123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Notice shall be deemed given, if mailed, when deposited in the United States mail with postage prepaid, if addressed to a stockholder at his, her or its address on the Company’s records. Notice given by electronic transmission shall be deemed given (i) if by facsimile, when directed to a number at which the stockholder has consented to receive notice; (ii) if by electronic mail, when directed to an electronic mail address at which the stockholder has consented to receive notice; (iii) if by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the transfer agent or other agent of the Company that notice has been given, whether by a form of electronic transmission or otherwise, shall, in the absence of fraud, be prima facie evidence of the facts stated therein.</w:t>
      </w:r>
    </w:p>
    <w:p>
      <w:pPr>
        <w:spacing w:after="0" w:line="167"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Company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SECTION 5. ACTION BY CONSENT: From and after the Triggering Event (as defined in the Certificate of Incorporation), any action required by the General Corporation Law to be taken at any annual or special meeting of stockholders of the Company, or any action which may be taken at any annual or special meeting of stockholders of the Company, may be effected only at a duly called annual or special meeting of stockholders of the Company and may not be effected by any consent in writing by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35" w:name="page236"/>
    <w:bookmarkEnd w:id="235"/>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stockholders. Unless otherwise prescribed by the Certificate of Incorporation, prior to the Triggering Event, any action required by the General Corporation Law to be taken at any annual or special meeting of stockholders of the Company, or any action which may be taken at any annual or special meeting of stockholders of the Company, may be taken without a meeting, without prior notice and without a vote, if a consent or consents in writing, setting forth the action so taken, shall be signed by the holder or holders of Common Stock (as defined in the Certificate of Incorporation)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by the Company to those stockholders who have not consented in writing.</w:t>
      </w:r>
    </w:p>
    <w:p>
      <w:pPr>
        <w:spacing w:after="0" w:line="178"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SECTION 6. VOTING: The shares of the Class A Common Stock (as defined in the Certificate of Incorporation) and the share of the Class B Common Stock (as defined in the Certificate of Incorporation) shall have the voting rights set forth in the Certificate of Incorporation.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 No person shall be permitted to vote on any shares belonging or hypothecated to the Company.</w:t>
      </w:r>
    </w:p>
    <w:p>
      <w:pPr>
        <w:spacing w:after="0" w:line="178"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SECTION 7. PROXIES: The following shall constitute valid means by which a stockholder may authorize a person to act for the stockholder as a proxy:</w:t>
      </w:r>
    </w:p>
    <w:p>
      <w:pPr>
        <w:spacing w:after="0" w:line="62" w:lineRule="exact"/>
        <w:rPr>
          <w:sz w:val="20"/>
          <w:szCs w:val="20"/>
          <w:color w:val="auto"/>
        </w:rPr>
      </w:pPr>
    </w:p>
    <w:p>
      <w:pPr>
        <w:ind w:right="380" w:firstLine="996"/>
        <w:spacing w:after="0" w:line="286" w:lineRule="auto"/>
        <w:tabs>
          <w:tab w:leader="none" w:pos="123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 stockholder or the stockholder’s duly authorized attorney-in-fact may execute a writing authorizing another person to act for the stockholder as proxy. Execution may be accomplished by the stockholder or duly authorized attorney-in-fact signing such writing or causing the stockholder’s signature to be affixed to such writing by any reasonable means, including, but not limited to, facsimile signature;</w:t>
      </w:r>
    </w:p>
    <w:p>
      <w:pPr>
        <w:spacing w:after="0" w:line="57" w:lineRule="exact"/>
        <w:rPr>
          <w:rFonts w:ascii="Arial" w:cs="Arial" w:eastAsia="Arial" w:hAnsi="Arial"/>
          <w:sz w:val="17"/>
          <w:szCs w:val="17"/>
          <w:color w:val="auto"/>
        </w:rPr>
      </w:pPr>
    </w:p>
    <w:p>
      <w:pPr>
        <w:ind w:right="140" w:firstLine="996"/>
        <w:spacing w:after="0" w:line="272" w:lineRule="auto"/>
        <w:tabs>
          <w:tab w:leader="none" w:pos="124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 or</w:t>
      </w:r>
    </w:p>
    <w:p>
      <w:pPr>
        <w:spacing w:after="0" w:line="69" w:lineRule="exact"/>
        <w:rPr>
          <w:rFonts w:ascii="Arial" w:cs="Arial" w:eastAsia="Arial" w:hAnsi="Arial"/>
          <w:sz w:val="17"/>
          <w:szCs w:val="17"/>
          <w:color w:val="auto"/>
        </w:rPr>
      </w:pPr>
    </w:p>
    <w:p>
      <w:pPr>
        <w:ind w:right="80" w:firstLine="996"/>
        <w:spacing w:after="0" w:line="277" w:lineRule="auto"/>
        <w:tabs>
          <w:tab w:leader="none" w:pos="123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holder of the Class B Common Stock may grant one or more proxies or enter into one or more voting agreements or arrangements as provided in the Certificate of Incorporation.</w:t>
      </w:r>
    </w:p>
    <w:p>
      <w:pPr>
        <w:spacing w:after="0" w:line="170"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Company’s notice of the meeting (or any supplement thereto), (ii) by or at the direction of the Board or any committee thereof or (iii) by any stockholder of the Company who is a stockholder of record at the time of giving of the notice provided for in this Section 8 of Article I of these Bylaws, and at the time of the annual meeting, who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36" w:name="page237"/>
    <w:bookmarkEnd w:id="236"/>
    <w:p>
      <w:pPr>
        <w:jc w:val="both"/>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entitled to vote at such meeting and who shall have complied with the notice procedures set forth in this Section 8 of Article I of these Bylaws; clause (iii) shall be the exclusive means for a stockholder to submit such business to be brought before the meeting (other than matters properly brought under Rule 14a-8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to be included in the Company’s notice of meeting before or at an annual meeting of stockholders.</w:t>
      </w:r>
    </w:p>
    <w:p>
      <w:pPr>
        <w:spacing w:after="0" w:line="79" w:lineRule="exact"/>
        <w:rPr>
          <w:sz w:val="20"/>
          <w:szCs w:val="20"/>
          <w:color w:val="auto"/>
        </w:rPr>
      </w:pPr>
    </w:p>
    <w:p>
      <w:pPr>
        <w:ind w:right="180" w:firstLine="996"/>
        <w:spacing w:after="0" w:line="277" w:lineRule="auto"/>
        <w:tabs>
          <w:tab w:leader="none" w:pos="12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62" w:lineRule="exact"/>
        <w:rPr>
          <w:rFonts w:ascii="Arial" w:cs="Arial" w:eastAsia="Arial" w:hAnsi="Arial"/>
          <w:sz w:val="18"/>
          <w:szCs w:val="18"/>
          <w:color w:val="auto"/>
        </w:rPr>
      </w:pPr>
    </w:p>
    <w:p>
      <w:pPr>
        <w:ind w:right="20" w:firstLine="996"/>
        <w:spacing w:after="0" w:line="287" w:lineRule="auto"/>
        <w:tabs>
          <w:tab w:leader="none" w:pos="123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For any such business to be properly brought before an annual meeting by a stockholder of record pursuant to Section 8(a)(iii) of this Article I of these Bylaws, the stockholder must have given timely notice thereof in writing to the Secretary of the Company and any such proposed business must constitute a proper matter for stockholder action. To be timely, a stockholder’s notice, in writing, must be delivered to, or mailed to and received by, the Secretary of the Company at the principal executive office of the Company not less than 90 days nor more than 120 days prior to the first anniversary of the date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Company with the Securities and Exchange Commission pursuant to the Exchange Act.</w:t>
      </w:r>
    </w:p>
    <w:p>
      <w:pPr>
        <w:spacing w:after="0" w:line="64" w:lineRule="exact"/>
        <w:rPr>
          <w:rFonts w:ascii="Arial" w:cs="Arial" w:eastAsia="Arial" w:hAnsi="Arial"/>
          <w:sz w:val="16"/>
          <w:szCs w:val="16"/>
          <w:color w:val="auto"/>
        </w:rPr>
      </w:pPr>
    </w:p>
    <w:p>
      <w:pPr>
        <w:ind w:firstLine="996"/>
        <w:spacing w:after="0" w:line="286" w:lineRule="auto"/>
        <w:tabs>
          <w:tab w:leader="none" w:pos="12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 “</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may, if the facts warrant, determine that the proposed business was not properly brought before the meeting in accordance with 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8(a)(iii) of Article I of these Bylaws). Nothing in this Section 8 of Article I of these Bylaws shall be deemed to affect any rights of stockholders to request inclusion of proposals in the Company’s proxy statement pursuant to Rule 14a-8 under the Exchange Act. The provisions of this Section 8 of Article I of these Bylaws also shall govern what constitutes timely notice for purposes of Rule 14a-4(c) of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37" w:name="page238"/>
    <w:bookmarkEnd w:id="237"/>
    <w:p>
      <w:pPr>
        <w:ind w:left="-20" w:right="360" w:firstLine="996"/>
        <w:spacing w:after="0" w:line="277" w:lineRule="auto"/>
        <w:tabs>
          <w:tab w:leader="none" w:pos="1217"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any such business to be properly brought before a meeting, such stockholder’s notice to the Secretary of the Company shall set forth as to each matter he or she proposes to bring before the meeting:</w:t>
      </w:r>
    </w:p>
    <w:p>
      <w:pPr>
        <w:spacing w:after="0" w:line="62" w:lineRule="exact"/>
        <w:rPr>
          <w:rFonts w:ascii="Arial" w:cs="Arial" w:eastAsia="Arial" w:hAnsi="Arial"/>
          <w:sz w:val="18"/>
          <w:szCs w:val="18"/>
          <w:color w:val="auto"/>
        </w:rPr>
      </w:pPr>
    </w:p>
    <w:p>
      <w:pPr>
        <w:ind w:left="420" w:right="60" w:firstLine="957"/>
        <w:spacing w:after="0" w:line="279" w:lineRule="auto"/>
        <w:tabs>
          <w:tab w:leader="none" w:pos="158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63" w:lineRule="exact"/>
        <w:rPr>
          <w:rFonts w:ascii="Arial" w:cs="Arial" w:eastAsia="Arial" w:hAnsi="Arial"/>
          <w:sz w:val="17"/>
          <w:szCs w:val="17"/>
          <w:color w:val="auto"/>
        </w:rPr>
      </w:pPr>
    </w:p>
    <w:p>
      <w:pPr>
        <w:ind w:left="420" w:right="60" w:firstLine="957"/>
        <w:spacing w:after="0" w:line="308" w:lineRule="auto"/>
        <w:tabs>
          <w:tab w:leader="none" w:pos="163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38" w:lineRule="exact"/>
        <w:rPr>
          <w:rFonts w:ascii="Arial" w:cs="Arial" w:eastAsia="Arial" w:hAnsi="Arial"/>
          <w:sz w:val="17"/>
          <w:szCs w:val="17"/>
          <w:color w:val="auto"/>
        </w:rPr>
      </w:pPr>
    </w:p>
    <w:p>
      <w:pPr>
        <w:ind w:left="1700" w:hanging="323"/>
        <w:spacing w:after="0"/>
        <w:tabs>
          <w:tab w:leader="none" w:pos="17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7" w:lineRule="exact"/>
        <w:rPr>
          <w:rFonts w:ascii="Arial" w:cs="Arial" w:eastAsia="Arial" w:hAnsi="Arial"/>
          <w:sz w:val="18"/>
          <w:szCs w:val="18"/>
          <w:color w:val="auto"/>
        </w:rPr>
      </w:pPr>
    </w:p>
    <w:p>
      <w:pPr>
        <w:ind w:left="2040" w:hanging="162"/>
        <w:spacing w:after="0"/>
        <w:tabs>
          <w:tab w:leader="none" w:pos="204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Company’s stockholder records;</w:t>
      </w:r>
    </w:p>
    <w:p>
      <w:pPr>
        <w:spacing w:after="0" w:line="128" w:lineRule="exact"/>
        <w:rPr>
          <w:rFonts w:ascii="Arial" w:cs="Arial" w:eastAsia="Arial" w:hAnsi="Arial"/>
          <w:sz w:val="17"/>
          <w:szCs w:val="17"/>
          <w:color w:val="auto"/>
        </w:rPr>
      </w:pPr>
    </w:p>
    <w:p>
      <w:pPr>
        <w:ind w:left="980" w:firstLine="898"/>
        <w:spacing w:after="0" w:line="283" w:lineRule="auto"/>
        <w:tabs>
          <w:tab w:leader="none" w:pos="2063" w:val="left"/>
        </w:tabs>
        <w:numPr>
          <w:ilvl w:val="2"/>
          <w:numId w:val="147"/>
        </w:numPr>
        <w:rPr>
          <w:rFonts w:ascii="Arial" w:cs="Arial" w:eastAsia="Arial" w:hAnsi="Arial"/>
          <w:sz w:val="16"/>
          <w:szCs w:val="16"/>
          <w:color w:val="auto"/>
        </w:rPr>
      </w:pPr>
      <w:r>
        <w:rPr>
          <w:rFonts w:ascii="Arial" w:cs="Arial" w:eastAsia="Arial" w:hAnsi="Arial"/>
          <w:sz w:val="16"/>
          <w:szCs w:val="16"/>
          <w:color w:val="auto"/>
        </w:rPr>
        <w:t>(1) the class or series and number of shares of the Company’s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Company or with a value derived in whole or in part from the value of any class or series of shares of capital stock of the Company, whether or not such instrument or right shall be subject to settlement in the underlying class or series of capital stock of the Company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Company, (3) any proxy, contract, arrangement, understanding or relationship pursuant to which such stockholder or beneficial owner has a right to vote any shares or any security of the Company, (4) any short interest of such stockholder or beneficial owner in any security of the Company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 dividends on the shares of the Company owned beneficially by such stockholder or beneficial owner that are separated or separable from the underlying shares of the Company,</w:t>
      </w:r>
    </w:p>
    <w:p>
      <w:pPr>
        <w:spacing w:after="0" w:line="3" w:lineRule="exact"/>
        <w:rPr>
          <w:rFonts w:ascii="Arial" w:cs="Arial" w:eastAsia="Arial" w:hAnsi="Arial"/>
          <w:sz w:val="16"/>
          <w:szCs w:val="16"/>
          <w:color w:val="auto"/>
        </w:rPr>
      </w:pPr>
    </w:p>
    <w:p>
      <w:pPr>
        <w:ind w:left="980" w:right="260"/>
        <w:spacing w:after="0" w:line="252" w:lineRule="auto"/>
        <w:rPr>
          <w:rFonts w:ascii="Arial" w:cs="Arial" w:eastAsia="Arial" w:hAnsi="Arial"/>
          <w:sz w:val="16"/>
          <w:szCs w:val="16"/>
          <w:color w:val="auto"/>
        </w:rPr>
      </w:pPr>
      <w:r>
        <w:rPr>
          <w:rFonts w:ascii="Arial" w:cs="Arial" w:eastAsia="Arial" w:hAnsi="Arial"/>
          <w:sz w:val="18"/>
          <w:szCs w:val="18"/>
          <w:color w:val="auto"/>
        </w:rPr>
        <w:t>(6) any proportionate interest in shares of the Company or Derivative Instruments held, directly or indirectly, by a general or limited partnership or limited liability company in which such stockholder or beneficial owner is a general partner or manager or directly or indirectly beneficially owns an interest in a general partner or manager, (7) any performance-related fees (other than an asset-based fee) that such stockholder or beneficial owner is entitled to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and (8) any other information relating to such stockholder or beneficial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238" w:name="page239"/>
    <w:bookmarkEnd w:id="238"/>
    <w:p>
      <w:pPr>
        <w:ind w:left="1000"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 that would be required to be disclosed in a proxy statement or other filing required to be made in connection with the solicitation of proxies for, as applicable, the proposal and/or the election of directors in a contested election, or is otherwise required, pursuant to Section 14 of the Exchange Act and the rules and regulations thereunder (the foregoing items (1) through (8), individually or collectively, the “</w:t>
      </w:r>
      <w:r>
        <w:rPr>
          <w:rFonts w:ascii="Arial" w:cs="Arial" w:eastAsia="Arial" w:hAnsi="Arial"/>
          <w:sz w:val="16"/>
          <w:szCs w:val="16"/>
          <w:u w:val="single" w:color="auto"/>
          <w:color w:val="auto"/>
        </w:rPr>
        <w:t>Proposing Stockholder Information</w:t>
      </w:r>
      <w:r>
        <w:rPr>
          <w:rFonts w:ascii="Arial" w:cs="Arial" w:eastAsia="Arial" w:hAnsi="Arial"/>
          <w:sz w:val="16"/>
          <w:szCs w:val="16"/>
          <w:color w:val="auto"/>
        </w:rPr>
        <w:t>,” which information shall be supplemented by such stockholder and beneficial owner, if any, not later than 10 days after the record date for the meeting to disclose such ownership or other information as of the record date);</w:t>
      </w:r>
    </w:p>
    <w:p>
      <w:pPr>
        <w:spacing w:after="0" w:line="50" w:lineRule="exact"/>
        <w:rPr>
          <w:sz w:val="20"/>
          <w:szCs w:val="20"/>
          <w:color w:val="auto"/>
        </w:rPr>
      </w:pPr>
    </w:p>
    <w:p>
      <w:pPr>
        <w:ind w:left="1000" w:right="260" w:firstLine="903"/>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Company, is entitled to vote at the meeting and intends to appear in person or by proxy at the meeting to propose such business; and</w:t>
      </w:r>
    </w:p>
    <w:p>
      <w:pPr>
        <w:spacing w:after="0" w:line="62" w:lineRule="exact"/>
        <w:rPr>
          <w:sz w:val="20"/>
          <w:szCs w:val="20"/>
          <w:color w:val="auto"/>
        </w:rPr>
      </w:pPr>
    </w:p>
    <w:p>
      <w:pPr>
        <w:ind w:left="1000" w:right="300" w:firstLine="903"/>
        <w:spacing w:after="0" w:line="302" w:lineRule="auto"/>
        <w:rPr>
          <w:sz w:val="20"/>
          <w:szCs w:val="20"/>
          <w:color w:val="auto"/>
        </w:rPr>
      </w:pPr>
      <w:r>
        <w:rPr>
          <w:rFonts w:ascii="Arial" w:cs="Arial" w:eastAsia="Arial" w:hAnsi="Arial"/>
          <w:sz w:val="16"/>
          <w:szCs w:val="16"/>
          <w:color w:val="auto"/>
        </w:rPr>
        <w:t>d. a representation as to whether the stockholder or the beneficial owner, if any, is or intends to be part of a group which intends (1) to deliver a proxy statement and/or form of proxy to holders of at least the percentage of the Company’s outstanding capital stock required to approve or adopt the proposal or (2) otherwise to solicit proxies from stockholders in support of such proposal. The meaning of the term “</w:t>
      </w:r>
      <w:r>
        <w:rPr>
          <w:rFonts w:ascii="Arial" w:cs="Arial" w:eastAsia="Arial" w:hAnsi="Arial"/>
          <w:sz w:val="16"/>
          <w:szCs w:val="16"/>
          <w:u w:val="single" w:color="auto"/>
          <w:color w:val="auto"/>
        </w:rPr>
        <w:t>group</w:t>
      </w:r>
      <w:r>
        <w:rPr>
          <w:rFonts w:ascii="Arial" w:cs="Arial" w:eastAsia="Arial" w:hAnsi="Arial"/>
          <w:sz w:val="16"/>
          <w:szCs w:val="16"/>
          <w:color w:val="auto"/>
        </w:rPr>
        <w:t>” shall be within the meaning ascribed to such term under Section 13(d)(3) of the Exchange Act.</w:t>
      </w:r>
    </w:p>
    <w:p>
      <w:pPr>
        <w:spacing w:after="0" w:line="15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Company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Company present to act as chairperson of the meeting. The Secretary of the Company, or a person designated by the chairperson, shall act as secretary of each meeting of stockholders. Whenever the Secretary of the Company shall act as chairperson of the meeting, or shall be absent, the chairperson of the meeting shall appoint a person present to act as secretary of the meeting.</w:t>
      </w:r>
    </w:p>
    <w:p>
      <w:pPr>
        <w:spacing w:after="0" w:line="84" w:lineRule="exact"/>
        <w:rPr>
          <w:sz w:val="20"/>
          <w:szCs w:val="20"/>
          <w:color w:val="auto"/>
        </w:rPr>
      </w:pPr>
    </w:p>
    <w:p>
      <w:pPr>
        <w:ind w:right="20" w:firstLine="996"/>
        <w:spacing w:after="0" w:line="288" w:lineRule="auto"/>
        <w:tabs>
          <w:tab w:leader="none" w:pos="124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of the meeting, establishing an agenda or order of business for the meeting, rules and procedures for maintaining order at the meeting and the safety of those present, limitations on participation in such meeting to stockholders of record of the Company and their duly authorized and 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39" w:name="page240"/>
    <w:bookmarkEnd w:id="239"/>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50" w:lineRule="exact"/>
        <w:rPr>
          <w:sz w:val="20"/>
          <w:szCs w:val="20"/>
          <w:color w:val="auto"/>
        </w:rPr>
      </w:pPr>
    </w:p>
    <w:p>
      <w:pPr>
        <w:ind w:right="120" w:firstLine="996"/>
        <w:spacing w:after="0" w:line="253" w:lineRule="auto"/>
        <w:tabs>
          <w:tab w:leader="none" w:pos="12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 stockholder (or qualified representative) does not appear at the annual or special meeting of stockholders of the Company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Company.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57" w:lineRule="exact"/>
        <w:rPr>
          <w:sz w:val="20"/>
          <w:szCs w:val="20"/>
          <w:color w:val="auto"/>
        </w:rPr>
      </w:pPr>
    </w:p>
    <w:p>
      <w:pPr>
        <w:ind w:right="180" w:firstLine="996"/>
        <w:spacing w:after="0" w:line="288" w:lineRule="auto"/>
        <w:tabs>
          <w:tab w:leader="none" w:pos="12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w:t>
      </w:r>
    </w:p>
    <w:p>
      <w:pPr>
        <w:ind w:right="340"/>
        <w:spacing w:after="0" w:line="254" w:lineRule="auto"/>
        <w:rPr>
          <w:sz w:val="20"/>
          <w:szCs w:val="20"/>
          <w:color w:val="auto"/>
        </w:rPr>
      </w:pPr>
      <w:r>
        <w:rPr>
          <w:rFonts w:ascii="Arial" w:cs="Arial" w:eastAsia="Arial" w:hAnsi="Arial"/>
          <w:sz w:val="18"/>
          <w:szCs w:val="18"/>
          <w:color w:val="auto"/>
        </w:rPr>
        <w:t>foregoing and the rights of Post under the Investor Rights Agreement dated as of , 2019 between Post and the Company (as the same may be amended, restated, supplemented and/or otherwise modified from time to time,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(as long as such agreement is in effect), the Board shall determine the class or classes to which any director shall be assigned and the class or classes which shall be increased or decreased in the event of any increase or decrease in the number of directors.</w:t>
      </w:r>
    </w:p>
    <w:p>
      <w:pPr>
        <w:spacing w:after="0" w:line="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 Each director shall hold office until a successor is duly elected and qualified or until the director’s earlier death, resignation,</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disqualification or removal. With respect to the members of the Board in office on , 2019, the first class of directors shall hold office until the first annual meeting of stockholders, the second class of directors shall hold office until the second annual meeting of stockholders, and the third class of directors shall hold office until the third annual meeting of stockholders.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40" w:name="page241"/>
    <w:bookmarkEnd w:id="240"/>
    <w:p>
      <w:pPr>
        <w:jc w:val="both"/>
        <w:ind w:right="40" w:firstLine="996"/>
        <w:spacing w:after="0" w:line="288" w:lineRule="auto"/>
        <w:tabs>
          <w:tab w:leader="none" w:pos="1247" w:val="left"/>
        </w:tabs>
        <w:numPr>
          <w:ilvl w:val="1"/>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1(h) in this Article II (including the exceptions for Post set forth therein) and in addition to the qualifications set out in Section 11 of Article II of these Bylaws, only persons who are nominated in accordance with the procedures set forth in these Bylaws shall be eligible as directors at a meeting of stockholders. Nominations of persons for election to the Board may be made at an annual meeting of stockholders</w:t>
      </w:r>
    </w:p>
    <w:p>
      <w:pPr>
        <w:ind w:left="220" w:hanging="216"/>
        <w:spacing w:after="0"/>
        <w:tabs>
          <w:tab w:leader="none" w:pos="2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pursuant to the Company’s notice of the meeting (or any supplement thereto), (ii) by or at the direction of the Board or any committee thereof or</w:t>
      </w:r>
    </w:p>
    <w:p>
      <w:pPr>
        <w:spacing w:after="0" w:line="21" w:lineRule="exact"/>
        <w:rPr>
          <w:sz w:val="20"/>
          <w:szCs w:val="20"/>
          <w:color w:val="auto"/>
        </w:rPr>
      </w:pPr>
    </w:p>
    <w:p>
      <w:pPr>
        <w:ind w:firstLine="4"/>
        <w:spacing w:after="0" w:line="267" w:lineRule="auto"/>
        <w:tabs>
          <w:tab w:leader="none" w:pos="31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by any stockholder of the Company who is a stockholder of record of the Company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(including the exceptions for Post set forth therein) shall be the exclusive means for a stockholder other than Post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 (y) provided that the Board has determined that directors shall be elected at such meeting, by any stockholder of the Company who is a stockholder of record at the time the notice provided in this Section 1(d) of Article II of these Bylaws is delivered to the Secretary of the Company,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(including the exceptions for Post set forth therein) shall be the exclusive means for a stockholder other than Post to make nominations of persons for election to the Board at a special meeting of stockholders.</w:t>
      </w:r>
    </w:p>
    <w:p>
      <w:pPr>
        <w:spacing w:after="0" w:line="185" w:lineRule="exact"/>
        <w:rPr>
          <w:sz w:val="20"/>
          <w:szCs w:val="20"/>
          <w:color w:val="auto"/>
        </w:rPr>
      </w:pPr>
    </w:p>
    <w:p>
      <w:pPr>
        <w:ind w:right="60" w:firstLine="441"/>
        <w:spacing w:after="0" w:line="286" w:lineRule="auto"/>
        <w:rPr>
          <w:sz w:val="20"/>
          <w:szCs w:val="20"/>
          <w:color w:val="auto"/>
        </w:rPr>
      </w:pPr>
      <w:r>
        <w:rPr>
          <w:rFonts w:ascii="Arial" w:cs="Arial" w:eastAsia="Arial" w:hAnsi="Arial"/>
          <w:sz w:val="16"/>
          <w:szCs w:val="16"/>
          <w:color w:val="auto"/>
        </w:rPr>
        <w:t xml:space="preserve">Subject to Section 1(h) in this Article II (including the exceptions for Post set forth therein) for any nominations by a stockholder other than Post to be properly brought before an annual or special meeting of stockholders pursuant to clauses (d)(iii) and (d)(y) of the preceding paragraph of these Bylaws, the stockholder must have given timely notice thereof in writing to the Secretary of the Company. To be timely, a stockholder’s notice in writing must be delivered or mailed to and received by the Secretary of the Company at the principal executive office of the Company (i) in the case of an annual meeting, not less than 90 days nor more than 120 days prior to the first anniversary of the preceding year’s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date of the meeting is more than 30 days before or more than 60 days after such anniversary date, notice by the stockholder must be received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such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75" w:lineRule="exact"/>
        <w:rPr>
          <w:sz w:val="20"/>
          <w:szCs w:val="20"/>
          <w:color w:val="auto"/>
        </w:rPr>
      </w:pPr>
    </w:p>
    <w:p>
      <w:pPr>
        <w:ind w:right="380" w:firstLine="441"/>
        <w:spacing w:after="0" w:line="297" w:lineRule="auto"/>
        <w:rPr>
          <w:sz w:val="20"/>
          <w:szCs w:val="20"/>
          <w:color w:val="auto"/>
        </w:rPr>
      </w:pPr>
      <w:r>
        <w:rPr>
          <w:rFonts w:ascii="Arial" w:cs="Arial" w:eastAsia="Arial" w:hAnsi="Arial"/>
          <w:sz w:val="16"/>
          <w:szCs w:val="16"/>
          <w:color w:val="auto"/>
        </w:rPr>
        <w:t>At the request of the Board, any person nominated by the Board for election as a director shall furnish to the Secretary of the Company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Company naming all of the nominees proposed by the Board for the additional directorships at least 70 days prior to the first anniversary of the preceding year’s annual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41" w:name="page242"/>
    <w:bookmarkEnd w:id="24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a stockholder’s notice required by this Section 1 of Article II of these Bylaws also shall be considered timely, but only with respect to nominees for such additional directorships, if it shall be delivered to the Secretary of the Company at the principal executive office of the Company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such public announcement is first made by the Company.</w:t>
      </w:r>
    </w:p>
    <w:p>
      <w:pPr>
        <w:spacing w:after="0" w:line="57" w:lineRule="exact"/>
        <w:rPr>
          <w:sz w:val="20"/>
          <w:szCs w:val="20"/>
          <w:color w:val="auto"/>
        </w:rPr>
      </w:pPr>
    </w:p>
    <w:p>
      <w:pPr>
        <w:ind w:right="20" w:firstLine="996"/>
        <w:spacing w:after="0" w:line="277" w:lineRule="auto"/>
        <w:tabs>
          <w:tab w:leader="none" w:pos="12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62" w:lineRule="exact"/>
        <w:rPr>
          <w:rFonts w:ascii="Arial" w:cs="Arial" w:eastAsia="Arial" w:hAnsi="Arial"/>
          <w:sz w:val="18"/>
          <w:szCs w:val="18"/>
          <w:color w:val="auto"/>
        </w:rPr>
      </w:pPr>
    </w:p>
    <w:p>
      <w:pPr>
        <w:ind w:left="1620" w:hanging="223"/>
        <w:spacing w:after="0"/>
        <w:tabs>
          <w:tab w:leader="none" w:pos="16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117" w:lineRule="exact"/>
        <w:rPr>
          <w:rFonts w:ascii="Arial" w:cs="Arial" w:eastAsia="Arial" w:hAnsi="Arial"/>
          <w:sz w:val="18"/>
          <w:szCs w:val="18"/>
          <w:color w:val="auto"/>
        </w:rPr>
      </w:pPr>
    </w:p>
    <w:p>
      <w:pPr>
        <w:ind w:left="440" w:right="40" w:firstLine="957"/>
        <w:spacing w:after="0" w:line="291" w:lineRule="auto"/>
        <w:tabs>
          <w:tab w:leader="none" w:pos="1707"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59" w:lineRule="exact"/>
        <w:rPr>
          <w:rFonts w:ascii="Arial" w:cs="Arial" w:eastAsia="Arial" w:hAnsi="Arial"/>
          <w:sz w:val="16"/>
          <w:szCs w:val="16"/>
          <w:color w:val="auto"/>
        </w:rPr>
      </w:pPr>
    </w:p>
    <w:p>
      <w:pPr>
        <w:jc w:val="both"/>
        <w:ind w:left="440" w:right="200" w:firstLine="957"/>
        <w:spacing w:after="0" w:line="259" w:lineRule="auto"/>
        <w:tabs>
          <w:tab w:leader="none" w:pos="169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such person’s representation that he or she is eligible to serve as a director pursuant to Section 11 of Article II of these Bylaws and whether such person has acted in any manner contrary to the best interest of the Company, including, but not limited to, the violation of any federal or state law or breach of any agreement between that person and the Company relating to his or her services as a director, employee or agent of the Company;</w:t>
      </w:r>
    </w:p>
    <w:p>
      <w:pPr>
        <w:spacing w:after="0" w:line="78" w:lineRule="exact"/>
        <w:rPr>
          <w:rFonts w:ascii="Arial" w:cs="Arial" w:eastAsia="Arial" w:hAnsi="Arial"/>
          <w:sz w:val="18"/>
          <w:szCs w:val="18"/>
          <w:color w:val="auto"/>
        </w:rPr>
      </w:pPr>
    </w:p>
    <w:p>
      <w:pPr>
        <w:ind w:left="1660" w:hanging="263"/>
        <w:spacing w:after="0"/>
        <w:tabs>
          <w:tab w:leader="none" w:pos="1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pacing w:after="0" w:line="117" w:lineRule="exact"/>
        <w:rPr>
          <w:rFonts w:ascii="Arial" w:cs="Arial" w:eastAsia="Arial" w:hAnsi="Arial"/>
          <w:sz w:val="18"/>
          <w:szCs w:val="18"/>
          <w:color w:val="auto"/>
        </w:rPr>
      </w:pPr>
    </w:p>
    <w:p>
      <w:pPr>
        <w:ind w:left="440" w:right="80" w:firstLine="957"/>
        <w:spacing w:after="0" w:line="264" w:lineRule="auto"/>
        <w:tabs>
          <w:tab w:leader="none" w:pos="169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73" w:lineRule="exact"/>
        <w:rPr>
          <w:rFonts w:ascii="Arial" w:cs="Arial" w:eastAsia="Arial" w:hAnsi="Arial"/>
          <w:sz w:val="18"/>
          <w:szCs w:val="18"/>
          <w:color w:val="auto"/>
        </w:rPr>
      </w:pPr>
    </w:p>
    <w:p>
      <w:pPr>
        <w:ind w:right="40" w:firstLine="996"/>
        <w:spacing w:after="0" w:line="277" w:lineRule="auto"/>
        <w:tabs>
          <w:tab w:leader="none" w:pos="121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stockholder’s notice also shall set forth as to the stockholder(s) giving the notice and the beneficial owner, if any, on whose behalf the nomination is made:</w:t>
      </w:r>
    </w:p>
    <w:p>
      <w:pPr>
        <w:spacing w:after="0" w:line="62" w:lineRule="exact"/>
        <w:rPr>
          <w:rFonts w:ascii="Arial" w:cs="Arial" w:eastAsia="Arial" w:hAnsi="Arial"/>
          <w:sz w:val="18"/>
          <w:szCs w:val="18"/>
          <w:color w:val="auto"/>
        </w:rPr>
      </w:pPr>
    </w:p>
    <w:p>
      <w:pPr>
        <w:ind w:left="1620" w:hanging="223"/>
        <w:spacing w:after="0"/>
        <w:tabs>
          <w:tab w:leader="none" w:pos="16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Company’s stockholder records;</w:t>
      </w:r>
    </w:p>
    <w:p>
      <w:pPr>
        <w:spacing w:after="0" w:line="128" w:lineRule="exact"/>
        <w:rPr>
          <w:rFonts w:ascii="Arial" w:cs="Arial" w:eastAsia="Arial" w:hAnsi="Arial"/>
          <w:sz w:val="17"/>
          <w:szCs w:val="17"/>
          <w:color w:val="auto"/>
        </w:rPr>
      </w:pPr>
    </w:p>
    <w:p>
      <w:pPr>
        <w:ind w:left="1660" w:hanging="263"/>
        <w:spacing w:after="0"/>
        <w:tabs>
          <w:tab w:leader="none" w:pos="16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42" w:name="page243"/>
    <w:bookmarkEnd w:id="242"/>
    <w:p>
      <w:pPr>
        <w:ind w:left="440" w:right="480" w:firstLine="957"/>
        <w:spacing w:after="0" w:line="277" w:lineRule="auto"/>
        <w:tabs>
          <w:tab w:leader="none" w:pos="1707"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representation that the stockholder is a holder of record of shares of the Company, is entitled to vote at such meeting and intends to appear in person or by proxy at the meeting to nominate the person or persons specified in the notice;</w:t>
      </w:r>
    </w:p>
    <w:p>
      <w:pPr>
        <w:spacing w:after="0" w:line="62" w:lineRule="exact"/>
        <w:rPr>
          <w:rFonts w:ascii="Arial" w:cs="Arial" w:eastAsia="Arial" w:hAnsi="Arial"/>
          <w:sz w:val="18"/>
          <w:szCs w:val="18"/>
          <w:color w:val="auto"/>
        </w:rPr>
      </w:pPr>
    </w:p>
    <w:p>
      <w:pPr>
        <w:ind w:left="440" w:right="20" w:firstLine="957"/>
        <w:spacing w:after="0" w:line="286" w:lineRule="auto"/>
        <w:tabs>
          <w:tab w:leader="none" w:pos="1697"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any other information relating to such stockholder or beneficial owner that would be required to be disclosed in a proxy statement or other filing required to be made in connection with the solicitation of proxies for the election of directors in a contested election, or is otherwise required pursuant to Section 14 of the Exchange Act and the rules and regulations thereunder; and</w:t>
      </w:r>
    </w:p>
    <w:p>
      <w:pPr>
        <w:spacing w:after="0" w:line="57" w:lineRule="exact"/>
        <w:rPr>
          <w:rFonts w:ascii="Arial" w:cs="Arial" w:eastAsia="Arial" w:hAnsi="Arial"/>
          <w:sz w:val="17"/>
          <w:szCs w:val="17"/>
          <w:color w:val="auto"/>
        </w:rPr>
      </w:pPr>
    </w:p>
    <w:p>
      <w:pPr>
        <w:ind w:left="440" w:right="100" w:firstLine="957"/>
        <w:spacing w:after="0" w:line="259" w:lineRule="auto"/>
        <w:tabs>
          <w:tab w:leader="none" w:pos="164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representation as to whether the stockholder or beneficial owner, if any, is or intends to be part of a group (as defined in Section 8(e) of Article I of these Bylaws) which intends (i) to deliver a proxy statement and/or form of proxy to holders of at least the percentage of the Company’s outstanding capital stock required to elect the nominee, or (ii) otherwise solicit proxies from stockholders in support of such nominee.</w:t>
      </w:r>
    </w:p>
    <w:p>
      <w:pPr>
        <w:spacing w:after="0" w:line="78" w:lineRule="exact"/>
        <w:rPr>
          <w:rFonts w:ascii="Arial" w:cs="Arial" w:eastAsia="Arial" w:hAnsi="Arial"/>
          <w:sz w:val="18"/>
          <w:szCs w:val="18"/>
          <w:color w:val="auto"/>
        </w:rPr>
      </w:pPr>
    </w:p>
    <w:p>
      <w:pPr>
        <w:ind w:firstLine="996"/>
        <w:spacing w:after="0" w:line="282" w:lineRule="auto"/>
        <w:tabs>
          <w:tab w:leader="none" w:pos="12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addition to the qualifications set out in Section 11 of Article II of these Bylaws, to be eligible to be a nominee for election or reelection as a director of the Company, the prospective nominee (whether 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Company at the principal executive office of the Company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Company, including without limitation (i) all information concerning such person that would be required to be disclosed in solicitation of proxies for election of directors pursuant to and in accordance with Regulation 14A under the Exchange Act and (ii) any information the Company may reasonably request to determine the eligibility of the proposed nominee to serve as an independent director under the rules of any exchange upon which shares of the Company’s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Company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Company, will act or vote on any issue or question (a “Voting Commitment”) that has not been disclosed to the Company or (2) any Voting Commitment that could limit or interfere with such prospective nominee’s ability to comply, if elected as a director of the Company, with such prospective nominee’s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corporate governance, conflict of interest, confidentiality and stock ownership and trading policies and guidelines of the Company. For purposes of this</w:t>
      </w:r>
    </w:p>
    <w:p>
      <w:pPr>
        <w:spacing w:after="0" w:line="1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1(g) of Article II of these Bylaws a “</w:t>
      </w:r>
      <w:r>
        <w:rPr>
          <w:rFonts w:ascii="Arial" w:cs="Arial" w:eastAsia="Arial" w:hAnsi="Arial"/>
          <w:sz w:val="18"/>
          <w:szCs w:val="18"/>
          <w:u w:val="single" w:color="auto"/>
          <w:color w:val="auto"/>
        </w:rPr>
        <w:t>nominee</w:t>
      </w:r>
      <w:r>
        <w:rPr>
          <w:rFonts w:ascii="Arial" w:cs="Arial" w:eastAsia="Arial" w:hAnsi="Arial"/>
          <w:sz w:val="18"/>
          <w:szCs w:val="18"/>
          <w:color w:val="auto"/>
        </w:rPr>
        <w:t>” shall include any person being considered to fill a vacancy on the Board.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3" w:name="page244"/>
    <w:bookmarkEnd w:id="243"/>
    <w:p>
      <w:pPr>
        <w:ind w:firstLine="996"/>
        <w:spacing w:after="0" w:line="285" w:lineRule="auto"/>
        <w:tabs>
          <w:tab w:leader="none" w:pos="12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so long as the Investor Rights Agreement is in effect, the notice and other requirements set forth in Section 1(d) through this Section 1(h) of Article II of these Bylaws shall not apply to Post or any Post Nominees (as defined in the Investor Rights Agreement). Subject to the preceding sentence, no person shall be eligible for election as a director of the Company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Company to elect directors pursuant to any applicable provisions of the Certificate of Incorporation or the rights of Post under the Investor Rights Agreement (so long as such agreement is in effect).</w:t>
      </w:r>
    </w:p>
    <w:p>
      <w:pPr>
        <w:spacing w:after="0" w:line="17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Company, and to do all such lawful acts and things which, in its absolute judgment and discretion, it may deem necessary and appropriate for the expedient conduct and furtherance of the Company’s business.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1"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 xml:space="preserve">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Company, by oral, written or email notice duly given, sent or mailed to each director, at such director’s last known address, not less than twenty-four hours before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59" w:lineRule="exact"/>
        <w:rPr>
          <w:sz w:val="20"/>
          <w:szCs w:val="20"/>
          <w:color w:val="auto"/>
        </w:rPr>
      </w:pPr>
    </w:p>
    <w:p>
      <w:pPr>
        <w:jc w:val="both"/>
        <w:ind w:right="80" w:firstLine="996"/>
        <w:spacing w:after="0" w:line="264" w:lineRule="auto"/>
        <w:tabs>
          <w:tab w:leader="none" w:pos="12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similar communications equipment whereby all persons participating in the meeting can hear each other, and participation in a meeting in this manner shall constitute presence in person at the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44" w:name="page245"/>
    <w:bookmarkEnd w:id="244"/>
    <w:p>
      <w:pPr>
        <w:ind w:right="12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and the writing or writings, or electronic transmission, are filed with the minutes of proceedings of the Board or such committee.</w:t>
      </w:r>
    </w:p>
    <w:p>
      <w:pPr>
        <w:spacing w:after="0" w:line="17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SECTION 6. QUORUM: A majority of the Board then in office shall constitute a quorum at all meetings of the Board,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 A director who may be disqualified, by reason of personal interest, from voting on any particular matter before a meeting of the Board may nevertheless be counted for the purpose of constituting a quorum of the Board.</w:t>
      </w:r>
    </w:p>
    <w:p>
      <w:pPr>
        <w:spacing w:after="0" w:line="193"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SECTION 7. RESIGNATION OF DIRECTORS: Any director of the Company may resign at any time by giving written notice of such resignation to the Board, the Chairperson of the Board or the President or Secretary of the Company. Any such resignation shall take effect at the time specified therein or, if no time is specified, upon receipt thereof by the Board, the Chairperson of the Board or one of the above-named officers of the Company; and, unless specified therein, the acceptance of such resignation shall not be necessary to make it effective.</w:t>
      </w:r>
    </w:p>
    <w:p>
      <w:pPr>
        <w:spacing w:after="0" w:line="171"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SECTION 8. VACANCIES: Subject to the rights, if any, of the holders of any class of capital stock of the Company (other than the Common Stock) then outstanding and the rights of Post under the Investor Rights Agreement (so long as such agreement is in effect), any vacancies in the Board which occur for any reason prior to the expiration of the term of office of the class of directors in which the vacancy occurs, including vacancies which occur by reason of an increase in the number of directors, may be filled (i) by the Board, acting by the affirmative vote of a majority of the remaining directors then in office (even if less than a quorum), or by a sole remaining director, (ii) at a special meeting of stockholders of the Company called for such purpose, or (iii) prior to the Triggering Event, by written consent of one or more stockholders of the Company, in each case until the next election of directors by the stockholders of the Company at which such class of directors is elected.</w:t>
      </w:r>
    </w:p>
    <w:p>
      <w:pPr>
        <w:spacing w:after="0" w:line="167"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 xml:space="preserve">SECTION 9. COMPENSATION OF DIRECTORS: The Board may, by resolution passed by a majority of the Board, fix the terms and amount of compensation payable to any person for his or her services as director, if he or she is not otherwise compensated for services rendered as an officer or employee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director may be reimbursed for reasonable and necessary expenses of attending meetings of the Board, or otherwise incurred for any Company purpose;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members of any special or standing committee of directors also may be allowed compensation and expenses similarly incurred. Nothing herein contained shall be construed to preclude any director from serving the Company in any other capacity and receiving compensation therefor.</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SECTION 10. COMMITTEES OF THE BOARD OF DIRECTORS: Subject to the rights of Post under the Investor Rights Agreement (so long as such agreement is in effect), the Board (i) may, by resolution passed by a majority of the Board, designate two or more directors to constitute an Executive Committee of the Board which shall have and exercise all of the authority of the Board in the management of the Company, in the intervals between meetings of the Board, (ii) may appoint any other committee or committees, with such members, functions and powers as the Board may designate, and (iii) shall have the power at any time to fill vacancies in, to change the size or membership of, or to dissolve,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45" w:name="page246"/>
    <w:bookmarkEnd w:id="245"/>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67"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SECTION 11. QUALIFICATIONS: No person shall be qualified to be elected and to hold office as a director if such person is determined by a majority of the Board to have acted in a manner contrary to the best interest of the Company, including, but not limited to, the violation of any federal or state law or breach of any agreement between that director and the Company relating to his or her services as a director, employee or agent of the Company. A director need not be a stockholder.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 – OFFICERS</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SECTION 1. OFFICERS; ELECTION: The officers of the Company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Company,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TERMS: All officers of the Company shall hold their respective offices until their death, resignation or removal.</w:t>
      </w:r>
    </w:p>
    <w:p>
      <w:pPr>
        <w:spacing w:after="0" w:line="225"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SECTION 3. POWERS; DUTIES: Each officer of the Company shall have such powers and duties as may be prescribed by resolution of the Board or as may be assigned by the Board or the President of the Company.</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Company will be served thereby, but such removal shall be without prejudice to the contract rights, if any, of the officer or agent so removed. Any vacancy occurring in any office of the Company shall be filled by the person or persons, which shall include the Board where applicable, that have authority to appoint such officer.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 – CAPITAL STOCK</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SECTION 1. STOCK CERTIFICATES AND UNCERTIFICATED SHARES: (a) The shares of the Company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provide by resolution that some or all of any classes or series of the Company’s capital stock shall be uncertificated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6" w:name="page247"/>
    <w:bookmarkEnd w:id="246"/>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Any such resolution shall not apply to shares represented by a certificate until such certificate is surrendered to the Company. Notwithstanding the foregoing, every holder of capital stock represented by certificates and, upon request, every holder of uncertificated shares, shall be entitled to have a certificate, in any form approved by the Board, signed by (i) the Chairperson of the Board, the Chief Executive Officer, the President or a Vice President of the Company and (ii) the Secretary, an Assistant Secretary, the Treasurer or an Assistant Treasurer of the Company, and shall bear the corporate seal of the Company. If the certificate is countersigned by a transfer agent or registrar other than the Company or its employee, any other signature and the corporate seal appearing on certificates of stock may be facsimile, engraved or printed. In case any such officer, transfer agent or registrar who has signed or whose facsimile, engraved or printed signature appears on any such certificate shall have ceased to be such officer, transfer agent or registrar before the certificate is issued, such certificate may nevertheless be issued by the Company with the same effect as if such officer, transfer agent or registrar had not ceased to be such officer, transfer agent or registrar at the date of its issue. Every holder of uncertificated shares shall be entitled to receive a statement of holdings as evidence of share ownership.</w:t>
      </w:r>
    </w:p>
    <w:p>
      <w:pPr>
        <w:spacing w:after="0" w:line="70" w:lineRule="exact"/>
        <w:rPr>
          <w:sz w:val="20"/>
          <w:szCs w:val="20"/>
          <w:color w:val="auto"/>
        </w:rPr>
      </w:pPr>
    </w:p>
    <w:p>
      <w:pPr>
        <w:ind w:right="280" w:firstLine="996"/>
        <w:spacing w:after="0" w:line="277" w:lineRule="auto"/>
        <w:tabs>
          <w:tab w:leader="none" w:pos="12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shall not issue a fraction of a share or a certificate for a fractional share; however, the Board may issue, in lieu of any fractional share, scrip or other evidence of ownership upon such terms and conditions as it may deem advisable.</w:t>
      </w:r>
    </w:p>
    <w:p>
      <w:pPr>
        <w:spacing w:after="0" w:line="62" w:lineRule="exact"/>
        <w:rPr>
          <w:rFonts w:ascii="Arial" w:cs="Arial" w:eastAsia="Arial" w:hAnsi="Arial"/>
          <w:sz w:val="18"/>
          <w:szCs w:val="18"/>
          <w:color w:val="auto"/>
        </w:rPr>
      </w:pPr>
    </w:p>
    <w:p>
      <w:pPr>
        <w:ind w:left="1240" w:hanging="244"/>
        <w:spacing w:after="0"/>
        <w:tabs>
          <w:tab w:leader="none" w:pos="12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certificates of stock of each class and series shall be numbered appropriately.</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SECTION 2. RECORD OWNERSHIP: The Company shall maintain a record of the name and address of the holder of each share of Company capital stock, the number of shares held by such holder thereby, and the date of issue thereof. The Company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SECTION 3. TRANSFERS: Transfers of shares of capital stock shall be made on the books of the Company only by direction of the holder thereof in person or by his, her or its duly authorized attorney or legal representative. Upon transfer of certificated shares, the old certificates shall be surrendered to the Company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Company.</w:t>
      </w:r>
    </w:p>
    <w:p>
      <w:pPr>
        <w:spacing w:after="0" w:line="173"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SECTION 4. TRANSFER AGENTS; REGISTRARS: The Board shall, by resolution, from time to time appoint one or more transfer agents, that may be officers or employees of the Company, to make transfers of shares of capital stock of the Company and one or more registrars to register shares of capital stock issued by or on behalf of the Company. The Board may adopt such rules as it may deem expedient concerning the issue, transfer and registration of shares of capital stock of the Company.</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SECTION 5. LOST CERTIFICATES: The Company may issue a new certificate in place of any certificate theretofore issued by it which is alleged to have been lost, stolen or destroyed and the Board may require the owner of the lost, stolen or destroyed certificate or the owner’s legal representative to give the Company a bond in a sum and in a form approved by the Board, and with a surety or sureties which the Board finds satisfactory, to indemnify the Company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Company any of the powers and authorities contained in this section.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47" w:name="page248"/>
    <w:bookmarkEnd w:id="247"/>
    <w:p>
      <w:pPr>
        <w:ind w:right="80"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RECORD DATES: In order that the Company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the determination of the stockholders entitled to notice of or to vote at the adjourned meeting. 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 – SEAL, BOOKS, FISCAL YEAR, AMENDMENT</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SECTION 1. SEAL: The corporate seal, if any, of the Company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SECTION 2. PLACE FOR KEEPING BOOKS AND SEAL: The books of the Company, and its corporate minutes and corporate seal, shall be kept in the custody of the Secretary of the Company at the principal executive office of the Company, or at such other place or places and in the custody of such other person or persons as the Board may from time to time determine.</w:t>
      </w:r>
    </w:p>
    <w:p>
      <w:pPr>
        <w:spacing w:after="0" w:line="181"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Company, and such notice shall be deemed to be given at the time when the same shall be thus mailed, or may be given by facsimile or other electronic transmission to the extent authorized or allowed by law.</w:t>
      </w:r>
    </w:p>
    <w:p>
      <w:pPr>
        <w:spacing w:after="0" w:line="64" w:lineRule="exact"/>
        <w:rPr>
          <w:sz w:val="20"/>
          <w:szCs w:val="20"/>
          <w:color w:val="auto"/>
        </w:rPr>
      </w:pPr>
    </w:p>
    <w:p>
      <w:pPr>
        <w:ind w:firstLine="996"/>
        <w:spacing w:after="0" w:line="290" w:lineRule="auto"/>
        <w:tabs>
          <w:tab w:leader="none" w:pos="124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 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 FISCAL YEAR: The fiscal year of the Company shall commence with the first day of October in each year.</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SECTION 5. AMENDMENT: A majority of all of the members of the Board may amend, alter, change or repeal any provision of these Bylaws;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not have the power to amend, alter, change or repeal this Section 5 of Article V of these Bylaws in any manner that alters the stockholders’ power to amend, alter, change or repeal these Bylaws. The stockholders of the Company also may amend, alter, change or repeal any provision of these Bylaws upon the affirmative vote of a majority of all of the voting power of the Company entitled to vote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stockholders shall not have the power to amend, alter, change or repeal this Section 5 of Article V of these Bylaws in any manner that alters the Board’s power to amend, alter, change or repeal these Bylaws.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INVESTOR RIGHTS AGREEMENT</w:t>
      </w:r>
    </w:p>
    <w:p>
      <w:pPr>
        <w:spacing w:after="0" w:line="23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4820" w:hanging="81"/>
        <w:spacing w:after="0"/>
        <w:tabs>
          <w:tab w:leader="none" w:pos="48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2019</w:t>
      </w:r>
    </w:p>
    <w:p>
      <w:pPr>
        <w:spacing w:after="0" w:line="225" w:lineRule="exact"/>
        <w:rPr>
          <w:rFonts w:ascii="Arial" w:cs="Arial" w:eastAsia="Arial" w:hAnsi="Arial"/>
          <w:sz w:val="18"/>
          <w:szCs w:val="18"/>
          <w:color w:val="auto"/>
        </w:rPr>
      </w:pPr>
    </w:p>
    <w:p>
      <w:pPr>
        <w:ind w:left="4260"/>
        <w:spacing w:after="0"/>
        <w:rPr>
          <w:rFonts w:ascii="Arial" w:cs="Arial" w:eastAsia="Arial" w:hAnsi="Arial"/>
          <w:sz w:val="18"/>
          <w:szCs w:val="18"/>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POST HOLDINGS, INC.</w:t>
      </w:r>
    </w:p>
    <w:p>
      <w:pPr>
        <w:sectPr>
          <w:pgSz w:w="11900" w:h="16838" w:orient="portrait"/>
          <w:cols w:equalWidth="0" w:num="1">
            <w:col w:w="10020"/>
          </w:cols>
          <w:pgMar w:left="1440" w:top="121" w:right="439" w:bottom="1440" w:gutter="0" w:footer="0" w:header="0"/>
        </w:sectPr>
      </w:pPr>
    </w:p>
    <w:bookmarkStart w:id="250" w:name="page251"/>
    <w:bookmarkEnd w:id="250"/>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60" w:type="dxa"/>
            <w:vAlign w:val="bottom"/>
            <w:vMerge w:val="restart"/>
          </w:tcPr>
          <w:p>
            <w:pPr>
              <w:spacing w:after="0"/>
              <w:rPr>
                <w:sz w:val="20"/>
                <w:szCs w:val="20"/>
                <w:color w:val="auto"/>
              </w:rPr>
            </w:pPr>
            <w:r>
              <w:rPr>
                <w:rFonts w:ascii="Arial" w:cs="Arial" w:eastAsia="Arial" w:hAnsi="Arial"/>
                <w:sz w:val="18"/>
                <w:szCs w:val="18"/>
                <w:color w:val="auto"/>
              </w:rPr>
              <w:t>ARTICLE I. DEFINITIONS</w:t>
            </w: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906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1.01. Definitions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1.02. Other Definitional and Interpretative Provisions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II. REGISTRATION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2.01. Demand Registration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2.02. Shelf and Piggyback Registration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2.03. Lock-Up Agreements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2.04. Registration Procedures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2.05. Indemnification by the Company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2.06. Indemnification by Registering Stockholders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2.07. Conduct of Indemnification Proceedings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2.08. Contribution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2.09. Participation in Public Offering</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2.10. Other Indemnification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2.11. Cooperation by the Company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2.12. Transfer of Registration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2.13. Limitations on Subsequent Registration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2.14. Free Writing Prospectuses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2.15. Information from Registering Stockholders; Obligations of Registering Stockholders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III. BOARD OF DIRECTORS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3.01. Board of Directors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3.02. Reduction of Post’s Board and Committee Rights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IV. TERMINATION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4.01. Termination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9060" w:type="dxa"/>
            <w:vAlign w:val="bottom"/>
          </w:tcPr>
          <w:p>
            <w:pPr>
              <w:spacing w:after="0"/>
              <w:rPr>
                <w:sz w:val="20"/>
                <w:szCs w:val="20"/>
                <w:color w:val="auto"/>
              </w:rPr>
            </w:pPr>
            <w:r>
              <w:rPr>
                <w:rFonts w:ascii="Arial" w:cs="Arial" w:eastAsia="Arial" w:hAnsi="Arial"/>
                <w:sz w:val="18"/>
                <w:szCs w:val="18"/>
                <w:color w:val="auto"/>
              </w:rPr>
              <w:t>ARTICLE V. MISCELLANEOUS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5.01. Successors and Assigns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5.02. Notices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5.03. Amendments and Waivers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5.04. Governing Law</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5.05. Jurisdiction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5.06. WAIVER OF JURY TRIAL</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5.07. Specific Enforcement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5.08. Counterparts; Effectiveness; Third Party Beneficiaries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Section 5.09. Entire Agreement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060" w:type="dxa"/>
            <w:vAlign w:val="bottom"/>
          </w:tcPr>
          <w:p>
            <w:pPr>
              <w:ind w:left="360"/>
              <w:spacing w:after="0"/>
              <w:rPr>
                <w:sz w:val="20"/>
                <w:szCs w:val="20"/>
                <w:color w:val="auto"/>
              </w:rPr>
            </w:pPr>
            <w:r>
              <w:rPr>
                <w:rFonts w:ascii="Arial" w:cs="Arial" w:eastAsia="Arial" w:hAnsi="Arial"/>
                <w:sz w:val="18"/>
                <w:szCs w:val="18"/>
                <w:color w:val="auto"/>
              </w:rPr>
              <w:t>Section 5.10. Severability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Joinder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251" w:name="page252"/>
    <w:bookmarkEnd w:id="25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RIGHTS AGREEMENT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INVESTOR RIGHTS AGREEMENT dated as of ,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(i) BellRing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(ii)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and (iii) other Persons (as defined below) party hereto from time to time.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WHEREAS, the parties hereto are entering into this Agreement to provide (i) certain registration rights under the Securities Act (as defined below) and applicable state securities laws to each Stockholder (as defined below) with respect to Registrable Securities (as defined below) each may hold and (ii) certain governance rights to Post.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As used herein, the following terms have the following meanings:</w:t>
      </w:r>
    </w:p>
    <w:p>
      <w:pPr>
        <w:spacing w:after="0" w:line="117" w:lineRule="exact"/>
        <w:rPr>
          <w:sz w:val="20"/>
          <w:szCs w:val="20"/>
          <w:color w:val="auto"/>
        </w:rPr>
      </w:pPr>
    </w:p>
    <w:p>
      <w:pPr>
        <w:ind w:right="2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 For the purpose of this definition, the term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4"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Governance Rules</w:t>
      </w:r>
      <w:r>
        <w:rPr>
          <w:rFonts w:ascii="Arial" w:cs="Arial" w:eastAsia="Arial" w:hAnsi="Arial"/>
          <w:sz w:val="18"/>
          <w:szCs w:val="18"/>
          <w:color w:val="auto"/>
        </w:rPr>
        <w:t>” means applicable federal and Delaware laws and the rules of the NYSE relating to the Board and the corporate governance of the Company, including, without limitation, Rule 10A-3 of the Exchange Act and NYSE Rule 303A, in each case, subject to applicable phase-in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Automatic Shelf Registration Statement</w:t>
      </w:r>
      <w:r>
        <w:rPr>
          <w:rFonts w:ascii="Arial" w:cs="Arial" w:eastAsia="Arial" w:hAnsi="Arial"/>
          <w:sz w:val="17"/>
          <w:szCs w:val="17"/>
          <w:color w:val="auto"/>
        </w:rPr>
        <w:t>” means an “automatic shelf registration statement” as defined in Rule 405 under the Securities Act.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means BellRing Brands, LLC, a Delaware limited liability company.</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Agreement</w:t>
      </w:r>
      <w:r>
        <w:rPr>
          <w:rFonts w:ascii="Arial" w:cs="Arial" w:eastAsia="Arial" w:hAnsi="Arial"/>
          <w:sz w:val="18"/>
          <w:szCs w:val="18"/>
          <w:color w:val="auto"/>
        </w:rPr>
        <w:t>” means the Amended and Restated Limited Liability Company Agreement of BellRing LLC, dated as of the date hereof, as it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 Units</w:t>
      </w:r>
      <w:r>
        <w:rPr>
          <w:rFonts w:ascii="Arial" w:cs="Arial" w:eastAsia="Arial" w:hAnsi="Arial"/>
          <w:sz w:val="18"/>
          <w:szCs w:val="18"/>
          <w:color w:val="auto"/>
        </w:rPr>
        <w:t>” means the Nonvoting Common Units of BellRing LLC as defined in the BellRing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similar terms have the meaning set forth in Rule 13d-3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New York City are authorized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ectPr>
          <w:pgSz w:w="11900" w:h="16838" w:orient="portrait"/>
          <w:cols w:equalWidth="0" w:num="1">
            <w:col w:w="10960"/>
          </w:cols>
          <w:pgMar w:left="440" w:top="274" w:right="499" w:bottom="1440" w:gutter="0" w:footer="0" w:header="0"/>
        </w:sectPr>
      </w:pPr>
    </w:p>
    <w:bookmarkStart w:id="252" w:name="page253"/>
    <w:bookmarkEnd w:id="25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the same may be amended, modified, supplemented and/or restated from time to time.</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Company, as the same may be amended, modified, supplemented and/or restated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$0.01 per share,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$0.01 per share, of the Company.</w:t>
      </w:r>
    </w:p>
    <w:p>
      <w:pPr>
        <w:spacing w:after="0" w:line="225" w:lineRule="exact"/>
        <w:rPr>
          <w:sz w:val="20"/>
          <w:szCs w:val="20"/>
          <w:color w:val="auto"/>
        </w:rPr>
      </w:pPr>
    </w:p>
    <w:p>
      <w:pPr>
        <w:jc w:val="both"/>
        <w:ind w:right="10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Securities</w:t>
      </w:r>
      <w:r>
        <w:rPr>
          <w:rFonts w:ascii="Arial" w:cs="Arial" w:eastAsia="Arial" w:hAnsi="Arial"/>
          <w:sz w:val="16"/>
          <w:szCs w:val="16"/>
          <w:color w:val="auto"/>
        </w:rPr>
        <w:t>” means (i) the Class A Common Stock, (ii) any securities of the Company or any successor or assign of the Company into which such Class A Common Stock is reclassified or reconstituted or into which such Class A Common Stock is converted or otherwise exchanged in connection with a split or combination of shares, recapitalization, merger, sale of assets, consolidation or other reorganization or otherwise or (iii) any securities received as a dividend or a distribution in respect of the securities described in clauses (i) or (ii) above.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under the Securities Act relating to the Registrable Securities included in the applicable Registration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a director who qualifies as an “independent director” of the Company under the NYSE Listed Company Manual.</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000" w:type="dxa"/>
            <w:vAlign w:val="bottom"/>
            <w:gridSpan w:val="3"/>
          </w:tcPr>
          <w:p>
            <w:pPr>
              <w:spacing w:after="0"/>
              <w:rPr>
                <w:sz w:val="20"/>
                <w:szCs w:val="20"/>
                <w:color w:val="auto"/>
              </w:rPr>
            </w:pPr>
            <w:r>
              <w:rPr>
                <w:rFonts w:ascii="Arial" w:cs="Arial" w:eastAsia="Arial" w:hAnsi="Arial"/>
                <w:sz w:val="18"/>
                <w:szCs w:val="18"/>
                <w:color w:val="auto"/>
                <w:w w:val="95"/>
              </w:rPr>
              <w:t>“Initial Public Offering” means the initial underwritten public offering of the Class A Common Stock of the Company on</w:t>
            </w:r>
          </w:p>
        </w:tc>
        <w:tc>
          <w:tcPr>
            <w:tcW w:w="78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0"/>
        </w:trPr>
        <w:tc>
          <w:tcPr>
            <w:tcW w:w="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 and shall include any successor (by merger or otherwise)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Party</w:t>
      </w:r>
      <w:r>
        <w:rPr>
          <w:rFonts w:ascii="Arial" w:cs="Arial" w:eastAsia="Arial" w:hAnsi="Arial"/>
          <w:sz w:val="18"/>
          <w:szCs w:val="18"/>
          <w:color w:val="auto"/>
        </w:rPr>
        <w:t>” means Post and its Affiliates (other than the Company and its Subsidiaries).</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Nominee</w:t>
      </w:r>
      <w:r>
        <w:rPr>
          <w:rFonts w:ascii="Arial" w:cs="Arial" w:eastAsia="Arial" w:hAnsi="Arial"/>
          <w:sz w:val="18"/>
          <w:szCs w:val="18"/>
          <w:color w:val="auto"/>
        </w:rPr>
        <w:t>” means any individual nominated or designated by Post for election or appointment to the Board in accordance with, and subject to the terms and conditions of, Article III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Stockholder</w:t>
      </w:r>
      <w:r>
        <w:rPr>
          <w:rFonts w:ascii="Arial" w:cs="Arial" w:eastAsia="Arial" w:hAnsi="Arial"/>
          <w:sz w:val="18"/>
          <w:szCs w:val="18"/>
          <w:color w:val="auto"/>
        </w:rPr>
        <w:t>” means each Post Party that is a Stockholder.</w:t>
      </w:r>
    </w:p>
    <w:p>
      <w:pPr>
        <w:spacing w:after="0" w:line="225"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 underwritten public offering of Company Securities pursuant to an effective registration statement under the Securities Act, other than pursuant to a registration statement on Form S-4 or Form S-8 or any similar or successor form under the Securities Act.</w:t>
      </w:r>
    </w:p>
    <w:p>
      <w:pPr>
        <w:spacing w:after="0" w:line="12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Registering Stockholder</w:t>
      </w:r>
      <w:r>
        <w:rPr>
          <w:rFonts w:ascii="Arial" w:cs="Arial" w:eastAsia="Arial" w:hAnsi="Arial"/>
          <w:sz w:val="18"/>
          <w:szCs w:val="18"/>
          <w:color w:val="auto"/>
        </w:rPr>
        <w:t>” means, with respect to any Registration Statement, each Stockholder whose Registrable Securities are or are to be registered pursuant to such Registration Statement.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253" w:name="page254"/>
    <w:bookmarkEnd w:id="253"/>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Registrable Class Securities</w:t>
      </w:r>
      <w:r>
        <w:rPr>
          <w:rFonts w:ascii="Arial" w:cs="Arial" w:eastAsia="Arial" w:hAnsi="Arial"/>
          <w:sz w:val="18"/>
          <w:szCs w:val="18"/>
          <w:color w:val="auto"/>
        </w:rPr>
        <w:t>” means the Registrable Securities and any other securities of the Company that are of the same class as the relevant Registrable Securities.</w:t>
      </w:r>
    </w:p>
    <w:p>
      <w:pPr>
        <w:spacing w:after="0" w:line="170" w:lineRule="exact"/>
        <w:rPr>
          <w:sz w:val="20"/>
          <w:szCs w:val="20"/>
          <w:color w:val="auto"/>
        </w:rPr>
      </w:pPr>
    </w:p>
    <w:p>
      <w:pPr>
        <w:ind w:right="160"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at any time, any Company Securities beneficially owned (whether beneficially owned as of the date hereof or hereinafter beneficially owned) by a Stockholder until (i) a registration statement covering such securities has been declared effective by the SEC and such securities have been disposed of pursuant to such effective registration statement, (ii) such securities are sold pursuant to Rule 144 (or any similar provisions then in force) under the Securities Act, (iii) such securities are otherwise transferred, assigned, sold, conveyed or otherwise disposed of and thereafter such securities may be resold without subsequent registration under the Securities Act or (iv) with respect to any such securities held by any single Stockholder (or group of Stockholders that are aggregated for purposes of Rule 144), all of such securities held by any Stockholder or group of Stockholders that are able to be sold in a single transaction pursuant to Rule 144 (or any similar provisions then in force) and such securities of such Stockholder (or group of Stockholders) represent no more than 2.5% of the relevant class of Company Securities.</w:t>
      </w:r>
    </w:p>
    <w:p>
      <w:pPr>
        <w:spacing w:after="0" w:line="166" w:lineRule="exact"/>
        <w:rPr>
          <w:sz w:val="20"/>
          <w:szCs w:val="20"/>
          <w:color w:val="auto"/>
        </w:rPr>
      </w:pPr>
    </w:p>
    <w:p>
      <w:pPr>
        <w:ind w:firstLine="441"/>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incident to the performance of or compliance with any registration or marketing of Registrable Securities, regardless of whether such Registration Statement is declared effective, including all (i) registration and filing fees, and all other fees and expenses payable in connection with the listing of securities on any securities exchange or automated interdealer quotation system, (ii) fees and expenses incurred in complying with any securities or “blue sky” laws (including reasonable fees and disbursements of counsel in connection with “blue sky” qualifications of the Registrable Securities as may be set forth in any underwriting agreement),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2.04(h) or any special audits incidental to or required by any registration or qualification), (vii) reasonable fees and expenses of any special experts retained by the Company in connection with such registration, (viii) reasonable fees, out-of-pocket costs and expenses of one firm of counsel selected by the holder(s) of a majority of the Registrable Securities covered by each Registration Statement (the “</w:t>
      </w:r>
      <w:r>
        <w:rPr>
          <w:rFonts w:ascii="Arial" w:cs="Arial" w:eastAsia="Arial" w:hAnsi="Arial"/>
          <w:sz w:val="16"/>
          <w:szCs w:val="16"/>
          <w:u w:val="single" w:color="auto"/>
          <w:color w:val="auto"/>
        </w:rPr>
        <w:t>Holders’ Counsel</w:t>
      </w:r>
      <w:r>
        <w:rPr>
          <w:rFonts w:ascii="Arial" w:cs="Arial" w:eastAsia="Arial" w:hAnsi="Arial"/>
          <w:sz w:val="16"/>
          <w:szCs w:val="16"/>
          <w:color w:val="auto"/>
        </w:rPr>
        <w:t>”), (ix) fees and expenses in connection with any review by FINRA of the underwriting arrangements or other terms of the offering, and all fees and expenses of any qualified independent underwriter, including the reasonable fees and expenses of any counsel thereto, (x) fees and disbursements of underwriters customarily paid by issuers or sellers of securities,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(xiii) expenses relating to any analyst or investor presentations or any “road shows” undertaken in connection with the registration, marketing or selling of the Registrable Securities, (xiv) fees and expenses payable in connection with any ratings of the Registrable Securities, including expenses relating to any presentations to rating agencies,</w:t>
      </w:r>
    </w:p>
    <w:p>
      <w:pPr>
        <w:spacing w:after="0" w:line="12" w:lineRule="exact"/>
        <w:rPr>
          <w:sz w:val="20"/>
          <w:szCs w:val="20"/>
          <w:color w:val="auto"/>
        </w:rPr>
      </w:pPr>
    </w:p>
    <w:p>
      <w:pPr>
        <w:ind w:right="20" w:firstLine="4"/>
        <w:spacing w:after="0" w:line="255" w:lineRule="auto"/>
        <w:tabs>
          <w:tab w:leader="none" w:pos="3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out-of pocket costs and expenses incurred by the Company or its appropriate officers in connection with their compliance with Section 2.04(m) and (xvi) any liability insurance or other premiums for insurance obtained in connection with any Demand Registration, Piggyback Registration or Shelf Registration pursuant to the terms of this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4" w:name="page255"/>
    <w:bookmarkEnd w:id="254"/>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Securities Act that covers any of the Registrable Securities pursuant to the provisions of this Agreement.</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Stockholder</w:t>
      </w:r>
      <w:r>
        <w:rPr>
          <w:rFonts w:ascii="Arial" w:cs="Arial" w:eastAsia="Arial" w:hAnsi="Arial"/>
          <w:sz w:val="18"/>
          <w:szCs w:val="18"/>
          <w:color w:val="auto"/>
        </w:rPr>
        <w:t>” means, with respect to any Demand Registration or Shelf Registration, any Stockholder holding any Registrable Securities initially making the request for such Demand Registration or Shelf Registration.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or any successor governmental agency.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collectively, the shares of Class A Common Stock and the share of Class B Common Stock.</w:t>
      </w:r>
    </w:p>
    <w:p>
      <w:pPr>
        <w:spacing w:after="0" w:line="225"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Registered Securities</w:t>
      </w:r>
      <w:r>
        <w:rPr>
          <w:rFonts w:ascii="Arial" w:cs="Arial" w:eastAsia="Arial" w:hAnsi="Arial"/>
          <w:sz w:val="18"/>
          <w:szCs w:val="18"/>
          <w:color w:val="auto"/>
        </w:rPr>
        <w:t>” means any Registrable Securities whose offer and sale is registered pursuant to a Registration Statement filed in connection with a Shelf Registration (including an Automatic Shelf Registration Statement).</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Period</w:t>
      </w:r>
      <w:r>
        <w:rPr>
          <w:rFonts w:ascii="Arial" w:cs="Arial" w:eastAsia="Arial" w:hAnsi="Arial"/>
          <w:sz w:val="18"/>
          <w:szCs w:val="18"/>
          <w:color w:val="auto"/>
        </w:rPr>
        <w:t>” means 90 days; provided that such period may be extended as may be reasonably requested by the managing or co-managing underwriter of a registered offering required hereunder to accommodate regulatory restrictions on (i) the publication or other distribution of research reports and (ii) analyst recommendations and opinions, including, but not limited to, the restrictions contained in FINRA rules or any successor provisions or amendments thereto.</w:t>
      </w:r>
    </w:p>
    <w:p>
      <w:pPr>
        <w:spacing w:after="0" w:line="187" w:lineRule="exact"/>
        <w:rPr>
          <w:sz w:val="20"/>
          <w:szCs w:val="20"/>
          <w:color w:val="auto"/>
        </w:rPr>
      </w:pPr>
    </w:p>
    <w:p>
      <w:pPr>
        <w:jc w:val="both"/>
        <w:ind w:right="5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at any time, each Post Party or any transferee or assignee of a Post Party pursuant to Section 2.12 of this Agreement, beneficially owning Company Securities or BellRing LLC Units that shall be a party to or bound by this Agreement, so long as such Person shall beneficially own any Company Securities or BellRing LLC Units.</w:t>
      </w:r>
    </w:p>
    <w:p>
      <w:pPr>
        <w:spacing w:after="0" w:line="18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at the time are directly or indirectly owned by such Person.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Section</w:t>
            </w:r>
          </w:p>
        </w:tc>
      </w:tr>
      <w:tr>
        <w:trPr>
          <w:trHeight w:val="200"/>
        </w:trPr>
        <w:tc>
          <w:tcPr>
            <w:tcW w:w="3300" w:type="dxa"/>
            <w:vAlign w:val="bottom"/>
            <w:gridSpan w:val="2"/>
          </w:tcPr>
          <w:p>
            <w:pPr>
              <w:spacing w:after="0" w:line="200" w:lineRule="exact"/>
              <w:rPr>
                <w:sz w:val="20"/>
                <w:szCs w:val="20"/>
                <w:color w:val="auto"/>
              </w:rPr>
            </w:pPr>
            <w:r>
              <w:rPr>
                <w:rFonts w:ascii="Arial" w:cs="Arial" w:eastAsia="Arial" w:hAnsi="Arial"/>
                <w:sz w:val="18"/>
                <w:szCs w:val="18"/>
                <w:color w:val="auto"/>
              </w:rPr>
              <w:t>Alternative Transaction</w:t>
            </w:r>
          </w:p>
        </w:tc>
        <w:tc>
          <w:tcPr>
            <w:tcW w:w="2540" w:type="dxa"/>
            <w:vAlign w:val="bottom"/>
          </w:tcPr>
          <w:p>
            <w:pPr>
              <w:spacing w:after="0"/>
              <w:rPr>
                <w:sz w:val="17"/>
                <w:szCs w:val="17"/>
                <w:color w:val="auto"/>
              </w:rPr>
            </w:pPr>
          </w:p>
        </w:tc>
        <w:tc>
          <w:tcPr>
            <w:tcW w:w="1640" w:type="dxa"/>
            <w:vAlign w:val="bottom"/>
          </w:tcPr>
          <w:p>
            <w:pPr>
              <w:jc w:val="right"/>
              <w:spacing w:after="0" w:line="200" w:lineRule="exact"/>
              <w:rPr>
                <w:sz w:val="20"/>
                <w:szCs w:val="20"/>
                <w:color w:val="auto"/>
              </w:rPr>
            </w:pPr>
            <w:r>
              <w:rPr>
                <w:rFonts w:ascii="Arial" w:cs="Arial" w:eastAsia="Arial" w:hAnsi="Arial"/>
                <w:sz w:val="20"/>
                <w:szCs w:val="20"/>
                <w:color w:val="auto"/>
              </w:rPr>
              <w:t>Section 2.02(d)</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Audit Committee Independent Directors</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w w:val="99"/>
              </w:rPr>
              <w:t>Section 3.01(a)(iv)</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Committees</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3.01(c)</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2.05</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Demand Registration</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2.01(a)</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2.02(f)</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Holders’ Counsel</w:t>
            </w: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Section 1.01(a)</w:t>
            </w:r>
          </w:p>
        </w:tc>
      </w:tr>
      <w:tr>
        <w:trPr>
          <w:trHeight w:val="230"/>
        </w:trPr>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(Definition of</w:t>
            </w:r>
          </w:p>
        </w:tc>
      </w:tr>
      <w:tr>
        <w:trPr>
          <w:trHeight w:val="230"/>
        </w:trPr>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“Registration</w:t>
            </w:r>
          </w:p>
        </w:tc>
      </w:tr>
      <w:tr>
        <w:trPr>
          <w:trHeight w:val="250"/>
        </w:trPr>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Expenses”)</w:t>
            </w:r>
          </w:p>
        </w:tc>
      </w:tr>
      <w:tr>
        <w:trPr>
          <w:trHeight w:val="361"/>
        </w:trPr>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40" w:type="dxa"/>
            <w:vAlign w:val="bottom"/>
          </w:tcPr>
          <w:p>
            <w:pPr>
              <w:jc w:val="right"/>
              <w:ind w:right="1970"/>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5" w:name="page256"/>
    <w:bookmarkEnd w:id="2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78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5600" w:type="dxa"/>
            <w:vAlign w:val="bottom"/>
          </w:tcPr>
          <w:p>
            <w:pPr>
              <w:spacing w:after="0"/>
              <w:rPr>
                <w:sz w:val="16"/>
                <w:szCs w:val="16"/>
                <w:color w:val="auto"/>
              </w:rPr>
            </w:pPr>
          </w:p>
        </w:tc>
        <w:tc>
          <w:tcPr>
            <w:tcW w:w="15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Section</w:t>
            </w:r>
          </w:p>
        </w:tc>
      </w:tr>
      <w:tr>
        <w:trPr>
          <w:trHeight w:val="200"/>
        </w:trPr>
        <w:tc>
          <w:tcPr>
            <w:tcW w:w="5920" w:type="dxa"/>
            <w:vAlign w:val="bottom"/>
            <w:gridSpan w:val="2"/>
          </w:tcPr>
          <w:p>
            <w:pPr>
              <w:spacing w:after="0" w:line="200" w:lineRule="exact"/>
              <w:rPr>
                <w:sz w:val="20"/>
                <w:szCs w:val="20"/>
                <w:color w:val="auto"/>
              </w:rPr>
            </w:pPr>
            <w:r>
              <w:rPr>
                <w:rFonts w:ascii="Arial" w:cs="Arial" w:eastAsia="Arial" w:hAnsi="Arial"/>
                <w:sz w:val="18"/>
                <w:szCs w:val="18"/>
                <w:color w:val="auto"/>
              </w:rPr>
              <w:t>Indemnified Party</w:t>
            </w:r>
          </w:p>
        </w:tc>
        <w:tc>
          <w:tcPr>
            <w:tcW w:w="1560" w:type="dxa"/>
            <w:vAlign w:val="bottom"/>
          </w:tcPr>
          <w:p>
            <w:pPr>
              <w:jc w:val="right"/>
              <w:spacing w:after="0" w:line="200" w:lineRule="exact"/>
              <w:rPr>
                <w:sz w:val="20"/>
                <w:szCs w:val="20"/>
                <w:color w:val="auto"/>
              </w:rPr>
            </w:pPr>
            <w:r>
              <w:rPr>
                <w:rFonts w:ascii="Arial" w:cs="Arial" w:eastAsia="Arial" w:hAnsi="Arial"/>
                <w:sz w:val="20"/>
                <w:szCs w:val="20"/>
                <w:color w:val="auto"/>
              </w:rPr>
              <w:t>Section 2.07</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2.07</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Inspectors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2.04(g)</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Issuer Free Writing Prospectus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2.14</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Maximum Offering Size</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2.01(d)</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Piggyback Registration</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2.02(h)(i)</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Post</w:t>
            </w:r>
          </w:p>
        </w:tc>
        <w:tc>
          <w:tcPr>
            <w:tcW w:w="156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Records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2.04(g)</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Registration Actions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2.01(e)</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Requested Shelf Registered Securities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 Notice</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 Request</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Public Offering Requesting Stockholder</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2.02(b)</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Shelf Registration</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2.02(a)</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Stockholder Parties</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2.05</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Suspension Notice</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2.01(e)</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2.01(e)</w:t>
            </w:r>
          </w:p>
        </w:tc>
      </w:tr>
      <w:tr>
        <w:trPr>
          <w:trHeight w:val="250"/>
        </w:trPr>
        <w:tc>
          <w:tcPr>
            <w:tcW w:w="5920" w:type="dxa"/>
            <w:vAlign w:val="bottom"/>
            <w:gridSpan w:val="2"/>
          </w:tcPr>
          <w:p>
            <w:pPr>
              <w:spacing w:after="0"/>
              <w:rPr>
                <w:sz w:val="20"/>
                <w:szCs w:val="20"/>
                <w:color w:val="auto"/>
              </w:rPr>
            </w:pPr>
            <w:r>
              <w:rPr>
                <w:rFonts w:ascii="Arial" w:cs="Arial" w:eastAsia="Arial" w:hAnsi="Arial"/>
                <w:sz w:val="18"/>
                <w:szCs w:val="18"/>
                <w:color w:val="auto"/>
              </w:rPr>
              <w:t>Well-Known Seasoned Issuer</w:t>
            </w:r>
          </w:p>
        </w:tc>
        <w:tc>
          <w:tcPr>
            <w:tcW w:w="1560" w:type="dxa"/>
            <w:vAlign w:val="bottom"/>
          </w:tcPr>
          <w:p>
            <w:pPr>
              <w:jc w:val="right"/>
              <w:spacing w:after="0"/>
              <w:rPr>
                <w:sz w:val="20"/>
                <w:szCs w:val="20"/>
                <w:color w:val="auto"/>
              </w:rPr>
            </w:pPr>
            <w:r>
              <w:rPr>
                <w:rFonts w:ascii="Arial" w:cs="Arial" w:eastAsia="Arial" w:hAnsi="Arial"/>
                <w:sz w:val="20"/>
                <w:szCs w:val="20"/>
                <w:color w:val="auto"/>
              </w:rPr>
              <w:t>Section 2.02(f)</w:t>
            </w:r>
          </w:p>
        </w:tc>
      </w:tr>
    </w:tbl>
    <w:p>
      <w:pPr>
        <w:spacing w:after="0" w:line="19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References to laws, rules, regulations and forms shall be deemed to be references to such laws, rules, regulations and forms as amended, succeeded or replaced.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Demand Registration</w:t>
      </w:r>
      <w:r>
        <w:rPr>
          <w:rFonts w:ascii="Arial" w:cs="Arial" w:eastAsia="Arial" w:hAnsi="Arial"/>
          <w:sz w:val="18"/>
          <w:szCs w:val="18"/>
          <w:i w:val="1"/>
          <w:iCs w:val="1"/>
          <w:color w:val="auto"/>
        </w:rPr>
        <w:t>.</w:t>
      </w:r>
    </w:p>
    <w:p>
      <w:pPr>
        <w:spacing w:after="0" w:line="117" w:lineRule="exact"/>
        <w:rPr>
          <w:sz w:val="20"/>
          <w:szCs w:val="20"/>
          <w:color w:val="auto"/>
        </w:rPr>
      </w:pPr>
    </w:p>
    <w:p>
      <w:pPr>
        <w:ind w:right="20" w:firstLine="444"/>
        <w:spacing w:after="0" w:line="257" w:lineRule="auto"/>
        <w:tabs>
          <w:tab w:leader="none" w:pos="6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At any time following the Initial Public Offering, any Stockholder may give a written request to the Company to effect the registration under the Securities Act (other than pursuant to a registration statement on Form S-4 or Form S-8 or any similar or successor form under the Securities Act) of all or any portion of such Requesting Stockholder’s Registrable Securities, which written request shall specify the number of Registrable Securities to be registered and the intended method of disposition thereof. Such registration may be for the offering of the Stockholder’s Registrable Securities on a delayed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69" w:right="439" w:bottom="1440" w:gutter="0" w:footer="0" w:header="0"/>
        </w:sectPr>
      </w:pPr>
    </w:p>
    <w:bookmarkStart w:id="256" w:name="page257"/>
    <w:bookmarkEnd w:id="256"/>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continuous basis under Rule 415 under the Securities Act. At any time the Company is eligible to use Form S-3ASR, such registration shall occur on such form. Upon the receipt of such written request, the Company shall promptly give notice (via electronic transmission) of such requested registration (each such registration shall be referred to herein as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at least 10 Business Days prior to the anticipated filing date of the Registration Statement relating to such Demand Registration to any other Stockholders. Thereafter, the Company shall use its commercially reasonable efforts to effect, as soon as possible, the registration under the Securities Act of:</w:t>
      </w:r>
    </w:p>
    <w:p>
      <w:pPr>
        <w:spacing w:after="0" w:line="64" w:lineRule="exact"/>
        <w:rPr>
          <w:sz w:val="20"/>
          <w:szCs w:val="20"/>
          <w:color w:val="auto"/>
        </w:rPr>
      </w:pPr>
    </w:p>
    <w:p>
      <w:pPr>
        <w:ind w:left="1080" w:hanging="21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Registrable Securities for which the Requesting Stockholder has requested registration under this Section 2.01;</w:t>
      </w:r>
    </w:p>
    <w:p>
      <w:pPr>
        <w:spacing w:after="0" w:line="117" w:lineRule="exact"/>
        <w:rPr>
          <w:rFonts w:ascii="Arial" w:cs="Arial" w:eastAsia="Arial" w:hAnsi="Arial"/>
          <w:sz w:val="18"/>
          <w:szCs w:val="18"/>
          <w:color w:val="auto"/>
        </w:rPr>
      </w:pPr>
    </w:p>
    <w:p>
      <w:pPr>
        <w:ind w:left="440" w:right="340" w:firstLine="428"/>
        <w:spacing w:after="0" w:line="264" w:lineRule="auto"/>
        <w:tabs>
          <w:tab w:leader="none" w:pos="112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other Registrable Securities of the same class or series as those requested to be registered by the Requesting Stockholder that any other Stockholder has requested the Company register by request received by the Company and Post within 10 Business Days after such Stockholders receive the Company’s notice of the Demand Registration; and</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Company Securities to be offered or sold by the Company;</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all to the extent necessary to permit the disposition (in accordance with the intended methods thereof as described in the Requesting Stockholder’s written request) of the Registrable Securities so to be registered; provided that the Company shall not be obligated to effect (1) any such Demand Registration (i) within the Specified Period after the effective date of any other registration statement of the Company in connection with which Stockholders were given Piggyback Registration rights (other than a registration statement filed in connection with an employee benefit plan or business combination transaction or a registration statement on Form S-8 or Form S-4) or (ii) in accordance with Section 2.01(e), or (2) any Demand Registration if the aggregate proceeds expected to be received from the sale of the Registrable Securities requested to be included in such Demand Registration is less than $25,000,000. A Requesting Stockholder may require any Demand Registration that involves a Public Offering of at least $25,000,000 to be conducted as an underwritten offering. Notwithstanding the foregoing, a Requesting Stockholder may request that a Demand Registration take the form of a primary offering by the Company of a number of shares of Class A Common Stock, the net proceeds of which shall be used by the Company and BellRing LLC, pursuant to and subject to the terms and conditions of the BellRing LLC Agreement, to acquire for cash the same number of BellRing LLC Units, in which case, (i) the Demand Registration shall cover the primary sale of the number of shares of Class A Common Stock requested by the Requesting Stockholder, (ii) the Requesting Stockholder shall exercise its right, pursuant to Article IX of the BellRing LLC Agreement, to submit for redemption, as provided under and subject to the terms and conditions of the BellRing LLC Agreement, the number of BellRing LLC Units that is equal to the number of shares of Class A Common Stock sold in such Public Offering, contingent on (among other things) the closing of such Public Offering and receipt by the Company of net proceeds therefrom, (iii) upon the Company’s receipt of the net proceeds from such Public Offering, BellRing LLC shall elect, pursuant to Article IX of the BellRing LLC Agreement, to acquire from the Requesting Stockholder the number of BellRing LLC Units equal to the number of shares of Class A Common Stock sold pursuant to such Public Offering in exchange for such net proceeds and (iv) except where the context otherwise requires, references to “Registrable Securities” with respect to such Demand Registration shall be to such shares of Class A Common Stock requested to be offered in such Public Offering.</w:t>
      </w:r>
    </w:p>
    <w:p>
      <w:pPr>
        <w:spacing w:after="0" w:line="62" w:lineRule="exact"/>
        <w:rPr>
          <w:sz w:val="20"/>
          <w:szCs w:val="20"/>
          <w:color w:val="auto"/>
        </w:rPr>
      </w:pPr>
    </w:p>
    <w:p>
      <w:pPr>
        <w:ind w:right="240" w:firstLine="444"/>
        <w:spacing w:after="0" w:line="286" w:lineRule="auto"/>
        <w:tabs>
          <w:tab w:leader="none" w:pos="69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At any time prior to the effective date of the Registration Statement relating to such Demand Registration, the Requesting Stockholder may, upon notice to the Company, revoke such request in whole or in part with respect to the number of shares of Registrable Securities requested to be included in such Registration Statement, without liability to any of the other Registering Stockholders.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57" w:name="page258"/>
    <w:bookmarkEnd w:id="257"/>
    <w:p>
      <w:pPr>
        <w:ind w:right="240" w:firstLine="444"/>
        <w:spacing w:after="0" w:line="277" w:lineRule="auto"/>
        <w:tabs>
          <w:tab w:leader="none" w:pos="685"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be liable for and pay all Registration Expenses in connection with any Demand Registration, regardless of whether such Demand Registration becomes effective.</w:t>
      </w:r>
    </w:p>
    <w:p>
      <w:pPr>
        <w:spacing w:after="0" w:line="62" w:lineRule="exact"/>
        <w:rPr>
          <w:rFonts w:ascii="Arial" w:cs="Arial" w:eastAsia="Arial" w:hAnsi="Arial"/>
          <w:sz w:val="18"/>
          <w:szCs w:val="18"/>
          <w:color w:val="auto"/>
        </w:rPr>
      </w:pPr>
    </w:p>
    <w:p>
      <w:pPr>
        <w:ind w:right="80" w:firstLine="444"/>
        <w:spacing w:after="0" w:line="276" w:lineRule="auto"/>
        <w:tabs>
          <w:tab w:leader="none" w:pos="69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a Demand Registration involves a Public Offering and the lead managing underwriter advises the Company and the Requesting Stockholder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 material and adverse effect on such offering, including the price at which such shares can be sold (the “</w:t>
      </w:r>
      <w:r>
        <w:rPr>
          <w:rFonts w:ascii="Arial" w:cs="Arial" w:eastAsia="Arial" w:hAnsi="Arial"/>
          <w:sz w:val="17"/>
          <w:szCs w:val="17"/>
          <w:u w:val="single" w:color="auto"/>
          <w:color w:val="auto"/>
        </w:rPr>
        <w:t>Maximum Offering Size</w:t>
      </w:r>
      <w:r>
        <w:rPr>
          <w:rFonts w:ascii="Arial" w:cs="Arial" w:eastAsia="Arial" w:hAnsi="Arial"/>
          <w:sz w:val="17"/>
          <w:szCs w:val="17"/>
          <w:color w:val="auto"/>
        </w:rPr>
        <w:t>”), the Company shall include in such registration, in the priority listed below, up to the Maximum Offering Size:</w:t>
      </w:r>
    </w:p>
    <w:p>
      <w:pPr>
        <w:spacing w:after="0" w:line="64" w:lineRule="exact"/>
        <w:rPr>
          <w:rFonts w:ascii="Arial" w:cs="Arial" w:eastAsia="Arial" w:hAnsi="Arial"/>
          <w:sz w:val="17"/>
          <w:szCs w:val="17"/>
          <w:color w:val="auto"/>
        </w:rPr>
      </w:pPr>
    </w:p>
    <w:p>
      <w:pPr>
        <w:ind w:left="440" w:right="200" w:firstLine="428"/>
        <w:spacing w:after="0" w:line="264" w:lineRule="auto"/>
        <w:tabs>
          <w:tab w:leader="none" w:pos="107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first, all Registrable Securities requested to be registered by the Requesting Stockholder and all other Registering Stockholders pro rata on the basis of the relative number of shares of Registrable Securities so requested to be included in such registration by each such Registering Stockholder;</w:t>
      </w:r>
    </w:p>
    <w:p>
      <w:pPr>
        <w:spacing w:after="0" w:line="73" w:lineRule="exact"/>
        <w:rPr>
          <w:rFonts w:ascii="Arial" w:cs="Arial" w:eastAsia="Arial" w:hAnsi="Arial"/>
          <w:sz w:val="18"/>
          <w:szCs w:val="18"/>
          <w:color w:val="auto"/>
        </w:rPr>
      </w:pPr>
    </w:p>
    <w:p>
      <w:pPr>
        <w:ind w:left="1140" w:hanging="272"/>
        <w:spacing w:after="0"/>
        <w:tabs>
          <w:tab w:leader="none" w:pos="11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second, any securities proposed to be registered by the Company; and</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17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62" w:lineRule="exact"/>
        <w:rPr>
          <w:rFonts w:ascii="Arial" w:cs="Arial" w:eastAsia="Arial" w:hAnsi="Arial"/>
          <w:sz w:val="18"/>
          <w:szCs w:val="18"/>
          <w:color w:val="auto"/>
        </w:rPr>
      </w:pPr>
    </w:p>
    <w:p>
      <w:pPr>
        <w:ind w:right="20" w:firstLine="444"/>
        <w:spacing w:after="0" w:line="286"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but subject to the limitation set forth in the next succeeding paragraph, the Company shall be entitled to suspend its obligation to file (but not the preparation of) any Registration Statement in connection with a Demand Registration and any Shelf Registration, file any amendment to such a Registration Statement, furnish any supplement or amendment to a prospectus included in such a Registration Statement, make any other filing with the SEC, cause such a Registration Statement or other filing with the SEC to become or remain effective or take any similar action (collectively, “</w:t>
      </w:r>
      <w:r>
        <w:rPr>
          <w:rFonts w:ascii="Arial" w:cs="Arial" w:eastAsia="Arial" w:hAnsi="Arial"/>
          <w:sz w:val="16"/>
          <w:szCs w:val="16"/>
          <w:u w:val="single" w:color="auto"/>
          <w:color w:val="auto"/>
        </w:rPr>
        <w:t>Registration Actions</w:t>
      </w:r>
      <w:r>
        <w:rPr>
          <w:rFonts w:ascii="Arial" w:cs="Arial" w:eastAsia="Arial" w:hAnsi="Arial"/>
          <w:sz w:val="16"/>
          <w:szCs w:val="16"/>
          <w:color w:val="auto"/>
        </w:rPr>
        <w:t>”) upon (i) the issuance by the SEC of a stop order suspending the effectiveness of any such Registration Statement or the initiation of proceedings with respect to such a Registration Statement under Section 8(d) or Section 8(e) of the Securities Act, (ii) the Board’s determination, in its good faith judgment, that any such Registration Action should not be taken because it would reasonably be expected to materially interfere with or require the public disclosure of any material corporate development or plan, including any material financing, securities offering, acquisition, disposition, corporate reorganization or merger or other transaction involving the Company or any of its Subsidiaries or (iii) the Company possessing material non-public information the disclosure of which the Board determines, in its good faith judgment, would reasonably be expected to not be in the best interests of the Company. Upon the occurrence of any of the conditions described in (i), (ii) or (iii) above, the Company shall give prompt notice of such suspension (and whether such action is being taken pursuant to (i), (ii) or (iii) above) (a “</w:t>
      </w:r>
      <w:r>
        <w:rPr>
          <w:rFonts w:ascii="Arial" w:cs="Arial" w:eastAsia="Arial" w:hAnsi="Arial"/>
          <w:sz w:val="16"/>
          <w:szCs w:val="16"/>
          <w:u w:val="single" w:color="auto"/>
          <w:color w:val="auto"/>
        </w:rPr>
        <w:t>Suspension Notice</w:t>
      </w:r>
      <w:r>
        <w:rPr>
          <w:rFonts w:ascii="Arial" w:cs="Arial" w:eastAsia="Arial" w:hAnsi="Arial"/>
          <w:sz w:val="16"/>
          <w:szCs w:val="16"/>
          <w:color w:val="auto"/>
        </w:rPr>
        <w:t>”) to the Stockholders. Upon the termination of such condition, the Company shall give prompt notice thereof to the Stockholders and shall promptly proceed with all Registration Actions that were suspended pursuant to this paragraph.</w:t>
      </w:r>
    </w:p>
    <w:p>
      <w:pPr>
        <w:spacing w:after="0" w:line="17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may only suspend Registration Actions pursuant to the preceding paragraph on two occasions during any one-year period for a reasonable time specified in the Suspension Notice but not exceeding an aggregate of 90 days (which period may not be extended or renewed) (each such occasion, a “</w:t>
      </w:r>
      <w:r>
        <w:rPr>
          <w:rFonts w:ascii="Arial" w:cs="Arial" w:eastAsia="Arial" w:hAnsi="Arial"/>
          <w:sz w:val="18"/>
          <w:szCs w:val="18"/>
          <w:u w:val="single" w:color="auto"/>
          <w:color w:val="auto"/>
        </w:rPr>
        <w:t>Suspension Period</w:t>
      </w:r>
      <w:r>
        <w:rPr>
          <w:rFonts w:ascii="Arial" w:cs="Arial" w:eastAsia="Arial" w:hAnsi="Arial"/>
          <w:sz w:val="18"/>
          <w:szCs w:val="18"/>
          <w:color w:val="auto"/>
        </w:rPr>
        <w:t>”). Each Suspension Period shall be deemed to begin on the date the relevant Suspension Notice is given to the Stockholders and shall be deemed to end on the earlier to occur of (i) the date on which the Company gives the Stockholders a notice that the Suspension Period has terminated and (ii) the date on which the number of days during which a Suspension Period has been in effect exceeds the 90-day period. If the filing of any Demand Registration or Shelf Registration is suspended pursuant to this Section 2.01(e), once the Suspension Period ends, the Requesting Stockholder may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58" w:name="page259"/>
    <w:bookmarkEnd w:id="258"/>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a new Demand Registration and a Stockholder that requested a Shelf Registration may request a new Shelf Registration. Notwithstanding anything to the contrary in this Agreement, the Company shall not be in breach of, or have failed to comply with, any obligation under this Agreement (including without limitation obligations under this Section 2.01(e)) where the Company acts or omits to take any action in order to comply with applicable law, any interpretation of the staff of the SEC or any order or decree of any court or governmental agency.</w:t>
      </w:r>
    </w:p>
    <w:p>
      <w:pPr>
        <w:spacing w:after="0" w:line="63" w:lineRule="exact"/>
        <w:rPr>
          <w:sz w:val="20"/>
          <w:szCs w:val="20"/>
          <w:color w:val="auto"/>
        </w:rPr>
      </w:pPr>
    </w:p>
    <w:p>
      <w:pPr>
        <w:ind w:right="60" w:firstLine="444"/>
        <w:spacing w:after="0" w:line="286" w:lineRule="auto"/>
        <w:tabs>
          <w:tab w:leader="none" w:pos="66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shall have no obligation to file a Registration Statement under this Section 2.01 or Section 2.02 or proceed with Registration Actions related thereto during any time such filing or Registration Actions are prohibited by any applicable underwriting or lock-up agreement to which the Company is a party relating to the Initial Public Offering or an offering pursuant to a Registration Statement.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Shelf and Piggyback Registration</w:t>
      </w:r>
      <w:r>
        <w:rPr>
          <w:rFonts w:ascii="Arial" w:cs="Arial" w:eastAsia="Arial" w:hAnsi="Arial"/>
          <w:sz w:val="18"/>
          <w:szCs w:val="18"/>
          <w:i w:val="1"/>
          <w:iCs w:val="1"/>
          <w:color w:val="auto"/>
        </w:rPr>
        <w:t>.</w:t>
      </w:r>
    </w:p>
    <w:p>
      <w:pPr>
        <w:spacing w:after="0" w:line="117" w:lineRule="exact"/>
        <w:rPr>
          <w:sz w:val="20"/>
          <w:szCs w:val="20"/>
          <w:color w:val="auto"/>
        </w:rPr>
      </w:pPr>
    </w:p>
    <w:p>
      <w:pPr>
        <w:ind w:firstLine="444"/>
        <w:spacing w:after="0" w:line="282" w:lineRule="auto"/>
        <w:tabs>
          <w:tab w:leader="none" w:pos="68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At any time when (i) the Company is eligible to use Form S-3 in connection with a secondary public offering of its equity securities and (ii) a Shelf Registration on a Form S-3 registering Registrable Securities for resale is not then effective (subject to any applicable Suspension Period), upon the written request of any Stockholder, the Company shall use its commercially reasonable efforts to register, under the Securities Act on Form S-3 for an offering on a delayed or continuous basis pursuant to Rule 415 under the Securities Act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the offer and sale of all or a portion of the Registrable Securities owned by such Requesting Stockholder. Upon the receipt of such written request, the Company shall promptly give notice (via electronic transmission) of such requested Shelf Registration at least 10 Business Days prior to the anticipated filing date of such Shelf Registration to any Stockholders, and such notice shall describe the proposed Shelf Registration, the intended method of disposition of such Registrable Securities and any other information that at the time would be appropriate to include in such notice, and offer such Stockholders the opportunity to register such number of Registrable Securities as each such Stockholder may request in writing to the Company, given within 10 Business Days after such Stockholders receive the Company’s notice of the Shelf Registration. The “Plan of Distribution” section of such Shelf Registration shall permit all lawful means of disposition of Registrable Securities, including firm-commitment underwritten public offerings, block trades, agented transactions, sales directly into the market, purchases or sales by brokers and sales not involving a public offering. With respect to each Shelf Registration, the Company shall, subject to any Suspension Period, (i) as promptly as practicable after the written request of the Requesting Stockholder, file a Registration Statement and (ii) use its commercially reasonable efforts to cause such Registration Statement to be declared effective as promptly as practicable, and remain effective until the date set forth in Section 2.04(a)(ii). No Stockholder shall be entitled to include any of its Registrable Securities in a Shelf Registration unless such Stockholder has complied with Section 2.15. The Company shall not be required to amend a Shelf Registration (or the related prospectus) to add or change the disclosure regarding selling security holders during any Suspension Period. The obligations set forth in this</w:t>
      </w:r>
    </w:p>
    <w:p>
      <w:pPr>
        <w:spacing w:after="0" w:line="1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Section 2.02(a) shall not apply if the Company has a currently effective Automatic Shelf Registration Statement covering all Registrable Securities in accordance with Section 2.02(f) and has otherwise complied with its obligations pursuant to this Agreement.</w:t>
      </w:r>
    </w:p>
    <w:p>
      <w:pPr>
        <w:spacing w:after="0" w:line="75" w:lineRule="exact"/>
        <w:rPr>
          <w:rFonts w:ascii="Arial" w:cs="Arial" w:eastAsia="Arial" w:hAnsi="Arial"/>
          <w:sz w:val="16"/>
          <w:szCs w:val="16"/>
          <w:color w:val="auto"/>
        </w:rPr>
      </w:pPr>
    </w:p>
    <w:p>
      <w:pPr>
        <w:ind w:right="200" w:firstLine="444"/>
        <w:spacing w:after="0" w:line="297" w:lineRule="auto"/>
        <w:tabs>
          <w:tab w:leader="none" w:pos="69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Upon written request by a Requesting Stockholder holding Shelf Registered Securities (such Stockholder, the “</w:t>
      </w:r>
      <w:r>
        <w:rPr>
          <w:rFonts w:ascii="Arial" w:cs="Arial" w:eastAsia="Arial" w:hAnsi="Arial"/>
          <w:sz w:val="16"/>
          <w:szCs w:val="16"/>
          <w:u w:val="single" w:color="auto"/>
          <w:color w:val="auto"/>
        </w:rPr>
        <w:t>Shelf Public 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Requesting Stockholder</w:t>
      </w:r>
      <w:r>
        <w:rPr>
          <w:rFonts w:ascii="Arial" w:cs="Arial" w:eastAsia="Arial" w:hAnsi="Arial"/>
          <w:sz w:val="16"/>
          <w:szCs w:val="16"/>
          <w:color w:val="auto"/>
        </w:rPr>
        <w:t>”), which request (the “</w:t>
      </w:r>
      <w:r>
        <w:rPr>
          <w:rFonts w:ascii="Arial" w:cs="Arial" w:eastAsia="Arial" w:hAnsi="Arial"/>
          <w:sz w:val="16"/>
          <w:szCs w:val="16"/>
          <w:u w:val="single" w:color="auto"/>
          <w:color w:val="auto"/>
        </w:rPr>
        <w:t>Shelf Public Offering Request</w:t>
      </w:r>
      <w:r>
        <w:rPr>
          <w:rFonts w:ascii="Arial" w:cs="Arial" w:eastAsia="Arial" w:hAnsi="Arial"/>
          <w:sz w:val="16"/>
          <w:szCs w:val="16"/>
          <w:color w:val="auto"/>
        </w:rPr>
        <w:t>”) shall specify the class or series and amount of such Shelf Public Offering Requesting Stockholder’s Shelf Registered Securities to be sold (the “</w:t>
      </w:r>
      <w:r>
        <w:rPr>
          <w:rFonts w:ascii="Arial" w:cs="Arial" w:eastAsia="Arial" w:hAnsi="Arial"/>
          <w:sz w:val="16"/>
          <w:szCs w:val="16"/>
          <w:u w:val="single" w:color="auto"/>
          <w:color w:val="auto"/>
        </w:rPr>
        <w:t>Requested Shelf Registered Securities</w:t>
      </w:r>
      <w:r>
        <w:rPr>
          <w:rFonts w:ascii="Arial" w:cs="Arial" w:eastAsia="Arial" w:hAnsi="Arial"/>
          <w:sz w:val="16"/>
          <w:szCs w:val="16"/>
          <w:color w:val="auto"/>
        </w:rPr>
        <w:t>”), the Company shall (subject to any Suspension Period) perform its obligations hereunder with respect to the sale of such Requested Shelf Registered Securities in the form of a firm commitment underwritten public offering (unless otherwise consented to by the Shelf Public Offering Requesting Stockholder) (a “</w:t>
      </w:r>
      <w:r>
        <w:rPr>
          <w:rFonts w:ascii="Arial" w:cs="Arial" w:eastAsia="Arial" w:hAnsi="Arial"/>
          <w:sz w:val="16"/>
          <w:szCs w:val="16"/>
          <w:u w:val="single" w:color="auto"/>
          <w:color w:val="auto"/>
        </w:rPr>
        <w:t>Shelf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 Offering</w:t>
      </w:r>
      <w:r>
        <w:rPr>
          <w:rFonts w:ascii="Arial" w:cs="Arial" w:eastAsia="Arial" w:hAnsi="Arial"/>
          <w:sz w:val="17"/>
          <w:szCs w:val="17"/>
          <w:color w:val="auto"/>
        </w:rPr>
        <w:t>”) if the aggregate proceeds expected to be received from the sale of the Requested Shelf Registered Securities equals or exceeds</w:t>
      </w:r>
    </w:p>
    <w:p>
      <w:pPr>
        <w:spacing w:after="0" w:line="3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$25,000,000. Promptly upon receipt of a Shelf Public Offering Request, the Company shall provide notice (the “</w:t>
      </w:r>
      <w:r>
        <w:rPr>
          <w:rFonts w:ascii="Arial" w:cs="Arial" w:eastAsia="Arial" w:hAnsi="Arial"/>
          <w:sz w:val="16"/>
          <w:szCs w:val="16"/>
          <w:u w:val="single" w:color="auto"/>
          <w:color w:val="auto"/>
        </w:rPr>
        <w:t>Shelf Public Offering Notice</w:t>
      </w:r>
      <w:r>
        <w:rPr>
          <w:rFonts w:ascii="Arial" w:cs="Arial" w:eastAsia="Arial" w:hAnsi="Arial"/>
          <w:sz w:val="16"/>
          <w:szCs w:val="16"/>
          <w:color w:val="auto"/>
        </w:rPr>
        <w:t>”) of such proposed Shelf Public Offering (which notice shall state the material terms of such proposed Shelf Public Offering, to the extent known, as well as the identity of the Shelf Public Offering Requesting Stockholder) to any other Stockholders holding Shelf Registered Securities. Such other Stockholders may, by written request to the Company and the Shelf Public Offering Requesting Stockholder, within two Business Days after receipt of such Shelf Public Offering Notice, include up to all of their Shelf Registered Securities of the same class or series as the Requested Shelf Registered Securities in such proposed Shelf Public Offering; provided, that any such Shelf Registered Securities shall be sold subject to the same terms as are applicable to the Shelf Registered Securities of the Shelf Public Offering Requesting Stockholder. No Stockholder shall be entitled to include any of its Registrable Securities in a Shelf Public Offering unless such Stockholder has complied with Section 2.15. The lead managing underwriter or underwriters selected for such Shelf Public Offering shall be selected in accordance with Section 2.04(f)(i).</w:t>
      </w:r>
    </w:p>
    <w:p>
      <w:pPr>
        <w:spacing w:after="0" w:line="58" w:lineRule="exact"/>
        <w:rPr>
          <w:sz w:val="20"/>
          <w:szCs w:val="20"/>
          <w:color w:val="auto"/>
        </w:rPr>
      </w:pPr>
    </w:p>
    <w:p>
      <w:pPr>
        <w:ind w:right="140" w:firstLine="444"/>
        <w:spacing w:after="0" w:line="259"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a Shelf Public Offering, if the lead managing underwriter advises the Company and the Shelf Public Offering Requesting Stockholder that, in its view, the number of shares of Registrable Securities requested to be included in such Shelf Public Offering (including any securities that the Company proposes to be included that are not Registrable Securities) exceeds the Maximum Offering Size, the Company shall include in such Shelf Public Offering, in the priority listed below, up to the Maximum Offering Size:</w:t>
      </w:r>
    </w:p>
    <w:p>
      <w:pPr>
        <w:spacing w:after="0" w:line="78" w:lineRule="exact"/>
        <w:rPr>
          <w:rFonts w:ascii="Arial" w:cs="Arial" w:eastAsia="Arial" w:hAnsi="Arial"/>
          <w:sz w:val="18"/>
          <w:szCs w:val="18"/>
          <w:color w:val="auto"/>
        </w:rPr>
      </w:pPr>
    </w:p>
    <w:p>
      <w:pPr>
        <w:ind w:left="440" w:right="380" w:firstLine="428"/>
        <w:spacing w:after="0" w:line="264" w:lineRule="auto"/>
        <w:tabs>
          <w:tab w:leader="none" w:pos="107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first, all Shelf Registered Securities requested to be included in the Shelf Public Offering by the Shelf Public Offering Requesting Stockholder and all other Stockholders, pro rata on the basis of the relative number of shares of Shelf Registered Securities so requested to be included in the Shelf Public Offering by each such Stockholder;</w:t>
      </w:r>
    </w:p>
    <w:p>
      <w:pPr>
        <w:spacing w:after="0" w:line="73" w:lineRule="exact"/>
        <w:rPr>
          <w:rFonts w:ascii="Arial" w:cs="Arial" w:eastAsia="Arial" w:hAnsi="Arial"/>
          <w:sz w:val="18"/>
          <w:szCs w:val="18"/>
          <w:color w:val="auto"/>
        </w:rPr>
      </w:pPr>
    </w:p>
    <w:p>
      <w:pPr>
        <w:ind w:left="1140" w:hanging="272"/>
        <w:spacing w:after="0"/>
        <w:tabs>
          <w:tab w:leader="none" w:pos="11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second, any securities proposed to be included in the Shelf Public Offering by the Company; and</w:t>
      </w:r>
    </w:p>
    <w:p>
      <w:pPr>
        <w:spacing w:after="0" w:line="117" w:lineRule="exact"/>
        <w:rPr>
          <w:rFonts w:ascii="Arial" w:cs="Arial" w:eastAsia="Arial" w:hAnsi="Arial"/>
          <w:sz w:val="18"/>
          <w:szCs w:val="18"/>
          <w:color w:val="auto"/>
        </w:rPr>
      </w:pPr>
    </w:p>
    <w:p>
      <w:pPr>
        <w:ind w:left="440" w:right="480" w:firstLine="428"/>
        <w:spacing w:after="0" w:line="277" w:lineRule="auto"/>
        <w:tabs>
          <w:tab w:leader="none" w:pos="117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third, any securities proposed to be included in the Shelf Public Offering for the account of any other Persons, with such priorities among them as the Company shall determine.</w:t>
      </w:r>
    </w:p>
    <w:p>
      <w:pPr>
        <w:spacing w:after="0" w:line="62" w:lineRule="exact"/>
        <w:rPr>
          <w:rFonts w:ascii="Arial" w:cs="Arial" w:eastAsia="Arial" w:hAnsi="Arial"/>
          <w:sz w:val="18"/>
          <w:szCs w:val="18"/>
          <w:color w:val="auto"/>
        </w:rPr>
      </w:pPr>
    </w:p>
    <w:p>
      <w:pPr>
        <w:ind w:firstLine="444"/>
        <w:spacing w:after="0" w:line="288" w:lineRule="auto"/>
        <w:tabs>
          <w:tab w:leader="none" w:pos="69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cooperate in a timely manner with any request of the Stockholders in respect of any block trade, hedging transaction or other transaction that is registered pursuant to a Shelf Registration that is not a firm commitment underwritten offering (each, an “</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including, without limitation, entering into customary agreements with respect to such Alternative Transactions (and providing customary representations, warranties, covenants and indemnities in such agreements) as well as providing other reasonable assistance in respect of such Alternative Transactions of the type applicable to a Public Offering subject to Section 2.04, to the extent customary for such transactions. The Company shall bear all Registration Expenses in connection with any Shelf Registration, any Shelf Public Offering or any other transaction (including any Alternative Transaction) registered under a Shelf Registration pursuant to this Section 2.02, whether or not such Shelf Registration becomes effective or such Shelf Public Offering or other transaction is completed; provided, however, that if the Shelf Public Offering Requesting Stockholder revokes its request in whole with respect to a Shelf Public Offering, then the Shelf Public Offering Requesting Stockholder shall reimburse the Company for and/or pay directly all Registration Expenses incurred relating to such Shelf Public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60" w:name="page261"/>
    <w:bookmarkEnd w:id="260"/>
    <w:p>
      <w:pPr>
        <w:ind w:left="-40" w:right="100" w:firstLine="444"/>
        <w:spacing w:after="0" w:line="272" w:lineRule="auto"/>
        <w:tabs>
          <w:tab w:leader="none" w:pos="645"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Registration Statement with respect to a Shelf Registration is declared effective but subject to the Suspension Period, upon written request by one or more Stockholders (which written request shall specify the amount of such Stockholders’ Registrable Securities to be registered), the Company shall, as promptly as practicable after receiving such request, (i) if it is eligible for use of Form S-3 in connection with a secondary public offering of its equity securities, or if such Registration Statement is an Automatic Shelf Registration Statement, file a prospectus supplement to include such Stockholders as selling stockholders in such Registration Statement or (ii) if it is not eligible for use of Form S-3 in connection with a secondary public offering of its equity securities, file a post-effective amendment to the Registration Statement to include such Stockholders in such Shelf Registration and use commercially reasonable efforts to have such post-effective amendment declared effective.</w:t>
      </w:r>
    </w:p>
    <w:p>
      <w:pPr>
        <w:spacing w:after="0" w:line="69" w:lineRule="exact"/>
        <w:rPr>
          <w:rFonts w:ascii="Arial" w:cs="Arial" w:eastAsia="Arial" w:hAnsi="Arial"/>
          <w:sz w:val="17"/>
          <w:szCs w:val="17"/>
          <w:color w:val="auto"/>
        </w:rPr>
      </w:pPr>
    </w:p>
    <w:p>
      <w:pPr>
        <w:ind w:left="-40" w:right="20" w:firstLine="444"/>
        <w:spacing w:after="0" w:line="285" w:lineRule="auto"/>
        <w:tabs>
          <w:tab w:leader="none" w:pos="62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Upon the Company becoming aware that it is a “</w:t>
      </w: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(as defined in Rule 405 under the Securities Act), (i) the Company shall give written notice to all of the Stockholders as promptly as practicable but in no event later than 10 Business Days thereafter, and such notice shall describe, in reasonable detail, the basis on which the Company has become a Well-Known Seasoned Issuer, and (ii) the Company shall, as promptly as practicable and subject to any Suspension Period, register, under an Automatic Shelf Registration Statement, the sale of all of the Registrable Securities in accordance with the terms of this Agreement. The Company shall use its commercially reasonable efforts to file such Automatic Shelf Registration Statement as promptly as practicable, but in no event later than 20 Business Days after it becomes a Well-Known Seasoned Issuer, and to cause such Automatic Shelf Registration Statement to remain effective thereafter until the date set forth in Section 2.04(a)(ii). The Company shall give written notice of filing such Registration Statement to all of the Stockholders as promptly as practicable thereafter. The Company shall not be required to include any Stockholder as a selling stockholder in any Registration Statement or prospectus unless such Stockholder has complied with Section 2.15. At any time after the filing of an Automatic Shelf Registration Statement by the Company, if it is reasonably likely that it will no longer be a Well-Known Seasoned Issuer as of a future determination date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at least 20 Business Days prior to such Determination Date, the Company shall (A) give written notice thereof to all of the Stockholders as promptly as practicable but in no event later than 10 Business Days prior to such Determination Date and (B) if the Company is eligible to file a Registration Statement on Form S-3 with respect to a secondary public offering of its equity securities, file a Registration Statement on Form S-3 with respect to a Shelf Registration in accordance with Section 2.02(a), treating all selling Stockholders identified as such in the Automatic Shelf Registration Statement (and amendments or supplements thereto) as Requesting Stockholders and use all commercially reasonable efforts to have such Registration Statement declared effective prior to the Determination Date. Any registration pursuant to this Section 2.02(f) shall be deemed a Shelf Registration for purposes of this Agreement.</w:t>
      </w:r>
    </w:p>
    <w:p>
      <w:pPr>
        <w:spacing w:after="0" w:line="67" w:lineRule="exact"/>
        <w:rPr>
          <w:rFonts w:ascii="Arial" w:cs="Arial" w:eastAsia="Arial" w:hAnsi="Arial"/>
          <w:sz w:val="16"/>
          <w:szCs w:val="16"/>
          <w:color w:val="auto"/>
        </w:rPr>
      </w:pPr>
    </w:p>
    <w:p>
      <w:pPr>
        <w:ind w:left="-40" w:right="440" w:firstLine="444"/>
        <w:spacing w:after="0" w:line="277" w:lineRule="auto"/>
        <w:tabs>
          <w:tab w:leader="none" w:pos="65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Notwithstanding anything to the contrary, no Shelf Registration pursuant to this Section 2.02 shall be deemed a Demand Registration for purposes of Section 2.01.</w:t>
      </w:r>
    </w:p>
    <w:p>
      <w:pPr>
        <w:spacing w:after="0" w:line="62" w:lineRule="exact"/>
        <w:rPr>
          <w:rFonts w:ascii="Arial" w:cs="Arial" w:eastAsia="Arial" w:hAnsi="Arial"/>
          <w:sz w:val="18"/>
          <w:szCs w:val="18"/>
          <w:color w:val="auto"/>
        </w:rPr>
      </w:pPr>
    </w:p>
    <w:p>
      <w:pPr>
        <w:ind w:left="660" w:hanging="256"/>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0" w:firstLine="428"/>
        <w:spacing w:after="0" w:line="290" w:lineRule="auto"/>
        <w:tabs>
          <w:tab w:leader="none" w:pos="103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the Company proposes to register any Company Securities under the Securities Act (other than a registration on Form S-8 or Form S-4 relating to Shares or any other class of Company Securities issuable upon exercise of employee stock options or in connection with any employee benefit or similar plan of the Company or in connection with a direct or indirect acquisition by the Company of another Person) other than in connection with a rights offering, whether or not for sale for its own account, the Company shall each such time give prompt notice (via electronic transmission) at least 10 Business Days prior to the anticipated filing date of the registration statement relating to such registration to each Stockholder, which notice shall offer such Stockholder the opportunity to include in such registration statement the number of Registrable Securities of the same class or series as those proposed to be registered as each such Stockholder may request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subject to the provisions of Section 2.02(h)(ii). Upon the request of any such Stockholder made within 10 Business Days after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261" w:name="page262"/>
    <w:bookmarkEnd w:id="261"/>
    <w:p>
      <w:pPr>
        <w:ind w:left="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of notice from the Company regarding a Piggyback Registration (which request shall specify the number of Registrable Securities intended to be registered by such Stockholder), the Company shall use its commercially reasonable efforts to effect the registration under the Securities Act of all Registrable Securities that the Company has been so requested to register by all such Requesting Stockholders, to the extent requisite to permit the disposition of the Registrable Securities so to be registered in accordance with the plan of distribution intended by the Company for such registration statement; provided that (i) if such registration involves a Public Offering, all such Registering Stockholders requesting to be included in the Company’s registration must sell their Registrable Securities to the underwriters selected as provided in Section 2.04(f)(i) on the same terms and conditions as apply to the Company and (ii) if, at any time after giving notice of its intention to register any Company Securities pursuant to this Section 2.02(h) and prior to the effective date of the registration statement filed in connection with such registration, the Company shall determine for any reason not to register such securities, the Company shall give notice to all Registering Stockholders and, thereupon, shall be relieved of its obligation to register any Registrable Securities in connection with such registration. No registration effected under this Section 2.02(h) shall relieve the Company of its obligations to effect a Demand Registration to the extent required by Section 2.01 or a Shelf Registration to the extent required by Section 2.02. The Company shall pay all Registration Expenses in connection with each Piggyback Registration.</w:t>
      </w:r>
    </w:p>
    <w:p>
      <w:pPr>
        <w:spacing w:after="0" w:line="80" w:lineRule="exact"/>
        <w:rPr>
          <w:sz w:val="20"/>
          <w:szCs w:val="20"/>
          <w:color w:val="auto"/>
        </w:rPr>
      </w:pPr>
    </w:p>
    <w:p>
      <w:pPr>
        <w:ind w:left="436" w:firstLine="428"/>
        <w:spacing w:after="0" w:line="302" w:lineRule="auto"/>
        <w:tabs>
          <w:tab w:leader="none" w:pos="112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If a Piggyback Registration involves a Public Offering (other than any Demand Registration, in which case the provisions with respect to priority of inclusion in such offering set forth in Section 2.01(d) shall apply) and the lead managing underwriter advises the Company that, in its view, the number of Registrable Securities that the Company and such Registering Stockholders intend to include in such registration exceeds the Maximum Offering Size, the Company shall include in such registration, in the following priority, up to the Maximum Offering Size:</w:t>
      </w:r>
    </w:p>
    <w:p>
      <w:pPr>
        <w:spacing w:after="0" w:line="46" w:lineRule="exact"/>
        <w:rPr>
          <w:rFonts w:ascii="Arial" w:cs="Arial" w:eastAsia="Arial" w:hAnsi="Arial"/>
          <w:sz w:val="16"/>
          <w:szCs w:val="16"/>
          <w:color w:val="auto"/>
        </w:rPr>
      </w:pPr>
    </w:p>
    <w:p>
      <w:pPr>
        <w:ind w:left="996" w:right="500" w:firstLine="397"/>
        <w:spacing w:after="0" w:line="277" w:lineRule="auto"/>
        <w:tabs>
          <w:tab w:leader="none" w:pos="169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first, so much of the Company Securities proposed to be registered for the account of the Company as would not cause the offering to exceed the Maximum Offering Size;</w:t>
      </w:r>
    </w:p>
    <w:p>
      <w:pPr>
        <w:spacing w:after="0" w:line="62" w:lineRule="exact"/>
        <w:rPr>
          <w:rFonts w:ascii="Arial" w:cs="Arial" w:eastAsia="Arial" w:hAnsi="Arial"/>
          <w:sz w:val="18"/>
          <w:szCs w:val="18"/>
          <w:color w:val="auto"/>
        </w:rPr>
      </w:pPr>
    </w:p>
    <w:p>
      <w:pPr>
        <w:jc w:val="both"/>
        <w:ind w:left="996" w:right="160" w:firstLine="397"/>
        <w:spacing w:after="0" w:line="259" w:lineRule="auto"/>
        <w:tabs>
          <w:tab w:leader="none" w:pos="168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second, all Registrable Securities requested to be included in such registration by any Registering Stockholders pursuant to this Section 2.02(h) (allocated, if necessary for the offering not to exceed the Maximum Offering Size, pro rata among such Stockholders on the basis of the relative number of shares of Registrable Securities so requested to be included in such registration by each such Stockholder); and</w:t>
      </w:r>
    </w:p>
    <w:p>
      <w:pPr>
        <w:spacing w:after="0" w:line="78" w:lineRule="exact"/>
        <w:rPr>
          <w:rFonts w:ascii="Arial" w:cs="Arial" w:eastAsia="Arial" w:hAnsi="Arial"/>
          <w:sz w:val="18"/>
          <w:szCs w:val="18"/>
          <w:color w:val="auto"/>
        </w:rPr>
      </w:pPr>
    </w:p>
    <w:p>
      <w:pPr>
        <w:ind w:left="996" w:right="560" w:firstLine="397"/>
        <w:spacing w:after="0" w:line="277" w:lineRule="auto"/>
        <w:tabs>
          <w:tab w:leader="none" w:pos="168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70"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117" w:lineRule="exact"/>
        <w:rPr>
          <w:sz w:val="20"/>
          <w:szCs w:val="20"/>
          <w:color w:val="auto"/>
        </w:rPr>
      </w:pPr>
    </w:p>
    <w:p>
      <w:pPr>
        <w:ind w:left="-4" w:right="20" w:firstLine="444"/>
        <w:spacing w:after="0" w:line="286" w:lineRule="auto"/>
        <w:tabs>
          <w:tab w:leader="none" w:pos="68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Each Stockholder hereby agrees that it will not effect any public sale or distribution (including sales pursuant to Rule 144) of Registrable Securities (i) during (A) the 10 days prior to and the 90-day period beginning on the effective date of the registration of such Registrable Securities in connection with a Public Offering (which period following the effective date may, in each case, be extended as reasonably requested by the underwriters participating in such Public Offering to accommodate regulatory restrictions on (I) the publication or other distribution of research reports and</w:t>
      </w:r>
    </w:p>
    <w:p>
      <w:pPr>
        <w:spacing w:after="0" w:line="1" w:lineRule="exact"/>
        <w:rPr>
          <w:rFonts w:ascii="Arial" w:cs="Arial" w:eastAsia="Arial" w:hAnsi="Arial"/>
          <w:sz w:val="16"/>
          <w:szCs w:val="16"/>
          <w:color w:val="auto"/>
        </w:rPr>
      </w:pPr>
    </w:p>
    <w:p>
      <w:pPr>
        <w:ind w:left="-4" w:right="400" w:firstLine="4"/>
        <w:spacing w:after="0" w:line="255" w:lineRule="auto"/>
        <w:tabs>
          <w:tab w:leader="none" w:pos="28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analyst recommendations and opinions, including, but not limited to, the restrictions contained in FINRA rules or any successor provisions or amendments thereto) or (B) such shorter period as the underwriters participating in such Public Offering may require, and (ii) upon notice from the Company of the</w:t>
      </w:r>
    </w:p>
    <w:p>
      <w:pPr>
        <w:spacing w:after="0" w:line="1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4" w:right="459" w:bottom="1440" w:gutter="0" w:footer="0" w:header="0"/>
        </w:sectPr>
      </w:pPr>
    </w:p>
    <w:bookmarkStart w:id="262" w:name="page263"/>
    <w:bookmarkEnd w:id="26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commencement of a Public Offering in connection with any Shelf Registration, during (A) 10 days prior to and the 90-day period beginning on the date of commencement of such Public Offering or (B) such shorter period as the underwriters participating in such Public Offering may require, in each case except as part of such Public Offering. Each Stockholder agrees to execute a lock-up agreement in favor of the underwriters in form and substance reasonably acceptable to the Company and the underwriters to such effect and, in any event, that the underwriters in any relevant offering shall be third party beneficiaries of this Section 2.03(a). The lock-up agreement to be executed by each Stockholder pursuant to this Section 2.03(a) shall be no less favorable to such Stockholder than the lock-up agreements (or provisions in any underwriting agreement) executed by the Company or any of the executive officers or directors of the Company pursuant to Section 2.03(b).</w:t>
      </w:r>
    </w:p>
    <w:p>
      <w:pPr>
        <w:spacing w:after="0" w:line="70" w:lineRule="exact"/>
        <w:rPr>
          <w:sz w:val="20"/>
          <w:szCs w:val="20"/>
          <w:color w:val="auto"/>
        </w:rPr>
      </w:pPr>
    </w:p>
    <w:p>
      <w:pPr>
        <w:ind w:firstLine="444"/>
        <w:spacing w:after="0" w:line="268" w:lineRule="auto"/>
        <w:tabs>
          <w:tab w:leader="none" w:pos="69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Company shall not effect any public sale or distribution of securities of the same type and class as Registrable Securities (except pursuant to registrations on Form S-8 or Form S-4) (i) with respect to any Public Offering pursuant to a Demand Registration or any Piggyback Registration in which the holders of Registrable Securities are participating, during (A) the 10 days prior to and the 90-day period beginning on the effective date of such registration (which period following the effective date may, in each case, be extended as reasonably requested by the underwriters participating in such Public Offering to accommodate regulatory restrictions on (I) the publication or other distribution of research reports and (II) analyst recommendations and opinions, including, but not limited to, the restrictions contained in FINRA rules or any successor provisions or amendments thereto) or (B) such shorter period as the underwriters participating in such Public Offering may require, and (ii) upon notice from any holder(s) of Registrable Securities subject to a Shelf Registration that such holder(s) intend to effect a Public Offering of Registrable Securities pursuant to such Shelf Registration (upon receipt of which, the Company will promptly notify all other Stockholders of the date of commencement of such Public Offering), during (A) the 10 days prior to and the 90-day period beginning on the date of commencement of such Public Offering and (B) such shorter period as the underwriters participating in such Public Offering may require), in each case except as part of such Public Offering. To the extent required by any underwriter participating in such Public Offering, the Company shall use commercially reasonable efforts to cause its executive officers and directors to execute customary lock-up agreements in connection with such Public Offering, which lock-up agreements shall not have a duration shorter than that of the lock-up agreement or provisions applicable to the Company.</w:t>
      </w:r>
    </w:p>
    <w:p>
      <w:pPr>
        <w:spacing w:after="0" w:line="18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Registration Procedures</w:t>
      </w:r>
      <w:r>
        <w:rPr>
          <w:rFonts w:ascii="Arial" w:cs="Arial" w:eastAsia="Arial" w:hAnsi="Arial"/>
          <w:sz w:val="18"/>
          <w:szCs w:val="18"/>
          <w:i w:val="1"/>
          <w:iCs w:val="1"/>
          <w:color w:val="auto"/>
        </w:rPr>
        <w:t>.</w:t>
      </w:r>
      <w:r>
        <w:rPr>
          <w:rFonts w:ascii="Arial" w:cs="Arial" w:eastAsia="Arial" w:hAnsi="Arial"/>
          <w:sz w:val="18"/>
          <w:szCs w:val="18"/>
          <w:color w:val="auto"/>
        </w:rPr>
        <w:t xml:space="preserve"> Whenever a Stockholder requests that any Registrable Securities be registered pursuant to Section 2.01 or Section 2.02, subject to the provisions of such Sections, the Company shall use its commercially reasonable efforts to effect the registration and the sale of such Registrable Securities in accordance with the intended method of disposition thereof as soon as reasonably practicable and, in connection with any such request:</w:t>
      </w:r>
    </w:p>
    <w:p>
      <w:pPr>
        <w:spacing w:after="0" w:line="79" w:lineRule="exact"/>
        <w:rPr>
          <w:sz w:val="20"/>
          <w:szCs w:val="20"/>
          <w:color w:val="auto"/>
        </w:rPr>
      </w:pPr>
    </w:p>
    <w:p>
      <w:pPr>
        <w:ind w:right="40" w:firstLine="444"/>
        <w:spacing w:after="0" w:line="291" w:lineRule="auto"/>
        <w:tabs>
          <w:tab w:leader="none" w:pos="68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shall as soon as reasonably practicable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its commercially reasonable efforts to cause such filed Registration Statement to become and remain effective for a period of (i) not less than 180 days (or, if sooner, until all Registrable Securities have been sold under such Registration Statement), or (ii) in the case of a Shelf Registration, until the earlier of the date (x) on which all of the securities covered by such Shelf Registration are no longer Registrable Securities and (y) on which the Company cannot extend the effectiveness of such Shelf Registration because it is no longer eligible for use of Form S-3; subject in each case to any Suspension Period.</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263" w:name="page264"/>
    <w:bookmarkEnd w:id="263"/>
    <w:p>
      <w:pPr>
        <w:ind w:right="40" w:firstLine="444"/>
        <w:spacing w:after="0" w:line="285" w:lineRule="auto"/>
        <w:tabs>
          <w:tab w:leader="none" w:pos="696" w:val="left"/>
        </w:tabs>
        <w:numPr>
          <w:ilvl w:val="1"/>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filing a Registration Statement or related prospectus or any amendment or supplement thereto, or before using any Free Writing Prospectus, the Company shall provide each Registering Stockholder, the Holders’ Counsel and each underwriter, if any, with an adequate and appropriate opportunity to review and comment on such Registration Statement, each prospectus included therein (and each amendment or supplement thereto) and each Free Writing Prospectus proposed to be filed with the SEC, and thereafter the Company shall furnish to such Registering Stockholder, the Holders’ Counsel and underwriter, if any, such number of copies of such Registration Statement, each amendment and supplement thereto filed with the SEC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each Free Writing Prospectus and such other documents as such Registering Stockholder or underwriter may reasonably request in order to facilitate the disposition of the Registrable Securities owned by such Registering Stockholder. In addition, the Company shall, as expeditiously as practicable, keep Holders’ Counsel advised in writing as to the initiation and progress of any registration under Section 2.01 or Section 2.02 and provide Holders’ Counsel with copies of all correspondence (including any comment letter) with the SEC, any self-regulatory organization or other governmental agency in connection with any such Registration Statement. Each Registering Stockholder shall have the right to request that the Company modify any information pertaining to such Registering Stockholder contained in such Registration Statement, amendment and supplement thereto or any Free Writing Prospectus, and the Company shall use its commercially reasonable efforts to comply with such request; provided, however, that the Company shall not have any obligation to so modify any information if the Company reasonably expects that so doing would cause the prospectus to contain an untrue statement of a material fact or omit to state any material fact required to be stated therein or necessary to make the statements therein not misleading.</w:t>
      </w:r>
    </w:p>
    <w:p>
      <w:pPr>
        <w:spacing w:after="0" w:line="67" w:lineRule="exact"/>
        <w:rPr>
          <w:rFonts w:ascii="Arial" w:cs="Arial" w:eastAsia="Arial" w:hAnsi="Arial"/>
          <w:sz w:val="16"/>
          <w:szCs w:val="16"/>
          <w:color w:val="auto"/>
        </w:rPr>
      </w:pPr>
    </w:p>
    <w:p>
      <w:pPr>
        <w:ind w:right="20" w:firstLine="444"/>
        <w:spacing w:after="0" w:line="272" w:lineRule="auto"/>
        <w:tabs>
          <w:tab w:leader="none" w:pos="685"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applicable to the Company with respect to the disposition of all Registrable Securities covered by such Registration Statement during the applicable period in accordance with the intended methods of disposition by the Registering Stockholder thereof set forth in such Registration Statement or supplement to such prospectus and (iii) promptly notify each Registering Stockholder holding Registrable Securities covered by such Registration Statement and the Holders’ Counsel of any stop order issued or threatened by the SEC or any state securities commission and take all commercially reasonable actions required to prevent the entry of such stop order or to remove it if entered.</w:t>
      </w:r>
    </w:p>
    <w:p>
      <w:pPr>
        <w:spacing w:after="0" w:line="69" w:lineRule="exact"/>
        <w:rPr>
          <w:rFonts w:ascii="Arial" w:cs="Arial" w:eastAsia="Arial" w:hAnsi="Arial"/>
          <w:sz w:val="17"/>
          <w:szCs w:val="17"/>
          <w:color w:val="auto"/>
        </w:rPr>
      </w:pPr>
    </w:p>
    <w:p>
      <w:pPr>
        <w:ind w:firstLine="444"/>
        <w:spacing w:after="0" w:line="283" w:lineRule="auto"/>
        <w:tabs>
          <w:tab w:leader="none" w:pos="696"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(i) register or qualify the Registrable Securities covered by such Registration Statement under such securities or “blue sky” laws of such jurisdictions in the United States as any Registering Stockholder holding such Registrable Securities reasonably (in light of such Registering Stockholder’s intended plan of distribution) requests, and continue such registration or qualification in effect in such jurisdiction for the shortest of (A) as long as permissible pursuant to the laws of such jurisdiction, (B) as long as any such Registering Stockholder requests or (C) until all such Registrable Securities are sold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Registering Stockholder to consummate the disposition of the Registrable Securities owned by such Registering Stockholder; provided that the Company shall not be required to (A) qualify generally to do business in any jurisdiction where it would not otherwise be required to qualify but for this Section 2.04(d), (B) subject itself to taxation in any such jurisdiction or</w:t>
      </w:r>
    </w:p>
    <w:p>
      <w:pPr>
        <w:spacing w:after="0" w:line="6" w:lineRule="exact"/>
        <w:rPr>
          <w:rFonts w:ascii="Arial" w:cs="Arial" w:eastAsia="Arial" w:hAnsi="Arial"/>
          <w:sz w:val="16"/>
          <w:szCs w:val="16"/>
          <w:color w:val="auto"/>
        </w:rPr>
      </w:pPr>
    </w:p>
    <w:p>
      <w:pPr>
        <w:ind w:left="280" w:hanging="276"/>
        <w:spacing w:after="0"/>
        <w:tabs>
          <w:tab w:leader="none" w:pos="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64" w:name="page265"/>
    <w:bookmarkEnd w:id="264"/>
    <w:p>
      <w:pPr>
        <w:ind w:left="676" w:hanging="236"/>
        <w:spacing w:after="0"/>
        <w:tabs>
          <w:tab w:leader="none" w:pos="676" w:val="left"/>
        </w:tabs>
        <w:numPr>
          <w:ilvl w:val="1"/>
          <w:numId w:val="1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promptly notify each Registering Stockholder holding such Registrable Securities covered by such Registration Statement</w:t>
      </w:r>
    </w:p>
    <w:p>
      <w:pPr>
        <w:spacing w:after="0" w:line="46" w:lineRule="exact"/>
        <w:rPr>
          <w:rFonts w:ascii="Arial" w:cs="Arial" w:eastAsia="Arial" w:hAnsi="Arial"/>
          <w:sz w:val="16"/>
          <w:szCs w:val="16"/>
          <w:color w:val="auto"/>
        </w:rPr>
      </w:pPr>
    </w:p>
    <w:p>
      <w:pPr>
        <w:ind w:left="-4" w:firstLine="4"/>
        <w:spacing w:after="0" w:line="267" w:lineRule="auto"/>
        <w:tabs>
          <w:tab w:leader="none" w:pos="21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at any time when a prospectus relating thereto is required to be delivered under the Securities Act, upon the discovery that, or upon the occurrence of an event as a result of which, the preparation of a supplement or amendment to such prospectus is required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the Company shall promptly (subject to any applicable Suspension Period) prepare and make available to each Registering Stockholder and file with the SEC any such supplement or amendment, (ii) as soon as the Company becomes aware of any request by the SEC or any federal or state governmental authority for amendments or supplements to a Registration Statement or related prospectus covering Registrable Securities or for additional information relating thereto, (iii) as soon as the Company becomes aware of the issuance or threatened issuance by the SEC of any stop order suspending or threatening to suspend the effectiveness of a Registration Statement covering the Registrable Securities or (iv) of the receipt by the Company of any notification with respect to the suspension of the qualification or exemption from qualification of any Registrable Securities for sale in any jurisdiction, or the initiation or threatening of any proceeding for such purpose.</w:t>
      </w:r>
    </w:p>
    <w:p>
      <w:pPr>
        <w:spacing w:after="0" w:line="78" w:lineRule="exact"/>
        <w:rPr>
          <w:rFonts w:ascii="Arial" w:cs="Arial" w:eastAsia="Arial" w:hAnsi="Arial"/>
          <w:sz w:val="17"/>
          <w:szCs w:val="17"/>
          <w:color w:val="auto"/>
        </w:rPr>
      </w:pPr>
    </w:p>
    <w:p>
      <w:pPr>
        <w:ind w:left="-4" w:right="40" w:firstLine="444"/>
        <w:spacing w:after="0" w:line="289" w:lineRule="auto"/>
        <w:tabs>
          <w:tab w:leader="none" w:pos="662"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 The Registering Stockholders holding a majority of the Registrable Securities to be included in a Demand Registration or intended to be sold pursuant to a Public Offering pursuant to a “take down” under a Shelf Registration shall have the right to select an underwriter or underwriters in connection with such Public Offering or “take down” (as the case may be) (which underwriter or underwriters may include any Affiliate of any Registering Stockholder so long as including such Affiliate would not require the separate engagement of a qualified independent underwriter with respect to such offering), subject to the Company’s approval (which shall not be unreasonably withheld, conditioned or delayed) and (ii) the Company shall select an underwriter or underwriters in connection with any other Public Offering. In connection with any Public Offering, the Company shall enter into customary agreements (including an underwriting agreement in customary form) and take all other actions as are reasonably required in order to expedite or facilitate the disposition of such Registrable Securities in any such Public Offering, including, if required, the engagement of a “qualified independent underwriter” in connection with the qualification of the underwriting arrangements with FINRA.</w:t>
      </w:r>
    </w:p>
    <w:p>
      <w:pPr>
        <w:spacing w:after="0" w:line="58" w:lineRule="exact"/>
        <w:rPr>
          <w:rFonts w:ascii="Arial" w:cs="Arial" w:eastAsia="Arial" w:hAnsi="Arial"/>
          <w:sz w:val="16"/>
          <w:szCs w:val="16"/>
          <w:color w:val="auto"/>
        </w:rPr>
      </w:pPr>
    </w:p>
    <w:p>
      <w:pPr>
        <w:ind w:left="-4" w:right="80" w:firstLine="444"/>
        <w:spacing w:after="0" w:line="272" w:lineRule="auto"/>
        <w:tabs>
          <w:tab w:leader="none" w:pos="69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Subject to confidentiality arrangements customarily applicable to underwriters and the Registering Stockholders, the Company shall make available for inspection by any Registering Stockholder and any underwriter participating in any disposition pursuant to a Registration Statement being filed by the Company pursuant to this Section 2.04 and any attorney, accountant or other professional retained by any such Stockholder or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records, pertinent corporate documents and properties of the Company and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shall be reasonably necessary or desirable to enable them to exercise their due diligence responsibility, and cause the Company’s officers, directors, managers and employees (and those of the Company’s Subsidiaries) to supply all information reasonably requested by any Inspectors in connection with such Registration Statement.</w:t>
      </w:r>
    </w:p>
    <w:p>
      <w:pPr>
        <w:spacing w:after="0" w:line="69" w:lineRule="exact"/>
        <w:rPr>
          <w:rFonts w:ascii="Arial" w:cs="Arial" w:eastAsia="Arial" w:hAnsi="Arial"/>
          <w:sz w:val="17"/>
          <w:szCs w:val="17"/>
          <w:color w:val="auto"/>
        </w:rPr>
      </w:pPr>
    </w:p>
    <w:p>
      <w:pPr>
        <w:ind w:left="-4" w:right="80" w:firstLine="444"/>
        <w:spacing w:after="0" w:line="279" w:lineRule="auto"/>
        <w:tabs>
          <w:tab w:leader="none" w:pos="69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Company shall furnish to each Registering Stockholder and to each such underwriter, if any, a signed counterpart, addressed to such Registering Stockholder or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any Registering Stockholder or the lead managing underwriter therefor reasonably requests.</w:t>
      </w:r>
    </w:p>
    <w:p>
      <w:pPr>
        <w:spacing w:after="0" w:line="104"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76"/>
          </w:cols>
          <w:pgMar w:left="444" w:top="274" w:right="479" w:bottom="1440" w:gutter="0" w:footer="0" w:header="0"/>
        </w:sectPr>
      </w:pPr>
    </w:p>
    <w:bookmarkStart w:id="265" w:name="page266"/>
    <w:bookmarkEnd w:id="265"/>
    <w:p>
      <w:pPr>
        <w:ind w:right="180" w:firstLine="444"/>
        <w:spacing w:after="0" w:line="264" w:lineRule="auto"/>
        <w:tabs>
          <w:tab w:leader="none" w:pos="656" w:val="left"/>
        </w:tabs>
        <w:numPr>
          <w:ilvl w:val="1"/>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otherwise comply with all applicable rules and regulations of the SEC, and make available to its security holders, as soon as reasonably available, an earnings statement or such other document that shall satisfy the provisions of Section 11(a) of the Securities Act and the requirements of Rule 158 thereunder.</w:t>
      </w:r>
    </w:p>
    <w:p>
      <w:pPr>
        <w:spacing w:after="0" w:line="73" w:lineRule="exact"/>
        <w:rPr>
          <w:rFonts w:ascii="Arial" w:cs="Arial" w:eastAsia="Arial" w:hAnsi="Arial"/>
          <w:sz w:val="18"/>
          <w:szCs w:val="18"/>
          <w:color w:val="auto"/>
        </w:rPr>
      </w:pPr>
    </w:p>
    <w:p>
      <w:pPr>
        <w:ind w:right="260" w:firstLine="444"/>
        <w:spacing w:after="0" w:line="264" w:lineRule="auto"/>
        <w:tabs>
          <w:tab w:leader="none" w:pos="65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Company may require each Registering Stockholder promptly to furnish in writing to the Company such information regarding the distribution of the Registrable Securities as the Company may from time to time reasonably request and such other information as may be reasonably required in connection with such registration.</w:t>
      </w:r>
    </w:p>
    <w:p>
      <w:pPr>
        <w:spacing w:after="0" w:line="73" w:lineRule="exact"/>
        <w:rPr>
          <w:rFonts w:ascii="Arial" w:cs="Arial" w:eastAsia="Arial" w:hAnsi="Arial"/>
          <w:sz w:val="18"/>
          <w:szCs w:val="18"/>
          <w:color w:val="auto"/>
        </w:rPr>
      </w:pPr>
    </w:p>
    <w:p>
      <w:pPr>
        <w:ind w:firstLine="444"/>
        <w:spacing w:after="0" w:line="288" w:lineRule="auto"/>
        <w:tabs>
          <w:tab w:leader="none" w:pos="696"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Each Registering Stockholder agrees that, upon receipt of any notice from the Company of the happening of any event of the kind described in Section 2.04(e), such Stockholder shall forthwith discontinue disposition of Registrable Securities pursuant to the Registration Statement (including any Shelf Registration) covering such Registrable Securities until such Stockholder’s receipt of (i) copies of the supplemented or amended prospectus from the Company or (ii) further notice from the Company that distribution can proceed without an amended or supplemented prospectus, and, in the circumstances described in clause (i), if so directed by the Company, such Stockholder shall deliver to the Company all copies, other than any permanent file copies then in such Stockholder’s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2.04(a)) by the number of days during the period from and including the date of the giving of notice pursuant to Section 2.04(e) to the date when the Company shall (x) make available to such Stockholder a prospectus supplemented or amended to conform with the requirements of Section 2.04(e) or (y) deliver to such Stockholder the notice described in clause (ii).</w:t>
      </w:r>
    </w:p>
    <w:p>
      <w:pPr>
        <w:spacing w:after="0" w:line="61" w:lineRule="exact"/>
        <w:rPr>
          <w:rFonts w:ascii="Arial" w:cs="Arial" w:eastAsia="Arial" w:hAnsi="Arial"/>
          <w:sz w:val="16"/>
          <w:szCs w:val="16"/>
          <w:color w:val="auto"/>
        </w:rPr>
      </w:pPr>
    </w:p>
    <w:p>
      <w:pPr>
        <w:ind w:right="120" w:firstLine="444"/>
        <w:spacing w:after="0" w:line="342" w:lineRule="auto"/>
        <w:tabs>
          <w:tab w:leader="none" w:pos="656"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list all Registrable Securities of any class or series covered by such Registration Statement on any national securities exchange on which any of the Registrable Securities of such class or series are then listed or traded.</w:t>
      </w:r>
    </w:p>
    <w:p>
      <w:pPr>
        <w:spacing w:after="0" w:line="15" w:lineRule="exact"/>
        <w:rPr>
          <w:rFonts w:ascii="Arial" w:cs="Arial" w:eastAsia="Arial" w:hAnsi="Arial"/>
          <w:sz w:val="16"/>
          <w:szCs w:val="16"/>
          <w:color w:val="auto"/>
        </w:rPr>
      </w:pPr>
    </w:p>
    <w:p>
      <w:pPr>
        <w:ind w:right="240" w:firstLine="444"/>
        <w:spacing w:after="0" w:line="291" w:lineRule="auto"/>
        <w:tabs>
          <w:tab w:leader="none" w:pos="746" w:val="left"/>
        </w:tabs>
        <w:numPr>
          <w:ilvl w:val="1"/>
          <w:numId w:val="180"/>
        </w:numPr>
        <w:rPr>
          <w:rFonts w:ascii="Arial" w:cs="Arial" w:eastAsia="Arial" w:hAnsi="Arial"/>
          <w:sz w:val="16"/>
          <w:szCs w:val="16"/>
          <w:color w:val="auto"/>
        </w:rPr>
      </w:pPr>
      <w:r>
        <w:rPr>
          <w:rFonts w:ascii="Arial" w:cs="Arial" w:eastAsia="Arial" w:hAnsi="Arial"/>
          <w:sz w:val="16"/>
          <w:szCs w:val="16"/>
          <w:color w:val="auto"/>
        </w:rPr>
        <w:t>Upon written request (which request shall be given with reasonable advance notice) to the Company by Registering Stockholders holding a majority of the Registrable Securities being sold in such offering, the Company shall have appropriate officers of the Company or its Subsidiaries</w:t>
      </w:r>
    </w:p>
    <w:p>
      <w:pPr>
        <w:ind w:right="140" w:firstLine="4"/>
        <w:spacing w:after="0" w:line="277" w:lineRule="auto"/>
        <w:tabs>
          <w:tab w:leader="none" w:pos="21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upon reasonable request and at reasonable times prepare and make presentations at any “road shows” and before analysts and rating agencies, as the case may be, (ii) take other actions to obtain ratings for any Registrable Securities and (iii) otherwise use its commercially reasonable efforts to cooperate as requested by the underwriters in the offering, marketing or selling of the Registrable Securities.</w:t>
      </w:r>
    </w:p>
    <w:p>
      <w:pPr>
        <w:spacing w:after="0" w:line="65" w:lineRule="exact"/>
        <w:rPr>
          <w:rFonts w:ascii="Arial" w:cs="Arial" w:eastAsia="Arial" w:hAnsi="Arial"/>
          <w:sz w:val="17"/>
          <w:szCs w:val="17"/>
          <w:color w:val="auto"/>
        </w:rPr>
      </w:pPr>
    </w:p>
    <w:p>
      <w:pPr>
        <w:ind w:right="160" w:firstLine="444"/>
        <w:spacing w:after="0" w:line="255" w:lineRule="auto"/>
        <w:tabs>
          <w:tab w:leader="none" w:pos="69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as soon as possible following its actual knowledge thereof, notify each Registering Stockholder: (A) when a prospectus, any prospectus supplement, a Registration Statement or a post-effective amendment to a Registration Statement has been filed with the SEC, and, with respect to a Registration Statement or any post-effective amendment, when the same has become effective; (B) of any request by the SEC or any other federal or state governmental authority for amendments or supplements to a Registration Statement, a related prospectus (including a Free Writing Prospectus) or any other additional information; or (C) of the receipt by the Company of any notification with respect to the suspension of the qualification or exemption from qualification of any of the Registrable Securities for sale in any jurisdiction or the initiation or threatening of any proceedings for such purpose.</w:t>
      </w:r>
    </w:p>
    <w:p>
      <w:pPr>
        <w:spacing w:after="0" w:line="81" w:lineRule="exact"/>
        <w:rPr>
          <w:rFonts w:ascii="Arial" w:cs="Arial" w:eastAsia="Arial" w:hAnsi="Arial"/>
          <w:sz w:val="18"/>
          <w:szCs w:val="18"/>
          <w:color w:val="auto"/>
        </w:rPr>
      </w:pPr>
    </w:p>
    <w:p>
      <w:pPr>
        <w:ind w:right="440" w:firstLine="444"/>
        <w:spacing w:after="0" w:line="277" w:lineRule="auto"/>
        <w:tabs>
          <w:tab w:leader="none" w:pos="69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Company shall reasonably cooperate with each Registering Stockholder and each underwriter participating in the disposition of such Registrable Securities and their respective counsel in connection with any filings required to be made by FINRA.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66" w:name="page267"/>
    <w:bookmarkEnd w:id="266"/>
    <w:p>
      <w:pPr>
        <w:ind w:right="120" w:firstLine="444"/>
        <w:spacing w:after="0" w:line="277" w:lineRule="auto"/>
        <w:tabs>
          <w:tab w:leader="none" w:pos="696"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take all other steps reasonably necessary to effect the registration of such Registrable Securities and reasonably cooperate with the holders of such Registrable Securities to facilitate the disposition of such Registrable Securities.</w:t>
      </w:r>
    </w:p>
    <w:p>
      <w:pPr>
        <w:spacing w:after="0" w:line="62" w:lineRule="exact"/>
        <w:rPr>
          <w:rFonts w:ascii="Arial" w:cs="Arial" w:eastAsia="Arial" w:hAnsi="Arial"/>
          <w:sz w:val="18"/>
          <w:szCs w:val="18"/>
          <w:color w:val="auto"/>
        </w:rPr>
      </w:pPr>
    </w:p>
    <w:p>
      <w:pPr>
        <w:ind w:right="220" w:firstLine="444"/>
        <w:spacing w:after="0" w:line="264" w:lineRule="auto"/>
        <w:tabs>
          <w:tab w:leader="none" w:pos="69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shall, within the deadlines specified by the Securities Act, make all required filings of all prospectuses (including any Free Writing Prospectus) with the SEC and make all required filing fee payments in respect of any Registration Statement or related prospectus used under this Agreement (and any offering covered hereby).</w:t>
      </w:r>
    </w:p>
    <w:p>
      <w:pPr>
        <w:spacing w:after="0" w:line="73" w:lineRule="exact"/>
        <w:rPr>
          <w:rFonts w:ascii="Arial" w:cs="Arial" w:eastAsia="Arial" w:hAnsi="Arial"/>
          <w:sz w:val="18"/>
          <w:szCs w:val="18"/>
          <w:color w:val="auto"/>
        </w:rPr>
      </w:pPr>
    </w:p>
    <w:p>
      <w:pPr>
        <w:ind w:right="180" w:firstLine="444"/>
        <w:spacing w:after="0" w:line="264" w:lineRule="auto"/>
        <w:tabs>
          <w:tab w:leader="none" w:pos="66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shall, if such registration is pursuant to a Registration Statement on Form S-3 or any similar short-form registration, include in such Registration Statement such additional information for marketing purposes as the managing underwriter with respect to an underwritten public offering reasonably requests.</w:t>
      </w:r>
    </w:p>
    <w:p>
      <w:pPr>
        <w:spacing w:after="0" w:line="18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Indemnification by the Company</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agrees to indemnify and hold harmless each Registering Stockholder holding Registrable Securities covered by a Registration Statement, its Affiliates, stockholders, members, directors, officers, managers, employees, partners and agents, and each Person, if any, who controls such Registering Stockholder within the meaning of Section 15 of the Securities Act or Section 20 of the Exchange Act (collectively, “</w:t>
      </w:r>
      <w:r>
        <w:rPr>
          <w:rFonts w:ascii="Arial" w:cs="Arial" w:eastAsia="Arial" w:hAnsi="Arial"/>
          <w:sz w:val="17"/>
          <w:szCs w:val="17"/>
          <w:u w:val="single" w:color="auto"/>
          <w:color w:val="auto"/>
        </w:rPr>
        <w:t>Stockholder Parties</w:t>
      </w:r>
      <w:r>
        <w:rPr>
          <w:rFonts w:ascii="Arial" w:cs="Arial" w:eastAsia="Arial" w:hAnsi="Arial"/>
          <w:sz w:val="17"/>
          <w:szCs w:val="17"/>
          <w:color w:val="auto"/>
        </w:rPr>
        <w:t>”) from and against any and all losses, claims, damages, liabilities and expenses (including reasonable expenses of investigation and reasonable attorneys’ fees and expenses) (“</w:t>
      </w:r>
      <w:r>
        <w:rPr>
          <w:rFonts w:ascii="Arial" w:cs="Arial" w:eastAsia="Arial" w:hAnsi="Arial"/>
          <w:sz w:val="17"/>
          <w:szCs w:val="17"/>
          <w:u w:val="single" w:color="auto"/>
          <w:color w:val="auto"/>
        </w:rPr>
        <w:t>Damages</w:t>
      </w:r>
      <w:r>
        <w:rPr>
          <w:rFonts w:ascii="Arial" w:cs="Arial" w:eastAsia="Arial" w:hAnsi="Arial"/>
          <w:sz w:val="17"/>
          <w:szCs w:val="17"/>
          <w:color w:val="auto"/>
        </w:rPr>
        <w:t>”)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provided, however, that the Company shall not be liable to any Stockholder Party for any Damages that are caused by or related to any such untrue statement or omission or alleged untrue statement or omission so made based upon information furnished in writing to the Company by or on behalf of such Registering Stockholder expressly for use therein. The Company also agrees to indemnify and hold harmless any underwriters of the Registrable Securities, their respective officers and directors and each Person who controls any underwriter within the meaning of Section 15 of the Securities Act or Section 20 of the Exchange Act on substantially the same basis as that of the indemnification of the Registering Stockholders provided in this Section 2.05.</w:t>
      </w:r>
    </w:p>
    <w:p>
      <w:pPr>
        <w:spacing w:after="0" w:line="183"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Indemnification by Registering Stockholders</w:t>
      </w:r>
      <w:r>
        <w:rPr>
          <w:rFonts w:ascii="Arial" w:cs="Arial" w:eastAsia="Arial" w:hAnsi="Arial"/>
          <w:sz w:val="17"/>
          <w:szCs w:val="17"/>
          <w:i w:val="1"/>
          <w:iCs w:val="1"/>
          <w:color w:val="auto"/>
        </w:rPr>
        <w:t>.</w:t>
      </w:r>
      <w:r>
        <w:rPr>
          <w:rFonts w:ascii="Arial" w:cs="Arial" w:eastAsia="Arial" w:hAnsi="Arial"/>
          <w:sz w:val="17"/>
          <w:szCs w:val="17"/>
          <w:color w:val="auto"/>
        </w:rPr>
        <w:t xml:space="preserve"> Each Registering Stockholder holding Registrable Securities included in any Registration Statement agrees, severally but not jointly, to indemnify and hold harmless (i) the Company, (ii) each Person, if any, who controls the Company within the meaning of either Section 15 of the Securities Act or Section 20 of the Exchange Act, (iii) each other Registering Stockholder participating in any offering of Registrable Securities and (iv) the respective Affiliates, stockholders, members, directors, officers, managers, employees, partners and agents of each of the Persons specified in clauses (i) through (iii) from and against all Damages to the same extent as the foregoing indemnity from the Company to such Registering Stockholder, but only with respect to information furnished in writing by or on behalf of such Registering Stockholder expressly for use in any Registration Statement or prospectus relating to the Registrable Securities, or any amendment or supplement thereto, or any preliminary prospectus or Free Writing Prospectus relating to the Registrable Securities (including any information that has been deemed to be a part of any prospectus under Rule 159 under the Securities Act). Each Registering Stockholder also agrees to indemnify and hold harmless any underwriters of the Registrable Securities, their respective officers and directors and each Person who controls any underwriter within the meaning of either Section 15 of the Securities Act or Section 20 of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67" w:name="page268"/>
    <w:bookmarkEnd w:id="26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on substantially the same basis as that of the indemnification of the Company and the other Registering Stockholders provided in this Section 2.06. As a condition to including Registrable Securities in any Registration Statement filed in accordance with Article II, the Company may require that it shall have received an undertaking reasonably satisfactory to it from any underwriter to indemnify and hold the Company harmless to the extent customarily provided by underwriters with respect to similar securities and offerings. No Registering Stockholder shall be liable under this Section 2.06 for any Damages in excess of the net proceeds (after deducting the underwriters’ discounts and commissions) realized by such Registering Stockholder in the sale of Registrable Securities of such Registering Stockholder to which such Damages relate.</w:t>
      </w:r>
    </w:p>
    <w:p>
      <w:pPr>
        <w:spacing w:after="0" w:line="178"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Conduct of Indemnification Proceedings</w:t>
      </w:r>
      <w:r>
        <w:rPr>
          <w:rFonts w:ascii="Arial" w:cs="Arial" w:eastAsia="Arial" w:hAnsi="Arial"/>
          <w:sz w:val="16"/>
          <w:szCs w:val="16"/>
          <w:i w:val="1"/>
          <w:iCs w:val="1"/>
          <w:color w:val="auto"/>
        </w:rPr>
        <w:t>.</w:t>
      </w:r>
      <w:r>
        <w:rPr>
          <w:rFonts w:ascii="Arial" w:cs="Arial" w:eastAsia="Arial" w:hAnsi="Arial"/>
          <w:sz w:val="16"/>
          <w:szCs w:val="16"/>
          <w:color w:val="auto"/>
        </w:rPr>
        <w:t xml:space="preserve"> If any proceeding (including any investigation by any governmental authority) shall be instituted involving any Person in respect of which indemnity may be sought pursuant to Section 2.05 or Section 2.06,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and the Indemnifying Party shall assume the defense thereof, including the employment of counsel reasonably satisfactory to such Indemnified Party, and shall assume the payment of all reasonable fees and expenses in connection therewith; provided that the failure of any Indemnified Party to so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in the reasonable judgment of such Indemnified Party, representation of both parties by the same counsel would be inappropriate due to actual or potential differing interests between them; or (iii) the Indemnified Party shall have reasonably concluded (based on the advice of counsel) that there may be legal defenses available to it that are different from or in addition to those available to the Indemnifying Party. It is understood that, in connection with any proceeding or related proceedings in the same jurisdiction, the Indemnifying Party shall not be liable for the fees and expenses of more than one separate firm of attorneys (in addition to any local counsel) at any time for all such Indemnified Parties, and that all such fees and expenses shall be reimbursed promptly after receipt of an invoice setting forth such fees and expenses in reasonable detail. In the case of any such separate firm for any Indemnified Party, such firm shall be designated in writing by the Indemnified Party. The Indemnifying Party shall not be liable for any settlement of any proceeding effected without its written consent, but if settled with such consent, or if there is a final judgment for the plaintiff, the Indemnifying Party shall indemnify and hold harmless each Indemnified Party from and against any Damages (to the extent obligated herein) by reason of such settlement or judgment. Without the prior written consent of an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384"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Contribution</w:t>
      </w:r>
      <w:r>
        <w:rPr>
          <w:rFonts w:ascii="Arial" w:cs="Arial" w:eastAsia="Arial" w:hAnsi="Arial"/>
          <w:sz w:val="16"/>
          <w:szCs w:val="16"/>
          <w:i w:val="1"/>
          <w:iCs w:val="1"/>
          <w:color w:val="auto"/>
        </w:rPr>
        <w:t>.</w:t>
      </w:r>
      <w:r>
        <w:rPr>
          <w:rFonts w:ascii="Arial" w:cs="Arial" w:eastAsia="Arial" w:hAnsi="Arial"/>
          <w:sz w:val="16"/>
          <w:szCs w:val="16"/>
          <w:color w:val="auto"/>
        </w:rPr>
        <w:t xml:space="preserve"> If the indemnification provided for in Section 2.05 or Section 2.06 is unavailable to an Indemnified Party or insufficient in respect of any Damages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then each such Indemnifying Party, in lieu of indemnifying such Indemnified Party, shall contribute to the amount paid or payable by such Indemnified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8" w:name="page269"/>
    <w:bookmarkEnd w:id="268"/>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as a result of such Damages in such proportion as is appropriate to reflect the relative fault of the Indemnifying Party and the Indemnified Party in connection with such actions which resulted in such Damages, as well as any other relevant equitable considerations. The relative fault of such Indemnifying Party and the Indemnified Party shall be determined by reference to, among other things, whether any action in question, including any untrue or alleged untrue statement of a material fact or the omission or alleged omission to state a material fact has been made by, or relates to information supplied by, such Indemnifying Party or Indemnified Party and the parties’ relative intent, knowledge, access to information and opportunity to correct or prevent such action.</w:t>
      </w:r>
    </w:p>
    <w:p>
      <w:pPr>
        <w:spacing w:after="0" w:line="193"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The parties agree that it would not be just and equitable if contribution pursuant to this Section 2.08 were determined by pro rata allocation or by any other method of allocation that does not take account of the equitable considerations referred to in the immediately preceding paragraph. The amount paid or payable by a party as a result of the Damages referred to in the preceding paragraph shall be deemed to include, subject to the limitations set forth in Section 2.05 and Section 2.06, any legal or other expenses reasonably incurred by a party in connection with investigating or defending any such action or claim. Notwithstanding the provisions of this Section 2.08, no Registering Stockholder shall be required to contribute any amount in excess of the net proceeds (after deducting the underwriters’ discounts and commissions) received by such Registering Stockholder in the applicable offering. No Person guilty of fraudulent misrepresentation (within the meaning of Section 11(f) of the Securities Act), and no Person under the control, within the meaning of either Section 15 of the Securities Act or Section 20 of the Exchange Act, of a Person guilty of such fraudulent misrepresentation, shall be entitled to contribution from any Person who was not guilty of such fraudulent misrepresentation. Each Registering Stockholder’s obligation to contribute pursuant to this Section 2.08 is several in the proportion that the net proceeds of the applicable offering received by such Registering Stockholder bears to the net total proceeds of the applicable offering received by all such Registering Stockholders and not joint.</w:t>
      </w:r>
    </w:p>
    <w:p>
      <w:pPr>
        <w:spacing w:after="0" w:line="173"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Participation in Public Offering</w:t>
      </w:r>
      <w:r>
        <w:rPr>
          <w:rFonts w:ascii="Arial" w:cs="Arial" w:eastAsia="Arial" w:hAnsi="Arial"/>
          <w:sz w:val="16"/>
          <w:szCs w:val="16"/>
          <w:i w:val="1"/>
          <w:iCs w:val="1"/>
          <w:color w:val="auto"/>
        </w:rPr>
        <w:t>.</w:t>
      </w:r>
      <w:r>
        <w:rPr>
          <w:rFonts w:ascii="Arial" w:cs="Arial" w:eastAsia="Arial" w:hAnsi="Arial"/>
          <w:sz w:val="16"/>
          <w:szCs w:val="16"/>
          <w:color w:val="auto"/>
        </w:rPr>
        <w:t xml:space="preserve"> No Stockholder may participate in any Public Offering hereunder unless such Stockholder (i) agrees to sell such Stockholder’s Registrable Securities on the basis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54"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Other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Indemnification similar to that specified herein (with appropriate modifications) shall be given by the Company and each Registering Stockholder participating therein with respect to any required registration or other qualification of securities under any federal or state law or regulation or governmental authority other than the Securities Act.</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Cooperation by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At any time following the Initial Public Offering, if any Stockholder shall transfer, assign, sell, convey or otherwise dispose of any Registrable Securities pursuant to Rule 144, the Company shall reasonably cooperate with such Stockholder, provide to such Stockholder such information as such Stockholder shall reasonably request and make publicly available information necessary to permit sales pursuant to Rule 144 for so long as necessary.</w:t>
      </w:r>
    </w:p>
    <w:p>
      <w:pPr>
        <w:spacing w:after="0" w:line="18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Transfer of Registration Rights</w:t>
      </w:r>
      <w:r>
        <w:rPr>
          <w:rFonts w:ascii="Arial" w:cs="Arial" w:eastAsia="Arial" w:hAnsi="Arial"/>
          <w:sz w:val="18"/>
          <w:szCs w:val="18"/>
          <w:i w:val="1"/>
          <w:iCs w:val="1"/>
          <w:color w:val="auto"/>
        </w:rPr>
        <w:t>.</w:t>
      </w:r>
      <w:r>
        <w:rPr>
          <w:rFonts w:ascii="Arial" w:cs="Arial" w:eastAsia="Arial" w:hAnsi="Arial"/>
          <w:sz w:val="18"/>
          <w:szCs w:val="18"/>
          <w:color w:val="auto"/>
        </w:rPr>
        <w:t xml:space="preserve"> The rights of a Stockholder under this Article II may be transferred or assigned in connection with a transfer of BellRing LLC Units or Registrable Securities, provided that all of the following additional conditions are satisfied: (x) such transfer or assignment is effected in accordance with applicable securities laws, (y) such transfer is effected in accordance with the Certificate of Incorporation and the BellRing LLC Agreement, as applicable, and (z) such transferee or assignee executes and delivers to the Company an agreement to be bound by this Agreement in the form of Exhibit 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69" w:name="page270"/>
    <w:bookmarkEnd w:id="269"/>
    <w:p>
      <w:pPr>
        <w:ind w:right="260"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2.13.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agrees that it shall not enter into any agreement with any holder or prospective holder of any securities of the Company (i) that would allow such holder or prospective holder to include such securities in any Demand Registration, Piggyback Registration or Shelf Registration unless, under the terms of such agreement, such holder or prospective holder may include such securities in any such registration only to the extent that their inclusion would not be on terms more favorable in the aggregate to such holder or prospective holder than this Agreement. The Company also represents and warrants to each Stockholder that it has not prior to the date of this Agreement entered into any agreement with respect to any of its securities granting any registration rights to any Person.</w:t>
      </w:r>
    </w:p>
    <w:p>
      <w:pPr>
        <w:spacing w:after="0" w:line="16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Free Writing Prospectuses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for a prospectus relating to Registrable Securities included in a Registration Statement, an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(as defined in Rule 433 under the Securities Act) or other materials prepared by or on behalf of the Company, each Registering Stockholder represents and agrees that it (i) shall not make any offer relating to the Registrable Securities that would constitute an Issuer Free Writing Prospectus or that would otherwise constitute a Free Writing Prospectus, and (ii) has not distributed and will not distribute any written materials in connection with the offer or sale pursuant to a Registration Statement of Registrable Securities without the prior written consent of the Company and, in connection with any Public Offering, the underwriters.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Information from Registering Stockholders; Obligations of Registering Stockholders</w:t>
      </w:r>
      <w:r>
        <w:rPr>
          <w:rFonts w:ascii="Arial" w:cs="Arial" w:eastAsia="Arial" w:hAnsi="Arial"/>
          <w:sz w:val="18"/>
          <w:szCs w:val="18"/>
          <w:i w:val="1"/>
          <w:iCs w:val="1"/>
          <w:color w:val="auto"/>
        </w:rPr>
        <w:t>.</w:t>
      </w:r>
    </w:p>
    <w:p>
      <w:pPr>
        <w:spacing w:after="0" w:line="117" w:lineRule="exact"/>
        <w:rPr>
          <w:sz w:val="20"/>
          <w:szCs w:val="20"/>
          <w:color w:val="auto"/>
        </w:rPr>
      </w:pPr>
    </w:p>
    <w:p>
      <w:pPr>
        <w:ind w:right="260" w:firstLine="444"/>
        <w:spacing w:after="0" w:line="264" w:lineRule="auto"/>
        <w:tabs>
          <w:tab w:leader="none" w:pos="68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 shall be a condition precedent to the obligations of the Company to include the Registrable Securities of any Registering Stockholder that has requested inclusion of its Registrable Securities in any Registration Statement or related prospectus, as the case may be, that such Registering Stockholder shall take the actions described in this Section 2.15.</w:t>
      </w:r>
    </w:p>
    <w:p>
      <w:pPr>
        <w:spacing w:after="0" w:line="73" w:lineRule="exact"/>
        <w:rPr>
          <w:rFonts w:ascii="Arial" w:cs="Arial" w:eastAsia="Arial" w:hAnsi="Arial"/>
          <w:sz w:val="18"/>
          <w:szCs w:val="18"/>
          <w:color w:val="auto"/>
        </w:rPr>
      </w:pPr>
    </w:p>
    <w:p>
      <w:pPr>
        <w:ind w:right="40" w:firstLine="444"/>
        <w:spacing w:after="0" w:line="289" w:lineRule="auto"/>
        <w:tabs>
          <w:tab w:leader="none" w:pos="69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Each Registering Stockholder that has requested inclusion of its Registrable Securities in any Registration Statement shall (i) furnish to the Company (as a condition precedent to such Registering Stockholder’s participation in such registration) in writing such information with respect to such Registering Stockholder, its ownership of Company Securities and the intended method of disposition of its Registrable Securities as the Company may reasonably request or as may be required by law or regulations for use in connection with any related Registration Statement or prospectus (or amendment or supplement thereto) and all information required to be disclosed in order to make the information previously furnished to the Company by such Registering Stockholder not contain a material misstatement of fact or necessary to cause such Registration Statement or prospectus (or amendment or supplement thereto) not to omit a material fact with respect to such Registering Stockholder necessary in order to make the statements therein not misleading and (ii) comply with the Securities Act and the Exchange Act and all applicable state securities laws and comply with all applicable regulations in connection with the registration and the disposition of Registrable Securities.</w:t>
      </w:r>
    </w:p>
    <w:p>
      <w:pPr>
        <w:spacing w:after="0" w:line="58" w:lineRule="exact"/>
        <w:rPr>
          <w:rFonts w:ascii="Arial" w:cs="Arial" w:eastAsia="Arial" w:hAnsi="Arial"/>
          <w:sz w:val="16"/>
          <w:szCs w:val="16"/>
          <w:color w:val="auto"/>
        </w:rPr>
      </w:pPr>
    </w:p>
    <w:p>
      <w:pPr>
        <w:ind w:right="80" w:firstLine="444"/>
        <w:spacing w:after="0" w:line="272" w:lineRule="auto"/>
        <w:tabs>
          <w:tab w:leader="none" w:pos="68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Each Registering Stockholder shall promptly (i) following its actual knowledge thereof, notify the Company of the occurrence of any event that makes any statement made in a Registration Statement, prospectus, Issuer Free Writing Prospectus or other Free Writing Prospectus regarding such Registering Stockholder untrue in any material respect or that requires the making of any changes in a Registration Statement, prospectus, Issuer Free Writing Prospectus or other Free Writing Prospectus so that, in such regard, it shall not contain any untrue statement of a material fact or omit any material fact required to be stated therein or necessary to make the statements not misleading and (ii) provide the Company with such information as may be required to enable the Company to prepare a supplement or post-effective amendment to any such Registration Statement or a supplement to such prospectus or Free Writing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70" w:name="page271"/>
    <w:bookmarkEnd w:id="270"/>
    <w:p>
      <w:pPr>
        <w:ind w:right="820" w:firstLine="444"/>
        <w:spacing w:after="0" w:line="277" w:lineRule="auto"/>
        <w:tabs>
          <w:tab w:leader="none" w:pos="696"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Registering Stockholder shall use commercially reasonable efforts to cooperate with the Company in preparing the applicable Registration Statement.</w:t>
      </w:r>
    </w:p>
    <w:p>
      <w:pPr>
        <w:spacing w:after="0" w:line="62" w:lineRule="exact"/>
        <w:rPr>
          <w:rFonts w:ascii="Arial" w:cs="Arial" w:eastAsia="Arial" w:hAnsi="Arial"/>
          <w:sz w:val="18"/>
          <w:szCs w:val="18"/>
          <w:color w:val="auto"/>
        </w:rPr>
      </w:pPr>
    </w:p>
    <w:p>
      <w:pPr>
        <w:ind w:right="300" w:firstLine="444"/>
        <w:spacing w:after="0" w:line="259" w:lineRule="auto"/>
        <w:tabs>
          <w:tab w:leader="none" w:pos="6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Stockholder agrees that no Stockholder shall be entitled to sell any Registrable Securities pursuant to a Registration Statement or to receive a prospectus relating thereto unless such Stockholder has furnished the Company with all information required to be included in such Registration Statement by applicable securities laws in connection with the disposition of such Registrable Securities as reasonably requested by the Company.</w:t>
      </w:r>
    </w:p>
    <w:p>
      <w:pPr>
        <w:spacing w:after="0" w:line="78" w:lineRule="exact"/>
        <w:rPr>
          <w:rFonts w:ascii="Arial" w:cs="Arial" w:eastAsia="Arial" w:hAnsi="Arial"/>
          <w:sz w:val="18"/>
          <w:szCs w:val="18"/>
          <w:color w:val="auto"/>
        </w:rPr>
      </w:pPr>
    </w:p>
    <w:p>
      <w:pPr>
        <w:ind w:firstLine="444"/>
        <w:spacing w:after="0" w:line="279" w:lineRule="auto"/>
        <w:tabs>
          <w:tab w:leader="none" w:pos="66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Registering Stockholder shall be required to make any representations or warranties to or agreements with the Company, the underwriters of any underwritten Public Offering, or any other Person in connection with a disposition of Registrable Securities other than representations, warranties or agreements regarding such Registering Stockholder, such Registering Stockholder’s ownership of Registrable Securities and such Registering Stockholder’s intended method of distribution of Registrable Securities.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Board of Directors</w:t>
      </w:r>
      <w:r>
        <w:rPr>
          <w:rFonts w:ascii="Arial" w:cs="Arial" w:eastAsia="Arial" w:hAnsi="Arial"/>
          <w:sz w:val="18"/>
          <w:szCs w:val="18"/>
          <w:i w:val="1"/>
          <w:iCs w:val="1"/>
          <w:color w:val="auto"/>
        </w:rPr>
        <w:t>.</w:t>
      </w:r>
    </w:p>
    <w:p>
      <w:pPr>
        <w:spacing w:after="0" w:line="117" w:lineRule="exact"/>
        <w:rPr>
          <w:sz w:val="20"/>
          <w:szCs w:val="20"/>
          <w:color w:val="auto"/>
        </w:rPr>
      </w:pPr>
    </w:p>
    <w:p>
      <w:pPr>
        <w:ind w:left="680" w:hanging="236"/>
        <w:spacing w:after="0"/>
        <w:tabs>
          <w:tab w:leader="none" w:pos="68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Board Size and Structure</w:t>
      </w:r>
      <w:r>
        <w:rPr>
          <w:rFonts w:ascii="Arial" w:cs="Arial" w:eastAsia="Arial" w:hAnsi="Arial"/>
          <w:sz w:val="16"/>
          <w:szCs w:val="16"/>
          <w:color w:val="auto"/>
        </w:rPr>
        <w:t>. The Board may increase or decrease the number of Directors, subject to the rights of Post under this Agreement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Applicable Governance Rules, in accordance with the Certificate of Incorporation and Bylaws. Upon consummation of the Initial Public Offering, the</w:t>
      </w:r>
    </w:p>
    <w:p>
      <w:pPr>
        <w:spacing w:after="0" w:line="248" w:lineRule="exact"/>
        <w:rPr>
          <w:sz w:val="20"/>
          <w:szCs w:val="20"/>
          <w:color w:val="auto"/>
        </w:rPr>
      </w:pPr>
    </w:p>
    <w:p>
      <w:pPr>
        <w:spacing w:after="0"/>
        <w:tabs>
          <w:tab w:leader="none" w:pos="2260" w:val="left"/>
          <w:tab w:leader="none" w:pos="4540" w:val="left"/>
        </w:tabs>
        <w:rPr>
          <w:sz w:val="20"/>
          <w:szCs w:val="20"/>
          <w:color w:val="auto"/>
        </w:rPr>
      </w:pPr>
      <w:r>
        <w:rPr>
          <w:rFonts w:ascii="Arial" w:cs="Arial" w:eastAsia="Arial" w:hAnsi="Arial"/>
          <w:sz w:val="18"/>
          <w:szCs w:val="18"/>
          <w:color w:val="auto"/>
        </w:rPr>
        <w:t>Board shall consist of</w:t>
      </w:r>
      <w:r>
        <w:rPr>
          <w:sz w:val="20"/>
          <w:szCs w:val="20"/>
          <w:color w:val="auto"/>
        </w:rPr>
        <w:tab/>
      </w:r>
      <w:r>
        <w:rPr>
          <w:rFonts w:ascii="Arial" w:cs="Arial" w:eastAsia="Arial" w:hAnsi="Arial"/>
          <w:sz w:val="18"/>
          <w:szCs w:val="18"/>
          <w:color w:val="auto"/>
        </w:rPr>
        <w:t>directors, and of such</w:t>
      </w:r>
      <w:r>
        <w:rPr>
          <w:sz w:val="20"/>
          <w:szCs w:val="20"/>
          <w:color w:val="auto"/>
        </w:rPr>
        <w:tab/>
      </w:r>
      <w:r>
        <w:rPr>
          <w:rFonts w:ascii="Arial" w:cs="Arial" w:eastAsia="Arial" w:hAnsi="Arial"/>
          <w:sz w:val="16"/>
          <w:szCs w:val="16"/>
          <w:color w:val="auto"/>
        </w:rPr>
        <w:t>directors:</w:t>
      </w:r>
    </w:p>
    <w:p>
      <w:pPr>
        <w:sectPr>
          <w:pgSz w:w="11900" w:h="16838" w:orient="portrait"/>
          <w:cols w:equalWidth="0" w:num="1">
            <w:col w:w="10980"/>
          </w:cols>
          <w:pgMar w:left="440" w:top="274" w:right="479" w:bottom="1440" w:gutter="0" w:footer="0" w:header="0"/>
        </w:sectPr>
      </w:pPr>
    </w:p>
    <w:p>
      <w:pPr>
        <w:spacing w:after="0" w:line="11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 the number of Post Nominees shall be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820" w:space="720"/>
            <w:col w:w="6440"/>
          </w:cols>
          <w:pgMar w:left="440" w:top="274" w:right="47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(ii) the directors serving as Post Nominees shall 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62" w:lineRule="exact"/>
        <w:rPr>
          <w:sz w:val="20"/>
          <w:szCs w:val="20"/>
          <w:color w:val="auto"/>
        </w:rPr>
      </w:pPr>
    </w:p>
    <w:p>
      <w:pPr>
        <w:sectPr>
          <w:pgSz w:w="11900" w:h="16838" w:orient="portrait"/>
          <w:cols w:equalWidth="0" w:num="4">
            <w:col w:w="4520" w:space="720"/>
            <w:col w:w="60" w:space="720"/>
            <w:col w:w="300" w:space="720"/>
            <w:col w:w="3940"/>
          </w:cols>
          <w:pgMar w:left="440" w:top="274" w:right="479" w:bottom="1440" w:gutter="0" w:footer="0" w:header="0"/>
          <w:type w:val="continuous"/>
        </w:sectPr>
      </w:pPr>
    </w:p>
    <w:p>
      <w:pPr>
        <w:ind w:left="860"/>
        <w:spacing w:after="0"/>
        <w:rPr>
          <w:sz w:val="20"/>
          <w:szCs w:val="20"/>
          <w:color w:val="auto"/>
        </w:rPr>
      </w:pPr>
      <w:r>
        <w:rPr>
          <w:rFonts w:ascii="Arial" w:cs="Arial" w:eastAsia="Arial" w:hAnsi="Arial"/>
          <w:sz w:val="18"/>
          <w:szCs w:val="18"/>
          <w:color w:val="auto"/>
        </w:rPr>
        <w:t>(iii) the terms of office of the initial Post Nominees shall be as follows:</w:t>
      </w:r>
    </w:p>
    <w:p>
      <w:pPr>
        <w:spacing w:after="0" w:line="117"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(A)</w:t>
            </w:r>
          </w:p>
        </w:tc>
        <w:tc>
          <w:tcPr>
            <w:tcW w:w="6860" w:type="dxa"/>
            <w:vAlign w:val="bottom"/>
          </w:tcPr>
          <w:p>
            <w:pPr>
              <w:ind w:left="500"/>
              <w:spacing w:after="0"/>
              <w:rPr>
                <w:sz w:val="20"/>
                <w:szCs w:val="20"/>
                <w:color w:val="auto"/>
              </w:rPr>
            </w:pPr>
            <w:r>
              <w:rPr>
                <w:rFonts w:ascii="Arial" w:cs="Arial" w:eastAsia="Arial" w:hAnsi="Arial"/>
                <w:sz w:val="18"/>
                <w:szCs w:val="18"/>
                <w:color w:val="auto"/>
                <w:w w:val="93"/>
              </w:rPr>
              <w:t>shall serve for a term expiring at the Company’s annual meeting of stockholders in 20</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w:t>
            </w:r>
          </w:p>
        </w:tc>
        <w:tc>
          <w:tcPr>
            <w:tcW w:w="6860" w:type="dxa"/>
            <w:vAlign w:val="bottom"/>
          </w:tcPr>
          <w:p>
            <w:pPr>
              <w:ind w:left="480"/>
              <w:spacing w:after="0"/>
              <w:rPr>
                <w:sz w:val="20"/>
                <w:szCs w:val="20"/>
                <w:color w:val="auto"/>
              </w:rPr>
            </w:pPr>
            <w:r>
              <w:rPr>
                <w:rFonts w:ascii="Arial" w:cs="Arial" w:eastAsia="Arial" w:hAnsi="Arial"/>
                <w:sz w:val="18"/>
                <w:szCs w:val="18"/>
                <w:color w:val="auto"/>
                <w:w w:val="93"/>
              </w:rPr>
              <w:t>shall serve for a term expiring at the Company’s annual meeting of stockholders in 20</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w:t>
            </w:r>
          </w:p>
        </w:tc>
        <w:tc>
          <w:tcPr>
            <w:tcW w:w="6860" w:type="dxa"/>
            <w:vAlign w:val="bottom"/>
          </w:tcPr>
          <w:p>
            <w:pPr>
              <w:ind w:left="480"/>
              <w:spacing w:after="0"/>
              <w:rPr>
                <w:sz w:val="20"/>
                <w:szCs w:val="20"/>
                <w:color w:val="auto"/>
              </w:rPr>
            </w:pPr>
            <w:r>
              <w:rPr>
                <w:rFonts w:ascii="Arial" w:cs="Arial" w:eastAsia="Arial" w:hAnsi="Arial"/>
                <w:sz w:val="18"/>
                <w:szCs w:val="18"/>
                <w:color w:val="auto"/>
                <w:w w:val="93"/>
              </w:rPr>
              <w:t>shall serve for a term expiring at the Company’s annual meeting of stockholders in 20</w:t>
            </w:r>
          </w:p>
        </w:tc>
        <w:tc>
          <w:tcPr>
            <w:tcW w:w="520" w:type="dxa"/>
            <w:vAlign w:val="bottom"/>
          </w:tcPr>
          <w:p>
            <w:pPr>
              <w:ind w:left="160"/>
              <w:spacing w:after="0"/>
              <w:rPr>
                <w:sz w:val="20"/>
                <w:szCs w:val="20"/>
                <w:color w:val="auto"/>
              </w:rPr>
            </w:pPr>
            <w:r>
              <w:rPr>
                <w:rFonts w:ascii="Arial" w:cs="Arial" w:eastAsia="Arial" w:hAnsi="Arial"/>
                <w:sz w:val="18"/>
                <w:szCs w:val="18"/>
                <w:color w:val="auto"/>
                <w:w w:val="84"/>
              </w:rPr>
              <w:t>; and</w:t>
            </w:r>
          </w:p>
        </w:tc>
      </w:tr>
    </w:tbl>
    <w:p>
      <w:pPr>
        <w:spacing w:after="0" w:line="94" w:lineRule="exact"/>
        <w:rPr>
          <w:sz w:val="20"/>
          <w:szCs w:val="20"/>
          <w:color w:val="auto"/>
        </w:rPr>
      </w:pPr>
    </w:p>
    <w:p>
      <w:pPr>
        <w:jc w:val="both"/>
        <w:ind w:left="440" w:right="20" w:firstLine="428"/>
        <w:spacing w:after="0" w:line="291" w:lineRule="auto"/>
        <w:tabs>
          <w:tab w:leader="none" w:pos="116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at least three directors shall be independent directors permitted by SEC rules to serve on the Company’s audit committee (such persons, the “</w:t>
      </w:r>
      <w:r>
        <w:rPr>
          <w:rFonts w:ascii="Arial" w:cs="Arial" w:eastAsia="Arial" w:hAnsi="Arial"/>
          <w:sz w:val="16"/>
          <w:szCs w:val="16"/>
          <w:u w:val="single" w:color="auto"/>
          <w:color w:val="auto"/>
        </w:rPr>
        <w:t>Audit Committee Independent Directors</w:t>
      </w:r>
      <w:r>
        <w:rPr>
          <w:rFonts w:ascii="Arial" w:cs="Arial" w:eastAsia="Arial" w:hAnsi="Arial"/>
          <w:sz w:val="16"/>
          <w:szCs w:val="16"/>
          <w:color w:val="auto"/>
        </w:rPr>
        <w:t>”), at least one of whom shall be an audit committee financial expert as defined under Item 407(d)(5)</w:t>
      </w:r>
    </w:p>
    <w:p>
      <w:pPr>
        <w:ind w:left="700" w:hanging="256"/>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of SEC Regulation S-K.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type w:val="continuous"/>
        </w:sectPr>
      </w:pPr>
    </w:p>
    <w:bookmarkStart w:id="271" w:name="page272"/>
    <w:bookmarkEnd w:id="271"/>
    <w:p>
      <w:pPr>
        <w:ind w:left="260" w:hanging="256"/>
        <w:spacing w:after="0"/>
        <w:tabs>
          <w:tab w:leader="none" w:pos="2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Post Nominees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428"/>
        <w:spacing w:after="0" w:line="308" w:lineRule="auto"/>
        <w:tabs>
          <w:tab w:leader="none" w:pos="63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For so long as the Company has a classified Board, each of the Post Nominees shall be assigned to a class of directors of the Company such that the number of Post Nominees in each class shall be as nearly equal in number as is reasonably possible.</w:t>
      </w:r>
    </w:p>
    <w:p>
      <w:pPr>
        <w:spacing w:after="0" w:line="38" w:lineRule="exact"/>
        <w:rPr>
          <w:rFonts w:ascii="Arial" w:cs="Arial" w:eastAsia="Arial" w:hAnsi="Arial"/>
          <w:sz w:val="17"/>
          <w:szCs w:val="17"/>
          <w:color w:val="auto"/>
        </w:rPr>
      </w:pPr>
    </w:p>
    <w:p>
      <w:pPr>
        <w:ind w:firstLine="428"/>
        <w:spacing w:after="0" w:line="288" w:lineRule="auto"/>
        <w:tabs>
          <w:tab w:leader="none" w:pos="68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Anything in the Bylaws to the contrary notwithstanding, with respect to any Post Nominees to be elected at any meeting of stockholders to be held after the date of the Initial Public Offering, Post shall designate the Post Nominees to be elected at such meeting by delivering to the Company written notice designating the Post Nominees to be elected at such meeting and setting forth such Post Nominees’ business address, telephone number and e-mail address, (A) in the case of an annual meeting, (1) within 10 days following its receipt of written notice from the Company notifying Post of the date of the first annual meeting after the date of the Initial Public Offering, in the case of the first annual meeting after the date of the Initial Public Offering, and (2) at least 120 days prior to the one year anniversary of the preceding annual meeting, in the case of subsequent annual meetings, and (B) in the case of a special meeting where directors will be elected, within 10 days following the date that Post receives written notice from the Company notifying Post of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if Post shall fail to deliver such written notice, Post shall be deemed to have nominated the Post Nominees most recently designated for the applicable class of directors pursuant to this Section 3.01 if such Post Nominees are serving as directors of the Company at the time Post’s notice designating the Post Nominees is due.</w:t>
      </w:r>
    </w:p>
    <w:p>
      <w:pPr>
        <w:spacing w:after="0" w:line="61" w:lineRule="exact"/>
        <w:rPr>
          <w:rFonts w:ascii="Arial" w:cs="Arial" w:eastAsia="Arial" w:hAnsi="Arial"/>
          <w:sz w:val="16"/>
          <w:szCs w:val="16"/>
          <w:color w:val="auto"/>
        </w:rPr>
      </w:pPr>
    </w:p>
    <w:p>
      <w:pPr>
        <w:ind w:right="20" w:firstLine="428"/>
        <w:spacing w:after="0" w:line="269" w:lineRule="auto"/>
        <w:tabs>
          <w:tab w:leader="none" w:pos="73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Notwithstanding the foregoing, and subject to Section 6 of the Certificate of Incorporation, (A) if the Board or the Company determines to elect directors by written consent and not at a meeting of stockholders, including election by a consent in lieu of a meeting of stockholders as provided under Section 211(b) of the Delaware General Corporation Law, the Company shall so notify Post in writing (the “</w:t>
      </w:r>
      <w:r>
        <w:rPr>
          <w:rFonts w:ascii="Arial" w:cs="Arial" w:eastAsia="Arial" w:hAnsi="Arial"/>
          <w:sz w:val="17"/>
          <w:szCs w:val="17"/>
          <w:u w:val="single" w:color="auto"/>
          <w:color w:val="auto"/>
        </w:rPr>
        <w:t>Consent Notice</w:t>
      </w:r>
      <w:r>
        <w:rPr>
          <w:rFonts w:ascii="Arial" w:cs="Arial" w:eastAsia="Arial" w:hAnsi="Arial"/>
          <w:sz w:val="17"/>
          <w:szCs w:val="17"/>
          <w:color w:val="auto"/>
        </w:rPr>
        <w:t xml:space="preserve">”), and Post shall designate the Post Nominees to be so elected by written consent, if any, by delivering to the Company written notice designating the Post Nominees, and setting forth such Post Nominees’ business address, telephone number and e-mail address, by the date that is 10 days following its receipt of the Consent Notice; </w:t>
      </w:r>
      <w:r>
        <w:rPr>
          <w:rFonts w:ascii="Arial" w:cs="Arial" w:eastAsia="Arial" w:hAnsi="Arial"/>
          <w:sz w:val="17"/>
          <w:szCs w:val="17"/>
          <w:u w:val="single" w:color="auto"/>
          <w:color w:val="auto"/>
        </w:rPr>
        <w:t>provided</w:t>
      </w:r>
      <w:r>
        <w:rPr>
          <w:rFonts w:ascii="Arial" w:cs="Arial" w:eastAsia="Arial" w:hAnsi="Arial"/>
          <w:sz w:val="17"/>
          <w:szCs w:val="17"/>
          <w:color w:val="auto"/>
        </w:rPr>
        <w:t>, that if Post shall fail to timely deliver such written notice, Post shall be deemed to have nominated the Post Nominees most recently designated for the applicable class of directors pursuant to this Section 3.01 if such Post Nominees are serving as directors of the Company at the time Post’s notice designating the Post Nominees is due and (B) if Post determines to elect directors by written consent without action on the part of the Company or the Board, Post may effect by written consent the election of such Post Nominees and other directors as it deems necessary, appropriate or advisable, each director to serve for a term of office as provided in the Certificate of Incorporation and Bylaws of the Company.</w:t>
      </w:r>
    </w:p>
    <w:p>
      <w:pPr>
        <w:spacing w:after="0" w:line="74" w:lineRule="exact"/>
        <w:rPr>
          <w:rFonts w:ascii="Arial" w:cs="Arial" w:eastAsia="Arial" w:hAnsi="Arial"/>
          <w:sz w:val="17"/>
          <w:szCs w:val="17"/>
          <w:color w:val="auto"/>
        </w:rPr>
      </w:pPr>
    </w:p>
    <w:p>
      <w:pPr>
        <w:ind w:right="140" w:firstLine="428"/>
        <w:spacing w:after="0" w:line="255" w:lineRule="auto"/>
        <w:tabs>
          <w:tab w:leader="none" w:pos="72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Company hereby agrees that (A) at each annual or special meeting of stockholders of the Company at which directors are to be elected and (B) in connection with any election of directors by written consent, in each case subject to any rights of the holders of shares of any class or series of preferred stock of the Company, the Company shall follow its applicable corporate governance policies and procedures to cause the Post Nominees to be nominated for election to the Board as nominees of the Company and the Board and otherwise shall ensure that the directors required to be nominated pursuant to this Article III shall be nominated for election and shall use its reasonable best efforts to cause the Post Nominees to be elected to the Board.</w:t>
      </w:r>
    </w:p>
    <w:p>
      <w:pPr>
        <w:spacing w:after="0" w:line="85" w:lineRule="exact"/>
        <w:rPr>
          <w:rFonts w:ascii="Arial" w:cs="Arial" w:eastAsia="Arial" w:hAnsi="Arial"/>
          <w:sz w:val="18"/>
          <w:szCs w:val="18"/>
          <w:color w:val="auto"/>
        </w:rPr>
      </w:pPr>
    </w:p>
    <w:p>
      <w:pPr>
        <w:ind w:right="340" w:firstLine="428"/>
        <w:spacing w:after="0" w:line="277" w:lineRule="auto"/>
        <w:tabs>
          <w:tab w:leader="none" w:pos="67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For avoidance of doubt, the notice and other requirements set forth in Sections 1(d) through 1(h) of Article II of the Bylaws shall not apply to Post or any Post Nominee.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272" w:name="page273"/>
    <w:bookmarkEnd w:id="272"/>
    <w:p>
      <w:pPr>
        <w:ind w:right="560" w:firstLine="444"/>
        <w:spacing w:after="0" w:line="277" w:lineRule="auto"/>
        <w:tabs>
          <w:tab w:leader="none" w:pos="68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w:t>
      </w:r>
      <w:r>
        <w:rPr>
          <w:rFonts w:ascii="Arial" w:cs="Arial" w:eastAsia="Arial" w:hAnsi="Arial"/>
          <w:sz w:val="18"/>
          <w:szCs w:val="18"/>
          <w:color w:val="auto"/>
        </w:rPr>
        <w:t>. The Board shall have a corporate governance committee and compensation committee, an audit committee and such other committees as the Board may determine (collectively, the “</w:t>
      </w:r>
      <w:r>
        <w:rPr>
          <w:rFonts w:ascii="Arial" w:cs="Arial" w:eastAsia="Arial" w:hAnsi="Arial"/>
          <w:sz w:val="18"/>
          <w:szCs w:val="18"/>
          <w:u w:val="single" w:color="auto"/>
          <w:color w:val="auto"/>
        </w:rPr>
        <w:t>Committees</w:t>
      </w:r>
      <w:r>
        <w:rPr>
          <w:rFonts w:ascii="Arial" w:cs="Arial" w:eastAsia="Arial" w:hAnsi="Arial"/>
          <w:sz w:val="18"/>
          <w:szCs w:val="18"/>
          <w:color w:val="auto"/>
        </w:rPr>
        <w:t>”). Subject to Section 3.02:</w:t>
      </w:r>
    </w:p>
    <w:p>
      <w:pPr>
        <w:spacing w:after="0" w:line="62" w:lineRule="exact"/>
        <w:rPr>
          <w:rFonts w:ascii="Arial" w:cs="Arial" w:eastAsia="Arial" w:hAnsi="Arial"/>
          <w:sz w:val="18"/>
          <w:szCs w:val="18"/>
          <w:color w:val="auto"/>
        </w:rPr>
      </w:pPr>
    </w:p>
    <w:p>
      <w:pPr>
        <w:ind w:left="440" w:right="40" w:firstLine="428"/>
        <w:spacing w:after="0" w:line="264" w:lineRule="auto"/>
        <w:tabs>
          <w:tab w:leader="none" w:pos="107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audit committee shall consist of at least three Audit Committee Independent Directors under Rule 10A-3 under the Exchange Act and the NYSE Listed Company Manual, and Post shall have the right to designate from the members of the Board the members of the Audit Committee subject to Section 3.02(b); and</w:t>
      </w:r>
    </w:p>
    <w:p>
      <w:pPr>
        <w:spacing w:after="0" w:line="73" w:lineRule="exact"/>
        <w:rPr>
          <w:rFonts w:ascii="Arial" w:cs="Arial" w:eastAsia="Arial" w:hAnsi="Arial"/>
          <w:sz w:val="18"/>
          <w:szCs w:val="18"/>
          <w:color w:val="auto"/>
        </w:rPr>
      </w:pPr>
    </w:p>
    <w:p>
      <w:pPr>
        <w:ind w:left="440" w:right="180" w:firstLine="428"/>
        <w:spacing w:after="0" w:line="277" w:lineRule="auto"/>
        <w:tabs>
          <w:tab w:leader="none" w:pos="112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each other Committee shall consist of at least three directors, and Post shall have the right to designate from the members of the Board the members of each such Committee subject to Section 3.02(b);</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provided, however, that: (i) the membership of each Committee shall meet the requirements of Applicable Governance Rules, and (ii) subject to clause (i), each Committee shall have such number of directors as the Board may determine, which determination shall be made on the recommendation of the corporate governance and compensation committee. Each Committee shall have such powers and responsibilities as the Board may from time to time authorize.</w:t>
      </w:r>
    </w:p>
    <w:p>
      <w:pPr>
        <w:spacing w:after="0" w:line="79" w:lineRule="exact"/>
        <w:rPr>
          <w:sz w:val="20"/>
          <w:szCs w:val="20"/>
          <w:color w:val="auto"/>
        </w:rPr>
      </w:pPr>
    </w:p>
    <w:p>
      <w:pPr>
        <w:ind w:firstLine="444"/>
        <w:spacing w:after="0" w:line="269" w:lineRule="auto"/>
        <w:tabs>
          <w:tab w:leader="none" w:pos="695"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Removal and Replacement of Post Nominees</w:t>
      </w:r>
      <w:r>
        <w:rPr>
          <w:rFonts w:ascii="Arial" w:cs="Arial" w:eastAsia="Arial" w:hAnsi="Arial"/>
          <w:sz w:val="17"/>
          <w:szCs w:val="17"/>
          <w:color w:val="auto"/>
        </w:rPr>
        <w:t>. If a vacancy is created on the Board or a Committee as a result of the death, disability, retirement, resignation or removal of any Post Nominee, then Post shall have the right to designate such person’s replacement, and the person so designated shall be deemed to be a Post Nominee. If such vacancy shall be filled by the Board, the Company shall follow its applicable corporate governance policies and procedures to cause any such Post Nominee to be appointed to the Board. If such vacancy shall be filled at a meeting of stockholders or, subject to Section 6 of the Certificate of Incorporation, through written consents authorized or solicited by the Company, the Company shall follow its applicable corporate governance policies and procedures to cause the Post Nominees to be nominated for election to the Board as nominees of the Company and the Board and otherwise shall ensure that the directors required to be nominated pursuant to this Article III shall be nominated for election and shall use its reasonable best efforts to cause such Post Nominees to be elected to the Board. Subject to Section 6 of the Certificate of Incorporation, Post may fill the vacancy by written consent, and the person so elected by such written consent shall be deemed to be a Post Nominee. No Post Nominee shall be required to resign or be removed from the Board or any Committee as a result of a decrease in the size of the Board or any Committee, except as required by Applicable Governance Rules.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Reduction of Post’s Board and Committee Rights</w:t>
      </w:r>
      <w:r>
        <w:rPr>
          <w:rFonts w:ascii="Arial" w:cs="Arial" w:eastAsia="Arial" w:hAnsi="Arial"/>
          <w:sz w:val="18"/>
          <w:szCs w:val="18"/>
          <w:i w:val="1"/>
          <w:iCs w:val="1"/>
          <w:color w:val="auto"/>
        </w:rPr>
        <w:t>.</w:t>
      </w:r>
    </w:p>
    <w:p>
      <w:pPr>
        <w:spacing w:after="0" w:line="117" w:lineRule="exact"/>
        <w:rPr>
          <w:sz w:val="20"/>
          <w:szCs w:val="20"/>
          <w:color w:val="auto"/>
        </w:rPr>
      </w:pPr>
    </w:p>
    <w:p>
      <w:pPr>
        <w:ind w:right="140" w:firstLine="444"/>
        <w:spacing w:after="0" w:line="259"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Board Nominees</w:t>
      </w:r>
      <w:r>
        <w:rPr>
          <w:rFonts w:ascii="Arial" w:cs="Arial" w:eastAsia="Arial" w:hAnsi="Arial"/>
          <w:sz w:val="18"/>
          <w:szCs w:val="18"/>
          <w:color w:val="auto"/>
        </w:rPr>
        <w:t>. Notwithstanding anything to the contrary in this Agreement, after the Initial Public Offering, the number of Post Nominees that may be designated by Post pursuant to Section 3.01(a)(i) shall be determined based on the percentage of the votes that may be cast by the Post Stockholders under the Certificate of Incorporation on their own behalf without instructions or directions from Persons other than the Company or any of its Subsidiaries or the Post Stockholders, so that the Post Nominees constitute:</w:t>
      </w:r>
    </w:p>
    <w:p>
      <w:pPr>
        <w:spacing w:after="0" w:line="78" w:lineRule="exact"/>
        <w:rPr>
          <w:rFonts w:ascii="Arial" w:cs="Arial" w:eastAsia="Arial" w:hAnsi="Arial"/>
          <w:sz w:val="18"/>
          <w:szCs w:val="18"/>
          <w:color w:val="auto"/>
        </w:rPr>
      </w:pPr>
    </w:p>
    <w:p>
      <w:pPr>
        <w:ind w:left="440" w:right="140" w:firstLine="428"/>
        <w:spacing w:after="0" w:line="264" w:lineRule="auto"/>
        <w:tabs>
          <w:tab w:leader="none" w:pos="107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majority of the directors on the Board (and if the number of directors on the Board is even, one director more than 50% of the number of directors on the Board), if the votes that may be cast by the Post Stockholders on their own behalf are greater than 50% of the total voting power of all of the outstanding Shares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73" w:name="page274"/>
    <w:bookmarkEnd w:id="273"/>
    <w:p>
      <w:pPr>
        <w:ind w:left="440" w:firstLine="428"/>
        <w:spacing w:after="0" w:line="264" w:lineRule="auto"/>
        <w:tabs>
          <w:tab w:leader="none" w:pos="11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less than a majority of the directors on the Board (and if the number of directors on the Board is even, 50% of the number of directors on the Board), if the votes that may be cast by the Post Stockholders on their own behalf are greater than 25% but 50% or less of the total voting power of all of the outstanding Shares of the Company;</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one-third of the directors on the Board (rounded down to the nearest whole number), if the votes that may be cast by the Post</w:t>
      </w:r>
    </w:p>
    <w:p>
      <w:pPr>
        <w:spacing w:after="0" w:line="34" w:lineRule="exact"/>
        <w:rPr>
          <w:rFonts w:ascii="Arial" w:cs="Arial" w:eastAsia="Arial" w:hAnsi="Arial"/>
          <w:sz w:val="17"/>
          <w:szCs w:val="17"/>
          <w:color w:val="auto"/>
        </w:rPr>
      </w:pPr>
    </w:p>
    <w:p>
      <w:pPr>
        <w:ind w:left="440" w:right="120"/>
        <w:spacing w:after="0" w:line="261" w:lineRule="auto"/>
        <w:rPr>
          <w:rFonts w:ascii="Arial" w:cs="Arial" w:eastAsia="Arial" w:hAnsi="Arial"/>
          <w:sz w:val="17"/>
          <w:szCs w:val="17"/>
          <w:color w:val="auto"/>
        </w:rPr>
      </w:pPr>
      <w:r>
        <w:rPr>
          <w:rFonts w:ascii="Arial" w:cs="Arial" w:eastAsia="Arial" w:hAnsi="Arial"/>
          <w:sz w:val="18"/>
          <w:szCs w:val="18"/>
          <w:color w:val="auto"/>
        </w:rPr>
        <w:t>Stockholders on their own behalf are greater than 10% but 25% or less of the total voting power of all of the outstanding Shares of the Company; and</w:t>
      </w:r>
    </w:p>
    <w:p>
      <w:pPr>
        <w:spacing w:after="0" w:line="75" w:lineRule="exact"/>
        <w:rPr>
          <w:rFonts w:ascii="Arial" w:cs="Arial" w:eastAsia="Arial" w:hAnsi="Arial"/>
          <w:sz w:val="17"/>
          <w:szCs w:val="17"/>
          <w:color w:val="auto"/>
        </w:rPr>
      </w:pPr>
    </w:p>
    <w:p>
      <w:pPr>
        <w:ind w:left="440" w:right="60" w:firstLine="428"/>
        <w:spacing w:after="0" w:line="277" w:lineRule="auto"/>
        <w:tabs>
          <w:tab w:leader="none" w:pos="116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directors if the votes that may be cast by the Post Stockholders on their own behalf are 10% or less of the total voting power of all of the outstanding Shares of the Company.</w:t>
      </w:r>
    </w:p>
    <w:p>
      <w:pPr>
        <w:spacing w:after="0" w:line="170" w:lineRule="exact"/>
        <w:rPr>
          <w:sz w:val="20"/>
          <w:szCs w:val="20"/>
          <w:color w:val="auto"/>
        </w:rPr>
      </w:pPr>
    </w:p>
    <w:p>
      <w:pPr>
        <w:jc w:val="both"/>
        <w:ind w:right="20" w:firstLine="441"/>
        <w:spacing w:after="0" w:line="297" w:lineRule="auto"/>
        <w:rPr>
          <w:sz w:val="20"/>
          <w:szCs w:val="20"/>
          <w:color w:val="auto"/>
        </w:rPr>
      </w:pPr>
      <w:r>
        <w:rPr>
          <w:rFonts w:ascii="Arial" w:cs="Arial" w:eastAsia="Arial" w:hAnsi="Arial"/>
          <w:sz w:val="16"/>
          <w:szCs w:val="16"/>
          <w:color w:val="auto"/>
        </w:rPr>
        <w:t>Post shall cause the appropriate number of Post Nominees to resign as required to comply with this Section 3.02 upon the earlier to occur of (i) the date on which the current term of the resigning Post Nominee ends, and (ii) 12 months from the occurrence of an event resulting in the votes that may be cast by the Post Stockholders crossing a threshold described in Section 3.02(a)(i) through (iv). To the extent deemed reasonably necessary by the Board to comply with Applicable Governance Rules (including with respect to composition of committees), Post shall designate Independent Directors as Post Nominees; provided that directors who are affiliated with a Post Party shall not be automatically deemed not to be Independent Directors.</w:t>
      </w:r>
    </w:p>
    <w:p>
      <w:pPr>
        <w:spacing w:after="0" w:line="50" w:lineRule="exact"/>
        <w:rPr>
          <w:sz w:val="20"/>
          <w:szCs w:val="20"/>
          <w:color w:val="auto"/>
        </w:rPr>
      </w:pPr>
    </w:p>
    <w:p>
      <w:pPr>
        <w:ind w:right="180" w:firstLine="444"/>
        <w:spacing w:after="0" w:line="264"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Notwithstanding anything to the contrary in this Agreement, if the votes that may be cast by the Post Stockholders on their own behalf are less than 25% of the total voting power of all of the outstanding Shares of the Company, Post shall cease to have the rights to designate members of Committees pursuant to Section 3.01(c).</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when the votes that may be cast by the Post Stockholders on their own behalf are less than 2.5% of the total voting power of all of the outstanding Shares; provided, however, that any Stockholder that ceases to own beneficially any Registrable Securities or BellRing LLC Units shall cease to be bound by the terms hereof other than (i) Section 2.05, Section 2.06, Section 2.07, Section 2.08 and Section 2.10 applicable to such Stockholder with respect to any offering of Registrable Securities completed before the date such Stockholder ceased to own any Registrable Securities or BellRing LLC Units and (ii) Section 5.01, Section 5.02 and Section 5.04 through Section 5.11.</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77" w:lineRule="auto"/>
        <w:tabs>
          <w:tab w:leader="none" w:pos="68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heirs, successors, legal representatives and permitted assigns.</w:t>
      </w:r>
    </w:p>
    <w:p>
      <w:pPr>
        <w:spacing w:after="0" w:line="62" w:lineRule="exact"/>
        <w:rPr>
          <w:rFonts w:ascii="Arial" w:cs="Arial" w:eastAsia="Arial" w:hAnsi="Arial"/>
          <w:sz w:val="18"/>
          <w:szCs w:val="18"/>
          <w:color w:val="auto"/>
        </w:rPr>
      </w:pPr>
    </w:p>
    <w:p>
      <w:pPr>
        <w:ind w:right="360" w:firstLine="444"/>
        <w:spacing w:after="0" w:line="277" w:lineRule="auto"/>
        <w:tabs>
          <w:tab w:leader="none" w:pos="69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Section 2.12, neither this Agreement nor any right, remedy, obligation or liability arising hereunder or by reason hereof shall be assignable by any party.</w:t>
      </w:r>
    </w:p>
    <w:p>
      <w:pPr>
        <w:spacing w:after="0" w:line="62" w:lineRule="exact"/>
        <w:rPr>
          <w:rFonts w:ascii="Arial" w:cs="Arial" w:eastAsia="Arial" w:hAnsi="Arial"/>
          <w:sz w:val="18"/>
          <w:szCs w:val="18"/>
          <w:color w:val="auto"/>
        </w:rPr>
      </w:pPr>
    </w:p>
    <w:p>
      <w:pPr>
        <w:ind w:right="200" w:firstLine="444"/>
        <w:spacing w:after="0" w:line="342" w:lineRule="auto"/>
        <w:tabs>
          <w:tab w:leader="none" w:pos="68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74" w:name="page275"/>
    <w:bookmarkEnd w:id="274"/>
    <w:p>
      <w:pPr>
        <w:ind w:right="9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Notices</w:t>
      </w:r>
      <w:r>
        <w:rPr>
          <w:rFonts w:ascii="Arial" w:cs="Arial" w:eastAsia="Arial" w:hAnsi="Arial"/>
          <w:sz w:val="18"/>
          <w:szCs w:val="18"/>
          <w:i w:val="1"/>
          <w:iCs w:val="1"/>
          <w:color w:val="auto"/>
        </w:rPr>
        <w:t>.</w:t>
      </w:r>
      <w:r>
        <w:rPr>
          <w:rFonts w:ascii="Arial" w:cs="Arial" w:eastAsia="Arial" w:hAnsi="Arial"/>
          <w:sz w:val="18"/>
          <w:szCs w:val="18"/>
          <w:color w:val="auto"/>
        </w:rPr>
        <w:t xml:space="preserve"> All notices, requests and other communications to any party hereunder shall be in writing (including electronic transmission) and shall be given,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President and CEO</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Post,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2305 S. Hanley Rd.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if to any other party hereto, to the address (including electronic transmission) specified on the joinder to this Agreement signed by such party hereto,</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or such other address as such party may hereafter specify for the purpose by notice to the other parties hereto. All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Any Person that becomes a Stockholder shall provide its address and e-mail address to the Company, which shall promptly provide such information to each other Stockholder.</w:t>
      </w:r>
    </w:p>
    <w:p>
      <w:pPr>
        <w:spacing w:after="0" w:line="188"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Amendments and Waivers</w:t>
      </w:r>
      <w:r>
        <w:rPr>
          <w:rFonts w:ascii="Arial" w:cs="Arial" w:eastAsia="Arial" w:hAnsi="Arial"/>
          <w:sz w:val="16"/>
          <w:szCs w:val="16"/>
          <w:i w:val="1"/>
          <w:iCs w:val="1"/>
          <w:color w:val="auto"/>
        </w:rPr>
        <w:t>.</w:t>
      </w:r>
      <w:r>
        <w:rPr>
          <w:rFonts w:ascii="Arial" w:cs="Arial" w:eastAsia="Arial" w:hAnsi="Arial"/>
          <w:sz w:val="16"/>
          <w:szCs w:val="16"/>
          <w:color w:val="auto"/>
        </w:rPr>
        <w:t xml:space="preserve"> Any provision of this Agreement may be amended or waived if, but only if, such amendment or waiver is in writing and is signed by the Company and Post.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4" w:lineRule="exact"/>
        <w:rPr>
          <w:sz w:val="20"/>
          <w:szCs w:val="20"/>
          <w:color w:val="auto"/>
        </w:rPr>
      </w:pPr>
    </w:p>
    <w:p>
      <w:pPr>
        <w:jc w:val="both"/>
        <w:ind w:right="180" w:firstLine="441"/>
        <w:spacing w:after="0" w:line="30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Governing Law</w:t>
      </w:r>
      <w:r>
        <w:rPr>
          <w:rFonts w:ascii="Arial" w:cs="Arial" w:eastAsia="Arial" w:hAnsi="Arial"/>
          <w:sz w:val="16"/>
          <w:szCs w:val="16"/>
          <w:i w:val="1"/>
          <w:iCs w:val="1"/>
          <w:color w:val="auto"/>
        </w:rPr>
        <w:t>.</w:t>
      </w:r>
      <w:r>
        <w:rPr>
          <w:rFonts w:ascii="Arial" w:cs="Arial" w:eastAsia="Arial" w:hAnsi="Arial"/>
          <w:sz w:val="16"/>
          <w:szCs w:val="16"/>
          <w:color w:val="auto"/>
        </w:rPr>
        <w:t xml:space="preserve"> The corporate law of the State of Delaware shall govern all issues and questions concerning the relative rights of the Company and its stockholders pursuant to Article III hereto. All other issues and questions concerning the construction, validity, interpretation and enforcement of this Agreement and the exhibits and schedules hereto shall be governed by, and construed in accordance with, the laws of the State of Delaware, without regard to the choice of law or conflicts of law provisions that would indicate the applicability of the laws of any other jurisdiction.</w:t>
      </w:r>
    </w:p>
    <w:p>
      <w:pPr>
        <w:spacing w:after="0" w:line="154"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Jurisdiction</w:t>
      </w:r>
      <w:r>
        <w:rPr>
          <w:rFonts w:ascii="Arial" w:cs="Arial" w:eastAsia="Arial" w:hAnsi="Arial"/>
          <w:sz w:val="17"/>
          <w:szCs w:val="17"/>
          <w:color w:val="auto"/>
        </w:rPr>
        <w:t>. The parties hereby agree that any suit, action or proceeding seeking to enforce any provision of, or based on any matter arising out of or in connection with, this Agreement or the transactions contemplated hereby shall be brought in any federal court located in the State of Delaware or any Delaware state court,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75" w:name="page276"/>
    <w:bookmarkEnd w:id="27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w:t>
      </w:r>
    </w:p>
    <w:p>
      <w:pPr>
        <w:spacing w:after="0" w:line="18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WAIVER OF JURY TRIAL</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Specific Enforcement</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 Effectiveness; Third Party Beneficiaries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initial party hereto shall have received a counterpart hereof signed by all of the other initial parties hereto. Until and unless each initial party has received a counterpart hereof signed by the other initial parties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8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Entire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together with the Exhibit hereto and any documents, instruments and writings that are delivered pursuant hereto, constitutes the entire agreement among the parties with respect to the subject matter of this Agreement and supersedes all prior agreements and understandings, both oral and written, among the parties hereto with respect to the subject matter of this Agreement.</w:t>
      </w:r>
    </w:p>
    <w:p>
      <w:pPr>
        <w:spacing w:after="0" w:line="14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Severability</w:t>
      </w:r>
      <w:r>
        <w:rPr>
          <w:rFonts w:ascii="Arial" w:cs="Arial" w:eastAsia="Arial" w:hAnsi="Arial"/>
          <w:sz w:val="17"/>
          <w:szCs w:val="17"/>
          <w:i w:val="1"/>
          <w:iCs w:val="1"/>
          <w:color w:val="auto"/>
        </w:rPr>
        <w:t>.</w:t>
      </w:r>
      <w:r>
        <w:rPr>
          <w:rFonts w:ascii="Arial" w:cs="Arial" w:eastAsia="Arial" w:hAnsi="Arial"/>
          <w:sz w:val="17"/>
          <w:szCs w:val="17"/>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7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Certificate of Incorporation Supersedes</w:t>
      </w:r>
      <w:r>
        <w:rPr>
          <w:rFonts w:ascii="Arial" w:cs="Arial" w:eastAsia="Arial" w:hAnsi="Arial"/>
          <w:sz w:val="18"/>
          <w:szCs w:val="18"/>
          <w:color w:val="auto"/>
        </w:rPr>
        <w:t>. Nothing in this Agreement is intended to conflict with any provision of the Certificate of Incorporation or Bylaws, each in effect on the date hereof and, in the event of any such conflict, the applicable provisions of the Certificate of Incorporation or Bylaws shall supersede the conflicting provision of this Agreement.</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76" w:name="page277"/>
    <w:bookmarkEnd w:id="276"/>
    <w:p>
      <w:pPr>
        <w:jc w:val="center"/>
        <w:ind w:right="-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page left blank; signature pages follow]</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019"/>
          </w:cols>
          <w:pgMar w:left="1440" w:top="274" w:right="1440" w:bottom="1440" w:gutter="0" w:footer="0" w:header="0"/>
          <w:type w:val="continuous"/>
        </w:sectPr>
      </w:pPr>
    </w:p>
    <w:bookmarkStart w:id="277" w:name="page278"/>
    <w:bookmarkEnd w:id="27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BELLRING BRANDS,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260731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22040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220408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I</w:t>
      </w:r>
      <w:r>
        <w:rPr>
          <w:rFonts w:ascii="Arial" w:cs="Arial" w:eastAsia="Arial" w:hAnsi="Arial"/>
          <w:sz w:val="14"/>
          <w:szCs w:val="14"/>
          <w:color w:val="auto"/>
        </w:rPr>
        <w:t>NVESTOR</w:t>
      </w:r>
      <w:r>
        <w:rPr>
          <w:rFonts w:ascii="Arial" w:cs="Arial" w:eastAsia="Arial" w:hAnsi="Arial"/>
          <w:sz w:val="17"/>
          <w:szCs w:val="17"/>
          <w:color w:val="auto"/>
        </w:rPr>
        <w:t xml:space="preserve"> R</w:t>
      </w:r>
      <w:r>
        <w:rPr>
          <w:rFonts w:ascii="Arial" w:cs="Arial" w:eastAsia="Arial" w:hAnsi="Arial"/>
          <w:sz w:val="14"/>
          <w:szCs w:val="14"/>
          <w:color w:val="auto"/>
        </w:rPr>
        <w:t>IGHTS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ELL</w:t>
      </w:r>
      <w:r>
        <w:rPr>
          <w:rFonts w:ascii="Arial" w:cs="Arial" w:eastAsia="Arial" w:hAnsi="Arial"/>
          <w:sz w:val="18"/>
          <w:szCs w:val="18"/>
          <w:color w:val="auto"/>
        </w:rPr>
        <w:t>R</w:t>
      </w:r>
      <w:r>
        <w:rPr>
          <w:rFonts w:ascii="Arial" w:cs="Arial" w:eastAsia="Arial" w:hAnsi="Arial"/>
          <w:sz w:val="15"/>
          <w:szCs w:val="15"/>
          <w:color w:val="auto"/>
        </w:rPr>
        <w:t>ING</w:t>
      </w:r>
      <w:r>
        <w:rPr>
          <w:rFonts w:ascii="Arial" w:cs="Arial" w:eastAsia="Arial" w:hAnsi="Arial"/>
          <w:sz w:val="18"/>
          <w:szCs w:val="18"/>
          <w:color w:val="auto"/>
        </w:rPr>
        <w:t xml:space="preserve"> B</w:t>
      </w:r>
      <w:r>
        <w:rPr>
          <w:rFonts w:ascii="Arial" w:cs="Arial" w:eastAsia="Arial" w:hAnsi="Arial"/>
          <w:sz w:val="15"/>
          <w:szCs w:val="15"/>
          <w:color w:val="auto"/>
        </w:rPr>
        <w:t>RANDS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278" w:name="page279"/>
    <w:bookmarkEnd w:id="27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 HOLDINGS,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14605</wp:posOffset>
            </wp:positionV>
            <wp:extent cx="26073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22040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-1905</wp:posOffset>
            </wp:positionV>
            <wp:extent cx="220408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 TO</w:t>
      </w:r>
      <w:r>
        <w:rPr>
          <w:rFonts w:ascii="Arial" w:cs="Arial" w:eastAsia="Arial" w:hAnsi="Arial"/>
          <w:sz w:val="17"/>
          <w:szCs w:val="17"/>
          <w:color w:val="auto"/>
        </w:rPr>
        <w:t xml:space="preserve"> I</w:t>
      </w:r>
      <w:r>
        <w:rPr>
          <w:rFonts w:ascii="Arial" w:cs="Arial" w:eastAsia="Arial" w:hAnsi="Arial"/>
          <w:sz w:val="14"/>
          <w:szCs w:val="14"/>
          <w:color w:val="auto"/>
        </w:rPr>
        <w:t>NVESTOR</w:t>
      </w:r>
      <w:r>
        <w:rPr>
          <w:rFonts w:ascii="Arial" w:cs="Arial" w:eastAsia="Arial" w:hAnsi="Arial"/>
          <w:sz w:val="17"/>
          <w:szCs w:val="17"/>
          <w:color w:val="auto"/>
        </w:rPr>
        <w:t xml:space="preserve"> R</w:t>
      </w:r>
      <w:r>
        <w:rPr>
          <w:rFonts w:ascii="Arial" w:cs="Arial" w:eastAsia="Arial" w:hAnsi="Arial"/>
          <w:sz w:val="14"/>
          <w:szCs w:val="14"/>
          <w:color w:val="auto"/>
        </w:rPr>
        <w:t>IGHTS</w:t>
      </w:r>
      <w:r>
        <w:rPr>
          <w:rFonts w:ascii="Arial" w:cs="Arial" w:eastAsia="Arial" w:hAnsi="Arial"/>
          <w:sz w:val="17"/>
          <w:szCs w:val="17"/>
          <w:color w:val="auto"/>
        </w:rPr>
        <w:t xml:space="preserve"> A</w:t>
      </w:r>
      <w:r>
        <w:rPr>
          <w:rFonts w:ascii="Arial" w:cs="Arial" w:eastAsia="Arial" w:hAnsi="Arial"/>
          <w:sz w:val="14"/>
          <w:szCs w:val="14"/>
          <w:color w:val="auto"/>
        </w:rPr>
        <w:t>GREEMENT</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OST</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TO INVESTOR RIGHTS AGREEMENT</w:t>
      </w:r>
    </w:p>
    <w:p>
      <w:pPr>
        <w:spacing w:after="0" w:line="225"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u w:val="single" w:color="auto"/>
          <w:color w:val="auto"/>
        </w:rPr>
        <w:t>Joinder Agreement</w:t>
      </w:r>
      <w:r>
        <w:rPr>
          <w:rFonts w:ascii="Arial" w:cs="Arial" w:eastAsia="Arial" w:hAnsi="Arial"/>
          <w:sz w:val="16"/>
          <w:szCs w:val="16"/>
          <w:color w:val="auto"/>
        </w:rPr>
        <w:t>”) is made as of the date written below by the undersigned (the “</w:t>
      </w:r>
      <w:r>
        <w:rPr>
          <w:rFonts w:ascii="Arial" w:cs="Arial" w:eastAsia="Arial" w:hAnsi="Arial"/>
          <w:sz w:val="16"/>
          <w:szCs w:val="16"/>
          <w:u w:val="single" w:color="auto"/>
          <w:color w:val="auto"/>
        </w:rPr>
        <w:t>Joining Party</w:t>
      </w:r>
      <w:r>
        <w:rPr>
          <w:rFonts w:ascii="Arial" w:cs="Arial" w:eastAsia="Arial" w:hAnsi="Arial"/>
          <w:sz w:val="16"/>
          <w:szCs w:val="16"/>
          <w:color w:val="auto"/>
        </w:rPr>
        <w:t>”) in accordance with the Investor Rights Agreement dated as of _________, 2019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among BellRing Brands, Inc. and the other parties</w:t>
      </w:r>
    </w:p>
    <w:p>
      <w:pPr>
        <w:ind w:right="160"/>
        <w:spacing w:after="0" w:line="261" w:lineRule="auto"/>
        <w:rPr>
          <w:sz w:val="20"/>
          <w:szCs w:val="20"/>
          <w:color w:val="auto"/>
        </w:rPr>
      </w:pPr>
      <w:r>
        <w:rPr>
          <w:rFonts w:ascii="Arial" w:cs="Arial" w:eastAsia="Arial" w:hAnsi="Arial"/>
          <w:sz w:val="18"/>
          <w:szCs w:val="18"/>
          <w:color w:val="auto"/>
        </w:rPr>
        <w:t>thereto, as the same may be amended from time to time. Capitalized terms used, but not defined, herein shall have the meanings ascribed to such terms in the Investor Rights Agreement.</w:t>
      </w:r>
    </w:p>
    <w:p>
      <w:pPr>
        <w:spacing w:after="0" w:line="184"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Investor Rights Agreement as of the date hereof and shall have all of the rights and obligations of a “Stockholder” thereunder as if it had executed the Investor Rights Agreement. The Joining Party hereby ratifies, as of the date hereof, and agrees to be bound by, all of the terms, provisions and conditions contained in the Investor Rights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___, ______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14605</wp:posOffset>
            </wp:positionV>
            <wp:extent cx="22040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14605</wp:posOffset>
            </wp:positionV>
            <wp:extent cx="22040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 Address: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XHIBIT</w:t>
      </w:r>
      <w:r>
        <w:rPr>
          <w:rFonts w:ascii="Arial" w:cs="Arial" w:eastAsia="Arial" w:hAnsi="Arial"/>
          <w:sz w:val="18"/>
          <w:szCs w:val="18"/>
          <w:color w:val="auto"/>
        </w:rPr>
        <w:t xml:space="preserve"> A - 1</w:t>
      </w:r>
    </w:p>
    <w:p>
      <w:pPr>
        <w:sectPr>
          <w:pgSz w:w="11900" w:h="16838" w:orient="portrait"/>
          <w:cols w:equalWidth="0" w:num="1">
            <w:col w:w="11020"/>
          </w:cols>
          <w:pgMar w:left="440" w:top="274" w:right="439" w:bottom="1440" w:gutter="0" w:footer="0" w:header="0"/>
        </w:sectPr>
      </w:pPr>
    </w:p>
    <w:bookmarkStart w:id="280" w:name="page281"/>
    <w:bookmarkEnd w:id="280"/>
    <w:p>
      <w:pPr>
        <w:ind w:left="10000"/>
        <w:spacing w:after="0"/>
        <w:rPr>
          <w:sz w:val="20"/>
          <w:szCs w:val="20"/>
          <w:color w:val="auto"/>
        </w:rPr>
      </w:pPr>
      <w:r>
        <w:rPr>
          <w:rFonts w:ascii="Arial" w:cs="Arial" w:eastAsia="Arial" w:hAnsi="Arial"/>
          <w:sz w:val="16"/>
          <w:szCs w:val="16"/>
          <w:b w:val="1"/>
          <w:bCs w:val="1"/>
          <w:color w:val="auto"/>
        </w:rPr>
        <w:t>Exhibit 10.10</w:t>
      </w:r>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CERTAIN IDENTIFIED INFORMATION CONTAINED IN THIS DOCUMENT, MARKED BY [***], HAS BEEN OMITTED BECAUSE IT IS BOTH (1) NOT MATERIAL AND (2) WOULD LIKELY CAUSE COMPETITIVE HARM TO THE COMPANY IF PUBLICLY DISCLOSED.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STREMICK HERITAGE FOODS, LLC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PREMIER NUTRITION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AGREEMENT</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THIS MANUFACTURING AGREEMENT (the “Agreement”) is made this first day of July, 2017 (the “Effective Date”) between Stremicks Heritage Foods, LLC (“Heritage”), a Delaware limited liability company with an address of 4002 Westminster Avenue, Santa Ana, CA 92703 and PREMIER NUTRITION CORPORATION (“Premier”), a Delaware corporation with a principal place of business at 5905 Christie Avenue, Emeryville, California 94608 (each a “Party”, collectively, the “Parties”).</w:t>
      </w:r>
    </w:p>
    <w:p>
      <w:pPr>
        <w:spacing w:after="0" w:line="187"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WHEREAS, Heritage is engaged in the business of producing food products on a contract basis and desires to produce Products (as defined below) for Premier at its facilities in [***] as well as at its majority-owned subsidiary, Jasper Products, L.L.C. (“Jasper”) in [***];</w:t>
      </w:r>
    </w:p>
    <w:p>
      <w:pPr>
        <w:spacing w:after="0" w:line="147"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WHEREAS, Premier is the owner of certain proprietary formulations, manufacturing processes and techniques and wishes to have Product manufactured and packaged by Heritage in accordance with the terms and conditions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covenants contained herein and intending to be legally bound, the Parties agree as follows:</w:t>
      </w:r>
    </w:p>
    <w:p>
      <w:pPr>
        <w:spacing w:after="0" w:line="393" w:lineRule="exact"/>
        <w:rPr>
          <w:sz w:val="20"/>
          <w:szCs w:val="20"/>
          <w:color w:val="auto"/>
        </w:rPr>
      </w:pPr>
    </w:p>
    <w:p>
      <w:pPr>
        <w:ind w:left="980" w:hanging="544"/>
        <w:spacing w:after="0"/>
        <w:tabs>
          <w:tab w:leader="none" w:pos="9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BASIC TERMS</w:t>
      </w:r>
    </w:p>
    <w:p>
      <w:pPr>
        <w:spacing w:after="0" w:line="121" w:lineRule="exact"/>
        <w:rPr>
          <w:rFonts w:ascii="Arial" w:cs="Arial" w:eastAsia="Arial" w:hAnsi="Arial"/>
          <w:sz w:val="18"/>
          <w:szCs w:val="18"/>
          <w:b w:val="1"/>
          <w:bCs w:val="1"/>
          <w:color w:val="auto"/>
        </w:rPr>
      </w:pPr>
    </w:p>
    <w:p>
      <w:pPr>
        <w:ind w:right="100" w:firstLine="996"/>
        <w:spacing w:after="0" w:line="277" w:lineRule="auto"/>
        <w:tabs>
          <w:tab w:leader="none" w:pos="136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This Section contains the basic terms of this Agreement between Heritage and Premier. All other provisions of this Agreement are to be read in accordance with the provisions herein contained.</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2760" w:type="dxa"/>
            <w:vAlign w:val="bottom"/>
          </w:tcPr>
          <w:p>
            <w:pPr>
              <w:ind w:left="100"/>
              <w:spacing w:after="0"/>
              <w:rPr>
                <w:sz w:val="20"/>
                <w:szCs w:val="20"/>
                <w:color w:val="auto"/>
              </w:rPr>
            </w:pPr>
            <w:r>
              <w:rPr>
                <w:rFonts w:ascii="Arial" w:cs="Arial" w:eastAsia="Arial" w:hAnsi="Arial"/>
                <w:sz w:val="18"/>
                <w:szCs w:val="18"/>
                <w:color w:val="auto"/>
              </w:rPr>
              <w:t>Commencement Date</w:t>
            </w:r>
          </w:p>
        </w:tc>
        <w:tc>
          <w:tcPr>
            <w:tcW w:w="1940" w:type="dxa"/>
            <w:vAlign w:val="bottom"/>
          </w:tcPr>
          <w:p>
            <w:pPr>
              <w:ind w:left="320"/>
              <w:spacing w:after="0"/>
              <w:rPr>
                <w:sz w:val="20"/>
                <w:szCs w:val="20"/>
                <w:color w:val="auto"/>
              </w:rPr>
            </w:pPr>
            <w:r>
              <w:rPr>
                <w:rFonts w:ascii="Arial" w:cs="Arial" w:eastAsia="Arial" w:hAnsi="Arial"/>
                <w:sz w:val="18"/>
                <w:szCs w:val="18"/>
                <w:color w:val="auto"/>
              </w:rPr>
              <w:t>July 1, 2017</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(ii)</w:t>
            </w:r>
          </w:p>
        </w:tc>
        <w:tc>
          <w:tcPr>
            <w:tcW w:w="2760" w:type="dxa"/>
            <w:vAlign w:val="bottom"/>
          </w:tcPr>
          <w:p>
            <w:pPr>
              <w:ind w:left="100"/>
              <w:spacing w:after="0"/>
              <w:rPr>
                <w:sz w:val="20"/>
                <w:szCs w:val="20"/>
                <w:color w:val="auto"/>
              </w:rPr>
            </w:pPr>
            <w:r>
              <w:rPr>
                <w:rFonts w:ascii="Arial" w:cs="Arial" w:eastAsia="Arial" w:hAnsi="Arial"/>
                <w:sz w:val="18"/>
                <w:szCs w:val="18"/>
                <w:color w:val="auto"/>
              </w:rPr>
              <w:t>Termination Date</w:t>
            </w:r>
          </w:p>
        </w:tc>
        <w:tc>
          <w:tcPr>
            <w:tcW w:w="1940" w:type="dxa"/>
            <w:vAlign w:val="bottom"/>
          </w:tcPr>
          <w:p>
            <w:pPr>
              <w:ind w:left="320"/>
              <w:spacing w:after="0"/>
              <w:rPr>
                <w:sz w:val="20"/>
                <w:szCs w:val="20"/>
                <w:color w:val="auto"/>
              </w:rPr>
            </w:pPr>
            <w:r>
              <w:rPr>
                <w:rFonts w:ascii="Arial" w:cs="Arial" w:eastAsia="Arial" w:hAnsi="Arial"/>
                <w:sz w:val="18"/>
                <w:szCs w:val="18"/>
                <w:color w:val="auto"/>
              </w:rPr>
              <w:t>December 31, 2022</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(iii)</w:t>
            </w:r>
          </w:p>
        </w:tc>
        <w:tc>
          <w:tcPr>
            <w:tcW w:w="2760" w:type="dxa"/>
            <w:vAlign w:val="bottom"/>
          </w:tcPr>
          <w:p>
            <w:pPr>
              <w:ind w:left="100"/>
              <w:spacing w:after="0"/>
              <w:rPr>
                <w:sz w:val="20"/>
                <w:szCs w:val="20"/>
                <w:color w:val="auto"/>
              </w:rPr>
            </w:pPr>
            <w:r>
              <w:rPr>
                <w:rFonts w:ascii="Arial" w:cs="Arial" w:eastAsia="Arial" w:hAnsi="Arial"/>
                <w:sz w:val="18"/>
                <w:szCs w:val="18"/>
                <w:color w:val="auto"/>
              </w:rPr>
              <w:t>Product Descriptions</w:t>
            </w:r>
          </w:p>
        </w:tc>
        <w:tc>
          <w:tcPr>
            <w:tcW w:w="1940" w:type="dxa"/>
            <w:vAlign w:val="bottom"/>
          </w:tcPr>
          <w:p>
            <w:pPr>
              <w:ind w:left="320"/>
              <w:spacing w:after="0"/>
              <w:rPr>
                <w:sz w:val="20"/>
                <w:szCs w:val="20"/>
                <w:color w:val="auto"/>
              </w:rPr>
            </w:pPr>
            <w:r>
              <w:rPr>
                <w:rFonts w:ascii="Arial" w:cs="Arial" w:eastAsia="Arial" w:hAnsi="Arial"/>
                <w:sz w:val="18"/>
                <w:szCs w:val="18"/>
                <w:color w:val="auto"/>
              </w:rPr>
              <w:t>Schedule A (2(a))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(iv)</w:t>
            </w:r>
          </w:p>
        </w:tc>
        <w:tc>
          <w:tcPr>
            <w:tcW w:w="2760" w:type="dxa"/>
            <w:vAlign w:val="bottom"/>
          </w:tcPr>
          <w:p>
            <w:pPr>
              <w:ind w:left="100"/>
              <w:spacing w:after="0"/>
              <w:rPr>
                <w:sz w:val="20"/>
                <w:szCs w:val="20"/>
                <w:color w:val="auto"/>
              </w:rPr>
            </w:pPr>
            <w:r>
              <w:rPr>
                <w:rFonts w:ascii="Arial" w:cs="Arial" w:eastAsia="Arial" w:hAnsi="Arial"/>
                <w:sz w:val="18"/>
                <w:szCs w:val="18"/>
                <w:color w:val="auto"/>
              </w:rPr>
              <w:t>Records</w:t>
            </w:r>
          </w:p>
        </w:tc>
        <w:tc>
          <w:tcPr>
            <w:tcW w:w="1940" w:type="dxa"/>
            <w:vAlign w:val="bottom"/>
          </w:tcPr>
          <w:p>
            <w:pPr>
              <w:ind w:left="320"/>
              <w:spacing w:after="0"/>
              <w:rPr>
                <w:sz w:val="20"/>
                <w:szCs w:val="20"/>
                <w:color w:val="auto"/>
              </w:rPr>
            </w:pPr>
            <w:r>
              <w:rPr>
                <w:rFonts w:ascii="Arial" w:cs="Arial" w:eastAsia="Arial" w:hAnsi="Arial"/>
                <w:sz w:val="18"/>
                <w:szCs w:val="18"/>
                <w:color w:val="auto"/>
                <w:w w:val="90"/>
              </w:rPr>
              <w:t>Schedule B (2(i), 3(e))</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(v)</w:t>
            </w:r>
          </w:p>
        </w:tc>
        <w:tc>
          <w:tcPr>
            <w:tcW w:w="2760" w:type="dxa"/>
            <w:vAlign w:val="bottom"/>
          </w:tcPr>
          <w:p>
            <w:pPr>
              <w:ind w:left="100"/>
              <w:spacing w:after="0"/>
              <w:rPr>
                <w:sz w:val="20"/>
                <w:szCs w:val="20"/>
                <w:color w:val="auto"/>
              </w:rPr>
            </w:pPr>
            <w:r>
              <w:rPr>
                <w:rFonts w:ascii="Arial" w:cs="Arial" w:eastAsia="Arial" w:hAnsi="Arial"/>
                <w:sz w:val="18"/>
                <w:szCs w:val="18"/>
                <w:color w:val="auto"/>
              </w:rPr>
              <w:t>Ingredients/Materials/Packaging</w:t>
            </w:r>
          </w:p>
        </w:tc>
        <w:tc>
          <w:tcPr>
            <w:tcW w:w="1940" w:type="dxa"/>
            <w:vAlign w:val="bottom"/>
          </w:tcPr>
          <w:p>
            <w:pPr>
              <w:spacing w:after="0"/>
              <w:rPr>
                <w:sz w:val="24"/>
                <w:szCs w:val="24"/>
                <w:color w:val="auto"/>
              </w:rPr>
            </w:pPr>
          </w:p>
        </w:tc>
      </w:tr>
      <w:tr>
        <w:trPr>
          <w:trHeight w:val="244"/>
        </w:trPr>
        <w:tc>
          <w:tcPr>
            <w:tcW w:w="360" w:type="dxa"/>
            <w:vAlign w:val="bottom"/>
          </w:tcPr>
          <w:p>
            <w:pPr>
              <w:spacing w:after="0"/>
              <w:rPr>
                <w:sz w:val="21"/>
                <w:szCs w:val="21"/>
                <w:color w:val="auto"/>
              </w:rPr>
            </w:pPr>
          </w:p>
        </w:tc>
        <w:tc>
          <w:tcPr>
            <w:tcW w:w="2760" w:type="dxa"/>
            <w:vAlign w:val="bottom"/>
          </w:tcPr>
          <w:p>
            <w:pPr>
              <w:ind w:left="100"/>
              <w:spacing w:after="0"/>
              <w:rPr>
                <w:sz w:val="20"/>
                <w:szCs w:val="20"/>
                <w:color w:val="auto"/>
              </w:rPr>
            </w:pPr>
            <w:r>
              <w:rPr>
                <w:rFonts w:ascii="Arial" w:cs="Arial" w:eastAsia="Arial" w:hAnsi="Arial"/>
                <w:sz w:val="18"/>
                <w:szCs w:val="18"/>
                <w:color w:val="auto"/>
              </w:rPr>
              <w:t>Purchased by Premier</w:t>
            </w:r>
          </w:p>
        </w:tc>
        <w:tc>
          <w:tcPr>
            <w:tcW w:w="1940" w:type="dxa"/>
            <w:vAlign w:val="bottom"/>
          </w:tcPr>
          <w:p>
            <w:pPr>
              <w:ind w:left="320"/>
              <w:spacing w:after="0"/>
              <w:rPr>
                <w:sz w:val="20"/>
                <w:szCs w:val="20"/>
                <w:color w:val="auto"/>
              </w:rPr>
            </w:pPr>
            <w:r>
              <w:rPr>
                <w:rFonts w:ascii="Arial" w:cs="Arial" w:eastAsia="Arial" w:hAnsi="Arial"/>
                <w:sz w:val="18"/>
                <w:szCs w:val="18"/>
                <w:color w:val="auto"/>
              </w:rPr>
              <w:t>Schedule C (3(b))</w:t>
            </w:r>
          </w:p>
        </w:tc>
      </w:tr>
    </w:tbl>
    <w:p>
      <w:pPr>
        <w:spacing w:after="0" w:line="94" w:lineRule="exact"/>
        <w:rPr>
          <w:sz w:val="20"/>
          <w:szCs w:val="20"/>
          <w:color w:val="auto"/>
        </w:rPr>
      </w:pPr>
    </w:p>
    <w:p>
      <w:pPr>
        <w:ind w:left="1840" w:hanging="459"/>
        <w:spacing w:after="0"/>
        <w:tabs>
          <w:tab w:leader="none" w:pos="18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Ingredient/Materials/Packaging</w:t>
      </w:r>
    </w:p>
    <w:p>
      <w:pPr>
        <w:spacing w:after="0" w:line="23"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840" w:type="dxa"/>
            <w:vAlign w:val="bottom"/>
          </w:tcPr>
          <w:p>
            <w:pPr>
              <w:ind w:left="40"/>
              <w:spacing w:after="0"/>
              <w:rPr>
                <w:sz w:val="20"/>
                <w:szCs w:val="20"/>
                <w:color w:val="auto"/>
              </w:rPr>
            </w:pPr>
            <w:r>
              <w:rPr>
                <w:rFonts w:ascii="Arial" w:cs="Arial" w:eastAsia="Arial" w:hAnsi="Arial"/>
                <w:sz w:val="18"/>
                <w:szCs w:val="18"/>
                <w:color w:val="auto"/>
              </w:rPr>
              <w:t>Purchased by Heritage</w:t>
            </w:r>
          </w:p>
        </w:tc>
        <w:tc>
          <w:tcPr>
            <w:tcW w:w="1460" w:type="dxa"/>
            <w:vAlign w:val="bottom"/>
          </w:tcPr>
          <w:p>
            <w:pPr>
              <w:ind w:left="180"/>
              <w:spacing w:after="0"/>
              <w:rPr>
                <w:sz w:val="20"/>
                <w:szCs w:val="20"/>
                <w:color w:val="auto"/>
              </w:rPr>
            </w:pPr>
            <w:r>
              <w:rPr>
                <w:rFonts w:ascii="Arial" w:cs="Arial" w:eastAsia="Arial" w:hAnsi="Arial"/>
                <w:sz w:val="18"/>
                <w:szCs w:val="18"/>
                <w:color w:val="auto"/>
                <w:w w:val="89"/>
              </w:rPr>
              <w:t>Schedule C (3(c))</w:t>
            </w:r>
          </w:p>
        </w:tc>
      </w:tr>
      <w:tr>
        <w:trPr>
          <w:trHeight w:val="323"/>
        </w:trPr>
        <w:tc>
          <w:tcPr>
            <w:tcW w:w="420" w:type="dxa"/>
            <w:vAlign w:val="bottom"/>
          </w:tcPr>
          <w:p>
            <w:pPr>
              <w:spacing w:after="0"/>
              <w:rPr>
                <w:sz w:val="20"/>
                <w:szCs w:val="20"/>
                <w:color w:val="auto"/>
              </w:rPr>
            </w:pPr>
            <w:r>
              <w:rPr>
                <w:rFonts w:ascii="Arial" w:cs="Arial" w:eastAsia="Arial" w:hAnsi="Arial"/>
                <w:sz w:val="18"/>
                <w:szCs w:val="18"/>
                <w:color w:val="auto"/>
              </w:rPr>
              <w:t>(vii)</w:t>
            </w:r>
          </w:p>
        </w:tc>
        <w:tc>
          <w:tcPr>
            <w:tcW w:w="2840" w:type="dxa"/>
            <w:vAlign w:val="bottom"/>
          </w:tcPr>
          <w:p>
            <w:pPr>
              <w:ind w:left="40"/>
              <w:spacing w:after="0"/>
              <w:rPr>
                <w:sz w:val="20"/>
                <w:szCs w:val="20"/>
                <w:color w:val="auto"/>
              </w:rPr>
            </w:pPr>
            <w:r>
              <w:rPr>
                <w:rFonts w:ascii="Arial" w:cs="Arial" w:eastAsia="Arial" w:hAnsi="Arial"/>
                <w:sz w:val="18"/>
                <w:szCs w:val="18"/>
                <w:color w:val="auto"/>
              </w:rPr>
              <w:t>Material loss allowance</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C</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(viii)</w:t>
            </w:r>
          </w:p>
        </w:tc>
        <w:tc>
          <w:tcPr>
            <w:tcW w:w="2840" w:type="dxa"/>
            <w:vAlign w:val="bottom"/>
          </w:tcPr>
          <w:p>
            <w:pPr>
              <w:ind w:left="40"/>
              <w:spacing w:after="0"/>
              <w:rPr>
                <w:sz w:val="20"/>
                <w:szCs w:val="20"/>
                <w:color w:val="auto"/>
              </w:rPr>
            </w:pPr>
            <w:r>
              <w:rPr>
                <w:rFonts w:ascii="Arial" w:cs="Arial" w:eastAsia="Arial" w:hAnsi="Arial"/>
                <w:sz w:val="18"/>
                <w:szCs w:val="18"/>
                <w:color w:val="auto"/>
              </w:rPr>
              <w:t>Pricing and terms</w:t>
            </w:r>
          </w:p>
        </w:tc>
        <w:tc>
          <w:tcPr>
            <w:tcW w:w="1460" w:type="dxa"/>
            <w:vAlign w:val="bottom"/>
          </w:tcPr>
          <w:p>
            <w:pPr>
              <w:ind w:left="180"/>
              <w:spacing w:after="0"/>
              <w:rPr>
                <w:sz w:val="20"/>
                <w:szCs w:val="20"/>
                <w:color w:val="auto"/>
              </w:rPr>
            </w:pPr>
            <w:r>
              <w:rPr>
                <w:rFonts w:ascii="Arial" w:cs="Arial" w:eastAsia="Arial" w:hAnsi="Arial"/>
                <w:sz w:val="18"/>
                <w:szCs w:val="18"/>
                <w:color w:val="auto"/>
                <w:w w:val="93"/>
              </w:rPr>
              <w:t>Schedule C, 3(d)</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(ix)</w:t>
            </w:r>
          </w:p>
        </w:tc>
        <w:tc>
          <w:tcPr>
            <w:tcW w:w="2840" w:type="dxa"/>
            <w:vAlign w:val="bottom"/>
          </w:tcPr>
          <w:p>
            <w:pPr>
              <w:ind w:left="40"/>
              <w:spacing w:after="0"/>
              <w:rPr>
                <w:sz w:val="20"/>
                <w:szCs w:val="20"/>
                <w:color w:val="auto"/>
              </w:rPr>
            </w:pPr>
            <w:r>
              <w:rPr>
                <w:rFonts w:ascii="Arial" w:cs="Arial" w:eastAsia="Arial" w:hAnsi="Arial"/>
                <w:sz w:val="18"/>
                <w:szCs w:val="18"/>
                <w:color w:val="auto"/>
              </w:rPr>
              <w:t>Premier Contacts</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D</w:t>
            </w:r>
          </w:p>
        </w:tc>
      </w:tr>
      <w:tr>
        <w:trPr>
          <w:trHeight w:val="310"/>
        </w:trPr>
        <w:tc>
          <w:tcPr>
            <w:tcW w:w="420" w:type="dxa"/>
            <w:vAlign w:val="bottom"/>
          </w:tcPr>
          <w:p>
            <w:pPr>
              <w:spacing w:after="0"/>
              <w:rPr>
                <w:sz w:val="20"/>
                <w:szCs w:val="20"/>
                <w:color w:val="auto"/>
              </w:rPr>
            </w:pPr>
            <w:r>
              <w:rPr>
                <w:rFonts w:ascii="Arial" w:cs="Arial" w:eastAsia="Arial" w:hAnsi="Arial"/>
                <w:sz w:val="18"/>
                <w:szCs w:val="18"/>
                <w:color w:val="auto"/>
              </w:rPr>
              <w:t>(x)</w:t>
            </w:r>
          </w:p>
        </w:tc>
        <w:tc>
          <w:tcPr>
            <w:tcW w:w="2840" w:type="dxa"/>
            <w:vAlign w:val="bottom"/>
          </w:tcPr>
          <w:p>
            <w:pPr>
              <w:ind w:left="40"/>
              <w:spacing w:after="0"/>
              <w:rPr>
                <w:sz w:val="20"/>
                <w:szCs w:val="20"/>
                <w:color w:val="auto"/>
              </w:rPr>
            </w:pPr>
            <w:r>
              <w:rPr>
                <w:rFonts w:ascii="Arial" w:cs="Arial" w:eastAsia="Arial" w:hAnsi="Arial"/>
                <w:sz w:val="18"/>
                <w:szCs w:val="18"/>
                <w:color w:val="auto"/>
                <w:w w:val="97"/>
              </w:rPr>
              <w:t>Post Holdings’ Quality Expectations</w:t>
            </w:r>
          </w:p>
        </w:tc>
        <w:tc>
          <w:tcPr>
            <w:tcW w:w="146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2840" w:type="dxa"/>
            <w:vAlign w:val="bottom"/>
          </w:tcPr>
          <w:p>
            <w:pPr>
              <w:ind w:left="220"/>
              <w:spacing w:after="0"/>
              <w:rPr>
                <w:sz w:val="20"/>
                <w:szCs w:val="20"/>
                <w:color w:val="auto"/>
              </w:rPr>
            </w:pPr>
            <w:r>
              <w:rPr>
                <w:rFonts w:ascii="Arial" w:cs="Arial" w:eastAsia="Arial" w:hAnsi="Arial"/>
                <w:sz w:val="18"/>
                <w:szCs w:val="18"/>
                <w:color w:val="auto"/>
              </w:rPr>
              <w:t>Manual</w:t>
            </w:r>
          </w:p>
        </w:tc>
        <w:tc>
          <w:tcPr>
            <w:tcW w:w="1460" w:type="dxa"/>
            <w:vAlign w:val="bottom"/>
          </w:tcPr>
          <w:p>
            <w:pPr>
              <w:ind w:left="180"/>
              <w:spacing w:after="0"/>
              <w:rPr>
                <w:sz w:val="20"/>
                <w:szCs w:val="20"/>
                <w:color w:val="auto"/>
              </w:rPr>
            </w:pPr>
            <w:r>
              <w:rPr>
                <w:rFonts w:ascii="Arial" w:cs="Arial" w:eastAsia="Arial" w:hAnsi="Arial"/>
                <w:sz w:val="18"/>
                <w:szCs w:val="18"/>
                <w:color w:val="auto"/>
              </w:rPr>
              <w:t>Schedule E</w:t>
            </w:r>
          </w:p>
        </w:tc>
      </w:tr>
      <w:tr>
        <w:trPr>
          <w:trHeight w:val="365"/>
        </w:trPr>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60" w:type="dxa"/>
            <w:vAlign w:val="bottom"/>
          </w:tcPr>
          <w:p>
            <w:pPr>
              <w:ind w:left="82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020"/>
          </w:cols>
          <w:pgMar w:left="440" w:top="121" w:right="439" w:bottom="1440" w:gutter="0" w:footer="0" w:header="0"/>
        </w:sectPr>
      </w:pPr>
    </w:p>
    <w:bookmarkStart w:id="281" w:name="page282"/>
    <w:bookmarkEnd w:id="281"/>
    <w:p>
      <w:pPr>
        <w:ind w:left="-4" w:right="140" w:firstLine="996"/>
        <w:spacing w:after="0" w:line="277" w:lineRule="auto"/>
        <w:tabs>
          <w:tab w:leader="none" w:pos="1375" w:val="left"/>
        </w:tabs>
        <w:numPr>
          <w:ilvl w:val="2"/>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of this Agreement will commence on the Commencement Date and will continue through December 31, 2022 or until this Agreement is otherwise terminated in accordance with its provisions (“Term”).</w:t>
      </w:r>
    </w:p>
    <w:p>
      <w:pPr>
        <w:spacing w:after="0" w:line="315" w:lineRule="exact"/>
        <w:rPr>
          <w:rFonts w:ascii="Arial" w:cs="Arial" w:eastAsia="Arial" w:hAnsi="Arial"/>
          <w:sz w:val="18"/>
          <w:szCs w:val="18"/>
          <w:color w:val="auto"/>
        </w:rPr>
      </w:pPr>
    </w:p>
    <w:p>
      <w:pPr>
        <w:ind w:left="976" w:hanging="544"/>
        <w:spacing w:after="0"/>
        <w:tabs>
          <w:tab w:leader="none" w:pos="976"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OF PRODUCT</w:t>
      </w:r>
    </w:p>
    <w:p>
      <w:pPr>
        <w:spacing w:after="0" w:line="121" w:lineRule="exact"/>
        <w:rPr>
          <w:rFonts w:ascii="Arial" w:cs="Arial" w:eastAsia="Arial" w:hAnsi="Arial"/>
          <w:sz w:val="18"/>
          <w:szCs w:val="18"/>
          <w:b w:val="1"/>
          <w:bCs w:val="1"/>
          <w:color w:val="auto"/>
        </w:rPr>
      </w:pPr>
    </w:p>
    <w:p>
      <w:pPr>
        <w:ind w:left="-4" w:right="20" w:firstLine="996"/>
        <w:spacing w:after="0" w:line="272" w:lineRule="auto"/>
        <w:tabs>
          <w:tab w:leader="none" w:pos="1368" w:val="left"/>
        </w:tabs>
        <w:numPr>
          <w:ilvl w:val="2"/>
          <w:numId w:val="198"/>
        </w:numPr>
        <w:rPr>
          <w:rFonts w:ascii="Arial" w:cs="Arial" w:eastAsia="Arial" w:hAnsi="Arial"/>
          <w:sz w:val="17"/>
          <w:szCs w:val="17"/>
          <w:color w:val="auto"/>
        </w:rPr>
      </w:pPr>
      <w:r>
        <w:rPr>
          <w:rFonts w:ascii="Arial" w:cs="Arial" w:eastAsia="Arial" w:hAnsi="Arial"/>
          <w:sz w:val="17"/>
          <w:szCs w:val="17"/>
          <w:color w:val="auto"/>
        </w:rPr>
        <w:t>Heritage shall produce the products described on Schedule A attached hereto, as may be amended by the Parties hereafter from time to time (the “Products”), for Premier at [***] Heritage’s or Heritage’s wholly owned subsidiary, Jasper’s, [***] (the “Facilities”). [***] For the purposes of this paragraph, [***] facilities located at [***] are considered one Facility. Any facility that Heritage wishes to use, other than [***] to manufacture the Products must be approved by Premier in writing, in advance. For the avoidance of doubt, Heritage’s [***] facility must be approved by Premier before it may be used to manufacture the Products. Such facility approvals shall not be unreasonably withheld or delayed. Premier’s facility approval will be based, in part, on the successful completion of a trial production run that is sufficient in meeting finished product specifications, and an evaluation of the stability and specifications of trial production product within [***] of the trial production run.</w:t>
      </w:r>
    </w:p>
    <w:p>
      <w:pPr>
        <w:spacing w:after="0" w:line="177" w:lineRule="exact"/>
        <w:rPr>
          <w:rFonts w:ascii="Arial" w:cs="Arial" w:eastAsia="Arial" w:hAnsi="Arial"/>
          <w:sz w:val="17"/>
          <w:szCs w:val="17"/>
          <w:color w:val="auto"/>
        </w:rPr>
      </w:pPr>
    </w:p>
    <w:p>
      <w:pPr>
        <w:ind w:left="-4" w:right="500" w:firstLine="996"/>
        <w:spacing w:after="0" w:line="308" w:lineRule="auto"/>
        <w:tabs>
          <w:tab w:leader="none" w:pos="1378" w:val="left"/>
        </w:tabs>
        <w:numPr>
          <w:ilvl w:val="2"/>
          <w:numId w:val="198"/>
        </w:numPr>
        <w:rPr>
          <w:rFonts w:ascii="Arial" w:cs="Arial" w:eastAsia="Arial" w:hAnsi="Arial"/>
          <w:sz w:val="17"/>
          <w:szCs w:val="17"/>
          <w:color w:val="auto"/>
        </w:rPr>
      </w:pPr>
      <w:r>
        <w:rPr>
          <w:rFonts w:ascii="Arial" w:cs="Arial" w:eastAsia="Arial" w:hAnsi="Arial"/>
          <w:sz w:val="17"/>
          <w:szCs w:val="17"/>
          <w:color w:val="auto"/>
        </w:rPr>
        <w:t>Heritage and Premier agree that all Products subject to this Agreement, and their current and subsequently modified respective formulas are confidential and proprietary, and the sole property of Premier unless otherwise agreed in writing by both Parties.</w:t>
      </w:r>
    </w:p>
    <w:p>
      <w:pPr>
        <w:spacing w:after="0" w:line="146" w:lineRule="exact"/>
        <w:rPr>
          <w:rFonts w:ascii="Arial" w:cs="Arial" w:eastAsia="Arial" w:hAnsi="Arial"/>
          <w:sz w:val="17"/>
          <w:szCs w:val="17"/>
          <w:color w:val="auto"/>
        </w:rPr>
      </w:pPr>
    </w:p>
    <w:p>
      <w:pPr>
        <w:ind w:left="-4" w:right="20" w:firstLine="996"/>
        <w:spacing w:after="0" w:line="259" w:lineRule="auto"/>
        <w:tabs>
          <w:tab w:leader="none" w:pos="1368" w:val="left"/>
        </w:tabs>
        <w:numPr>
          <w:ilvl w:val="2"/>
          <w:numId w:val="198"/>
        </w:numPr>
        <w:rPr>
          <w:rFonts w:ascii="Arial" w:cs="Arial" w:eastAsia="Arial" w:hAnsi="Arial"/>
          <w:sz w:val="18"/>
          <w:szCs w:val="18"/>
          <w:color w:val="auto"/>
        </w:rPr>
      </w:pPr>
      <w:r>
        <w:rPr>
          <w:rFonts w:ascii="Arial" w:cs="Arial" w:eastAsia="Arial" w:hAnsi="Arial"/>
          <w:sz w:val="18"/>
          <w:szCs w:val="18"/>
          <w:color w:val="auto"/>
        </w:rPr>
        <w:t>Minimum Annual Order Volume. During the Term of this Agreement, Premier shall be required to purchase a Minimum Annual Order Volume (“MAOV”) of [***] (“Units”) for each twelve-month period commencing July 1, 2017, and for the six-month period commencing July 1, 2022 and ending December 31, 2022, Premier will be required to purchase [***] Units (the twelve-month periods and the six month period are each a “Contract Period”).</w:t>
      </w:r>
    </w:p>
    <w:p>
      <w:pPr>
        <w:spacing w:after="0" w:line="186" w:lineRule="exact"/>
        <w:rPr>
          <w:rFonts w:ascii="Arial" w:cs="Arial" w:eastAsia="Arial" w:hAnsi="Arial"/>
          <w:sz w:val="18"/>
          <w:szCs w:val="18"/>
          <w:color w:val="auto"/>
        </w:rPr>
      </w:pPr>
    </w:p>
    <w:p>
      <w:pPr>
        <w:ind w:left="-4" w:right="20" w:firstLine="996"/>
        <w:spacing w:after="0" w:line="264" w:lineRule="auto"/>
        <w:tabs>
          <w:tab w:leader="none" w:pos="1378" w:val="left"/>
        </w:tabs>
        <w:numPr>
          <w:ilvl w:val="2"/>
          <w:numId w:val="198"/>
        </w:numPr>
        <w:rPr>
          <w:rFonts w:ascii="Arial" w:cs="Arial" w:eastAsia="Arial" w:hAnsi="Arial"/>
          <w:sz w:val="18"/>
          <w:szCs w:val="18"/>
          <w:color w:val="auto"/>
        </w:rPr>
      </w:pPr>
      <w:r>
        <w:rPr>
          <w:rFonts w:ascii="Arial" w:cs="Arial" w:eastAsia="Arial" w:hAnsi="Arial"/>
          <w:sz w:val="18"/>
          <w:szCs w:val="18"/>
          <w:color w:val="auto"/>
        </w:rPr>
        <w:t>During the Term, Premier shall have the right (but not the obligation) to order from Heritage quantities of Products in excess of [***] and provided Heritage has the capacity and the ability to produce such additional quantities of Products, Heritage agrees to produce such additional quantities per the pricing and terms on Schedule C.</w:t>
      </w:r>
    </w:p>
    <w:p>
      <w:pPr>
        <w:spacing w:after="0" w:line="181" w:lineRule="exact"/>
        <w:rPr>
          <w:rFonts w:ascii="Arial" w:cs="Arial" w:eastAsia="Arial" w:hAnsi="Arial"/>
          <w:sz w:val="18"/>
          <w:szCs w:val="18"/>
          <w:color w:val="auto"/>
        </w:rPr>
      </w:pPr>
    </w:p>
    <w:p>
      <w:pPr>
        <w:ind w:left="1376" w:hanging="384"/>
        <w:spacing w:after="0"/>
        <w:tabs>
          <w:tab w:leader="none" w:pos="1376" w:val="left"/>
        </w:tabs>
        <w:numPr>
          <w:ilvl w:val="2"/>
          <w:numId w:val="19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56" w:hanging="364"/>
        <w:spacing w:after="0"/>
        <w:tabs>
          <w:tab w:leader="none" w:pos="1356" w:val="left"/>
        </w:tabs>
        <w:numPr>
          <w:ilvl w:val="2"/>
          <w:numId w:val="19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40" w:firstLine="996"/>
        <w:spacing w:after="0" w:line="288" w:lineRule="auto"/>
        <w:tabs>
          <w:tab w:leader="none" w:pos="1375" w:val="left"/>
        </w:tabs>
        <w:numPr>
          <w:ilvl w:val="2"/>
          <w:numId w:val="198"/>
        </w:numPr>
        <w:rPr>
          <w:rFonts w:ascii="Arial" w:cs="Arial" w:eastAsia="Arial" w:hAnsi="Arial"/>
          <w:sz w:val="16"/>
          <w:szCs w:val="16"/>
          <w:color w:val="auto"/>
        </w:rPr>
      </w:pPr>
      <w:r>
        <w:rPr>
          <w:rFonts w:ascii="Arial" w:cs="Arial" w:eastAsia="Arial" w:hAnsi="Arial"/>
          <w:sz w:val="16"/>
          <w:szCs w:val="16"/>
          <w:color w:val="auto"/>
        </w:rPr>
        <w:t>Within [***] of each calendar month during the Term, Premier shall provide to Heritage a [***] rolling production forecast which shall set forth Premier’s non-binding good faith estimated purchases (each, a “Forecast”) for the [***] period commencing on the date thereof (the “Forecast Delivery Date”). Each Forecast shall also designate which Facility shall manufacture the Products set forth in such Forecast (i.e. Heritage’s</w:t>
      </w:r>
    </w:p>
    <w:p>
      <w:pPr>
        <w:ind w:left="-4" w:firstLine="4"/>
        <w:spacing w:after="0" w:line="255" w:lineRule="auto"/>
        <w:tabs>
          <w:tab w:leader="none" w:pos="43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Facility, Jasper’s [***] Facility, or some other facility agreed to by the Parties). Heritage shall notify Premier, in writing (or email), within [***] of each Forecast Delivery Date, if Heritage’s or Jasper’s Facilities will not be able to fulfill Premier’s estimated purchases as set out in the [***] of such Forecast. For the avoidance of doubt, the [***] are</w:t>
      </w:r>
    </w:p>
    <w:p>
      <w:pPr>
        <w:spacing w:after="0" w:line="1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4" w:right="459" w:bottom="1440" w:gutter="0" w:footer="0" w:header="0"/>
        </w:sectPr>
      </w:pPr>
    </w:p>
    <w:bookmarkStart w:id="282" w:name="page283"/>
    <w:bookmarkEnd w:id="282"/>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 immediately following the Forecast Delivery Date. If Heritage notifies Premier that it can fulfill Premier’s Forecast for this [***] period, or if it fails to notify Premier that it cannot fulfill that portion of the Forecast, Heritage shall be obligated to fulfill, or cause Jasper to fulfill as applicable, if ordered through POs, the full amount of Product set forth for purchase during [***] (“Firm Forecast”).</w:t>
      </w:r>
    </w:p>
    <w:p>
      <w:pPr>
        <w:spacing w:after="0" w:line="181" w:lineRule="exact"/>
        <w:rPr>
          <w:sz w:val="20"/>
          <w:szCs w:val="20"/>
          <w:color w:val="auto"/>
        </w:rPr>
      </w:pPr>
    </w:p>
    <w:p>
      <w:pPr>
        <w:ind w:right="20" w:firstLine="996"/>
        <w:spacing w:after="0" w:line="259" w:lineRule="auto"/>
        <w:tabs>
          <w:tab w:leader="none" w:pos="137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Within the [***] of each calendar month during the Term, Heritage shall provide to Premier a [***] rolling production forecast which shall set forth Heritage’s good faith estimated maximum monthly unit volume (“Maximum Volume”) for each Facility during such [***] period. Modifications to the Maximum Volume shall be negotiated in good faith and agreed upon by both Parties in writing or email by the [***] of the calendar month.</w:t>
      </w:r>
    </w:p>
    <w:p>
      <w:pPr>
        <w:spacing w:after="0" w:line="186" w:lineRule="exact"/>
        <w:rPr>
          <w:rFonts w:ascii="Arial" w:cs="Arial" w:eastAsia="Arial" w:hAnsi="Arial"/>
          <w:sz w:val="18"/>
          <w:szCs w:val="18"/>
          <w:color w:val="auto"/>
        </w:rPr>
      </w:pPr>
    </w:p>
    <w:p>
      <w:pPr>
        <w:ind w:right="140" w:firstLine="996"/>
        <w:spacing w:after="0" w:line="264" w:lineRule="auto"/>
        <w:tabs>
          <w:tab w:leader="none" w:pos="134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Premier shall provide Heritage with Purchase Orders (or “POs”) [***] in advance of the date referred to as the “Due Date” in such POs. The POs, at a minimum, will give the Products and quantities ordered, the Due Date requested, and designate which Facility will manufacture the Products. “Due Date” shall mean the production start date requested by Premier.</w:t>
      </w:r>
    </w:p>
    <w:p>
      <w:pPr>
        <w:spacing w:after="0" w:line="181" w:lineRule="exact"/>
        <w:rPr>
          <w:rFonts w:ascii="Arial" w:cs="Arial" w:eastAsia="Arial" w:hAnsi="Arial"/>
          <w:sz w:val="18"/>
          <w:szCs w:val="18"/>
          <w:color w:val="auto"/>
        </w:rPr>
      </w:pPr>
    </w:p>
    <w:p>
      <w:pPr>
        <w:ind w:firstLine="996"/>
        <w:spacing w:after="0" w:line="291" w:lineRule="auto"/>
        <w:tabs>
          <w:tab w:leader="none" w:pos="133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Within [***] of receipt of a PO, Heritage shall (i) provide to Premier email confirmation of acceptance of the PO, a schedule of production and an estimated production completion date (the “Estimated Completion Date”), or (ii) notify Premier if any term of the PO cannot be met. Heritage’s failure to notify Premier, within the time specified herein, of an inability to meet a term of the PO shall constitute acceptance of such PO in its entirety. If Heritage notifies Premier that it or Jasper cannot meet the Due Date, the Parties shall discuss an acceptable alternate date on which production will commence (the “Production Date”). Once a Due Date is accepted or a Production Date is mutually agreed upon, Heritage shall, or shall cause Jasper to, use all commercially reasonable efforts to start production on or before the Due Date (or Production Date, as applicable), but in no case more than [***] earlier or later than the Due Date (or Production Date, as applicable) unless mutually agreed otherwise by Premier.</w:t>
      </w:r>
    </w:p>
    <w:p>
      <w:pPr>
        <w:spacing w:after="0" w:line="167" w:lineRule="exact"/>
        <w:rPr>
          <w:rFonts w:ascii="Arial" w:cs="Arial" w:eastAsia="Arial" w:hAnsi="Arial"/>
          <w:sz w:val="16"/>
          <w:szCs w:val="16"/>
          <w:color w:val="auto"/>
        </w:rPr>
      </w:pPr>
    </w:p>
    <w:p>
      <w:pPr>
        <w:ind w:right="100" w:firstLine="996"/>
        <w:spacing w:after="0" w:line="257" w:lineRule="auto"/>
        <w:tabs>
          <w:tab w:leader="none" w:pos="138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PREMIER requests that Products be produced at the Heritage Facility, Heritage may either produce such Products at the Heritage Facility or cause Jasper to produce such Products at the Jasper Facility, in which case Heritage shall be responsible for all shipping costs of transporting the Products to the Heritage Facility. If Premier requests that Products be produced at the Jasper Facility, Heritage may either cause Jasper to produce such Products at the Jasper Facility or produce such Products at the Heritage Facility, in which case Heritage shall be responsible for all shipping costs of transporting the Products to the Jasper Facility.</w:t>
      </w:r>
    </w:p>
    <w:p>
      <w:pPr>
        <w:spacing w:after="0" w:line="188" w:lineRule="exact"/>
        <w:rPr>
          <w:rFonts w:ascii="Arial" w:cs="Arial" w:eastAsia="Arial" w:hAnsi="Arial"/>
          <w:sz w:val="18"/>
          <w:szCs w:val="18"/>
          <w:color w:val="auto"/>
        </w:rPr>
      </w:pPr>
    </w:p>
    <w:p>
      <w:pPr>
        <w:ind w:right="20" w:firstLine="996"/>
        <w:spacing w:after="0" w:line="259" w:lineRule="auto"/>
        <w:tabs>
          <w:tab w:leader="none" w:pos="134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a PO is accepted by Heritage as described in Section 2(j) above but such PO is not filled in accordance with its terms, or if Heritage or Jasper, as applicable, fails to complete production of the Products [***], Premier shall have the right to use an alternate co-packer for the Products specified in the PO and Heritage shall, or shall cause Jasper to, provide Premier with Premier owned packaging needed to support such production by an alternate co-packer.</w:t>
      </w:r>
    </w:p>
    <w:p>
      <w:pPr>
        <w:spacing w:after="0" w:line="186" w:lineRule="exact"/>
        <w:rPr>
          <w:rFonts w:ascii="Arial" w:cs="Arial" w:eastAsia="Arial" w:hAnsi="Arial"/>
          <w:sz w:val="18"/>
          <w:szCs w:val="18"/>
          <w:color w:val="auto"/>
        </w:rPr>
      </w:pPr>
    </w:p>
    <w:p>
      <w:pPr>
        <w:ind w:right="60" w:firstLine="996"/>
        <w:spacing w:after="0" w:line="271" w:lineRule="auto"/>
        <w:tabs>
          <w:tab w:leader="none" w:pos="1432" w:val="left"/>
        </w:tabs>
        <w:numPr>
          <w:ilvl w:val="0"/>
          <w:numId w:val="199"/>
        </w:numPr>
        <w:rPr>
          <w:rFonts w:ascii="Arial" w:cs="Arial" w:eastAsia="Arial" w:hAnsi="Arial"/>
          <w:sz w:val="17"/>
          <w:szCs w:val="17"/>
          <w:color w:val="auto"/>
        </w:rPr>
      </w:pPr>
      <w:r>
        <w:rPr>
          <w:rFonts w:ascii="Arial" w:cs="Arial" w:eastAsia="Arial" w:hAnsi="Arial"/>
          <w:sz w:val="17"/>
          <w:szCs w:val="17"/>
          <w:color w:val="auto"/>
        </w:rPr>
        <w:t>Purchase Orders will be Premier’s best estimate of its current requirements, but may be amended up or down or canceled in their entirety by Premier to reflect changing demand for Products. The final Unit quantities on Premier’s Purchase Orders will count towards the MAOV. However, if (i) any increase or decrease in Unit volume under a particular PO is greater than [***] of the initial PO quantity and (ii) Premier requests such change or cancellation within the [***] period prior to the Due Date (or Production Date, as applicable) (the “[***] Period”), Heritage in its sole discretion, may charge Premier [***]. In no event shall Premier pay [***] if (i) it cancels or modifies any PO prior to the commencement of the [***] Period (i.e.; prior to the commencement of the [***] period preceding the Due Date (or Production Date, as applicable), (ii) Heritage or Jasper fails to timely start production in the [***] period before or after the Due Date (or Production Date, as applicable), or (iii) the basis for Premier’s cancellation is a breach by Heritage of its obligations, representations or warranties hereunder.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83" w:name="page284"/>
    <w:bookmarkEnd w:id="283"/>
    <w:p>
      <w:pPr>
        <w:ind w:firstLine="996"/>
        <w:spacing w:after="0" w:line="276" w:lineRule="auto"/>
        <w:tabs>
          <w:tab w:leader="none" w:pos="1382" w:val="left"/>
        </w:tabs>
        <w:numPr>
          <w:ilvl w:val="1"/>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Heritage shall within [***] after the end of the production run, notify Premier via email of the final estimated production quantity and the estimated quantity, including losses, of all Premier-supplied materials used. If the final production quantity for any accepted PO is less than [***] of the PO quantity ordered, or if the quantity of production released for shipment within [***] from the last day of production is less than [***] of the PO quantity, upon request by Premier, Heritage shall take all commercially reasonable steps to produce or replace the shortfall within [***]. The final production quantity by Heritage and Jasper will count towards the MAOV requirements.</w:t>
      </w:r>
    </w:p>
    <w:p>
      <w:pPr>
        <w:spacing w:after="0" w:line="172" w:lineRule="exact"/>
        <w:rPr>
          <w:rFonts w:ascii="Arial" w:cs="Arial" w:eastAsia="Arial" w:hAnsi="Arial"/>
          <w:sz w:val="17"/>
          <w:szCs w:val="17"/>
          <w:color w:val="auto"/>
        </w:rPr>
      </w:pPr>
    </w:p>
    <w:p>
      <w:pPr>
        <w:ind w:left="1380" w:hanging="384"/>
        <w:spacing w:after="0"/>
        <w:tabs>
          <w:tab w:leader="none" w:pos="13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Heritage represents and warrants that:</w:t>
      </w:r>
    </w:p>
    <w:p>
      <w:pPr>
        <w:spacing w:after="0" w:line="225" w:lineRule="exact"/>
        <w:rPr>
          <w:rFonts w:ascii="Arial" w:cs="Arial" w:eastAsia="Arial" w:hAnsi="Arial"/>
          <w:sz w:val="18"/>
          <w:szCs w:val="18"/>
          <w:color w:val="auto"/>
        </w:rPr>
      </w:pPr>
    </w:p>
    <w:p>
      <w:pPr>
        <w:ind w:right="60" w:firstLine="1436"/>
        <w:spacing w:after="0" w:line="273" w:lineRule="auto"/>
        <w:tabs>
          <w:tab w:leader="none" w:pos="1773" w:val="left"/>
        </w:tabs>
        <w:numPr>
          <w:ilvl w:val="2"/>
          <w:numId w:val="200"/>
        </w:numPr>
        <w:rPr>
          <w:rFonts w:ascii="Arial" w:cs="Arial" w:eastAsia="Arial" w:hAnsi="Arial"/>
          <w:sz w:val="17"/>
          <w:szCs w:val="17"/>
          <w:color w:val="auto"/>
        </w:rPr>
      </w:pPr>
      <w:r>
        <w:rPr>
          <w:rFonts w:ascii="Arial" w:cs="Arial" w:eastAsia="Arial" w:hAnsi="Arial"/>
          <w:sz w:val="17"/>
          <w:szCs w:val="17"/>
          <w:color w:val="auto"/>
        </w:rPr>
        <w:t>All Products manufactured, packaged and delivered by Heritage or Jasper under the terms of this Agreement shall conform to the specifications supplied to Heritage by Premier as listed on Schedule A, which Schedule may from time to time be modified by Premier in writing (the “Specifications”), shall conform to Post Holdings’ Quality Expectations Manual attached hereto as Schedule E, and shall conform in all material respects to samples previously supplied to Premier by Heritage. No change in Specifications shall be binding on Heritage until Premier has provided written Specifications for each SKU, and each Specification is signed and dated by the Parties. Any additional net cost increases or decreases associated with any modifications to Premier’s Specifications shall be borne by or credited to Premier.</w:t>
      </w:r>
    </w:p>
    <w:p>
      <w:pPr>
        <w:spacing w:after="0" w:line="178" w:lineRule="exact"/>
        <w:rPr>
          <w:rFonts w:ascii="Arial" w:cs="Arial" w:eastAsia="Arial" w:hAnsi="Arial"/>
          <w:sz w:val="17"/>
          <w:szCs w:val="17"/>
          <w:color w:val="auto"/>
        </w:rPr>
      </w:pPr>
    </w:p>
    <w:p>
      <w:pPr>
        <w:ind w:right="80" w:firstLine="1436"/>
        <w:spacing w:after="0" w:line="276" w:lineRule="auto"/>
        <w:tabs>
          <w:tab w:leader="none" w:pos="1833" w:val="left"/>
        </w:tabs>
        <w:numPr>
          <w:ilvl w:val="2"/>
          <w:numId w:val="200"/>
        </w:numPr>
        <w:rPr>
          <w:rFonts w:ascii="Arial" w:cs="Arial" w:eastAsia="Arial" w:hAnsi="Arial"/>
          <w:sz w:val="17"/>
          <w:szCs w:val="17"/>
          <w:color w:val="auto"/>
        </w:rPr>
      </w:pPr>
      <w:r>
        <w:rPr>
          <w:rFonts w:ascii="Arial" w:cs="Arial" w:eastAsia="Arial" w:hAnsi="Arial"/>
          <w:sz w:val="17"/>
          <w:szCs w:val="17"/>
          <w:color w:val="auto"/>
        </w:rPr>
        <w:t>Heritage and Jasper will comply with all laws and regulations applicable to production of the Products, including without limitation, the laws and regulations of the United States Food and Drug Administration (“FDA”), United States Public Health Service (“PHS”), and any and all other applicable federal, state and local laws and regulations. Heritage warrants that the Products shall be released free from defects in workmanship and shall be manufactured in accordance with this Agreement and 21 C.F.R. Part 110 which is entitled “Current Good Manufacturing Practice in Manufacturing, Packing or Holding Human Food” and as it may be amended from time-to-time.</w:t>
      </w:r>
    </w:p>
    <w:p>
      <w:pPr>
        <w:spacing w:after="0" w:line="172" w:lineRule="exact"/>
        <w:rPr>
          <w:rFonts w:ascii="Arial" w:cs="Arial" w:eastAsia="Arial" w:hAnsi="Arial"/>
          <w:sz w:val="17"/>
          <w:szCs w:val="17"/>
          <w:color w:val="auto"/>
        </w:rPr>
      </w:pPr>
    </w:p>
    <w:p>
      <w:pPr>
        <w:ind w:right="160" w:firstLine="1436"/>
        <w:spacing w:after="0" w:line="277" w:lineRule="auto"/>
        <w:tabs>
          <w:tab w:leader="none" w:pos="1879" w:val="left"/>
        </w:tabs>
        <w:numPr>
          <w:ilvl w:val="2"/>
          <w:numId w:val="200"/>
        </w:numPr>
        <w:rPr>
          <w:rFonts w:ascii="Arial" w:cs="Arial" w:eastAsia="Arial" w:hAnsi="Arial"/>
          <w:sz w:val="18"/>
          <w:szCs w:val="18"/>
          <w:color w:val="auto"/>
        </w:rPr>
      </w:pPr>
      <w:r>
        <w:rPr>
          <w:rFonts w:ascii="Arial" w:cs="Arial" w:eastAsia="Arial" w:hAnsi="Arial"/>
          <w:sz w:val="18"/>
          <w:szCs w:val="18"/>
          <w:color w:val="auto"/>
        </w:rPr>
        <w:t>The Products, when delivered to Premier in accordance with this Agreement, shall be free of contaminants, merchantable, fit for intended use and shall not be adulterated within the meaning of the Federal Food, Drug and Cosmetic Act.</w:t>
      </w:r>
    </w:p>
    <w:p>
      <w:pPr>
        <w:spacing w:after="0" w:line="170" w:lineRule="exact"/>
        <w:rPr>
          <w:rFonts w:ascii="Arial" w:cs="Arial" w:eastAsia="Arial" w:hAnsi="Arial"/>
          <w:sz w:val="18"/>
          <w:szCs w:val="18"/>
          <w:color w:val="auto"/>
        </w:rPr>
      </w:pPr>
    </w:p>
    <w:p>
      <w:pPr>
        <w:ind w:right="280" w:firstLine="1436"/>
        <w:spacing w:after="0" w:line="264" w:lineRule="auto"/>
        <w:tabs>
          <w:tab w:leader="none" w:pos="1873" w:val="left"/>
        </w:tabs>
        <w:numPr>
          <w:ilvl w:val="2"/>
          <w:numId w:val="200"/>
        </w:numPr>
        <w:rPr>
          <w:rFonts w:ascii="Arial" w:cs="Arial" w:eastAsia="Arial" w:hAnsi="Arial"/>
          <w:sz w:val="18"/>
          <w:szCs w:val="18"/>
          <w:color w:val="auto"/>
        </w:rPr>
      </w:pPr>
      <w:r>
        <w:rPr>
          <w:rFonts w:ascii="Arial" w:cs="Arial" w:eastAsia="Arial" w:hAnsi="Arial"/>
          <w:sz w:val="18"/>
          <w:szCs w:val="18"/>
          <w:color w:val="auto"/>
        </w:rPr>
        <w:t>Heritage and Jasper hold all permits and licenses required for Heritage and/or Jasper to manufacture the Products under the Agreement. Heritage will obtain, and shall ensure that Jasper obtains, all ingredients and packaging materials from suppliers that are approved by Premier in writing.</w:t>
      </w:r>
    </w:p>
    <w:p>
      <w:pPr>
        <w:spacing w:after="0" w:line="181" w:lineRule="exact"/>
        <w:rPr>
          <w:rFonts w:ascii="Arial" w:cs="Arial" w:eastAsia="Arial" w:hAnsi="Arial"/>
          <w:sz w:val="18"/>
          <w:szCs w:val="18"/>
          <w:color w:val="auto"/>
        </w:rPr>
      </w:pPr>
    </w:p>
    <w:p>
      <w:pPr>
        <w:ind w:firstLine="996"/>
        <w:spacing w:after="0" w:line="284" w:lineRule="auto"/>
        <w:tabs>
          <w:tab w:leader="none" w:pos="138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Upon reasonable notice, and during normal operating hours, Heritage shall permit Premier or its representatives reasonable access to portions of the Heritage Facilities, the Jasper Facility or any other Facility used to produce the Products for the purpose of ascertaining Heritage’s and Jasper’s compliance with good manufacturing practices and Premier’s Specifications and Post Holdings’ Quality Expectations. Heritage agrees to disclose to Premier and provide a list, upon request, of any material violations or deficiencies noted during any inspection by the FDA, United States Department of Agriculture, PHS, or any other federal, state or local health or food regulatory agency of the Heritage Facilities, Jasper Facility or any other Facility used to produce the Products, which have a material adverse effect on the manufacture or packaging of the Products. Heritage agrees to provide to Premier each FDA Form 483 and any related Establishment Inspection Report (“EIR”) that is received from the FDA by Heritage or Jasper, along with any response provided to the regulatory authority by Heritage or Jasper, as long as this Agreement is in effect. Heritage agrees to do so within</w:t>
      </w:r>
    </w:p>
    <w:p>
      <w:pPr>
        <w:spacing w:after="0" w:line="1" w:lineRule="exact"/>
        <w:rPr>
          <w:rFonts w:ascii="Arial" w:cs="Arial" w:eastAsia="Arial" w:hAnsi="Arial"/>
          <w:sz w:val="16"/>
          <w:szCs w:val="16"/>
          <w:color w:val="auto"/>
        </w:rPr>
      </w:pPr>
    </w:p>
    <w:p>
      <w:pPr>
        <w:ind w:right="40" w:firstLine="4"/>
        <w:spacing w:after="0" w:line="255" w:lineRule="auto"/>
        <w:tabs>
          <w:tab w:leader="none" w:pos="43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of Heritage or Jasper receiving the Report or of sending the response as appropriate. If Heritage wishes to redact any material from any EIR, it shall indicate that deletion by use of the following note where each redaction occurs: “REDACTED MATERIAL”. Heritage agrees that it will not redact any information on an EIR that directly relates to any aspect of its manufacturing of Products for Premier.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84" w:name="page285"/>
    <w:bookmarkEnd w:id="284"/>
    <w:p>
      <w:pPr>
        <w:ind w:left="-20" w:right="40" w:firstLine="996"/>
        <w:spacing w:after="0" w:line="259" w:lineRule="auto"/>
        <w:tabs>
          <w:tab w:leader="none" w:pos="1362" w:val="left"/>
        </w:tabs>
        <w:numPr>
          <w:ilvl w:val="1"/>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will keep, and will ensure that Jasper keeps [***] complete and accurate records in connection with each unique production lot of Products with respect to manufacturing practices, quality assurance measures, analytical procedures and their resultant data. Such records shall include at least those listed on attached Schedule B. Upon reasonable notice, Heritage shall allow, and Heritage shall ensure that Japer allows, Premier access to such records during normal working hours.</w:t>
      </w:r>
    </w:p>
    <w:p>
      <w:pPr>
        <w:spacing w:after="0" w:line="331" w:lineRule="exact"/>
        <w:rPr>
          <w:rFonts w:ascii="Arial" w:cs="Arial" w:eastAsia="Arial" w:hAnsi="Arial"/>
          <w:sz w:val="18"/>
          <w:szCs w:val="18"/>
          <w:color w:val="auto"/>
        </w:rPr>
      </w:pPr>
    </w:p>
    <w:p>
      <w:pPr>
        <w:ind w:left="960" w:hanging="544"/>
        <w:spacing w:after="0"/>
        <w:tabs>
          <w:tab w:leader="none" w:pos="9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PRICING, BILLING AND PAYMENT</w:t>
      </w:r>
    </w:p>
    <w:p>
      <w:pPr>
        <w:spacing w:after="0" w:line="121" w:lineRule="exact"/>
        <w:rPr>
          <w:rFonts w:ascii="Arial" w:cs="Arial" w:eastAsia="Arial" w:hAnsi="Arial"/>
          <w:sz w:val="18"/>
          <w:szCs w:val="18"/>
          <w:b w:val="1"/>
          <w:bCs w:val="1"/>
          <w:color w:val="auto"/>
        </w:rPr>
      </w:pPr>
    </w:p>
    <w:p>
      <w:pPr>
        <w:ind w:left="-20" w:right="40" w:firstLine="996"/>
        <w:spacing w:after="0" w:line="264" w:lineRule="auto"/>
        <w:tabs>
          <w:tab w:leader="none" w:pos="135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Heritage and Jasper shall coordinate shipments to meet scheduled delivery dates of the Products with Premier designated transportation providers. All shipments of the Products shall be by common carrier, F.O.B. the Heritage [***] Facility or the Jasper Facility, as indicated by Premier in the Purchase Order.</w:t>
      </w:r>
    </w:p>
    <w:p>
      <w:pPr>
        <w:spacing w:after="0" w:line="181" w:lineRule="exact"/>
        <w:rPr>
          <w:rFonts w:ascii="Arial" w:cs="Arial" w:eastAsia="Arial" w:hAnsi="Arial"/>
          <w:sz w:val="18"/>
          <w:szCs w:val="18"/>
          <w:color w:val="auto"/>
        </w:rPr>
      </w:pPr>
    </w:p>
    <w:p>
      <w:pPr>
        <w:ind w:left="-20" w:right="840" w:firstLine="996"/>
        <w:spacing w:after="0" w:line="308" w:lineRule="auto"/>
        <w:tabs>
          <w:tab w:leader="none" w:pos="1362" w:val="left"/>
        </w:tabs>
        <w:numPr>
          <w:ilvl w:val="1"/>
          <w:numId w:val="202"/>
        </w:numPr>
        <w:rPr>
          <w:rFonts w:ascii="Arial" w:cs="Arial" w:eastAsia="Arial" w:hAnsi="Arial"/>
          <w:sz w:val="17"/>
          <w:szCs w:val="17"/>
          <w:color w:val="auto"/>
        </w:rPr>
      </w:pPr>
      <w:r>
        <w:rPr>
          <w:rFonts w:ascii="Arial" w:cs="Arial" w:eastAsia="Arial" w:hAnsi="Arial"/>
          <w:sz w:val="17"/>
          <w:szCs w:val="17"/>
          <w:color w:val="auto"/>
        </w:rPr>
        <w:t>Heritage shall purchase all ingredients and packaging materials identified in Schedule C to be used in connection with the manufacture of the Products. Heritage shall invoice Premier through the [***] billing as identified on Schedule C.</w:t>
      </w:r>
    </w:p>
    <w:p>
      <w:pPr>
        <w:spacing w:after="0" w:line="146" w:lineRule="exact"/>
        <w:rPr>
          <w:rFonts w:ascii="Arial" w:cs="Arial" w:eastAsia="Arial" w:hAnsi="Arial"/>
          <w:sz w:val="17"/>
          <w:szCs w:val="17"/>
          <w:color w:val="auto"/>
        </w:rPr>
      </w:pPr>
    </w:p>
    <w:p>
      <w:pPr>
        <w:ind w:left="1360" w:hanging="384"/>
        <w:spacing w:after="0"/>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Heritage shall charge Premier [***] as set forth in Schedule C.</w:t>
      </w:r>
    </w:p>
    <w:p>
      <w:pPr>
        <w:spacing w:after="0" w:line="225" w:lineRule="exact"/>
        <w:rPr>
          <w:rFonts w:ascii="Arial" w:cs="Arial" w:eastAsia="Arial" w:hAnsi="Arial"/>
          <w:sz w:val="18"/>
          <w:szCs w:val="18"/>
          <w:color w:val="auto"/>
        </w:rPr>
      </w:pPr>
    </w:p>
    <w:p>
      <w:pPr>
        <w:ind w:left="-20" w:right="60" w:firstLine="996"/>
        <w:spacing w:after="0" w:line="297" w:lineRule="auto"/>
        <w:tabs>
          <w:tab w:leader="none" w:pos="1362" w:val="left"/>
        </w:tabs>
        <w:numPr>
          <w:ilvl w:val="1"/>
          <w:numId w:val="202"/>
        </w:numPr>
        <w:rPr>
          <w:rFonts w:ascii="Arial" w:cs="Arial" w:eastAsia="Arial" w:hAnsi="Arial"/>
          <w:sz w:val="16"/>
          <w:szCs w:val="16"/>
          <w:color w:val="auto"/>
        </w:rPr>
      </w:pPr>
      <w:r>
        <w:rPr>
          <w:rFonts w:ascii="Arial" w:cs="Arial" w:eastAsia="Arial" w:hAnsi="Arial"/>
          <w:sz w:val="16"/>
          <w:szCs w:val="16"/>
          <w:color w:val="auto"/>
        </w:rPr>
        <w:t>For Product produced at Jasper facilities, Jasper shall invoice Premier on the date Jasper issues a Certificate of Analysis (COA) for those Products. Payment terms for these Product invoices shall be [***]. For Product produced at Heritage facilities, Heritage shall invoice Premier on the date the Products are loaded onto Premier’s carrier. Payment terms for all these Product invoices shall be [***]. Failure by Premier to meet payment terms of any invoice shall result in interest being imposed on any unpaid balance at the rate of [***] per month, pro rata on a daily basis for partial months, accrued from its due date or in the event such rate exceeds that permitted to be charged by law, the maximum rate permitted by law.</w:t>
      </w:r>
    </w:p>
    <w:p>
      <w:pPr>
        <w:spacing w:after="0" w:line="158" w:lineRule="exact"/>
        <w:rPr>
          <w:rFonts w:ascii="Arial" w:cs="Arial" w:eastAsia="Arial" w:hAnsi="Arial"/>
          <w:sz w:val="16"/>
          <w:szCs w:val="16"/>
          <w:color w:val="auto"/>
        </w:rPr>
      </w:pPr>
    </w:p>
    <w:p>
      <w:pPr>
        <w:ind w:left="-20" w:firstLine="996"/>
        <w:spacing w:after="0" w:line="273" w:lineRule="auto"/>
        <w:tabs>
          <w:tab w:leader="none" w:pos="1352" w:val="left"/>
        </w:tabs>
        <w:numPr>
          <w:ilvl w:val="1"/>
          <w:numId w:val="202"/>
        </w:numPr>
        <w:rPr>
          <w:rFonts w:ascii="Arial" w:cs="Arial" w:eastAsia="Arial" w:hAnsi="Arial"/>
          <w:sz w:val="17"/>
          <w:szCs w:val="17"/>
          <w:color w:val="auto"/>
        </w:rPr>
      </w:pPr>
      <w:r>
        <w:rPr>
          <w:rFonts w:ascii="Arial" w:cs="Arial" w:eastAsia="Arial" w:hAnsi="Arial"/>
          <w:sz w:val="17"/>
          <w:szCs w:val="17"/>
          <w:color w:val="auto"/>
        </w:rPr>
        <w:t>Heritage will maintain accurate and complete books of account and records covering all its operations and transactions relating to this Agreement, including detailed purchasing and accounting records, master manufacturing, batching, &amp; quality control records, pertaining to the manufacture of the Products, including records relating to the procurement and cost of all raw materials, packaging materials, equipment, and any other cost associated with the manufacture of the Products until [***]. Premier, shall have the right, directly or through its representative, to inspect, copy, and audit all such records upon reasonable request and during normal business hours, acknowledging that access to accounting and purchasing records will be limited to those supporting pass-through materials costs and purchases of Premier specified equipment if any.</w:t>
      </w:r>
    </w:p>
    <w:p>
      <w:pPr>
        <w:spacing w:after="0" w:line="323" w:lineRule="exact"/>
        <w:rPr>
          <w:rFonts w:ascii="Arial" w:cs="Arial" w:eastAsia="Arial" w:hAnsi="Arial"/>
          <w:sz w:val="17"/>
          <w:szCs w:val="17"/>
          <w:color w:val="auto"/>
        </w:rPr>
      </w:pPr>
    </w:p>
    <w:p>
      <w:pPr>
        <w:ind w:left="960" w:hanging="544"/>
        <w:spacing w:after="0"/>
        <w:tabs>
          <w:tab w:leader="none" w:pos="9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STORAGE, SHIPPING AND INVENTORY</w:t>
      </w:r>
    </w:p>
    <w:p>
      <w:pPr>
        <w:spacing w:after="0" w:line="121" w:lineRule="exact"/>
        <w:rPr>
          <w:rFonts w:ascii="Arial" w:cs="Arial" w:eastAsia="Arial" w:hAnsi="Arial"/>
          <w:sz w:val="18"/>
          <w:szCs w:val="18"/>
          <w:b w:val="1"/>
          <w:bCs w:val="1"/>
          <w:color w:val="auto"/>
        </w:rPr>
      </w:pPr>
    </w:p>
    <w:p>
      <w:pPr>
        <w:ind w:left="-20" w:right="20" w:firstLine="996"/>
        <w:spacing w:after="0" w:line="276" w:lineRule="auto"/>
        <w:tabs>
          <w:tab w:leader="none" w:pos="1352" w:val="left"/>
        </w:tabs>
        <w:numPr>
          <w:ilvl w:val="1"/>
          <w:numId w:val="202"/>
        </w:numPr>
        <w:rPr>
          <w:rFonts w:ascii="Arial" w:cs="Arial" w:eastAsia="Arial" w:hAnsi="Arial"/>
          <w:sz w:val="17"/>
          <w:szCs w:val="17"/>
          <w:color w:val="auto"/>
        </w:rPr>
      </w:pPr>
      <w:r>
        <w:rPr>
          <w:rFonts w:ascii="Arial" w:cs="Arial" w:eastAsia="Arial" w:hAnsi="Arial"/>
          <w:sz w:val="17"/>
          <w:szCs w:val="17"/>
          <w:color w:val="auto"/>
        </w:rPr>
        <w:t>During the term of this Agreement, Heritage agrees to handle and store reasonable amounts of raw materials based upon the level of production expected [***]. With regard to finished Products, Heritage agrees during the Term to store finished Products at no cost to Premier for a period not to exceed [***] from the date of Heritage’s issuance of a Certificate of Analysis (“COA”). Commencing on [***] after the date the COA is delivered to Premier, a warehouse fee will be imposed that will equal $[***], until such Products are delivered to Premier’s carrier. [***] Capability of a corrugated shipping case to withstand double stacking shall be mutually determined and agreed by both Parties.</w:t>
      </w:r>
    </w:p>
    <w:p>
      <w:pPr>
        <w:spacing w:after="0" w:line="172" w:lineRule="exact"/>
        <w:rPr>
          <w:rFonts w:ascii="Arial" w:cs="Arial" w:eastAsia="Arial" w:hAnsi="Arial"/>
          <w:sz w:val="17"/>
          <w:szCs w:val="17"/>
          <w:color w:val="auto"/>
        </w:rPr>
      </w:pPr>
    </w:p>
    <w:p>
      <w:pPr>
        <w:ind w:left="-20" w:right="20" w:firstLine="996"/>
        <w:spacing w:after="0" w:line="264" w:lineRule="auto"/>
        <w:tabs>
          <w:tab w:leader="none" w:pos="136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Premier agrees to issue shipping instructions in full pallet increments of [***] and Heritage agrees to make the Products available for shipping within [***]. Heritage shall ship oldest Products first, unless otherwise directed in writing by Premier. Release of Products shall only be from inventory that has completed any required incubation period and Heritage quality control release protocols.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285" w:name="page286"/>
    <w:bookmarkEnd w:id="285"/>
    <w:p>
      <w:pPr>
        <w:jc w:val="both"/>
        <w:ind w:right="220" w:firstLine="996"/>
        <w:spacing w:after="0" w:line="259" w:lineRule="auto"/>
        <w:tabs>
          <w:tab w:leader="none" w:pos="1372"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Heritage shall perform, and shall ensure Jasper performs, a documented inspection of all trailers before loading to confirm they are free of any visible contamination or odors and fit for use with food products. When products are properly palletized and loaded by Heritage or Jasper, Premier shall be responsible for physical, in-transit damage loss of finished Products upon Heritage or Jasper completing loading of the designated container or trailer, and sealing the same.</w:t>
      </w:r>
    </w:p>
    <w:p>
      <w:pPr>
        <w:spacing w:after="0" w:line="186" w:lineRule="exact"/>
        <w:rPr>
          <w:rFonts w:ascii="Arial" w:cs="Arial" w:eastAsia="Arial" w:hAnsi="Arial"/>
          <w:sz w:val="18"/>
          <w:szCs w:val="18"/>
          <w:color w:val="auto"/>
        </w:rPr>
      </w:pPr>
    </w:p>
    <w:p>
      <w:pPr>
        <w:ind w:left="1380" w:hanging="384"/>
        <w:spacing w:after="0"/>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Heritage shall notify Premier via email within [***] that Products are available for shipment.</w:t>
      </w:r>
    </w:p>
    <w:p>
      <w:pPr>
        <w:spacing w:after="0" w:line="225" w:lineRule="exact"/>
        <w:rPr>
          <w:rFonts w:ascii="Arial" w:cs="Arial" w:eastAsia="Arial" w:hAnsi="Arial"/>
          <w:sz w:val="18"/>
          <w:szCs w:val="18"/>
          <w:color w:val="auto"/>
        </w:rPr>
      </w:pPr>
    </w:p>
    <w:p>
      <w:pPr>
        <w:ind w:left="1380" w:hanging="384"/>
        <w:spacing w:after="0"/>
        <w:tabs>
          <w:tab w:leader="none" w:pos="13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following series of standard, regular, required reports and scorecard shall be provided by Heritage to Premier at the indicated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frequency:</w:t>
      </w:r>
    </w:p>
    <w:p>
      <w:pPr>
        <w:spacing w:after="0" w:line="102" w:lineRule="exact"/>
        <w:rPr>
          <w:rFonts w:ascii="Arial" w:cs="Arial" w:eastAsia="Arial" w:hAnsi="Arial"/>
          <w:sz w:val="16"/>
          <w:szCs w:val="16"/>
          <w:color w:val="auto"/>
        </w:rPr>
      </w:pPr>
    </w:p>
    <w:p>
      <w:pPr>
        <w:ind w:left="1740" w:hanging="304"/>
        <w:spacing w:after="0"/>
        <w:tabs>
          <w:tab w:leader="none" w:pos="17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Weekly Production Report.</w:t>
      </w:r>
    </w:p>
    <w:p>
      <w:pPr>
        <w:spacing w:after="0" w:line="117" w:lineRule="exact"/>
        <w:rPr>
          <w:rFonts w:ascii="Arial" w:cs="Arial" w:eastAsia="Arial" w:hAnsi="Arial"/>
          <w:sz w:val="18"/>
          <w:szCs w:val="18"/>
          <w:color w:val="auto"/>
        </w:rPr>
      </w:pPr>
    </w:p>
    <w:p>
      <w:pPr>
        <w:ind w:left="1760" w:hanging="324"/>
        <w:spacing w:after="0"/>
        <w:tabs>
          <w:tab w:leader="none" w:pos="17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Monthly Inventory Reports at Supplier’s end of fiscal month to include</w:t>
      </w:r>
    </w:p>
    <w:p>
      <w:pPr>
        <w:spacing w:after="0" w:line="117" w:lineRule="exact"/>
        <w:rPr>
          <w:rFonts w:ascii="Arial" w:cs="Arial" w:eastAsia="Arial" w:hAnsi="Arial"/>
          <w:sz w:val="18"/>
          <w:szCs w:val="18"/>
          <w:color w:val="auto"/>
        </w:rPr>
      </w:pPr>
    </w:p>
    <w:p>
      <w:pPr>
        <w:ind w:left="2300" w:hanging="313"/>
        <w:spacing w:after="0"/>
        <w:tabs>
          <w:tab w:leader="none" w:pos="230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Inventory on hand,</w:t>
      </w:r>
    </w:p>
    <w:p>
      <w:pPr>
        <w:spacing w:after="0" w:line="117" w:lineRule="exact"/>
        <w:rPr>
          <w:rFonts w:ascii="Arial" w:cs="Arial" w:eastAsia="Arial" w:hAnsi="Arial"/>
          <w:sz w:val="18"/>
          <w:szCs w:val="18"/>
          <w:color w:val="auto"/>
        </w:rPr>
      </w:pPr>
    </w:p>
    <w:p>
      <w:pPr>
        <w:ind w:left="2300" w:hanging="313"/>
        <w:spacing w:after="0"/>
        <w:tabs>
          <w:tab w:leader="none" w:pos="230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Inventory on hold, and</w:t>
      </w:r>
    </w:p>
    <w:p>
      <w:pPr>
        <w:spacing w:after="0" w:line="117" w:lineRule="exact"/>
        <w:rPr>
          <w:rFonts w:ascii="Arial" w:cs="Arial" w:eastAsia="Arial" w:hAnsi="Arial"/>
          <w:sz w:val="18"/>
          <w:szCs w:val="18"/>
          <w:color w:val="auto"/>
        </w:rPr>
      </w:pPr>
    </w:p>
    <w:p>
      <w:pPr>
        <w:ind w:left="2300" w:hanging="313"/>
        <w:spacing w:after="0"/>
        <w:tabs>
          <w:tab w:leader="none" w:pos="230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Inventory adjusted.</w:t>
      </w:r>
    </w:p>
    <w:p>
      <w:pPr>
        <w:spacing w:after="0" w:line="117" w:lineRule="exact"/>
        <w:rPr>
          <w:rFonts w:ascii="Arial" w:cs="Arial" w:eastAsia="Arial" w:hAnsi="Arial"/>
          <w:sz w:val="18"/>
          <w:szCs w:val="18"/>
          <w:color w:val="auto"/>
        </w:rPr>
      </w:pPr>
    </w:p>
    <w:p>
      <w:pPr>
        <w:ind w:left="1760" w:hanging="324"/>
        <w:spacing w:after="0"/>
        <w:tabs>
          <w:tab w:leader="none" w:pos="17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Monthly Purchase Order receipt report - at the end of Supplier’s fiscal month</w:t>
      </w:r>
    </w:p>
    <w:p>
      <w:pPr>
        <w:spacing w:after="0" w:line="370" w:lineRule="exact"/>
        <w:rPr>
          <w:sz w:val="20"/>
          <w:szCs w:val="20"/>
          <w:color w:val="auto"/>
        </w:rPr>
      </w:pPr>
    </w:p>
    <w:p>
      <w:pPr>
        <w:ind w:left="980" w:hanging="544"/>
        <w:spacing w:after="0"/>
        <w:tabs>
          <w:tab w:leader="none" w:pos="9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Premier represents and warrants that it owns or otherwise has the right to use all trademarks (the “Trademarks”) and copyrighted material (the “Copyrights”) provided by Premier to Heritage, which are provided solely for use in connection with the manufacture or packaging of the Products. Heritage will not, and will ensure that Jasper does not, use any of the Trademarks or any marks that are confusingly similar to, or likely to cause confusion with regard to, the Trademarks or Copyrights owned or licensed by Premier for any other purpose without the prior written consent of Premier in each instance. Provided, however, that the foregoing covenant shall not be construed to restrict or prohibit Heritage from using any trademark, trade name, trade dress, labeling or packaging that Heritage is using in commerce as of the date of this Agreement. Nothing contained in this Section 5 is intended to or does preclude Premier from enforcing any of its intellectual property rights, including without limitation, its trademark rights.</w:t>
      </w:r>
    </w:p>
    <w:p>
      <w:pPr>
        <w:spacing w:after="0" w:line="312" w:lineRule="exact"/>
        <w:rPr>
          <w:sz w:val="20"/>
          <w:szCs w:val="20"/>
          <w:color w:val="auto"/>
        </w:rPr>
      </w:pPr>
    </w:p>
    <w:p>
      <w:pPr>
        <w:ind w:left="980" w:hanging="544"/>
        <w:spacing w:after="0"/>
        <w:tabs>
          <w:tab w:leader="none" w:pos="9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QUALITY CONTROL</w:t>
      </w:r>
    </w:p>
    <w:p>
      <w:pPr>
        <w:spacing w:after="0" w:line="121" w:lineRule="exact"/>
        <w:rPr>
          <w:rFonts w:ascii="Arial" w:cs="Arial" w:eastAsia="Arial" w:hAnsi="Arial"/>
          <w:sz w:val="18"/>
          <w:szCs w:val="18"/>
          <w:b w:val="1"/>
          <w:bCs w:val="1"/>
          <w:color w:val="auto"/>
        </w:rPr>
      </w:pPr>
    </w:p>
    <w:p>
      <w:pPr>
        <w:jc w:val="both"/>
        <w:ind w:right="20" w:firstLine="996"/>
        <w:spacing w:after="0" w:line="259" w:lineRule="auto"/>
        <w:tabs>
          <w:tab w:leader="none" w:pos="137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Heritage agrees to perform, at its expense, sampling and testing procedures for the Products in accordance with Schedule B, attached hereto, and all applicable governmental regulations. If additional testing, not identified in Schedule B, is required by Premier, a reasonable additional fee will be agreed upon between Heritage and Premier to cover the associated incremental cost. Other quality control items to be performed under this Agreement are as follows:</w:t>
      </w:r>
    </w:p>
    <w:p>
      <w:pPr>
        <w:spacing w:after="0" w:line="186" w:lineRule="exact"/>
        <w:rPr>
          <w:rFonts w:ascii="Arial" w:cs="Arial" w:eastAsia="Arial" w:hAnsi="Arial"/>
          <w:sz w:val="18"/>
          <w:szCs w:val="18"/>
          <w:color w:val="auto"/>
        </w:rPr>
      </w:pPr>
    </w:p>
    <w:p>
      <w:pPr>
        <w:ind w:right="100" w:firstLine="1436"/>
        <w:spacing w:after="0" w:line="264" w:lineRule="auto"/>
        <w:tabs>
          <w:tab w:leader="none" w:pos="1783" w:val="left"/>
        </w:tabs>
        <w:numPr>
          <w:ilvl w:val="2"/>
          <w:numId w:val="205"/>
        </w:numPr>
        <w:rPr>
          <w:rFonts w:ascii="Arial" w:cs="Arial" w:eastAsia="Arial" w:hAnsi="Arial"/>
          <w:sz w:val="18"/>
          <w:szCs w:val="18"/>
          <w:color w:val="auto"/>
        </w:rPr>
      </w:pPr>
      <w:r>
        <w:rPr>
          <w:rFonts w:ascii="Arial" w:cs="Arial" w:eastAsia="Arial" w:hAnsi="Arial"/>
          <w:sz w:val="18"/>
          <w:szCs w:val="18"/>
          <w:color w:val="auto"/>
        </w:rPr>
        <w:t>Normal production runs shall require Premier to provide at least two (2) non-work hour phone numbers for Premier employees who can be contacted in the event a problem occurs during a production run not being conducted during normal business hours. Said contacts and contact information shall be listed in Schedule D.</w:t>
      </w:r>
    </w:p>
    <w:p>
      <w:pPr>
        <w:spacing w:after="0" w:line="181" w:lineRule="exact"/>
        <w:rPr>
          <w:rFonts w:ascii="Arial" w:cs="Arial" w:eastAsia="Arial" w:hAnsi="Arial"/>
          <w:sz w:val="18"/>
          <w:szCs w:val="18"/>
          <w:color w:val="auto"/>
        </w:rPr>
      </w:pPr>
    </w:p>
    <w:p>
      <w:pPr>
        <w:ind w:left="1840" w:hanging="404"/>
        <w:spacing w:after="0"/>
        <w:tabs>
          <w:tab w:leader="none" w:pos="184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Heritage shall keep retention samples in accordance with Schedule B.</w:t>
      </w:r>
    </w:p>
    <w:p>
      <w:pPr>
        <w:spacing w:after="0" w:line="225" w:lineRule="exact"/>
        <w:rPr>
          <w:rFonts w:ascii="Arial" w:cs="Arial" w:eastAsia="Arial" w:hAnsi="Arial"/>
          <w:sz w:val="18"/>
          <w:szCs w:val="18"/>
          <w:color w:val="auto"/>
        </w:rPr>
      </w:pPr>
    </w:p>
    <w:p>
      <w:pPr>
        <w:ind w:left="1880" w:hanging="444"/>
        <w:spacing w:after="0"/>
        <w:tabs>
          <w:tab w:leader="none" w:pos="1880" w:val="left"/>
        </w:tabs>
        <w:numPr>
          <w:ilvl w:val="2"/>
          <w:numId w:val="205"/>
        </w:numPr>
        <w:rPr>
          <w:rFonts w:ascii="Arial" w:cs="Arial" w:eastAsia="Arial" w:hAnsi="Arial"/>
          <w:sz w:val="17"/>
          <w:szCs w:val="17"/>
          <w:color w:val="auto"/>
        </w:rPr>
      </w:pPr>
      <w:r>
        <w:rPr>
          <w:rFonts w:ascii="Arial" w:cs="Arial" w:eastAsia="Arial" w:hAnsi="Arial"/>
          <w:sz w:val="17"/>
          <w:szCs w:val="17"/>
          <w:color w:val="auto"/>
        </w:rPr>
        <w:t>Heritage shall not modify any processing instructions or Specifications without obtaining Premier’s prior written consent.</w:t>
      </w:r>
    </w:p>
    <w:p>
      <w:pPr>
        <w:spacing w:after="0" w:line="236" w:lineRule="exact"/>
        <w:rPr>
          <w:rFonts w:ascii="Arial" w:cs="Arial" w:eastAsia="Arial" w:hAnsi="Arial"/>
          <w:sz w:val="17"/>
          <w:szCs w:val="17"/>
          <w:color w:val="auto"/>
        </w:rPr>
      </w:pPr>
    </w:p>
    <w:p>
      <w:pPr>
        <w:ind w:right="240" w:firstLine="1436"/>
        <w:spacing w:after="0" w:line="264" w:lineRule="auto"/>
        <w:tabs>
          <w:tab w:leader="none" w:pos="1873" w:val="left"/>
        </w:tabs>
        <w:numPr>
          <w:ilvl w:val="2"/>
          <w:numId w:val="205"/>
        </w:numPr>
        <w:rPr>
          <w:rFonts w:ascii="Arial" w:cs="Arial" w:eastAsia="Arial" w:hAnsi="Arial"/>
          <w:sz w:val="18"/>
          <w:szCs w:val="18"/>
          <w:color w:val="auto"/>
        </w:rPr>
      </w:pPr>
      <w:r>
        <w:rPr>
          <w:rFonts w:ascii="Arial" w:cs="Arial" w:eastAsia="Arial" w:hAnsi="Arial"/>
          <w:sz w:val="18"/>
          <w:szCs w:val="18"/>
          <w:color w:val="auto"/>
        </w:rPr>
        <w:t>Heritage shall evaluate Products on a regular schedule at a sufficient frequency to confirm that Products meet the Specifications, including the Post Holdings Quality Expectations Manual. Any Products not conforming to the Specifications shall not be released for shipment.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86" w:name="page287"/>
    <w:bookmarkEnd w:id="286"/>
    <w:p>
      <w:pPr>
        <w:ind w:left="960" w:hanging="544"/>
        <w:spacing w:after="0"/>
        <w:tabs>
          <w:tab w:leader="none" w:pos="9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INDEMNITY</w:t>
      </w:r>
    </w:p>
    <w:p>
      <w:pPr>
        <w:spacing w:after="0" w:line="121" w:lineRule="exact"/>
        <w:rPr>
          <w:rFonts w:ascii="Arial" w:cs="Arial" w:eastAsia="Arial" w:hAnsi="Arial"/>
          <w:sz w:val="18"/>
          <w:szCs w:val="18"/>
          <w:b w:val="1"/>
          <w:bCs w:val="1"/>
          <w:color w:val="auto"/>
        </w:rPr>
      </w:pPr>
    </w:p>
    <w:p>
      <w:pPr>
        <w:ind w:left="-20" w:right="40" w:firstLine="996"/>
        <w:spacing w:after="0" w:line="254" w:lineRule="auto"/>
        <w:tabs>
          <w:tab w:leader="none" w:pos="135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Premier shall indemnify, defend and hold Heritage harmless from and against any and all loss, cost, expense, claim, suit, damage or liability (including reasonable attorneys’ fees and court costs) (collectively “Losses”) arising out of or relating to an infringement or alleged infringement of any Trademarks or Copyrights in connection with the Products to the extent Heritage follows Premier’s instructions with regard to the proper display and use of the Trademarks and Copyrights. In addition, Premier shall indemnify, defend and hold Heritage harmless from and against any and all Losses arising out of or relating to: (i) Heritage’s adherence to the Product Specifications, identified in Schedule A, or written orders or instructions given by Premier to Heritage relating to the manufacture or packaging of Products; (ii) Premier’s breach of any of its obligations contained herein; and (iii) the storage, sale, marketing, distribution and consumption of the Products, other than any Losses which would be covered under Section 7(b) hereof.</w:t>
      </w:r>
    </w:p>
    <w:p>
      <w:pPr>
        <w:spacing w:after="0" w:line="192" w:lineRule="exact"/>
        <w:rPr>
          <w:rFonts w:ascii="Arial" w:cs="Arial" w:eastAsia="Arial" w:hAnsi="Arial"/>
          <w:sz w:val="18"/>
          <w:szCs w:val="18"/>
          <w:color w:val="auto"/>
        </w:rPr>
      </w:pPr>
    </w:p>
    <w:p>
      <w:pPr>
        <w:ind w:left="-20" w:right="40" w:firstLine="996"/>
        <w:spacing w:after="0" w:line="255" w:lineRule="auto"/>
        <w:tabs>
          <w:tab w:leader="none" w:pos="136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Heritage shall indemnify, defend and hold Premier harmless from and against any Losses arising out of or relating to (i) Heritage’s or Jasper’s negligence or willful misconduct, (ii) the manufacturing, packaging, storing and consumption of the Products (except to the extent resulting from Heritage’s compliance with Premier’s Specifications), (iii) any breach of the Agreement by Heritage or (iv) ingredients or packaging materials purchased by Heritage or Jasper. Heritage shall not be responsible for any Losses arising out of or attributable to Heritage’s manufacturing of the Products in adherence with the Product Specifications, this Agreement, or any written orders or instruction(s) from Premier regarding the manufacture or packaging of the Products, as set forth in Section 7(a) above.</w:t>
      </w:r>
    </w:p>
    <w:p>
      <w:pPr>
        <w:spacing w:after="0" w:line="193" w:lineRule="exact"/>
        <w:rPr>
          <w:rFonts w:ascii="Arial" w:cs="Arial" w:eastAsia="Arial" w:hAnsi="Arial"/>
          <w:sz w:val="18"/>
          <w:szCs w:val="18"/>
          <w:color w:val="auto"/>
        </w:rPr>
      </w:pPr>
    </w:p>
    <w:p>
      <w:pPr>
        <w:ind w:left="-20" w:right="20" w:firstLine="996"/>
        <w:spacing w:after="0" w:line="302" w:lineRule="auto"/>
        <w:tabs>
          <w:tab w:leader="none" w:pos="1348"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Party seeking indemnification shall promptly notify the other Party hereto in writing of any suit, claim, or damage for which such Party has notice and to which these provisions may apply. In the event suit is commenced, the indemnifying Party shall have the right to control the defense of any such suit at its own cost. The appearance of the indemnifying Party in such proceeding shall not be construed as an admission of liability and shall not constitute a waiver of any of its rights, including, but not limited to, the indemnifying Party’s right to hire its own counsel.</w:t>
      </w:r>
    </w:p>
    <w:p>
      <w:pPr>
        <w:spacing w:after="0" w:line="298" w:lineRule="exact"/>
        <w:rPr>
          <w:rFonts w:ascii="Arial" w:cs="Arial" w:eastAsia="Arial" w:hAnsi="Arial"/>
          <w:sz w:val="16"/>
          <w:szCs w:val="16"/>
          <w:color w:val="auto"/>
        </w:rPr>
      </w:pPr>
    </w:p>
    <w:p>
      <w:pPr>
        <w:ind w:left="960" w:hanging="544"/>
        <w:spacing w:after="0"/>
        <w:tabs>
          <w:tab w:leader="none" w:pos="9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RISK OF LOSS AND INSURANCE</w:t>
      </w:r>
    </w:p>
    <w:p>
      <w:pPr>
        <w:spacing w:after="0" w:line="121" w:lineRule="exact"/>
        <w:rPr>
          <w:rFonts w:ascii="Arial" w:cs="Arial" w:eastAsia="Arial" w:hAnsi="Arial"/>
          <w:sz w:val="18"/>
          <w:szCs w:val="18"/>
          <w:b w:val="1"/>
          <w:bCs w:val="1"/>
          <w:color w:val="auto"/>
        </w:rPr>
      </w:pPr>
    </w:p>
    <w:p>
      <w:pPr>
        <w:ind w:left="-20" w:right="380" w:firstLine="996"/>
        <w:spacing w:after="0" w:line="259" w:lineRule="auto"/>
        <w:tabs>
          <w:tab w:leader="none" w:pos="134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Title to the Products shall be in and remain with Premier from the date Products are delivered to a carrier pursuant to Premier’s instructions for delivery to Premier. Heritage shall bear the risk of loss to the Products until the Products are delivered to such carrier for delivery to Premier as set forth herein. Risk of loss to the Products shall also be with Heritage during shipment between the Heritage Facilities pursuant to Section 2.</w:t>
      </w:r>
    </w:p>
    <w:p>
      <w:pPr>
        <w:spacing w:after="0" w:line="186" w:lineRule="exact"/>
        <w:rPr>
          <w:rFonts w:ascii="Arial" w:cs="Arial" w:eastAsia="Arial" w:hAnsi="Arial"/>
          <w:sz w:val="18"/>
          <w:szCs w:val="18"/>
          <w:color w:val="auto"/>
        </w:rPr>
      </w:pPr>
    </w:p>
    <w:p>
      <w:pPr>
        <w:ind w:left="1360" w:hanging="384"/>
        <w:spacing w:after="0"/>
        <w:tabs>
          <w:tab w:leader="none" w:pos="136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Heritage and Jasper shall maintain insurance of the following kinds and in the following amounts during the Term of this Agreement:</w:t>
      </w:r>
    </w:p>
    <w:p>
      <w:pPr>
        <w:spacing w:after="0" w:line="153" w:lineRule="exact"/>
        <w:rPr>
          <w:rFonts w:ascii="Arial" w:cs="Arial" w:eastAsia="Arial" w:hAnsi="Arial"/>
          <w:sz w:val="16"/>
          <w:szCs w:val="16"/>
          <w:color w:val="auto"/>
        </w:rPr>
      </w:pPr>
    </w:p>
    <w:p>
      <w:pPr>
        <w:ind w:left="1960" w:hanging="545"/>
        <w:spacing w:after="0" w:line="264" w:lineRule="auto"/>
        <w:tabs>
          <w:tab w:leader="none" w:pos="196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Commercial General Liability Insurance with a limit of $[***] each occurrence and $[***] in the aggregate, including Contractual, Completed-Operations and Product-Liability Coverage with a limit of $[***] for each occurrence, covering both bodily injury and property damage liability.</w:t>
      </w:r>
    </w:p>
    <w:p>
      <w:pPr>
        <w:spacing w:after="0" w:line="86" w:lineRule="exact"/>
        <w:rPr>
          <w:rFonts w:ascii="Arial" w:cs="Arial" w:eastAsia="Arial" w:hAnsi="Arial"/>
          <w:sz w:val="18"/>
          <w:szCs w:val="18"/>
          <w:color w:val="auto"/>
        </w:rPr>
      </w:pPr>
    </w:p>
    <w:p>
      <w:pPr>
        <w:ind w:left="1960" w:hanging="545"/>
        <w:spacing w:after="0"/>
        <w:tabs>
          <w:tab w:leader="none" w:pos="196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Umbrella/Excess Liability with a limit of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0" w:right="439" w:bottom="1440" w:gutter="0" w:footer="0" w:header="0"/>
        </w:sectPr>
      </w:pPr>
    </w:p>
    <w:bookmarkStart w:id="287" w:name="page288"/>
    <w:bookmarkEnd w:id="287"/>
    <w:p>
      <w:pPr>
        <w:ind w:left="1980" w:right="100" w:hanging="545"/>
        <w:spacing w:after="0" w:line="264" w:lineRule="auto"/>
        <w:tabs>
          <w:tab w:leader="none" w:pos="1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Workers’ Compensation Coverage plus Occupational Disease Insurance if Occupational Disease coverage is required by the laws of the state where the Facility is located or work is to be performed. Employers Liability $[***] each accident; $[***] disease, each employee; $[***] disease, policy limit</w:t>
      </w:r>
    </w:p>
    <w:p>
      <w:pPr>
        <w:spacing w:after="0" w:line="86" w:lineRule="exact"/>
        <w:rPr>
          <w:rFonts w:ascii="Arial" w:cs="Arial" w:eastAsia="Arial" w:hAnsi="Arial"/>
          <w:sz w:val="18"/>
          <w:szCs w:val="18"/>
          <w:color w:val="auto"/>
        </w:rPr>
      </w:pPr>
    </w:p>
    <w:p>
      <w:pPr>
        <w:ind w:left="1980" w:hanging="545"/>
        <w:spacing w:after="0"/>
        <w:tabs>
          <w:tab w:leader="none" w:pos="1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Auto Liability $[***] combined single limit</w:t>
      </w:r>
    </w:p>
    <w:p>
      <w:pPr>
        <w:spacing w:after="0" w:line="130" w:lineRule="exact"/>
        <w:rPr>
          <w:rFonts w:ascii="Arial" w:cs="Arial" w:eastAsia="Arial" w:hAnsi="Arial"/>
          <w:sz w:val="18"/>
          <w:szCs w:val="18"/>
          <w:color w:val="auto"/>
        </w:rPr>
      </w:pPr>
    </w:p>
    <w:p>
      <w:pPr>
        <w:ind w:left="1980" w:right="640" w:hanging="545"/>
        <w:spacing w:after="0" w:line="342" w:lineRule="auto"/>
        <w:tabs>
          <w:tab w:leader="none" w:pos="19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Product Recall Insurance coverage for Products determined to be in violation of laws administered by the authorized government entity who classifies the Products as unfit for intended use with limits of $[***] per policy year.</w:t>
      </w:r>
    </w:p>
    <w:p>
      <w:pPr>
        <w:spacing w:after="0" w:line="12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Heritage and Jasper shall have Premier named as an additional insured on its insurance policies in subparts i, ii and iv above. Heritage and Jasper shall furnish Premier with a certificate from its insurer verifying that it has the above insurance in effect during the duration of this Agreement and that insurer acknowledges (a) the contractual liability assumed by Heritage and Jasper in this Agreement and (b) that Premier is an additional insured on such policies and (c) Heritage’s and Jasper’s CGL policies are primary and Premier’s CGL policy is non-contributory and (d) a waiver of subrogation shall be provided in favor of Premier on the CGL, Workers’ Compensation and Auto policies. Said certificate of insurance shall require Heritage’s and Jasper’s insurance carrier to give Premier [***] written notice of any cancellation or change in coverage. Failure to provide such certificate within [***] shall constitute a breach of this Agreement.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Certificate of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Certificate holder language must read: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Premier Nutrition Corporation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5905 Christie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Emeryville, CA 94608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send certificates to: [***]</w:t>
      </w:r>
    </w:p>
    <w:p>
      <w:pPr>
        <w:spacing w:after="0" w:line="370" w:lineRule="exact"/>
        <w:rPr>
          <w:sz w:val="20"/>
          <w:szCs w:val="20"/>
          <w:color w:val="auto"/>
        </w:rPr>
      </w:pPr>
    </w:p>
    <w:p>
      <w:pPr>
        <w:ind w:left="980" w:hanging="544"/>
        <w:spacing w:after="0"/>
        <w:tabs>
          <w:tab w:leader="none" w:pos="9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Each Party recognizes that in the performance of this Agreement, it may acquire, directly or indirectly from the other Party, proprietary, confidential, trade secret, or information that is not otherwise available to the general public (“Confidential Information”). Each Party shall maintain control of all Confidential Information it receives and not disclose it or use it for any other purpose other than to perform its obligations under this Agreement. Each Party shall return the Confidential Information, along with all materials derived therefrom, to the disclosing Party upon demand or, destroy them and provide verification of destruction upon the termination of this Agreement at the request of the disclosing Party. Each Party acknowledges that the value of the other Party’s Confidential Information is unique and substantial, and it may be impractical or difficult to assess its value in monetary terms. Accordingly, in the event of an actual or potential violation of this paragraph, the violating Party expressly consents to the enforcement of this Agreement by injunctive relief or specific performance in addition to any and all other remedies available to them. The Parties also agree to treat the terms and conditions of this Agreement as Confidential Information.</w:t>
      </w:r>
    </w:p>
    <w:p>
      <w:pPr>
        <w:spacing w:after="0" w:line="18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term Confidential Information shall not apply to portions of the Confidential Information that Party receiving it can show: (i) are or become generally available to the public other than as a result of a disclosure by the receiving Party; (ii) are in the receiving Party’s possession from a source (other than the furnishing Party) that is not prohibited from disclosing such information, (iii) was known to the receiving Party prior to disclosure thereof by the furnishing Party; or (iv) are independently developed by the receiving Party without the use of any non-public, confidential or proprietary information received from the furnishing Party. A Party shall be entitled to disclose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8" w:name="page289"/>
    <w:bookmarkEnd w:id="28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Party’s Confidential Information as required pursuant to judicial action, governmental regulations or investigation, or other requirements. Such Party shall, to the extent allowed or permitted by the applicable judicial action, governmental regulation or investigation or other requirements, promptly notify the Party that furnished the Confidential Information prior to any such disclosure, and reasonably cooperate (at the request and expense of the furnishing Party) with the furnishing Party to contest or limit such disclosure.</w:t>
      </w:r>
    </w:p>
    <w:p>
      <w:pPr>
        <w:spacing w:after="0" w:line="331" w:lineRule="exact"/>
        <w:rPr>
          <w:sz w:val="20"/>
          <w:szCs w:val="20"/>
          <w:color w:val="auto"/>
        </w:rPr>
      </w:pPr>
    </w:p>
    <w:p>
      <w:pPr>
        <w:ind w:left="980" w:hanging="544"/>
        <w:spacing w:after="0"/>
        <w:tabs>
          <w:tab w:leader="none" w:pos="9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In the event that either Party shall be totally or partially unable to fulfill one or more of its obligations hereunder as a result of acts or occurrences beyond the control of the Party affected, such as, but not limited to, actions, omissions or impositions by local, state or federal governmental authorities, fire, flood, earthquake or other natural disasters, acts of God, revolution, strikes or fuel shortages, the Party so affected shall be totally or partially relieved from fulfilling its obligations under this Agreement during the period of such force majeure; provided, however, that the affected Party shall notify the other Party of the circumstances as soon as reasonably possible; and further provided that if such period of force majeure shall continue for a period of [***] or more, the Party not affected shall be entitled to terminate this Agreement by giving notice to take effect immediately. The foregoing shall not relieve either Party of any obligation to make payments required pursuant to this Agreement in accordance with the terms hereof. Notwithstanding the foregoing, in the event there is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at either Heritage production facility, then the </w:t>
      </w:r>
      <w:r>
        <w:rPr>
          <w:rFonts w:ascii="Arial" w:cs="Arial" w:eastAsia="Arial" w:hAnsi="Arial"/>
          <w:sz w:val="17"/>
          <w:szCs w:val="17"/>
          <w:i w:val="1"/>
          <w:iCs w:val="1"/>
          <w:color w:val="auto"/>
        </w:rPr>
        <w:t>non-force majeure</w:t>
      </w:r>
      <w:r>
        <w:rPr>
          <w:rFonts w:ascii="Arial" w:cs="Arial" w:eastAsia="Arial" w:hAnsi="Arial"/>
          <w:sz w:val="17"/>
          <w:szCs w:val="17"/>
          <w:color w:val="auto"/>
        </w:rPr>
        <w:t xml:space="preserve"> facility shall not be required to produce the total production quantities agreed upon for both facilities. However, the </w:t>
      </w:r>
      <w:r>
        <w:rPr>
          <w:rFonts w:ascii="Arial" w:cs="Arial" w:eastAsia="Arial" w:hAnsi="Arial"/>
          <w:sz w:val="17"/>
          <w:szCs w:val="17"/>
          <w:i w:val="1"/>
          <w:iCs w:val="1"/>
          <w:color w:val="auto"/>
        </w:rPr>
        <w:t>non-force majeure</w:t>
      </w:r>
      <w:r>
        <w:rPr>
          <w:rFonts w:ascii="Arial" w:cs="Arial" w:eastAsia="Arial" w:hAnsi="Arial"/>
          <w:sz w:val="17"/>
          <w:szCs w:val="17"/>
          <w:color w:val="auto"/>
        </w:rPr>
        <w:t xml:space="preserve"> facility shall use commercially reasonable efforts to produce </w:t>
      </w:r>
      <w:r>
        <w:rPr>
          <w:rFonts w:ascii="Arial" w:cs="Arial" w:eastAsia="Arial" w:hAnsi="Arial"/>
          <w:sz w:val="17"/>
          <w:szCs w:val="17"/>
          <w:i w:val="1"/>
          <w:iCs w:val="1"/>
          <w:color w:val="auto"/>
        </w:rPr>
        <w:t>as</w:t>
      </w:r>
      <w:r>
        <w:rPr>
          <w:rFonts w:ascii="Arial" w:cs="Arial" w:eastAsia="Arial" w:hAnsi="Arial"/>
          <w:sz w:val="17"/>
          <w:szCs w:val="17"/>
          <w:color w:val="auto"/>
        </w:rPr>
        <w:t xml:space="preserve"> much Product as possible for Premier during the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period. Heritage shall not be responsible for any excess freight expense on Product incurred by Premier due to the </w:t>
      </w:r>
      <w:r>
        <w:rPr>
          <w:rFonts w:ascii="Arial" w:cs="Arial" w:eastAsia="Arial" w:hAnsi="Arial"/>
          <w:sz w:val="17"/>
          <w:szCs w:val="17"/>
          <w:i w:val="1"/>
          <w:iCs w:val="1"/>
          <w:color w:val="auto"/>
        </w:rPr>
        <w:t>force majeure</w:t>
      </w:r>
      <w:r>
        <w:rPr>
          <w:rFonts w:ascii="Arial" w:cs="Arial" w:eastAsia="Arial" w:hAnsi="Arial"/>
          <w:sz w:val="17"/>
          <w:szCs w:val="17"/>
          <w:color w:val="auto"/>
        </w:rPr>
        <w:t>.</w:t>
      </w:r>
    </w:p>
    <w:p>
      <w:pPr>
        <w:spacing w:after="0" w:line="328" w:lineRule="exact"/>
        <w:rPr>
          <w:sz w:val="20"/>
          <w:szCs w:val="20"/>
          <w:color w:val="auto"/>
        </w:rPr>
      </w:pPr>
    </w:p>
    <w:p>
      <w:pPr>
        <w:ind w:left="980" w:hanging="544"/>
        <w:spacing w:after="0"/>
        <w:tabs>
          <w:tab w:leader="none" w:pos="9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right="100" w:firstLine="996"/>
        <w:spacing w:after="0" w:line="255" w:lineRule="auto"/>
        <w:tabs>
          <w:tab w:leader="none" w:pos="136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shall terminate automatically without notice on December 31, 2022, unless the Parties agree in writing to extend the term of the Agreement (the initial term and any renewal terms are referred to collectively herein as the “Term”). Either Party may terminate this Agreement immediately without notice should the other Party fail to cure, within [***] after receipt of written notice thereof, any material breach of its obligations or duties hereunder, provided, however that in the event of a material breach that cannot be cured within [***], a Party shall not be deemed in default if it commences curing such default within the [***] period, notifies the other Party of that commencement by e-mail, and thereafter cures such default within [***] of the original written notice thereof. The following provisions shall survive termination or expiration of this Agreement:</w:t>
      </w:r>
    </w:p>
    <w:p>
      <w:pPr>
        <w:spacing w:after="0" w:line="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2(o) (warranties);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2(p)(q), 3(e) audit rights/access;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Schedule B (records);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 (Indemnification); and</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8 (Risk of Loss and Insurance)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9 (Confidentiality).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and Premier shall remain as an additional insured on the Heritage’s policies, for [***]. If either Party shall file a voluntary petition in bankruptcy, be declared bankrupt, make an assignment for the benefit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9" w:name="page290"/>
    <w:bookmarkEnd w:id="289"/>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creditors, or suffer the appointment of a receiver or a trustee of its assets, that Party shall be in breach of this Agreement and the other Party shall have the right to terminate this Agreement by giving written notice to take effect immediately.</w:t>
      </w:r>
    </w:p>
    <w:p>
      <w:pPr>
        <w:spacing w:after="0" w:line="170" w:lineRule="exact"/>
        <w:rPr>
          <w:sz w:val="20"/>
          <w:szCs w:val="20"/>
          <w:color w:val="auto"/>
        </w:rPr>
      </w:pPr>
    </w:p>
    <w:p>
      <w:pPr>
        <w:ind w:right="100" w:firstLine="996"/>
        <w:spacing w:after="0" w:line="288" w:lineRule="auto"/>
        <w:tabs>
          <w:tab w:leader="none" w:pos="1382" w:val="left"/>
        </w:tabs>
        <w:numPr>
          <w:ilvl w:val="1"/>
          <w:numId w:val="211"/>
        </w:numPr>
        <w:rPr>
          <w:rFonts w:ascii="Arial" w:cs="Arial" w:eastAsia="Arial" w:hAnsi="Arial"/>
          <w:sz w:val="16"/>
          <w:szCs w:val="16"/>
          <w:color w:val="auto"/>
        </w:rPr>
      </w:pPr>
      <w:r>
        <w:rPr>
          <w:rFonts w:ascii="Arial" w:cs="Arial" w:eastAsia="Arial" w:hAnsi="Arial"/>
          <w:sz w:val="16"/>
          <w:szCs w:val="16"/>
          <w:color w:val="auto"/>
        </w:rPr>
        <w:t>So long as Premier has satisfied its payment obligations to Heritage pursuant to Section 3, upon termination or expiration of this Agreement, any releasable Product in Heritage’s possession shall be promptly delivered to Premier within [***]. In addition, Premier shall purchase all Products and ingredients, packaging and material Heritage has on hand and not previously billed to Premier at the time of the termination that are used solely for the production of the Products, if any exist. The ingredients, packaging, and materials used solely for Premier shall be so identified in Schedule C and shall not exceed a [***] supply as calculated based on the previous [***] usage for the material in question. If the vendor’s minimum order quantity for a particular material exceeds a [***] supply, then Heritage shall obtain permission from Premier to order such quantity. If Premier grants permission to order the quantity greater than a [***] supply, then Heritage shall not be liable for the excess inventory of this particular material. The cost of all ingredients and packaging material to be purchased by Premier shall be [***]. In the event that Premier has defaulted in its payment obligations hereunder, and failed to cure such default following notice as set forth in Section 11(a), Heritage shall have no obligation to deliver such releasable Product to Premier. In no event, however, shall Heritage have the right to resell or otherwise use the releasable Product held in its custody.</w:t>
      </w:r>
    </w:p>
    <w:p>
      <w:pPr>
        <w:spacing w:after="0" w:line="313" w:lineRule="exact"/>
        <w:rPr>
          <w:rFonts w:ascii="Arial" w:cs="Arial" w:eastAsia="Arial" w:hAnsi="Arial"/>
          <w:sz w:val="16"/>
          <w:szCs w:val="16"/>
          <w:color w:val="auto"/>
        </w:rPr>
      </w:pPr>
    </w:p>
    <w:p>
      <w:pPr>
        <w:ind w:left="980" w:hanging="544"/>
        <w:spacing w:after="0"/>
        <w:tabs>
          <w:tab w:leader="none" w:pos="9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Venue for any litigation arising out of this Agreement shall be in any court of competent jurisdiction located in San Francisco, California. The Parties hereby submit to the jurisdiction of that state for such purposes. All matters relating to this Agreement, the rights of the Parties hereunder and the construction of the terms hereof shall be governed by the laws of the State of California, without regard to conflicts of laws principles.</w:t>
      </w:r>
    </w:p>
    <w:p>
      <w:pPr>
        <w:spacing w:after="0" w:line="310" w:lineRule="exact"/>
        <w:rPr>
          <w:sz w:val="20"/>
          <w:szCs w:val="20"/>
          <w:color w:val="auto"/>
        </w:rPr>
      </w:pPr>
    </w:p>
    <w:p>
      <w:pPr>
        <w:ind w:left="980" w:hanging="544"/>
        <w:spacing w:after="0"/>
        <w:tabs>
          <w:tab w:leader="none" w:pos="9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Except as otherwise expressly set forth in this Agreement, all consents, authorizations, agreements, approvals, notices, demands and other communications to be given or delivered under or by reason of the provisions of this Agreement shall be in writing and shall be deemed to have been given when delivered personally or by documented overnight delivery services, or sent by facsimile or other electronic transmission service provided they are sent in a manner that provides confirmation of their receipt. Notices, demands, and communications to the respective Parties shall, unless another address is specified in writing, be sent to the address indicated below:</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Notice to PREMIER:</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VP Operations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Premier Nutrition Corporation</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188 Spear Street, Suite 600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 Francisco, CA 94608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90" w:name="page291"/>
    <w:bookmarkEnd w:id="290"/>
    <w:p>
      <w:pPr>
        <w:ind w:left="10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JASPER/HERITAGE:</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Stremicks Heritage Foods,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4002 Westminster Avenue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Santa Ana, CA 92703-1310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President of Jasper Products,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Email: [***]</w:t>
      </w:r>
    </w:p>
    <w:p>
      <w:pPr>
        <w:spacing w:after="0" w:line="355" w:lineRule="exact"/>
        <w:rPr>
          <w:sz w:val="20"/>
          <w:szCs w:val="20"/>
          <w:color w:val="auto"/>
        </w:rPr>
      </w:pPr>
    </w:p>
    <w:p>
      <w:pPr>
        <w:ind w:left="980" w:hanging="544"/>
        <w:spacing w:after="0"/>
        <w:tabs>
          <w:tab w:leader="none" w:pos="9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CONFLICTING TERMS</w:t>
      </w:r>
    </w:p>
    <w:p>
      <w:pPr>
        <w:spacing w:after="0" w:line="12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terms of this Agreement shall supersede and take precedent over any conflicting terms found in any purchase order issued by Premier or any invoice issued by Heritage.</w:t>
      </w:r>
    </w:p>
    <w:p>
      <w:pPr>
        <w:spacing w:after="0" w:line="315" w:lineRule="exact"/>
        <w:rPr>
          <w:sz w:val="20"/>
          <w:szCs w:val="20"/>
          <w:color w:val="auto"/>
        </w:rPr>
      </w:pPr>
    </w:p>
    <w:p>
      <w:pPr>
        <w:ind w:left="980" w:hanging="544"/>
        <w:spacing w:after="0"/>
        <w:tabs>
          <w:tab w:leader="none" w:pos="9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121" w:lineRule="exact"/>
        <w:rPr>
          <w:sz w:val="20"/>
          <w:szCs w:val="20"/>
          <w:color w:val="auto"/>
        </w:rPr>
      </w:pPr>
    </w:p>
    <w:p>
      <w:pPr>
        <w:ind w:right="620" w:firstLine="441"/>
        <w:spacing w:after="0" w:line="342" w:lineRule="auto"/>
        <w:rPr>
          <w:sz w:val="20"/>
          <w:szCs w:val="20"/>
          <w:color w:val="auto"/>
        </w:rPr>
      </w:pPr>
      <w:r>
        <w:rPr>
          <w:rFonts w:ascii="Arial" w:cs="Arial" w:eastAsia="Arial" w:hAnsi="Arial"/>
          <w:sz w:val="16"/>
          <w:szCs w:val="16"/>
          <w:color w:val="auto"/>
        </w:rPr>
        <w:t>The failure of either Party to assert a right hereunder or to insist upon compliance with any terms or condition of this Agreement shall not constitute a waiver of that right or excuse the subsequent performance or non-performance of any such term or condition by the other Party.</w:t>
      </w:r>
    </w:p>
    <w:p>
      <w:pPr>
        <w:spacing w:after="0" w:line="268" w:lineRule="exact"/>
        <w:rPr>
          <w:sz w:val="20"/>
          <w:szCs w:val="20"/>
          <w:color w:val="auto"/>
        </w:rPr>
      </w:pPr>
    </w:p>
    <w:p>
      <w:pPr>
        <w:ind w:left="980" w:hanging="544"/>
        <w:spacing w:after="0"/>
        <w:tabs>
          <w:tab w:leader="none" w:pos="9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AND HEADINGS</w:t>
      </w:r>
    </w:p>
    <w:p>
      <w:pPr>
        <w:spacing w:after="0" w:line="12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This Agreement, schedules or addenda attached hereto and incorporated herein, as amended from time to time, constitute the entire agreement of the Parties relating to the manufacture, packaging, storage, and shipping of the Products, and any prior or contemporaneous agreements or understandings relating thereto are superseded hereby. This Agreement may not be amended except by an instrument in writing duly executed on behalf of the Party against whom such amendment is sought to be enforced. All headings utilized herein are inserted for reference only and shall have no effect on the meaning or construction of any terms of this Agreement. Notwithstanding the above, Premier shall have the right to supplement, modify or amend, from time to time, the Specifications set forth on Schedule A attached hereto; provided, however, that no such modification or amendment shall become part of this Agreement until the same is delivered in writing to Heritage. All such modified products and their formulations are and shall remain the proprietary and sole property of Premier unless otherwise specified.</w:t>
      </w:r>
    </w:p>
    <w:p>
      <w:pPr>
        <w:spacing w:after="0" w:line="324" w:lineRule="exact"/>
        <w:rPr>
          <w:sz w:val="20"/>
          <w:szCs w:val="20"/>
          <w:color w:val="auto"/>
        </w:rPr>
      </w:pPr>
    </w:p>
    <w:p>
      <w:pPr>
        <w:ind w:left="980" w:hanging="544"/>
        <w:spacing w:after="0"/>
        <w:tabs>
          <w:tab w:leader="none" w:pos="9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Agreement, schedules or addenda attached hereto and incorporated herein, shall be binding upon and shall inure to the benefit of the Parties hereto and their respective assignees and successors in interest. This Agreement is not assignable or transferable by either Party, in whole or in part, without the prior written consent of the other Party; provided, however that Premier may assign this Agreement in the event that Premier is sold, merged into or with another entity, or undergoes a “change in control”. “Change in control” shall include without limitation (i) the cumulative sale, assignment or other transfer of voting or beneficial equity securities of Premier representing more than fifty percent (50%) of its voting or beneficial equity securities; (ii) Premier being a constituent party to a merger, reorganization or similar transaction; or (iii) a sale, assignment or other transfer of substantially all of Premier s assets or business.</w:t>
      </w:r>
    </w:p>
    <w:p>
      <w:pPr>
        <w:spacing w:after="0" w:line="334" w:lineRule="exact"/>
        <w:rPr>
          <w:sz w:val="20"/>
          <w:szCs w:val="20"/>
          <w:color w:val="auto"/>
        </w:rPr>
      </w:pPr>
    </w:p>
    <w:p>
      <w:pPr>
        <w:ind w:left="980" w:hanging="544"/>
        <w:spacing w:after="0"/>
        <w:tabs>
          <w:tab w:leader="none" w:pos="9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AND NON-COMPETITION</w:t>
      </w:r>
    </w:p>
    <w:p>
      <w:pPr>
        <w:spacing w:after="0" w:line="121" w:lineRule="exact"/>
        <w:rPr>
          <w:rFonts w:ascii="Arial" w:cs="Arial" w:eastAsia="Arial" w:hAnsi="Arial"/>
          <w:sz w:val="18"/>
          <w:szCs w:val="18"/>
          <w:b w:val="1"/>
          <w:bCs w:val="1"/>
          <w:color w:val="auto"/>
        </w:rPr>
      </w:pPr>
    </w:p>
    <w:p>
      <w:pPr>
        <w:ind w:right="300" w:firstLine="996"/>
        <w:spacing w:after="0" w:line="264" w:lineRule="auto"/>
        <w:tabs>
          <w:tab w:leader="none" w:pos="137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Nothing herein shall be construed to create a requirements contract or to require Premier to purchase any Products, other than the Minimum Annual Order Volume as specified in 2 (c). Premier reserves the right to buy Products or similar product from other co-packers, manufacturers, or third-parties.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291" w:name="page292"/>
    <w:bookmarkEnd w:id="291"/>
    <w:p>
      <w:pPr>
        <w:ind w:left="1380" w:hanging="384"/>
        <w:spacing w:after="0"/>
        <w:tabs>
          <w:tab w:leader="none" w:pos="13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369" w:lineRule="exact"/>
        <w:rPr>
          <w:rFonts w:ascii="Arial" w:cs="Arial" w:eastAsia="Arial" w:hAnsi="Arial"/>
          <w:sz w:val="18"/>
          <w:szCs w:val="18"/>
          <w:color w:val="auto"/>
        </w:rPr>
      </w:pPr>
    </w:p>
    <w:p>
      <w:pPr>
        <w:ind w:left="980" w:hanging="544"/>
        <w:spacing w:after="0"/>
        <w:tabs>
          <w:tab w:leader="none" w:pos="9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ATTORNEY FEES</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Should either Heritage or Premier be required to institute legal action to enforce any of its rights set forth in this Agreement, then the prevailing Party shall be entitled to reimbursement for all reasonable attorneys’ fees and costs incurred as determined by the court in any such action. If Heritage or Premier become engaged in litigation (i) that is in any way connected with this Agreement and (ii) in which either or both of the Parties assert and file one or more claims against the other, the prevailing Party shall be entitled to an award of reasonable attorneys’ fees, court costs and out-of-pocket expenses, as determined by the trial court.</w:t>
      </w:r>
    </w:p>
    <w:p>
      <w:pPr>
        <w:spacing w:after="0" w:line="333" w:lineRule="exact"/>
        <w:rPr>
          <w:sz w:val="20"/>
          <w:szCs w:val="20"/>
          <w:color w:val="auto"/>
        </w:rPr>
      </w:pPr>
    </w:p>
    <w:p>
      <w:pPr>
        <w:ind w:left="980" w:hanging="544"/>
        <w:spacing w:after="0"/>
        <w:tabs>
          <w:tab w:leader="none" w:pos="9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w:t>
      </w:r>
    </w:p>
    <w:p>
      <w:pPr>
        <w:spacing w:after="0" w:line="121" w:lineRule="exact"/>
        <w:rPr>
          <w:sz w:val="20"/>
          <w:szCs w:val="20"/>
          <w:color w:val="auto"/>
        </w:rPr>
      </w:pPr>
    </w:p>
    <w:p>
      <w:pPr>
        <w:ind w:right="300" w:firstLine="441"/>
        <w:spacing w:after="0" w:line="259" w:lineRule="auto"/>
        <w:rPr>
          <w:sz w:val="20"/>
          <w:szCs w:val="20"/>
          <w:color w:val="auto"/>
        </w:rPr>
      </w:pPr>
      <w:r>
        <w:rPr>
          <w:rFonts w:ascii="Arial" w:cs="Arial" w:eastAsia="Arial" w:hAnsi="Arial"/>
          <w:sz w:val="18"/>
          <w:szCs w:val="18"/>
          <w:color w:val="auto"/>
        </w:rPr>
        <w:t>The relationship of Heritage to Premier under this Agreement shall be that of an independent contractor and no agency or employment relationship shall be implied by this Agreement. Accordingly, Heritage shall be responsible for payment of all taxes including federal, state and local taxes arising out of Heritage’s activities under this Agreement, including, but not limited to, federal and state income tax, social security tax, unemployment insurance tax, and any other taxes or business license fees as required.</w:t>
      </w:r>
    </w:p>
    <w:p>
      <w:pPr>
        <w:spacing w:after="0" w:line="331" w:lineRule="exact"/>
        <w:rPr>
          <w:sz w:val="20"/>
          <w:szCs w:val="20"/>
          <w:color w:val="auto"/>
        </w:rPr>
      </w:pPr>
    </w:p>
    <w:p>
      <w:pPr>
        <w:ind w:left="980" w:hanging="544"/>
        <w:spacing w:after="0"/>
        <w:tabs>
          <w:tab w:leader="none" w:pos="9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PRODUCT RECALLS</w:t>
      </w:r>
    </w:p>
    <w:p>
      <w:pPr>
        <w:spacing w:after="0" w:line="12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Premier shall have the sole right, exercisable in its discretion, to initiate and direct the content and scope of a recall, market withdrawal, stock recovery, product correction and/or advisory safety communication (any one or more referred to as a “Recall Action”) regarding the Products. At Premier’s option, Premier can direct Heritage to, and upon such direction Heritage shall, conduct such Recall Action (and Heritage shall ensure Jasper’s cooperation). Premier shall determine, in its sole discretion, the manner, text and timing of any publicity to be given such matters upon prior consultation with Heritage. In the event a Recall Action is initiated or directed by Premier, Heritage agrees to fully cooperate and take all such steps as are reasonably requested to implement the Recall Action in a timely and complete manner. Any and all action to be taken in connection with a Recall Action shall be in accordance with FDA policies and other applicable laws and regulations. Heritage shall bear all costs, fees and out-of-pocket expenses associated with any Recall Action which results from (i) Heritage’s or Jasper’s negligence or willful misconduct, (ii) Heritage’s or Jasper’s failure to comply with Product Specifications or the Post Holdings Quality Expectations Manual set forth on Schedule A, (iii) any breach of this Agreement by Heritage or (iv) ingredients or packaging materials purchased by Heritage or Jasper. In all other cases, Premier shall bear all costs associated with any Recall 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[Signature </w:t>
      </w:r>
      <w:r>
        <w:rPr>
          <w:rFonts w:ascii="Arial" w:cs="Arial" w:eastAsia="Arial" w:hAnsi="Arial"/>
          <w:sz w:val="18"/>
          <w:szCs w:val="18"/>
          <w:i w:val="1"/>
          <w:iCs w:val="1"/>
          <w:color w:val="auto"/>
        </w:rPr>
        <w:t>Page Next Following]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92" w:name="page293"/>
    <w:bookmarkEnd w:id="292"/>
    <w:p>
      <w:pPr>
        <w:ind w:right="3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by a duly authorized officer on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PREMIER NUTRITION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color w:val="auto"/>
              </w:rPr>
              <w:t>STREMICKS HERITAGE FOODS, LLC</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/s/ Darcy Davenport</w:t>
            </w:r>
          </w:p>
        </w:tc>
        <w:tc>
          <w:tcPr>
            <w:tcW w:w="1900" w:type="dxa"/>
            <w:vAlign w:val="bottom"/>
          </w:tcPr>
          <w:p>
            <w:pPr>
              <w:ind w:left="70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/s/ Sam Stremick</w:t>
            </w: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NAME (print):</w:t>
            </w:r>
          </w:p>
        </w:tc>
        <w:tc>
          <w:tcPr>
            <w:tcW w:w="3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900" w:type="dxa"/>
            <w:vAlign w:val="bottom"/>
          </w:tcPr>
          <w:p>
            <w:pPr>
              <w:ind w:left="700"/>
              <w:spacing w:after="0"/>
              <w:rPr>
                <w:sz w:val="20"/>
                <w:szCs w:val="20"/>
                <w:color w:val="auto"/>
              </w:rPr>
            </w:pPr>
            <w:r>
              <w:rPr>
                <w:rFonts w:ascii="Arial" w:cs="Arial" w:eastAsia="Arial" w:hAnsi="Arial"/>
                <w:sz w:val="18"/>
                <w:szCs w:val="18"/>
                <w:color w:val="auto"/>
              </w:rPr>
              <w:t>NAME (print):</w:t>
            </w:r>
          </w:p>
        </w:tc>
        <w:tc>
          <w:tcPr>
            <w:tcW w:w="12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c>
          <w:tcPr>
            <w:tcW w:w="1900" w:type="dxa"/>
            <w:vAlign w:val="bottom"/>
          </w:tcPr>
          <w:p>
            <w:pPr>
              <w:ind w:left="700"/>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spacing w:after="0"/>
              <w:rPr>
                <w:sz w:val="20"/>
                <w:szCs w:val="20"/>
                <w:color w:val="auto"/>
              </w:rPr>
            </w:pPr>
            <w:r>
              <w:rPr>
                <w:rFonts w:ascii="Arial" w:cs="Arial" w:eastAsia="Arial" w:hAnsi="Arial"/>
                <w:sz w:val="18"/>
                <w:szCs w:val="18"/>
                <w:color w:val="auto"/>
              </w:rPr>
              <w:t>1/8/18</w:t>
            </w:r>
          </w:p>
        </w:tc>
        <w:tc>
          <w:tcPr>
            <w:tcW w:w="1900" w:type="dxa"/>
            <w:vAlign w:val="bottom"/>
          </w:tcPr>
          <w:p>
            <w:pPr>
              <w:ind w:left="700"/>
              <w:spacing w:after="0"/>
              <w:rPr>
                <w:sz w:val="20"/>
                <w:szCs w:val="20"/>
                <w:color w:val="auto"/>
              </w:rPr>
            </w:pPr>
            <w:r>
              <w:rPr>
                <w:rFonts w:ascii="Arial" w:cs="Arial" w:eastAsia="Arial" w:hAnsi="Arial"/>
                <w:sz w:val="18"/>
                <w:szCs w:val="18"/>
                <w:color w:val="auto"/>
              </w:rPr>
              <w:t>DATE:</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1/8/18</w:t>
            </w:r>
          </w:p>
        </w:tc>
      </w:tr>
      <w:tr>
        <w:trPr>
          <w:trHeight w:val="365"/>
        </w:trPr>
        <w:tc>
          <w:tcPr>
            <w:tcW w:w="1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schedules described below have been omitted pursuant to Item 601(a)(5) of Registration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135" w:lineRule="exact"/>
        <w:rPr>
          <w:sz w:val="20"/>
          <w:szCs w:val="20"/>
          <w:color w:val="auto"/>
        </w:rPr>
      </w:pPr>
    </w:p>
    <w:p>
      <w:pPr>
        <w:ind w:left="440" w:hanging="436"/>
        <w:spacing w:after="0"/>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Products Processing and Analytical Requirements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HERITAGE Records</w:t>
      </w:r>
    </w:p>
    <w:p>
      <w:pPr>
        <w:spacing w:after="0" w:line="130" w:lineRule="exact"/>
        <w:rPr>
          <w:rFonts w:ascii="Arial" w:cs="Arial" w:eastAsia="Arial" w:hAnsi="Arial"/>
          <w:sz w:val="18"/>
          <w:szCs w:val="18"/>
          <w:color w:val="auto"/>
        </w:rPr>
      </w:pPr>
    </w:p>
    <w:p>
      <w:pPr>
        <w:ind w:left="440" w:hanging="436"/>
        <w:spacing w:after="0" w:line="277" w:lineRule="auto"/>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Ingredients &amp; Materials to be supplied by HERITAGE and PREMIER, waste allowance, pricing schedule and all other terms and conditions of sale.</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Premier Nutrition Contacts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Post Holdings Quality Expectations Manual</w:t>
      </w:r>
    </w:p>
    <w:p>
      <w:pPr>
        <w:sectPr>
          <w:pgSz w:w="11900" w:h="16838" w:orient="portrait"/>
          <w:cols w:equalWidth="0" w:num="1">
            <w:col w:w="10720"/>
          </w:cols>
          <w:pgMar w:left="440" w:top="270" w:right="739" w:bottom="1440" w:gutter="0" w:footer="0" w:header="0"/>
        </w:sectPr>
      </w:pPr>
    </w:p>
    <w:bookmarkStart w:id="294" w:name="page295"/>
    <w:bookmarkEnd w:id="294"/>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1 TO STREMICK’S HERITAGE FOODS, LLC and PREMIER NUTRITION CORPORATION MANUFACTURING AGREEMENT</w:t>
      </w:r>
    </w:p>
    <w:p>
      <w:pPr>
        <w:spacing w:after="0" w:line="166"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 xml:space="preserve">This Amendment No. 1 (the “Amendment”), entered into by and between Stremick’s Heritage Foods, LLC (“Heritage”) Premier Nutrition Corporation (“Premier”) is effective as of </w:t>
      </w:r>
      <w:r>
        <w:rPr>
          <w:rFonts w:ascii="Arial" w:cs="Arial" w:eastAsia="Arial" w:hAnsi="Arial"/>
          <w:sz w:val="16"/>
          <w:szCs w:val="16"/>
          <w:u w:val="single" w:color="auto"/>
          <w:color w:val="auto"/>
        </w:rPr>
        <w:t>June 11, 2018</w:t>
      </w:r>
      <w:r>
        <w:rPr>
          <w:rFonts w:ascii="Arial" w:cs="Arial" w:eastAsia="Arial" w:hAnsi="Arial"/>
          <w:sz w:val="16"/>
          <w:szCs w:val="16"/>
          <w:color w:val="auto"/>
        </w:rPr>
        <w:t xml:space="preserve"> (“Amendment Effective Date”) and amends that certain Manufacturing Agreement between Heritage and Premier dated </w:t>
      </w:r>
      <w:r>
        <w:rPr>
          <w:rFonts w:ascii="Arial" w:cs="Arial" w:eastAsia="Arial" w:hAnsi="Arial"/>
          <w:sz w:val="16"/>
          <w:szCs w:val="16"/>
          <w:u w:val="single" w:color="auto"/>
          <w:color w:val="auto"/>
        </w:rPr>
        <w:t>July 1, 2017</w:t>
      </w:r>
      <w:r>
        <w:rPr>
          <w:rFonts w:ascii="Arial" w:cs="Arial" w:eastAsia="Arial" w:hAnsi="Arial"/>
          <w:sz w:val="16"/>
          <w:szCs w:val="16"/>
          <w:color w:val="auto"/>
        </w:rPr>
        <w:t xml:space="preserve"> (“Agreement”). Heritage and Premier are each referred to herein as a “Party” and collectively as the “Parties.”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Heritage and Premier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Agreement in accordance with the terms and conditions set forth herein.</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covenants, representations and warranties contained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herein, the Parties hereby agree that the following changes shall be made to the Agreement:</w:t>
      </w:r>
    </w:p>
    <w:p>
      <w:pPr>
        <w:spacing w:after="0" w:line="166" w:lineRule="exact"/>
        <w:rPr>
          <w:sz w:val="20"/>
          <w:szCs w:val="20"/>
          <w:color w:val="auto"/>
        </w:rPr>
      </w:pPr>
    </w:p>
    <w:p>
      <w:pPr>
        <w:ind w:left="760" w:hanging="316"/>
        <w:spacing w:after="0"/>
        <w:tabs>
          <w:tab w:leader="none" w:pos="7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Parties hereby agree to remove Section 2(c) in its entirety and replace it with the following:</w:t>
      </w:r>
    </w:p>
    <w:p>
      <w:pPr>
        <w:spacing w:after="0" w:line="117" w:lineRule="exact"/>
        <w:rPr>
          <w:rFonts w:ascii="Arial" w:cs="Arial" w:eastAsia="Arial" w:hAnsi="Arial"/>
          <w:sz w:val="18"/>
          <w:szCs w:val="18"/>
          <w:color w:val="auto"/>
        </w:rPr>
      </w:pPr>
    </w:p>
    <w:p>
      <w:pPr>
        <w:ind w:left="780" w:right="200"/>
        <w:spacing w:after="0" w:line="255" w:lineRule="auto"/>
        <w:rPr>
          <w:rFonts w:ascii="Arial" w:cs="Arial" w:eastAsia="Arial" w:hAnsi="Arial"/>
          <w:sz w:val="18"/>
          <w:szCs w:val="18"/>
          <w:color w:val="auto"/>
        </w:rPr>
      </w:pPr>
      <w:r>
        <w:rPr>
          <w:rFonts w:ascii="Arial" w:cs="Arial" w:eastAsia="Arial" w:hAnsi="Arial"/>
          <w:sz w:val="18"/>
          <w:szCs w:val="18"/>
          <w:color w:val="auto"/>
        </w:rPr>
        <w:t>During the Term of this Agreement, Premier shall be required to purchase a Minimum Annual Order Volume (“MAOV”) of [***] (“Units”) for the twelve-month period commencing July 1, 2018 and ending June 30, 2019. The MAOV [***] Units for each twelve-month period commencing July 1, 2019 through the end of the Term, contingent upon commercial aseptic production at Heritage’s [***] facility and approval of that facility by Premier by January 1, 2019. For the avoidance of doubt, the six-month period commencing July 1, 2022 and ending December 31, 2022, Premier will be required to purchase [***] (the twelve-month periods and the six-month period are each a “Contract Period”).</w:t>
      </w:r>
    </w:p>
    <w:p>
      <w:pPr>
        <w:spacing w:after="0" w:line="193" w:lineRule="exact"/>
        <w:rPr>
          <w:rFonts w:ascii="Arial" w:cs="Arial" w:eastAsia="Arial" w:hAnsi="Arial"/>
          <w:sz w:val="18"/>
          <w:szCs w:val="18"/>
          <w:color w:val="auto"/>
        </w:rPr>
      </w:pPr>
    </w:p>
    <w:p>
      <w:pPr>
        <w:ind w:right="80" w:firstLine="444"/>
        <w:spacing w:after="0" w:line="277" w:lineRule="auto"/>
        <w:tabs>
          <w:tab w:leader="none" w:pos="75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Amendment to be signed by their respective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Premier Nutrition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Stremick’s Heritage Foods,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/s/ Sam Stremick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040"/>
          </w:cols>
          <w:pgMar w:left="440" w:top="270" w:right="419" w:bottom="1440" w:gutter="0" w:footer="0" w:header="0"/>
        </w:sectPr>
      </w:pPr>
    </w:p>
    <w:bookmarkStart w:id="295" w:name="page296"/>
    <w:bookmarkEnd w:id="29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2 TO STREMICK’S HERITAGE FOODS, LLC and PREMIER</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NUTRITION CORPORATION MANUFACTURING AGREEMENT</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Second Amendment (“Second Amendment”), entered into by and between Stremick’s Heritage Foods, LLC, (“Heritage”), Premier Nutrition Corporation (“Premier”) is effective as of October 1, 2018 (“Second Amendment Effective Date”) and amends that certain Manufacturing Agreement between Heritage and Premier dated July 1, 2017 (“Agreement”). Heritage and Premier are each referred to herein as a “Party” and collectively as the “Parties”.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PREMIER and HERITAGE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wish to extend and amend the Agreement in accordance with the terms and conditions set forth herein; and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WHEREAS, HERITAGE [***] desires to produce Products packaged in aseptic plastic bottles (“Bottled Products”) for PREMIER in accordance with the terms and conditions set forth in the Agreement, as well as those set forth herein, [***]; and</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NOW, THEREFORE, in consideration of the promises and of the mutual covenants, representations and warranties, contained in the Agreement and set forth herein, the Parties hereby agree that the following changes be made to the Agreement:</w:t>
      </w:r>
    </w:p>
    <w:p>
      <w:pPr>
        <w:spacing w:after="0" w:line="76" w:lineRule="exact"/>
        <w:rPr>
          <w:sz w:val="20"/>
          <w:szCs w:val="20"/>
          <w:color w:val="auto"/>
        </w:rPr>
      </w:pPr>
    </w:p>
    <w:p>
      <w:pPr>
        <w:ind w:left="980" w:right="160" w:hanging="544"/>
        <w:spacing w:after="0" w:line="279" w:lineRule="auto"/>
        <w:tabs>
          <w:tab w:leader="none" w:pos="9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Term. This Second Amendment shall be effective from The Second Amendment Effective Date and shall expire on December 31, 2021. Upon expiration, this Second Amendment shall be of no further force or effect, and the terms and conditions of the Agreement shall as they were before the Second Amendment Effective Date. Notwithstanding anything herein to the contrary, a Party’s right to enforce the terms and conditions of this Second Amendment shall survive the Second Amendment’s expiration.</w:t>
      </w:r>
    </w:p>
    <w:p>
      <w:pPr>
        <w:spacing w:after="0" w:line="76" w:lineRule="exact"/>
        <w:rPr>
          <w:rFonts w:ascii="Arial" w:cs="Arial" w:eastAsia="Arial" w:hAnsi="Arial"/>
          <w:sz w:val="17"/>
          <w:szCs w:val="17"/>
          <w:color w:val="auto"/>
        </w:rPr>
      </w:pPr>
    </w:p>
    <w:p>
      <w:pPr>
        <w:ind w:left="1000" w:right="4840" w:hanging="564"/>
        <w:spacing w:after="0" w:line="483" w:lineRule="auto"/>
        <w:tabs>
          <w:tab w:leader="none" w:pos="981" w:val="left"/>
        </w:tabs>
        <w:numPr>
          <w:ilvl w:val="0"/>
          <w:numId w:val="225"/>
        </w:numPr>
        <w:rPr>
          <w:rFonts w:ascii="Arial" w:cs="Arial" w:eastAsia="Arial" w:hAnsi="Arial"/>
          <w:sz w:val="16"/>
          <w:szCs w:val="16"/>
          <w:color w:val="auto"/>
        </w:rPr>
      </w:pPr>
      <w:r>
        <w:rPr>
          <w:rFonts w:ascii="Arial" w:cs="Arial" w:eastAsia="Arial" w:hAnsi="Arial"/>
          <w:sz w:val="16"/>
          <w:szCs w:val="16"/>
          <w:color w:val="auto"/>
        </w:rPr>
        <w:t>1 BASIC TERMS. Section 1, of the Agreement is amended as follows: a. Section 1(a)(viii) is removed in its entirety and replaced with: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“(viii) Pricing and Terms for Tetra 325 ml Dreamcaps ........................ Schedule C”</w:t>
      </w:r>
    </w:p>
    <w:p>
      <w:pPr>
        <w:spacing w:after="0" w:line="225" w:lineRule="exact"/>
        <w:rPr>
          <w:sz w:val="20"/>
          <w:szCs w:val="20"/>
          <w:color w:val="auto"/>
        </w:rPr>
      </w:pPr>
    </w:p>
    <w:p>
      <w:pPr>
        <w:ind w:left="100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 new section, Section 1(a)(xi), is inserted to read</w:t>
      </w:r>
    </w:p>
    <w:p>
      <w:pPr>
        <w:sectPr>
          <w:pgSz w:w="11900" w:h="16838" w:orient="portrait"/>
          <w:cols w:equalWidth="0" w:num="1">
            <w:col w:w="10940"/>
          </w:cols>
          <w:pgMar w:left="440" w:top="270" w:right="519" w:bottom="1440" w:gutter="0" w:footer="0" w:header="0"/>
        </w:sectPr>
      </w:pP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Pricing and Terms for Aseptic Plastic Bottles ........................... Schedule C-1”</w:t>
      </w:r>
    </w:p>
    <w:p>
      <w:pPr>
        <w:spacing w:after="0" w:line="222" w:lineRule="exact"/>
        <w:rPr>
          <w:sz w:val="20"/>
          <w:szCs w:val="20"/>
          <w:color w:val="auto"/>
        </w:rPr>
      </w:pPr>
    </w:p>
    <w:p>
      <w:pPr>
        <w:sectPr>
          <w:pgSz w:w="11900" w:h="16838" w:orient="portrait"/>
          <w:cols w:equalWidth="0" w:num="2">
            <w:col w:w="1340" w:space="180"/>
            <w:col w:w="9420"/>
          </w:cols>
          <w:pgMar w:left="440" w:top="270" w:right="519" w:bottom="1440" w:gutter="0" w:footer="0" w:header="0"/>
          <w:type w:val="continuous"/>
        </w:sectPr>
      </w:pPr>
    </w:p>
    <w:p>
      <w:pPr>
        <w:spacing w:after="0" w:line="174" w:lineRule="exact"/>
        <w:rPr>
          <w:sz w:val="20"/>
          <w:szCs w:val="20"/>
          <w:color w:val="auto"/>
        </w:rPr>
      </w:pPr>
    </w:p>
    <w:p>
      <w:pPr>
        <w:ind w:left="980" w:hanging="544"/>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PRODUCTION OF PRODUCT.</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a.  Section 2(a) of the Agreement is amended so that the first sentence that previously read:</w:t>
      </w:r>
    </w:p>
    <w:p>
      <w:pPr>
        <w:spacing w:after="0" w:line="117" w:lineRule="exact"/>
        <w:rPr>
          <w:sz w:val="20"/>
          <w:szCs w:val="20"/>
          <w:color w:val="auto"/>
        </w:rPr>
      </w:pPr>
    </w:p>
    <w:p>
      <w:pPr>
        <w:ind w:right="280" w:firstLine="1433"/>
        <w:spacing w:after="0" w:line="342" w:lineRule="auto"/>
        <w:rPr>
          <w:sz w:val="20"/>
          <w:szCs w:val="20"/>
          <w:color w:val="auto"/>
        </w:rPr>
      </w:pPr>
      <w:r>
        <w:rPr>
          <w:rFonts w:ascii="Arial" w:cs="Arial" w:eastAsia="Arial" w:hAnsi="Arial"/>
          <w:sz w:val="16"/>
          <w:szCs w:val="16"/>
          <w:color w:val="auto"/>
        </w:rPr>
        <w:t>“Heritage shall produce the products described on Schedule A attached hereto, as may be amended by the Parties hereafter from time to time (the “Products”), for Premier at [***] Heritage’s or Heritage’s wholly owned subsidiary, Jasper’s facilities (the “Facilities”). [***]”</w:t>
      </w:r>
    </w:p>
    <w:p>
      <w:pPr>
        <w:sectPr>
          <w:pgSz w:w="11900" w:h="16838" w:orient="portrait"/>
          <w:cols w:equalWidth="0" w:num="1">
            <w:col w:w="10940"/>
          </w:cols>
          <w:pgMar w:left="440" w:top="270" w:right="519" w:bottom="1440" w:gutter="0" w:footer="0" w:header="0"/>
          <w:type w:val="continuous"/>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reads:</w:t>
      </w:r>
    </w:p>
    <w:p>
      <w:pPr>
        <w:spacing w:after="0" w:line="117" w:lineRule="exact"/>
        <w:rPr>
          <w:sz w:val="20"/>
          <w:szCs w:val="20"/>
          <w:color w:val="auto"/>
        </w:rPr>
      </w:pPr>
    </w:p>
    <w:p>
      <w:pPr>
        <w:jc w:val="both"/>
        <w:ind w:left="1000" w:right="20" w:firstLine="401"/>
        <w:spacing w:after="0" w:line="312" w:lineRule="auto"/>
        <w:rPr>
          <w:sz w:val="20"/>
          <w:szCs w:val="20"/>
          <w:color w:val="auto"/>
        </w:rPr>
      </w:pPr>
      <w:r>
        <w:rPr>
          <w:rFonts w:ascii="Arial" w:cs="Arial" w:eastAsia="Arial" w:hAnsi="Arial"/>
          <w:sz w:val="16"/>
          <w:szCs w:val="16"/>
          <w:color w:val="auto"/>
        </w:rPr>
        <w:t>“Heritage shall produce the products described on Schedule A and Schedule A-1 attached hereto, as may be amended by the Parties hereafter from time to time (the “Products,” each individual unit of Product “Unit”), for Premier at [***] Heritage’s or Heritage’s wholly owned subsidiary, Jasper’s facilities (the “Facilities”). [***], except that, notwithstanding anything herein to the contrary, [***].”</w:t>
      </w:r>
    </w:p>
    <w:p>
      <w:pPr>
        <w:spacing w:after="0" w:line="147" w:lineRule="exact"/>
        <w:rPr>
          <w:sz w:val="20"/>
          <w:szCs w:val="20"/>
          <w:color w:val="auto"/>
        </w:rPr>
      </w:pPr>
    </w:p>
    <w:p>
      <w:pPr>
        <w:ind w:left="1320" w:hanging="324"/>
        <w:spacing w:after="0"/>
        <w:tabs>
          <w:tab w:leader="none" w:pos="13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Section 2(c) of the Agreement is amended so that the term “Units” as defined therein is now referred to as “Tetra Units”.</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Section 2(d) of the Agreement is amended so that whereas it previously read:</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“During the Term, Premier shall have the right (but not the obligation) to order from Heritage quantities of Products in excess of</w:t>
      </w:r>
    </w:p>
    <w:p>
      <w:pPr>
        <w:spacing w:after="0" w:line="46" w:lineRule="exact"/>
        <w:rPr>
          <w:sz w:val="20"/>
          <w:szCs w:val="20"/>
          <w:color w:val="auto"/>
        </w:rPr>
      </w:pPr>
    </w:p>
    <w:p>
      <w:pPr>
        <w:ind w:left="1000" w:hanging="4"/>
        <w:spacing w:after="0" w:line="261" w:lineRule="auto"/>
        <w:tabs>
          <w:tab w:leader="none" w:pos="143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and provided Heritage has the capacity and the ability to produce such additional quantities of Products, Heritage agrees to produce such additional quantities per the pricing and terms on Schedule 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“During the Term, Premier shall have the right (but not the obligation) to order from Heritage quantities of Products in in excess of</w:t>
      </w:r>
    </w:p>
    <w:p>
      <w:pPr>
        <w:spacing w:after="0" w:line="46" w:lineRule="exact"/>
        <w:rPr>
          <w:sz w:val="20"/>
          <w:szCs w:val="20"/>
          <w:color w:val="auto"/>
        </w:rPr>
      </w:pPr>
    </w:p>
    <w:p>
      <w:pPr>
        <w:ind w:left="1000" w:hanging="4"/>
        <w:spacing w:after="0" w:line="261" w:lineRule="auto"/>
        <w:tabs>
          <w:tab w:leader="none" w:pos="143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and provided Heritage has the capacity and the ability to produce such additional quantities of Products, Heritage agrees to produce such additional quantities per the pricing and terms on Schedule C.”</w:t>
      </w:r>
    </w:p>
    <w:p>
      <w:pPr>
        <w:spacing w:after="0" w:line="184" w:lineRule="exact"/>
        <w:rPr>
          <w:sz w:val="20"/>
          <w:szCs w:val="20"/>
          <w:color w:val="auto"/>
        </w:rPr>
      </w:pPr>
    </w:p>
    <w:p>
      <w:pPr>
        <w:ind w:left="1440" w:right="4060" w:hanging="444"/>
        <w:spacing w:after="0" w:line="402" w:lineRule="auto"/>
        <w:tabs>
          <w:tab w:leader="none" w:pos="131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Section 2(e) of the Agreement is amended so that whereas it previously read: [***]</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440" w:right="4080" w:hanging="444"/>
        <w:spacing w:after="0" w:line="402" w:lineRule="auto"/>
        <w:tabs>
          <w:tab w:leader="none" w:pos="130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Section 2(f) of the Agreement is amended so that whereas it previously read: [***]</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 now reads: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0" w:firstLine="996"/>
        <w:spacing w:after="0" w:line="277" w:lineRule="auto"/>
        <w:tabs>
          <w:tab w:leader="none" w:pos="127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Section 2(m) of the Agreement is amended so that the term “Units” appearing in the second complete sentence is replaced with the term “Tetra Units”.</w:t>
      </w:r>
    </w:p>
    <w:p>
      <w:pPr>
        <w:spacing w:after="0" w:line="170" w:lineRule="exact"/>
        <w:rPr>
          <w:rFonts w:ascii="Arial" w:cs="Arial" w:eastAsia="Arial" w:hAnsi="Arial"/>
          <w:sz w:val="18"/>
          <w:szCs w:val="18"/>
          <w:color w:val="auto"/>
        </w:rPr>
      </w:pPr>
    </w:p>
    <w:p>
      <w:pPr>
        <w:ind w:left="1320" w:hanging="324"/>
        <w:spacing w:after="0"/>
        <w:tabs>
          <w:tab w:leader="none" w:pos="13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Section 2(n) of the Agreement is amended so that the last sentence that previously read: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final production quantity by Heritage and Jasper will count towards the MAOV requirements”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297" w:name="page298"/>
    <w:bookmarkEnd w:id="2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reads: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final production quantity of Tetra Units by Heritage and Jasper will count toward the MAOV requirements for Tetra Units.”</w:t>
      </w:r>
    </w:p>
    <w:p>
      <w:pPr>
        <w:spacing w:after="0" w:line="225" w:lineRule="exact"/>
        <w:rPr>
          <w:sz w:val="20"/>
          <w:szCs w:val="20"/>
          <w:color w:val="auto"/>
        </w:rPr>
      </w:pPr>
    </w:p>
    <w:p>
      <w:pPr>
        <w:ind w:left="1000"/>
        <w:spacing w:after="0"/>
        <w:tabs>
          <w:tab w:leader="none" w:pos="130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Section 2(o)(i) of the Agreement is amended so that the first sentence that previously read:</w:t>
      </w:r>
    </w:p>
    <w:p>
      <w:pPr>
        <w:spacing w:after="0" w:line="117" w:lineRule="exact"/>
        <w:rPr>
          <w:sz w:val="20"/>
          <w:szCs w:val="20"/>
          <w:color w:val="auto"/>
        </w:rPr>
      </w:pPr>
    </w:p>
    <w:p>
      <w:pPr>
        <w:ind w:left="1000" w:firstLine="401"/>
        <w:spacing w:after="0" w:line="279" w:lineRule="auto"/>
        <w:rPr>
          <w:sz w:val="20"/>
          <w:szCs w:val="20"/>
          <w:color w:val="auto"/>
        </w:rPr>
      </w:pPr>
      <w:r>
        <w:rPr>
          <w:rFonts w:ascii="Arial" w:cs="Arial" w:eastAsia="Arial" w:hAnsi="Arial"/>
          <w:sz w:val="17"/>
          <w:szCs w:val="17"/>
          <w:color w:val="auto"/>
        </w:rPr>
        <w:t>“All Products manufactured, packaged and delivered to Heritage or Jasper under the terms of this Agreement shall conform to the specifications supplied to Heritage by Premier as listed on Schedule A, which Schedule may from time to time be modified by Premier in writing (the “Specifications”), shall conform to Post Holding’s Quality Expectations Manual attached hereto as Schedule E, and shall conform in all material respects to samples previously supplied to Premier by Heritage.”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reads:</w:t>
      </w:r>
    </w:p>
    <w:p>
      <w:pPr>
        <w:spacing w:after="0" w:line="117" w:lineRule="exact"/>
        <w:rPr>
          <w:sz w:val="20"/>
          <w:szCs w:val="20"/>
          <w:color w:val="auto"/>
        </w:rPr>
      </w:pPr>
    </w:p>
    <w:p>
      <w:pPr>
        <w:jc w:val="both"/>
        <w:ind w:left="1000" w:right="120" w:firstLine="401"/>
        <w:spacing w:after="0" w:line="279" w:lineRule="auto"/>
        <w:rPr>
          <w:sz w:val="20"/>
          <w:szCs w:val="20"/>
          <w:color w:val="auto"/>
        </w:rPr>
      </w:pPr>
      <w:r>
        <w:rPr>
          <w:rFonts w:ascii="Arial" w:cs="Arial" w:eastAsia="Arial" w:hAnsi="Arial"/>
          <w:sz w:val="17"/>
          <w:szCs w:val="17"/>
          <w:color w:val="auto"/>
        </w:rPr>
        <w:t>“All Products manufactured, packaged and delivered by Heritage or Jasper under the terms of this Agreement shall conform to the specifications supplied to Heritage by Premier as listed on Schedule A and/or Schedule A-1, which Schedules may from time to time be modified by Premier in writing (the “Specifications”), shall conform to Post Holding’s Quality Expectations Manual attached hereto as Schedule E, and shall conform in all material respects to samples previously supplied to Premier by Heritage.”</w:t>
      </w:r>
    </w:p>
    <w:p>
      <w:pPr>
        <w:spacing w:after="0" w:line="320" w:lineRule="exact"/>
        <w:rPr>
          <w:sz w:val="20"/>
          <w:szCs w:val="20"/>
          <w:color w:val="auto"/>
        </w:rPr>
      </w:pPr>
    </w:p>
    <w:p>
      <w:pPr>
        <w:ind w:left="440" w:hanging="436"/>
        <w:spacing w:after="0"/>
        <w:tabs>
          <w:tab w:leader="none" w:pos="4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Section 3 DELIVER, PRICING, BILLING AND PAYMENT</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a.  Section 3(b) of the Agreement is amended so that whereas it previously read:</w:t>
      </w:r>
    </w:p>
    <w:p>
      <w:pPr>
        <w:spacing w:after="0" w:line="117" w:lineRule="exact"/>
        <w:rPr>
          <w:sz w:val="20"/>
          <w:szCs w:val="20"/>
          <w:color w:val="auto"/>
        </w:rPr>
      </w:pPr>
    </w:p>
    <w:p>
      <w:pPr>
        <w:ind w:left="1000" w:right="660" w:firstLine="401"/>
        <w:spacing w:after="0" w:line="308" w:lineRule="auto"/>
        <w:rPr>
          <w:sz w:val="20"/>
          <w:szCs w:val="20"/>
          <w:color w:val="auto"/>
        </w:rPr>
      </w:pPr>
      <w:r>
        <w:rPr>
          <w:rFonts w:ascii="Arial" w:cs="Arial" w:eastAsia="Arial" w:hAnsi="Arial"/>
          <w:sz w:val="17"/>
          <w:szCs w:val="17"/>
          <w:color w:val="auto"/>
        </w:rPr>
        <w:t>“Heritage shall purchase all ingredients and packaging materials identified in Schedule C to be used in connection with the manufacturer of the Products. Heritage shall invoice Premier through the [***] billing as identified on Schedule C.”</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now reads:</w:t>
      </w:r>
    </w:p>
    <w:p>
      <w:pPr>
        <w:spacing w:after="0" w:line="117" w:lineRule="exact"/>
        <w:rPr>
          <w:sz w:val="20"/>
          <w:szCs w:val="20"/>
          <w:color w:val="auto"/>
        </w:rPr>
      </w:pPr>
    </w:p>
    <w:p>
      <w:pPr>
        <w:ind w:left="1000" w:right="40" w:firstLine="401"/>
        <w:spacing w:after="0" w:line="312" w:lineRule="auto"/>
        <w:rPr>
          <w:sz w:val="20"/>
          <w:szCs w:val="20"/>
          <w:color w:val="auto"/>
        </w:rPr>
      </w:pPr>
      <w:r>
        <w:rPr>
          <w:rFonts w:ascii="Arial" w:cs="Arial" w:eastAsia="Arial" w:hAnsi="Arial"/>
          <w:sz w:val="16"/>
          <w:szCs w:val="16"/>
          <w:color w:val="auto"/>
        </w:rPr>
        <w:t>“Heritage shall purchase all ingredients and packaging materials identified in the relevant Schedule C or Schedule C-l to be used in connection with the manufacturer of the Products. Heritage shall invoice Premier through the [***] billing as identified on the relevant Schedule C or Schedule C-l. Heritage shall not, however, purchase ingredients or packaging materials in excess of those required [***].”</w:t>
      </w:r>
    </w:p>
    <w:p>
      <w:pPr>
        <w:spacing w:after="0" w:line="255" w:lineRule="exact"/>
        <w:rPr>
          <w:sz w:val="20"/>
          <w:szCs w:val="20"/>
          <w:color w:val="auto"/>
        </w:rPr>
      </w:pPr>
    </w:p>
    <w:p>
      <w:pPr>
        <w:ind w:left="1440" w:right="4040" w:hanging="444"/>
        <w:spacing w:after="0" w:line="397" w:lineRule="auto"/>
        <w:tabs>
          <w:tab w:leader="none" w:pos="1314" w:val="left"/>
        </w:tabs>
        <w:numPr>
          <w:ilvl w:val="1"/>
          <w:numId w:val="234"/>
        </w:numPr>
        <w:rPr>
          <w:rFonts w:ascii="Arial" w:cs="Arial" w:eastAsia="Arial" w:hAnsi="Arial"/>
          <w:sz w:val="17"/>
          <w:szCs w:val="17"/>
          <w:color w:val="auto"/>
        </w:rPr>
      </w:pPr>
      <w:r>
        <w:rPr>
          <w:rFonts w:ascii="Arial" w:cs="Arial" w:eastAsia="Arial" w:hAnsi="Arial"/>
          <w:sz w:val="17"/>
          <w:szCs w:val="17"/>
          <w:color w:val="auto"/>
        </w:rPr>
        <w:t>Section 3(c) of the Agreement is amended so that whereas it previously read: “Heritage shall charge Premier [***] as set forth in Schedule C.”</w:t>
      </w:r>
    </w:p>
    <w:p>
      <w:pPr>
        <w:spacing w:after="0" w:line="1"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it now reads:</w:t>
      </w:r>
    </w:p>
    <w:p>
      <w:pPr>
        <w:spacing w:after="0" w:line="117"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“Heritage shall charge Premier [***] as set forth in the relevant Schedule C or Schedule C-1.”</w:t>
      </w:r>
    </w:p>
    <w:p>
      <w:pPr>
        <w:spacing w:after="0" w:line="252" w:lineRule="exact"/>
        <w:rPr>
          <w:rFonts w:ascii="Arial" w:cs="Arial" w:eastAsia="Arial" w:hAnsi="Arial"/>
          <w:sz w:val="17"/>
          <w:szCs w:val="17"/>
          <w:color w:val="auto"/>
        </w:rPr>
      </w:pPr>
    </w:p>
    <w:p>
      <w:pPr>
        <w:ind w:left="4740" w:right="2960" w:hanging="4304"/>
        <w:spacing w:after="0" w:line="501" w:lineRule="auto"/>
        <w:tabs>
          <w:tab w:leader="none" w:pos="9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Schedule A-l. The following is attached to and incorporated into the Agreement as Schedule A-l: Schedule A-1 ([***])</w:t>
      </w:r>
    </w:p>
    <w:p>
      <w:pPr>
        <w:ind w:left="53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298" w:name="page299"/>
    <w:bookmarkEnd w:id="298"/>
    <w:p>
      <w:pPr>
        <w:ind w:left="980" w:hanging="544"/>
        <w:spacing w:after="0"/>
        <w:tabs>
          <w:tab w:leader="none" w:pos="9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 NOTICES is amended such that whereas Notice to PREMIER was required to:</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“VP Operations</w:t>
      </w:r>
    </w:p>
    <w:p>
      <w:pPr>
        <w:spacing w:after="0" w:line="23" w:lineRule="exact"/>
        <w:rPr>
          <w:rFonts w:ascii="Arial" w:cs="Arial" w:eastAsia="Arial" w:hAnsi="Arial"/>
          <w:sz w:val="18"/>
          <w:szCs w:val="18"/>
          <w:color w:val="auto"/>
        </w:rPr>
      </w:pPr>
    </w:p>
    <w:p>
      <w:pPr>
        <w:ind w:left="1000" w:right="7860"/>
        <w:spacing w:after="0" w:line="295" w:lineRule="auto"/>
        <w:rPr>
          <w:rFonts w:ascii="Arial" w:cs="Arial" w:eastAsia="Arial" w:hAnsi="Arial"/>
          <w:sz w:val="18"/>
          <w:szCs w:val="18"/>
          <w:color w:val="auto"/>
        </w:rPr>
      </w:pPr>
      <w:r>
        <w:rPr>
          <w:rFonts w:ascii="Arial" w:cs="Arial" w:eastAsia="Arial" w:hAnsi="Arial"/>
          <w:sz w:val="16"/>
          <w:szCs w:val="16"/>
          <w:color w:val="auto"/>
        </w:rPr>
        <w:t>Premier Nutrition Corporation 188 Spear Street, Suite 600 San Francisco, CA 94608 Email:[***]</w:t>
      </w:r>
    </w:p>
    <w:p>
      <w:pPr>
        <w:spacing w:after="0" w:line="53" w:lineRule="exact"/>
        <w:rPr>
          <w:rFonts w:ascii="Arial" w:cs="Arial" w:eastAsia="Arial" w:hAnsi="Arial"/>
          <w:sz w:val="18"/>
          <w:szCs w:val="18"/>
          <w:color w:val="auto"/>
        </w:rPr>
      </w:pPr>
    </w:p>
    <w:p>
      <w:pPr>
        <w:ind w:left="1000" w:right="8780"/>
        <w:spacing w:after="0" w:line="312" w:lineRule="auto"/>
        <w:rPr>
          <w:rFonts w:ascii="Arial" w:cs="Arial" w:eastAsia="Arial" w:hAnsi="Arial"/>
          <w:sz w:val="18"/>
          <w:szCs w:val="18"/>
          <w:color w:val="auto"/>
        </w:rPr>
      </w:pPr>
      <w:r>
        <w:rPr>
          <w:rFonts w:ascii="Arial" w:cs="Arial" w:eastAsia="Arial" w:hAnsi="Arial"/>
          <w:sz w:val="16"/>
          <w:szCs w:val="16"/>
          <w:color w:val="auto"/>
        </w:rPr>
        <w:t>With a Copy to General Counsel: Email [***]”</w:t>
      </w:r>
    </w:p>
    <w:p>
      <w:pPr>
        <w:spacing w:after="0" w:line="38"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it is now required to:</w:t>
      </w:r>
    </w:p>
    <w:p>
      <w:pPr>
        <w:spacing w:after="0" w:line="117" w:lineRule="exact"/>
        <w:rPr>
          <w:rFonts w:ascii="Arial" w:cs="Arial" w:eastAsia="Arial" w:hAnsi="Arial"/>
          <w:sz w:val="18"/>
          <w:szCs w:val="18"/>
          <w:color w:val="auto"/>
        </w:rPr>
      </w:pPr>
    </w:p>
    <w:p>
      <w:pPr>
        <w:ind w:left="1000" w:right="7780"/>
        <w:spacing w:after="0" w:line="258" w:lineRule="auto"/>
        <w:rPr>
          <w:rFonts w:ascii="Arial" w:cs="Arial" w:eastAsia="Arial" w:hAnsi="Arial"/>
          <w:sz w:val="18"/>
          <w:szCs w:val="18"/>
          <w:color w:val="auto"/>
        </w:rPr>
      </w:pPr>
      <w:r>
        <w:rPr>
          <w:rFonts w:ascii="Arial" w:cs="Arial" w:eastAsia="Arial" w:hAnsi="Arial"/>
          <w:sz w:val="18"/>
          <w:szCs w:val="18"/>
          <w:color w:val="auto"/>
        </w:rPr>
        <w:t>“Premier Nutrition Corporation VP Operations</w:t>
      </w:r>
    </w:p>
    <w:p>
      <w:pPr>
        <w:spacing w:after="0" w:line="1" w:lineRule="exact"/>
        <w:rPr>
          <w:rFonts w:ascii="Arial" w:cs="Arial" w:eastAsia="Arial" w:hAnsi="Arial"/>
          <w:sz w:val="18"/>
          <w:szCs w:val="18"/>
          <w:color w:val="auto"/>
        </w:rPr>
      </w:pPr>
    </w:p>
    <w:p>
      <w:pPr>
        <w:ind w:left="1000" w:right="8080"/>
        <w:spacing w:after="0" w:line="255" w:lineRule="auto"/>
        <w:rPr>
          <w:rFonts w:ascii="Arial" w:cs="Arial" w:eastAsia="Arial" w:hAnsi="Arial"/>
          <w:sz w:val="18"/>
          <w:szCs w:val="18"/>
          <w:color w:val="auto"/>
        </w:rPr>
      </w:pPr>
      <w:r>
        <w:rPr>
          <w:rFonts w:ascii="Arial" w:cs="Arial" w:eastAsia="Arial" w:hAnsi="Arial"/>
          <w:sz w:val="18"/>
          <w:szCs w:val="18"/>
          <w:color w:val="auto"/>
        </w:rPr>
        <w:t>1222 67th Street, Suite 210 Emeryville, CA 94608 Email: [***]</w:t>
      </w:r>
    </w:p>
    <w:p>
      <w:pPr>
        <w:spacing w:after="0" w:line="82" w:lineRule="exact"/>
        <w:rPr>
          <w:rFonts w:ascii="Arial" w:cs="Arial" w:eastAsia="Arial" w:hAnsi="Arial"/>
          <w:sz w:val="18"/>
          <w:szCs w:val="18"/>
          <w:color w:val="auto"/>
        </w:rPr>
      </w:pPr>
    </w:p>
    <w:p>
      <w:pPr>
        <w:ind w:left="1000" w:right="8780"/>
        <w:spacing w:after="0" w:line="312" w:lineRule="auto"/>
        <w:rPr>
          <w:rFonts w:ascii="Arial" w:cs="Arial" w:eastAsia="Arial" w:hAnsi="Arial"/>
          <w:sz w:val="18"/>
          <w:szCs w:val="18"/>
          <w:color w:val="auto"/>
        </w:rPr>
      </w:pPr>
      <w:r>
        <w:rPr>
          <w:rFonts w:ascii="Arial" w:cs="Arial" w:eastAsia="Arial" w:hAnsi="Arial"/>
          <w:sz w:val="16"/>
          <w:szCs w:val="16"/>
          <w:color w:val="auto"/>
        </w:rPr>
        <w:t>With a Copy to General Counsel: Email [***]”</w:t>
      </w:r>
    </w:p>
    <w:p>
      <w:pPr>
        <w:spacing w:after="0" w:line="173" w:lineRule="exact"/>
        <w:rPr>
          <w:rFonts w:ascii="Arial" w:cs="Arial" w:eastAsia="Arial" w:hAnsi="Arial"/>
          <w:sz w:val="18"/>
          <w:szCs w:val="18"/>
          <w:color w:val="auto"/>
        </w:rPr>
      </w:pPr>
    </w:p>
    <w:p>
      <w:pPr>
        <w:ind w:left="980" w:hanging="544"/>
        <w:spacing w:after="0"/>
        <w:tabs>
          <w:tab w:leader="none" w:pos="9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Schedule C-l. The following is attached to and incorporated into the Agreement as Schedule C-l:</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C-1 ([***])</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firstLine="444"/>
        <w:spacing w:after="0" w:line="277" w:lineRule="auto"/>
        <w:tabs>
          <w:tab w:leader="none" w:pos="75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7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a duly authorized officer on the day and year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PREMIER NUTRITION CORPORATION</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STREMICKS HERITAGE FOODS, LLC</w:t>
            </w:r>
          </w:p>
        </w:tc>
      </w:tr>
      <w:tr>
        <w:trPr>
          <w:trHeight w:val="230"/>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And as and for Jasper Products, LLC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BY:  /s/ Darcy Davenport</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BY:  /s/ Sam Stremick</w:t>
            </w: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ind w:left="700"/>
              <w:spacing w:after="0"/>
              <w:rPr>
                <w:sz w:val="20"/>
                <w:szCs w:val="20"/>
                <w:color w:val="auto"/>
              </w:rPr>
            </w:pPr>
            <w:r>
              <w:rPr>
                <w:rFonts w:ascii="Arial" w:cs="Arial" w:eastAsia="Arial" w:hAnsi="Arial"/>
                <w:sz w:val="18"/>
                <w:szCs w:val="18"/>
                <w:color w:val="auto"/>
              </w:rPr>
              <w:t>ITS:</w:t>
            </w:r>
          </w:p>
        </w:tc>
        <w:tc>
          <w:tcPr>
            <w:tcW w:w="4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372"/>
        </w:trPr>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40" w:type="dxa"/>
            <w:vAlign w:val="bottom"/>
          </w:tcPr>
          <w:p>
            <w:pPr>
              <w:ind w:left="300"/>
              <w:spacing w:after="0"/>
              <w:rPr>
                <w:sz w:val="20"/>
                <w:szCs w:val="20"/>
                <w:color w:val="auto"/>
              </w:rPr>
            </w:pPr>
            <w:r>
              <w:rPr>
                <w:rFonts w:ascii="Arial" w:cs="Arial" w:eastAsia="Arial" w:hAnsi="Arial"/>
                <w:sz w:val="18"/>
                <w:szCs w:val="18"/>
                <w:color w:val="auto"/>
              </w:rPr>
              <w:t>4</w:t>
            </w:r>
          </w:p>
        </w:tc>
        <w:tc>
          <w:tcPr>
            <w:tcW w:w="474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99" w:name="page300"/>
    <w:bookmarkEnd w:id="299"/>
    <w:p>
      <w:pPr>
        <w:jc w:val="cente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3 TO STREMICK’S HERITAGE FOODS, LLC and PREMIER NUTRITION CORPORATION MANUFACTURING AGREEMENT</w:t>
      </w:r>
    </w:p>
    <w:p>
      <w:pPr>
        <w:spacing w:after="0" w:line="166"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This Amendment No. 3 (the “Third Amendment”), entered into by and between Stremicks Heritage Foods, LLC (“Heritage”) Premier Nutrition Corporation (“Premier”) is effective as of July 3, 2019 (“Third Amendment Effective Date”) and amends that certain Manufacturing Agreement between Heritage and Premier dated July 1, 2017 as amended (“Agreement”). Heritage and Premier are each referred to herein as a “Party” and collectively as the “Parties.”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Heritage and Premier entered into the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Agreement in accordance with the terms and conditions set forth herein.</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promises and of the mutual covenants, representations and warranties contained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herein, the Parties hereby agree that the following changes shall be made to the Agreement:</w:t>
      </w:r>
    </w:p>
    <w:p>
      <w:pPr>
        <w:spacing w:after="0" w:line="166"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Parties hereby agree to remove Schedule C-1 in its entirety and replace it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C-1. The following is attached to an incorporated into the Agreement as Schedule C-1: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C-1([***])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firstLine="444"/>
        <w:spacing w:after="0" w:line="277" w:lineRule="auto"/>
        <w:tabs>
          <w:tab w:leader="none" w:pos="75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Except as otherwise specified above in this Amendment, all other terms, conditions and covenants of the Agreement shall remain in full force and effect.</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Amendment to be signed by their respective duly authorized representatives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Premier Nutrition Corporation</w:t>
            </w:r>
          </w:p>
        </w:tc>
        <w:tc>
          <w:tcPr>
            <w:tcW w:w="5880" w:type="dxa"/>
            <w:vAlign w:val="bottom"/>
            <w:gridSpan w:val="3"/>
          </w:tcPr>
          <w:p>
            <w:pPr>
              <w:ind w:left="700"/>
              <w:spacing w:after="0"/>
              <w:rPr>
                <w:sz w:val="20"/>
                <w:szCs w:val="20"/>
                <w:color w:val="auto"/>
              </w:rPr>
            </w:pPr>
            <w:r>
              <w:rPr>
                <w:rFonts w:ascii="Arial" w:cs="Arial" w:eastAsia="Arial" w:hAnsi="Arial"/>
                <w:sz w:val="18"/>
                <w:szCs w:val="18"/>
                <w:b w:val="1"/>
                <w:bCs w:val="1"/>
                <w:color w:val="auto"/>
              </w:rPr>
              <w:t>Stremick’s Heritage Foods,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/s/ Sam Stremick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Davenport</w:t>
            </w:r>
          </w:p>
        </w:tc>
        <w:tc>
          <w:tcPr>
            <w:tcW w:w="1260" w:type="dxa"/>
            <w:vAlign w:val="bottom"/>
          </w:tcPr>
          <w:p>
            <w:pPr>
              <w:ind w:left="70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Stremick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President</w:t>
            </w:r>
          </w:p>
        </w:tc>
        <w:tc>
          <w:tcPr>
            <w:tcW w:w="126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00"/>
              <w:spacing w:after="0"/>
              <w:rPr>
                <w:sz w:val="20"/>
                <w:szCs w:val="20"/>
                <w:color w:val="auto"/>
              </w:rPr>
            </w:pPr>
            <w:r>
              <w:rPr>
                <w:rFonts w:ascii="Arial" w:cs="Arial" w:eastAsia="Arial" w:hAnsi="Arial"/>
                <w:sz w:val="18"/>
                <w:szCs w:val="18"/>
                <w:color w:val="auto"/>
              </w:rPr>
              <w:t>President</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B75C"/>
    <w:multiLevelType w:val="hybridMultilevel"/>
    <w:lvl w:ilvl="0">
      <w:lvlJc w:val="left"/>
      <w:lvlText w:val="(%1)"/>
      <w:numFmt w:val="decimal"/>
      <w:start w:val="1"/>
    </w:lvl>
  </w:abstractNum>
  <w:abstractNum w:abstractNumId="1">
    <w:nsid w:val="1DF029D3"/>
    <w:multiLevelType w:val="hybridMultilevel"/>
    <w:lvl w:ilvl="0">
      <w:lvlJc w:val="left"/>
      <w:lvlText w:val="(%1)"/>
      <w:numFmt w:val="decimal"/>
      <w:start w:val="1"/>
    </w:lvl>
  </w:abstractNum>
  <w:abstractNum w:abstractNumId="2">
    <w:nsid w:val="5675FF36"/>
    <w:multiLevelType w:val="hybridMultilevel"/>
    <w:lvl w:ilvl="0">
      <w:lvlJc w:val="left"/>
      <w:lvlText w:val="•"/>
      <w:numFmt w:val="bullet"/>
      <w:start w:val="1"/>
    </w:lvl>
  </w:abstractNum>
  <w:abstractNum w:abstractNumId="3">
    <w:nsid w:val="3DD15094"/>
    <w:multiLevelType w:val="hybridMultilevel"/>
    <w:lvl w:ilvl="0">
      <w:lvlJc w:val="left"/>
      <w:lvlText w:val="•"/>
      <w:numFmt w:val="bullet"/>
      <w:start w:val="1"/>
    </w:lvl>
  </w:abstractNum>
  <w:abstractNum w:abstractNumId="4">
    <w:nsid w:val="3DB012B3"/>
    <w:multiLevelType w:val="hybridMultilevel"/>
    <w:lvl w:ilvl="0">
      <w:lvlJc w:val="left"/>
      <w:lvlText w:val="•"/>
      <w:numFmt w:val="bullet"/>
      <w:start w:val="1"/>
    </w:lvl>
  </w:abstractNum>
  <w:abstractNum w:abstractNumId="5">
    <w:nsid w:val="2708C9AF"/>
    <w:multiLevelType w:val="hybridMultilevel"/>
    <w:lvl w:ilvl="0">
      <w:lvlJc w:val="left"/>
      <w:lvlText w:val="•"/>
      <w:numFmt w:val="bullet"/>
      <w:start w:val="1"/>
    </w:lvl>
  </w:abstractNum>
  <w:abstractNum w:abstractNumId="6">
    <w:nsid w:val="5B25ACE2"/>
    <w:multiLevelType w:val="hybridMultilevel"/>
    <w:lvl w:ilvl="0">
      <w:lvlJc w:val="left"/>
      <w:lvlText w:val="•"/>
      <w:numFmt w:val="bullet"/>
      <w:start w:val="1"/>
    </w:lvl>
  </w:abstractNum>
  <w:abstractNum w:abstractNumId="7">
    <w:nsid w:val="175DFCF0"/>
    <w:multiLevelType w:val="hybridMultilevel"/>
    <w:lvl w:ilvl="0">
      <w:lvlJc w:val="left"/>
      <w:lvlText w:val="•"/>
      <w:numFmt w:val="bullet"/>
      <w:start w:val="1"/>
    </w:lvl>
  </w:abstractNum>
  <w:abstractNum w:abstractNumId="8">
    <w:nsid w:val="4F97E3E4"/>
    <w:multiLevelType w:val="hybridMultilevel"/>
    <w:lvl w:ilvl="0">
      <w:lvlJc w:val="left"/>
      <w:lvlText w:val="•"/>
      <w:numFmt w:val="bullet"/>
      <w:start w:val="1"/>
    </w:lvl>
  </w:abstractNum>
  <w:abstractNum w:abstractNumId="9">
    <w:nsid w:val="53B0A9E"/>
    <w:multiLevelType w:val="hybridMultilevel"/>
    <w:lvl w:ilvl="0">
      <w:lvlJc w:val="left"/>
      <w:lvlText w:val="•"/>
      <w:numFmt w:val="bullet"/>
      <w:start w:val="1"/>
    </w:lvl>
  </w:abstractNum>
  <w:abstractNum w:abstractNumId="10">
    <w:nsid w:val="34FD6B4F"/>
    <w:multiLevelType w:val="hybridMultilevel"/>
    <w:lvl w:ilvl="0">
      <w:lvlJc w:val="left"/>
      <w:lvlText w:val="•"/>
      <w:numFmt w:val="bullet"/>
      <w:start w:val="1"/>
    </w:lvl>
    <w:lvl w:ilvl="1">
      <w:lvlJc w:val="left"/>
      <w:lvlText w:val="•"/>
      <w:numFmt w:val="bullet"/>
      <w:start w:val="1"/>
    </w:lvl>
  </w:abstractNum>
  <w:abstractNum w:abstractNumId="11">
    <w:nsid w:val="5915FF32"/>
    <w:multiLevelType w:val="hybridMultilevel"/>
    <w:lvl w:ilvl="0">
      <w:lvlJc w:val="left"/>
      <w:lvlText w:val="•"/>
      <w:numFmt w:val="bullet"/>
      <w:start w:val="1"/>
    </w:lvl>
    <w:lvl w:ilvl="1">
      <w:lvlJc w:val="left"/>
      <w:lvlText w:val="•"/>
      <w:numFmt w:val="bullet"/>
      <w:start w:val="1"/>
    </w:lvl>
  </w:abstractNum>
  <w:abstractNum w:abstractNumId="12">
    <w:nsid w:val="56438D15"/>
    <w:multiLevelType w:val="hybridMultilevel"/>
    <w:lvl w:ilvl="0">
      <w:lvlJc w:val="left"/>
      <w:lvlText w:val="•"/>
      <w:numFmt w:val="bullet"/>
      <w:start w:val="1"/>
    </w:lvl>
    <w:lvl w:ilvl="1">
      <w:lvlJc w:val="left"/>
      <w:lvlText w:val="•"/>
      <w:numFmt w:val="bullet"/>
      <w:start w:val="1"/>
    </w:lvl>
  </w:abstractNum>
  <w:abstractNum w:abstractNumId="13">
    <w:nsid w:val="519E3149"/>
    <w:multiLevelType w:val="hybridMultilevel"/>
    <w:lvl w:ilvl="0">
      <w:lvlJc w:val="left"/>
      <w:lvlText w:val="•"/>
      <w:numFmt w:val="bullet"/>
      <w:start w:val="1"/>
    </w:lvl>
  </w:abstractNum>
  <w:abstractNum w:abstractNumId="14">
    <w:nsid w:val="2C6E4AFD"/>
    <w:multiLevelType w:val="hybridMultilevel"/>
    <w:lvl w:ilvl="0">
      <w:lvlJc w:val="left"/>
      <w:lvlText w:val="•"/>
      <w:numFmt w:val="bullet"/>
      <w:start w:val="1"/>
    </w:lvl>
  </w:abstractNum>
  <w:abstractNum w:abstractNumId="15">
    <w:nsid w:val="17A1B582"/>
    <w:multiLevelType w:val="hybridMultilevel"/>
    <w:lvl w:ilvl="0">
      <w:lvlJc w:val="left"/>
      <w:lvlText w:val="•"/>
      <w:numFmt w:val="bullet"/>
      <w:start w:val="1"/>
    </w:lvl>
  </w:abstractNum>
  <w:abstractNum w:abstractNumId="16">
    <w:nsid w:val="4DF72E4E"/>
    <w:multiLevelType w:val="hybridMultilevel"/>
    <w:lvl w:ilvl="0">
      <w:lvlJc w:val="left"/>
      <w:lvlText w:val="(%1)"/>
      <w:numFmt w:val="lowerRoman"/>
      <w:start w:val="5"/>
    </w:lvl>
  </w:abstractNum>
  <w:abstractNum w:abstractNumId="17">
    <w:nsid w:val="5046B5A9"/>
    <w:multiLevelType w:val="hybridMultilevel"/>
    <w:lvl w:ilvl="0">
      <w:lvlJc w:val="left"/>
      <w:lvlText w:val="•"/>
      <w:numFmt w:val="bullet"/>
      <w:start w:val="1"/>
    </w:lvl>
  </w:abstractNum>
  <w:abstractNum w:abstractNumId="18">
    <w:nsid w:val="5D888A08"/>
    <w:multiLevelType w:val="hybridMultilevel"/>
    <w:lvl w:ilvl="0">
      <w:lvlJc w:val="left"/>
      <w:lvlText w:val="•"/>
      <w:numFmt w:val="bullet"/>
      <w:start w:val="1"/>
    </w:lvl>
  </w:abstractNum>
  <w:abstractNum w:abstractNumId="19">
    <w:nsid w:val="2A082C70"/>
    <w:multiLevelType w:val="hybridMultilevel"/>
    <w:lvl w:ilvl="0">
      <w:lvlJc w:val="left"/>
      <w:lvlText w:val="•"/>
      <w:numFmt w:val="bullet"/>
      <w:start w:val="1"/>
    </w:lvl>
  </w:abstractNum>
  <w:abstractNum w:abstractNumId="20">
    <w:nsid w:val="5EC6AFD4"/>
    <w:multiLevelType w:val="hybridMultilevel"/>
    <w:lvl w:ilvl="0">
      <w:lvlJc w:val="left"/>
      <w:lvlText w:val="•"/>
      <w:numFmt w:val="bullet"/>
      <w:start w:val="1"/>
    </w:lvl>
  </w:abstractNum>
  <w:abstractNum w:abstractNumId="21">
    <w:nsid w:val="19E21BB2"/>
    <w:multiLevelType w:val="hybridMultilevel"/>
    <w:lvl w:ilvl="0">
      <w:lvlJc w:val="left"/>
      <w:lvlText w:val="(%1)"/>
      <w:numFmt w:val="lowerRoman"/>
      <w:start w:val="4"/>
    </w:lvl>
  </w:abstractNum>
  <w:abstractNum w:abstractNumId="22">
    <w:nsid w:val="75E0858A"/>
    <w:multiLevelType w:val="hybridMultilevel"/>
    <w:lvl w:ilvl="0">
      <w:lvlJc w:val="left"/>
      <w:lvlText w:val="(%1)"/>
      <w:numFmt w:val="decimal"/>
      <w:start w:val="1"/>
    </w:lvl>
  </w:abstractNum>
  <w:abstractNum w:abstractNumId="23">
    <w:nsid w:val="57A61A29"/>
    <w:multiLevelType w:val="hybridMultilevel"/>
    <w:lvl w:ilvl="0">
      <w:lvlJc w:val="left"/>
      <w:lvlText w:val="•"/>
      <w:numFmt w:val="bullet"/>
      <w:start w:val="1"/>
    </w:lvl>
  </w:abstractNum>
  <w:abstractNum w:abstractNumId="24">
    <w:nsid w:val="5399C654"/>
    <w:multiLevelType w:val="hybridMultilevel"/>
    <w:lvl w:ilvl="0">
      <w:lvlJc w:val="left"/>
      <w:lvlText w:val="•"/>
      <w:numFmt w:val="bullet"/>
      <w:start w:val="1"/>
    </w:lvl>
  </w:abstractNum>
  <w:abstractNum w:abstractNumId="25">
    <w:nsid w:val="20EE1348"/>
    <w:multiLevelType w:val="hybridMultilevel"/>
    <w:lvl w:ilvl="0">
      <w:lvlJc w:val="left"/>
      <w:lvlText w:val="•"/>
      <w:numFmt w:val="bullet"/>
      <w:start w:val="1"/>
    </w:lvl>
  </w:abstractNum>
  <w:abstractNum w:abstractNumId="26">
    <w:nsid w:val="4427069A"/>
    <w:multiLevelType w:val="hybridMultilevel"/>
    <w:lvl w:ilvl="0">
      <w:lvlJc w:val="left"/>
      <w:lvlText w:val="•"/>
      <w:numFmt w:val="bullet"/>
      <w:start w:val="1"/>
    </w:lvl>
  </w:abstractNum>
  <w:abstractNum w:abstractNumId="27">
    <w:nsid w:val="B37E80A"/>
    <w:multiLevelType w:val="hybridMultilevel"/>
    <w:lvl w:ilvl="0">
      <w:lvlJc w:val="left"/>
      <w:lvlText w:val="•"/>
      <w:numFmt w:val="bullet"/>
      <w:start w:val="1"/>
    </w:lvl>
  </w:abstractNum>
  <w:abstractNum w:abstractNumId="28">
    <w:nsid w:val="2157F6BC"/>
    <w:multiLevelType w:val="hybridMultilevel"/>
    <w:lvl w:ilvl="0">
      <w:lvlJc w:val="left"/>
      <w:lvlText w:val="•"/>
      <w:numFmt w:val="bullet"/>
      <w:start w:val="1"/>
    </w:lvl>
  </w:abstractNum>
  <w:abstractNum w:abstractNumId="29">
    <w:nsid w:val="704E1DD5"/>
    <w:multiLevelType w:val="hybridMultilevel"/>
    <w:lvl w:ilvl="0">
      <w:lvlJc w:val="left"/>
      <w:lvlText w:val="•"/>
      <w:numFmt w:val="bullet"/>
      <w:start w:val="1"/>
    </w:lvl>
  </w:abstractNum>
  <w:abstractNum w:abstractNumId="30">
    <w:nsid w:val="57D2F10E"/>
    <w:multiLevelType w:val="hybridMultilevel"/>
    <w:lvl w:ilvl="0">
      <w:lvlJc w:val="left"/>
      <w:lvlText w:val="•"/>
      <w:numFmt w:val="bullet"/>
      <w:start w:val="1"/>
    </w:lvl>
  </w:abstractNum>
  <w:abstractNum w:abstractNumId="31">
    <w:nsid w:val="BFFAE18"/>
    <w:multiLevelType w:val="hybridMultilevel"/>
    <w:lvl w:ilvl="0">
      <w:lvlJc w:val="left"/>
      <w:lvlText w:val="•"/>
      <w:numFmt w:val="bullet"/>
      <w:start w:val="1"/>
    </w:lvl>
  </w:abstractNum>
  <w:abstractNum w:abstractNumId="32">
    <w:nsid w:val="E3E47A8"/>
    <w:multiLevelType w:val="hybridMultilevel"/>
    <w:lvl w:ilvl="0">
      <w:lvlJc w:val="left"/>
      <w:lvlText w:val="•"/>
      <w:numFmt w:val="bullet"/>
      <w:start w:val="1"/>
    </w:lvl>
  </w:abstractNum>
  <w:abstractNum w:abstractNumId="33">
    <w:nsid w:val="2E48F044"/>
    <w:multiLevelType w:val="hybridMultilevel"/>
    <w:lvl w:ilvl="0">
      <w:lvlJc w:val="left"/>
      <w:lvlText w:val="•"/>
      <w:numFmt w:val="bullet"/>
      <w:start w:val="1"/>
    </w:lvl>
  </w:abstractNum>
  <w:abstractNum w:abstractNumId="34">
    <w:nsid w:val="49D0FEAC"/>
    <w:multiLevelType w:val="hybridMultilevel"/>
    <w:lvl w:ilvl="0">
      <w:lvlJc w:val="left"/>
      <w:lvlText w:val="•"/>
      <w:numFmt w:val="bullet"/>
      <w:start w:val="1"/>
    </w:lvl>
  </w:abstractNum>
  <w:abstractNum w:abstractNumId="35">
    <w:nsid w:val="4BEE5A5B"/>
    <w:multiLevelType w:val="hybridMultilevel"/>
    <w:lvl w:ilvl="0">
      <w:lvlJc w:val="left"/>
      <w:lvlText w:val="(%1)"/>
      <w:numFmt w:val="lowerLetter"/>
      <w:start w:val="1"/>
    </w:lvl>
  </w:abstractNum>
  <w:abstractNum w:abstractNumId="36">
    <w:nsid w:val="5551B9F3"/>
    <w:multiLevelType w:val="hybridMultilevel"/>
    <w:lvl w:ilvl="0">
      <w:lvlJc w:val="left"/>
      <w:lvlText w:val="•"/>
      <w:numFmt w:val="bullet"/>
      <w:start w:val="1"/>
    </w:lvl>
  </w:abstractNum>
  <w:abstractNum w:abstractNumId="37">
    <w:nsid w:val="24F6AB8E"/>
    <w:multiLevelType w:val="hybridMultilevel"/>
    <w:lvl w:ilvl="0">
      <w:lvlJc w:val="left"/>
      <w:lvlText w:val="(%1)"/>
      <w:numFmt w:val="lowerLetter"/>
      <w:start w:val="2"/>
    </w:lvl>
  </w:abstractNum>
  <w:abstractNum w:abstractNumId="38">
    <w:nsid w:val="634C574C"/>
    <w:multiLevelType w:val="hybridMultilevel"/>
    <w:lvl w:ilvl="0">
      <w:lvlJc w:val="left"/>
      <w:lvlText w:val="(%1)"/>
      <w:numFmt w:val="decimal"/>
      <w:start w:val="1"/>
    </w:lvl>
  </w:abstractNum>
  <w:abstractNum w:abstractNumId="39">
    <w:nsid w:val="24E99DD7"/>
    <w:multiLevelType w:val="hybridMultilevel"/>
    <w:lvl w:ilvl="0">
      <w:lvlJc w:val="left"/>
      <w:lvlText w:val="(%1)"/>
      <w:numFmt w:val="decimal"/>
      <w:start w:val="1"/>
    </w:lvl>
  </w:abstractNum>
  <w:abstractNum w:abstractNumId="40">
    <w:nsid w:val="2A31B62D"/>
    <w:multiLevelType w:val="hybridMultilevel"/>
    <w:lvl w:ilvl="0">
      <w:lvlJc w:val="left"/>
      <w:lvlText w:val="%1."/>
      <w:numFmt w:val="lowerLetter"/>
      <w:start w:val="1"/>
    </w:lvl>
  </w:abstractNum>
  <w:abstractNum w:abstractNumId="41">
    <w:nsid w:val="1849C29B"/>
    <w:multiLevelType w:val="hybridMultilevel"/>
    <w:lvl w:ilvl="0">
      <w:lvlJc w:val="left"/>
      <w:lvlText w:val="(%1)"/>
      <w:numFmt w:val="lowerRoman"/>
      <w:start w:val="2"/>
    </w:lvl>
  </w:abstractNum>
  <w:abstractNum w:abstractNumId="42">
    <w:nsid w:val="7DFF9D09"/>
    <w:multiLevelType w:val="hybridMultilevel"/>
    <w:lvl w:ilvl="0">
      <w:lvlJc w:val="left"/>
      <w:lvlText w:val="%1."/>
      <w:numFmt w:val="lowerLetter"/>
      <w:start w:val="8"/>
    </w:lvl>
  </w:abstractNum>
  <w:abstractNum w:abstractNumId="43">
    <w:nsid w:val="754342"/>
    <w:multiLevelType w:val="hybridMultilevel"/>
    <w:lvl w:ilvl="0">
      <w:lvlJc w:val="left"/>
      <w:lvlText w:val="(%1)"/>
      <w:numFmt w:val="decimal"/>
      <w:start w:val="1"/>
    </w:lvl>
  </w:abstractNum>
  <w:abstractNum w:abstractNumId="44">
    <w:nsid w:val="69E7F3E5"/>
    <w:multiLevelType w:val="hybridMultilevel"/>
    <w:lvl w:ilvl="0">
      <w:lvlJc w:val="left"/>
      <w:lvlText w:val="(%1)"/>
      <w:numFmt w:val="lowerLetter"/>
      <w:start w:val="1"/>
    </w:lvl>
  </w:abstractNum>
  <w:abstractNum w:abstractNumId="45">
    <w:nsid w:val="2A6DE806"/>
    <w:multiLevelType w:val="hybridMultilevel"/>
    <w:lvl w:ilvl="0">
      <w:lvlJc w:val="left"/>
      <w:lvlText w:val="•"/>
      <w:numFmt w:val="bullet"/>
      <w:start w:val="1"/>
    </w:lvl>
  </w:abstractNum>
  <w:abstractNum w:abstractNumId="46">
    <w:nsid w:val="1816F8C4"/>
    <w:multiLevelType w:val="hybridMultilevel"/>
    <w:lvl w:ilvl="0">
      <w:lvlJc w:val="left"/>
      <w:lvlText w:val="•"/>
      <w:numFmt w:val="bullet"/>
      <w:start w:val="1"/>
    </w:lvl>
  </w:abstractNum>
  <w:abstractNum w:abstractNumId="47">
    <w:nsid w:val="37DF2233"/>
    <w:multiLevelType w:val="hybridMultilevel"/>
    <w:lvl w:ilvl="0">
      <w:lvlJc w:val="left"/>
      <w:lvlText w:val="•"/>
      <w:numFmt w:val="bullet"/>
      <w:start w:val="1"/>
    </w:lvl>
    <w:lvl w:ilvl="1">
      <w:lvlJc w:val="left"/>
      <w:lvlText w:val="(%2)"/>
      <w:numFmt w:val="lowerLetter"/>
      <w:start w:val="2"/>
    </w:lvl>
  </w:abstractNum>
  <w:abstractNum w:abstractNumId="48">
    <w:nsid w:val="7AB49DAF"/>
    <w:multiLevelType w:val="hybridMultilevel"/>
    <w:lvl w:ilvl="0">
      <w:lvlJc w:val="left"/>
      <w:lvlText w:val="•"/>
      <w:numFmt w:val="bullet"/>
      <w:start w:val="1"/>
    </w:lvl>
  </w:abstractNum>
  <w:abstractNum w:abstractNumId="49">
    <w:nsid w:val="759F82CD"/>
    <w:multiLevelType w:val="hybridMultilevel"/>
    <w:lvl w:ilvl="0">
      <w:lvlJc w:val="left"/>
      <w:lvlText w:val="•"/>
      <w:numFmt w:val="bullet"/>
      <w:start w:val="1"/>
    </w:lvl>
  </w:abstractNum>
  <w:abstractNum w:abstractNumId="50">
    <w:nsid w:val="61E74EA3"/>
    <w:multiLevelType w:val="hybridMultilevel"/>
    <w:lvl w:ilvl="0">
      <w:lvlJc w:val="left"/>
      <w:lvlText w:val="•"/>
      <w:numFmt w:val="bullet"/>
      <w:start w:val="1"/>
    </w:lvl>
  </w:abstractNum>
  <w:abstractNum w:abstractNumId="51">
    <w:nsid w:val="597B4D84"/>
    <w:multiLevelType w:val="hybridMultilevel"/>
    <w:lvl w:ilvl="0">
      <w:lvlJc w:val="left"/>
      <w:lvlText w:val="•"/>
      <w:numFmt w:val="bullet"/>
      <w:start w:val="1"/>
    </w:lvl>
  </w:abstractNum>
  <w:abstractNum w:abstractNumId="52">
    <w:nsid w:val="F819E7F"/>
    <w:multiLevelType w:val="hybridMultilevel"/>
    <w:lvl w:ilvl="0">
      <w:lvlJc w:val="left"/>
      <w:lvlText w:val="•"/>
      <w:numFmt w:val="bullet"/>
      <w:start w:val="1"/>
    </w:lvl>
  </w:abstractNum>
  <w:abstractNum w:abstractNumId="53">
    <w:nsid w:val="57C7D42D"/>
    <w:multiLevelType w:val="hybridMultilevel"/>
    <w:lvl w:ilvl="0">
      <w:lvlJc w:val="left"/>
      <w:lvlText w:val="•"/>
      <w:numFmt w:val="bullet"/>
      <w:start w:val="1"/>
    </w:lvl>
  </w:abstractNum>
  <w:abstractNum w:abstractNumId="54">
    <w:nsid w:val="312167AD"/>
    <w:multiLevelType w:val="hybridMultilevel"/>
    <w:lvl w:ilvl="0">
      <w:lvlJc w:val="left"/>
      <w:lvlText w:val="•"/>
      <w:numFmt w:val="bullet"/>
      <w:start w:val="1"/>
    </w:lvl>
  </w:abstractNum>
  <w:abstractNum w:abstractNumId="55">
    <w:nsid w:val="631B64D4"/>
    <w:multiLevelType w:val="hybridMultilevel"/>
    <w:lvl w:ilvl="0">
      <w:lvlJc w:val="left"/>
      <w:lvlText w:val="•"/>
      <w:numFmt w:val="bullet"/>
      <w:start w:val="1"/>
    </w:lvl>
  </w:abstractNum>
  <w:abstractNum w:abstractNumId="56">
    <w:nsid w:val="78B5E776"/>
    <w:multiLevelType w:val="hybridMultilevel"/>
    <w:lvl w:ilvl="0">
      <w:lvlJc w:val="left"/>
      <w:lvlText w:val="(%1)"/>
      <w:numFmt w:val="lowerLetter"/>
      <w:start w:val="1"/>
    </w:lvl>
  </w:abstractNum>
  <w:abstractNum w:abstractNumId="57">
    <w:nsid w:val="75486E47"/>
    <w:multiLevelType w:val="hybridMultilevel"/>
    <w:lvl w:ilvl="0">
      <w:lvlJc w:val="left"/>
      <w:lvlText w:val="(%1)"/>
      <w:numFmt w:val="lowerLetter"/>
      <w:start w:val="1"/>
    </w:lvl>
  </w:abstractNum>
  <w:abstractNum w:abstractNumId="58">
    <w:nsid w:val="6E534CDE"/>
    <w:multiLevelType w:val="hybridMultilevel"/>
    <w:lvl w:ilvl="0">
      <w:lvlJc w:val="left"/>
      <w:lvlText w:val="•"/>
      <w:numFmt w:val="bullet"/>
      <w:start w:val="1"/>
    </w:lvl>
  </w:abstractNum>
  <w:abstractNum w:abstractNumId="59">
    <w:nsid w:val="1A0DDE32"/>
    <w:multiLevelType w:val="hybridMultilevel"/>
    <w:lvl w:ilvl="0">
      <w:lvlJc w:val="left"/>
      <w:lvlText w:val="•"/>
      <w:numFmt w:val="bullet"/>
      <w:start w:val="1"/>
    </w:lvl>
  </w:abstractNum>
  <w:abstractNum w:abstractNumId="60">
    <w:nsid w:val="65968C1C"/>
    <w:multiLevelType w:val="hybridMultilevel"/>
    <w:lvl w:ilvl="0">
      <w:lvlJc w:val="left"/>
      <w:lvlText w:val="•"/>
      <w:numFmt w:val="bullet"/>
      <w:start w:val="1"/>
    </w:lvl>
  </w:abstractNum>
  <w:abstractNum w:abstractNumId="61">
    <w:nsid w:val="46263DEC"/>
    <w:multiLevelType w:val="hybridMultilevel"/>
    <w:lvl w:ilvl="0">
      <w:lvlJc w:val="left"/>
      <w:lvlText w:val="•"/>
      <w:numFmt w:val="bullet"/>
      <w:start w:val="1"/>
    </w:lvl>
  </w:abstractNum>
  <w:abstractNum w:abstractNumId="62">
    <w:nsid w:val="260D8C4A"/>
    <w:multiLevelType w:val="hybridMultilevel"/>
    <w:lvl w:ilvl="0">
      <w:lvlJc w:val="left"/>
      <w:lvlText w:val="•"/>
      <w:numFmt w:val="bullet"/>
      <w:start w:val="1"/>
    </w:lvl>
  </w:abstractNum>
  <w:abstractNum w:abstractNumId="63">
    <w:nsid w:val="73D4D3C4"/>
    <w:multiLevelType w:val="hybridMultilevel"/>
    <w:lvl w:ilvl="0">
      <w:lvlJc w:val="left"/>
      <w:lvlText w:val="•"/>
      <w:numFmt w:val="bullet"/>
      <w:start w:val="1"/>
    </w:lvl>
  </w:abstractNum>
  <w:abstractNum w:abstractNumId="64">
    <w:nsid w:val="746F2E30"/>
    <w:multiLevelType w:val="hybridMultilevel"/>
    <w:lvl w:ilvl="0">
      <w:lvlJc w:val="left"/>
      <w:lvlText w:val="•"/>
      <w:numFmt w:val="bullet"/>
      <w:start w:val="1"/>
    </w:lvl>
  </w:abstractNum>
  <w:abstractNum w:abstractNumId="65">
    <w:nsid w:val="6FDE8AF6"/>
    <w:multiLevelType w:val="hybridMultilevel"/>
    <w:lvl w:ilvl="0">
      <w:lvlJc w:val="left"/>
      <w:lvlText w:val="•"/>
      <w:numFmt w:val="bullet"/>
      <w:start w:val="1"/>
    </w:lvl>
  </w:abstractNum>
  <w:abstractNum w:abstractNumId="66">
    <w:nsid w:val="3FC32E20"/>
    <w:multiLevelType w:val="hybridMultilevel"/>
    <w:lvl w:ilvl="0">
      <w:lvlJc w:val="left"/>
      <w:lvlText w:val="•"/>
      <w:numFmt w:val="bullet"/>
      <w:start w:val="1"/>
    </w:lvl>
  </w:abstractNum>
  <w:abstractNum w:abstractNumId="67">
    <w:nsid w:val="49C0E823"/>
    <w:multiLevelType w:val="hybridMultilevel"/>
    <w:lvl w:ilvl="0">
      <w:lvlJc w:val="left"/>
      <w:lvlText w:val="•"/>
      <w:numFmt w:val="bullet"/>
      <w:start w:val="1"/>
    </w:lvl>
  </w:abstractNum>
  <w:abstractNum w:abstractNumId="68">
    <w:nsid w:val="14D53685"/>
    <w:multiLevelType w:val="hybridMultilevel"/>
    <w:lvl w:ilvl="0">
      <w:lvlJc w:val="left"/>
      <w:lvlText w:val="(%1)"/>
      <w:numFmt w:val="decimal"/>
      <w:start w:val="1"/>
    </w:lvl>
  </w:abstractNum>
  <w:abstractNum w:abstractNumId="69">
    <w:nsid w:val="230F856C"/>
    <w:multiLevelType w:val="hybridMultilevel"/>
    <w:lvl w:ilvl="0">
      <w:lvlJc w:val="left"/>
      <w:lvlText w:val="(%1)"/>
      <w:numFmt w:val="decimal"/>
      <w:start w:val="1"/>
    </w:lvl>
  </w:abstractNum>
  <w:abstractNum w:abstractNumId="70">
    <w:nsid w:val="6EAA85FB"/>
    <w:multiLevelType w:val="hybridMultilevel"/>
    <w:lvl w:ilvl="0">
      <w:lvlJc w:val="left"/>
      <w:lvlText w:val="•"/>
      <w:numFmt w:val="bullet"/>
      <w:start w:val="1"/>
    </w:lvl>
  </w:abstractNum>
  <w:abstractNum w:abstractNumId="71">
    <w:nsid w:val="3F06ECB2"/>
    <w:multiLevelType w:val="hybridMultilevel"/>
    <w:lvl w:ilvl="0">
      <w:lvlJc w:val="left"/>
      <w:lvlText w:val="(%1)"/>
      <w:numFmt w:val="lowerRoman"/>
      <w:start w:val="1"/>
    </w:lvl>
  </w:abstractNum>
  <w:abstractNum w:abstractNumId="72">
    <w:nsid w:val="3B594807"/>
    <w:multiLevelType w:val="hybridMultilevel"/>
    <w:lvl w:ilvl="0">
      <w:lvlJc w:val="left"/>
      <w:lvlText w:val="•"/>
      <w:numFmt w:val="bullet"/>
      <w:start w:val="1"/>
    </w:lvl>
  </w:abstractNum>
  <w:abstractNum w:abstractNumId="73">
    <w:nsid w:val="6CAA2304"/>
    <w:multiLevelType w:val="hybridMultilevel"/>
    <w:lvl w:ilvl="0">
      <w:lvlJc w:val="left"/>
      <w:lvlText w:val="•"/>
      <w:numFmt w:val="bullet"/>
      <w:start w:val="1"/>
    </w:lvl>
  </w:abstractNum>
  <w:abstractNum w:abstractNumId="74">
    <w:nsid w:val="3F7C2FF4"/>
    <w:multiLevelType w:val="hybridMultilevel"/>
    <w:lvl w:ilvl="0">
      <w:lvlJc w:val="left"/>
      <w:lvlText w:val="•"/>
      <w:numFmt w:val="bullet"/>
      <w:start w:val="1"/>
    </w:lvl>
  </w:abstractNum>
  <w:abstractNum w:abstractNumId="75">
    <w:nsid w:val="25413BEC"/>
    <w:multiLevelType w:val="hybridMultilevel"/>
    <w:lvl w:ilvl="0">
      <w:lvlJc w:val="left"/>
      <w:lvlText w:val="*"/>
      <w:numFmt w:val="bullet"/>
      <w:start w:val="1"/>
    </w:lvl>
  </w:abstractNum>
  <w:abstractNum w:abstractNumId="76">
    <w:nsid w:val="17180B0B"/>
    <w:multiLevelType w:val="hybridMultilevel"/>
    <w:lvl w:ilvl="0">
      <w:lvlJc w:val="left"/>
      <w:lvlText w:val="(%1)"/>
      <w:numFmt w:val="decimal"/>
      <w:start w:val="1"/>
    </w:lvl>
  </w:abstractNum>
  <w:abstractNum w:abstractNumId="77">
    <w:nsid w:val="579328B9"/>
    <w:multiLevelType w:val="hybridMultilevel"/>
    <w:lvl w:ilvl="0">
      <w:lvlJc w:val="left"/>
      <w:lvlText w:val="(%1)"/>
      <w:numFmt w:val="lowerRoman"/>
      <w:start w:val="3"/>
    </w:lvl>
  </w:abstractNum>
  <w:abstractNum w:abstractNumId="78">
    <w:nsid w:val="5D205E20"/>
    <w:multiLevelType w:val="hybridMultilevel"/>
    <w:lvl w:ilvl="0">
      <w:lvlJc w:val="left"/>
      <w:lvlText w:val="•"/>
      <w:numFmt w:val="bullet"/>
      <w:start w:val="1"/>
    </w:lvl>
  </w:abstractNum>
  <w:abstractNum w:abstractNumId="79">
    <w:nsid w:val="11CCA8BA"/>
    <w:multiLevelType w:val="hybridMultilevel"/>
    <w:lvl w:ilvl="0">
      <w:lvlJc w:val="left"/>
      <w:lvlText w:val="•"/>
      <w:numFmt w:val="bullet"/>
      <w:start w:val="1"/>
    </w:lvl>
  </w:abstractNum>
  <w:abstractNum w:abstractNumId="80">
    <w:nsid w:val="4D32AB86"/>
    <w:multiLevelType w:val="hybridMultilevel"/>
    <w:lvl w:ilvl="0">
      <w:lvlJc w:val="left"/>
      <w:lvlText w:val="•"/>
      <w:numFmt w:val="bullet"/>
      <w:start w:val="1"/>
    </w:lvl>
  </w:abstractNum>
  <w:abstractNum w:abstractNumId="81">
    <w:nsid w:val="3F07ACC3"/>
    <w:multiLevelType w:val="hybridMultilevel"/>
    <w:lvl w:ilvl="0">
      <w:lvlJc w:val="left"/>
      <w:lvlText w:val="•"/>
      <w:numFmt w:val="bullet"/>
      <w:start w:val="1"/>
    </w:lvl>
  </w:abstractNum>
  <w:abstractNum w:abstractNumId="82">
    <w:nsid w:val="6B47F63E"/>
    <w:multiLevelType w:val="hybridMultilevel"/>
    <w:lvl w:ilvl="0">
      <w:lvlJc w:val="left"/>
      <w:lvlText w:val="•"/>
      <w:numFmt w:val="bullet"/>
      <w:start w:val="1"/>
    </w:lvl>
  </w:abstractNum>
  <w:abstractNum w:abstractNumId="83">
    <w:nsid w:val="5CB44A05"/>
    <w:multiLevelType w:val="hybridMultilevel"/>
    <w:lvl w:ilvl="0">
      <w:lvlJc w:val="left"/>
      <w:lvlText w:val="•"/>
      <w:numFmt w:val="bullet"/>
      <w:start w:val="1"/>
    </w:lvl>
  </w:abstractNum>
  <w:abstractNum w:abstractNumId="84">
    <w:nsid w:val="16CF80F1"/>
    <w:multiLevelType w:val="hybridMultilevel"/>
    <w:lvl w:ilvl="0">
      <w:lvlJc w:val="left"/>
      <w:lvlText w:val="•"/>
      <w:numFmt w:val="bullet"/>
      <w:start w:val="1"/>
    </w:lvl>
  </w:abstractNum>
  <w:abstractNum w:abstractNumId="85">
    <w:nsid w:val="1C695DEC"/>
    <w:multiLevelType w:val="hybridMultilevel"/>
    <w:lvl w:ilvl="0">
      <w:lvlJc w:val="left"/>
      <w:lvlText w:val="•"/>
      <w:numFmt w:val="bullet"/>
      <w:start w:val="1"/>
    </w:lvl>
  </w:abstractNum>
  <w:abstractNum w:abstractNumId="86">
    <w:nsid w:val="3FCFAED9"/>
    <w:multiLevelType w:val="hybridMultilevel"/>
    <w:lvl w:ilvl="0">
      <w:lvlJc w:val="left"/>
      <w:lvlText w:val="•"/>
      <w:numFmt w:val="bullet"/>
      <w:start w:val="1"/>
    </w:lvl>
  </w:abstractNum>
  <w:abstractNum w:abstractNumId="87">
    <w:nsid w:val="F856867"/>
    <w:multiLevelType w:val="hybridMultilevel"/>
    <w:lvl w:ilvl="0">
      <w:lvlJc w:val="left"/>
      <w:lvlText w:val="(%1)"/>
      <w:numFmt w:val="decimal"/>
      <w:start w:val="1"/>
    </w:lvl>
  </w:abstractNum>
  <w:abstractNum w:abstractNumId="88">
    <w:nsid w:val="11B1CC33"/>
    <w:multiLevelType w:val="hybridMultilevel"/>
    <w:lvl w:ilvl="0">
      <w:lvlJc w:val="left"/>
      <w:lvlText w:val="(%1)"/>
      <w:numFmt w:val="lowerLetter"/>
      <w:start w:val="25"/>
    </w:lvl>
  </w:abstractNum>
  <w:abstractNum w:abstractNumId="89">
    <w:nsid w:val="2E22FBB7"/>
    <w:multiLevelType w:val="hybridMultilevel"/>
    <w:lvl w:ilvl="0">
      <w:lvlJc w:val="left"/>
      <w:lvlText w:val="•"/>
      <w:numFmt w:val="bullet"/>
      <w:start w:val="1"/>
    </w:lvl>
  </w:abstractNum>
  <w:abstractNum w:abstractNumId="90">
    <w:nsid w:val="29934699"/>
    <w:multiLevelType w:val="hybridMultilevel"/>
    <w:lvl w:ilvl="0">
      <w:lvlJc w:val="left"/>
      <w:lvlText w:val="•"/>
      <w:numFmt w:val="bullet"/>
      <w:start w:val="1"/>
    </w:lvl>
  </w:abstractNum>
  <w:abstractNum w:abstractNumId="91">
    <w:nsid w:val="77485850"/>
    <w:multiLevelType w:val="hybridMultilevel"/>
    <w:lvl w:ilvl="0">
      <w:lvlJc w:val="left"/>
      <w:lvlText w:val="•"/>
      <w:numFmt w:val="bullet"/>
      <w:start w:val="1"/>
    </w:lvl>
  </w:abstractNum>
  <w:abstractNum w:abstractNumId="92">
    <w:nsid w:val="744939A3"/>
    <w:multiLevelType w:val="hybridMultilevel"/>
    <w:lvl w:ilvl="0">
      <w:lvlJc w:val="left"/>
      <w:lvlText w:val="•"/>
      <w:numFmt w:val="bullet"/>
      <w:start w:val="1"/>
    </w:lvl>
  </w:abstractNum>
  <w:abstractNum w:abstractNumId="93">
    <w:nsid w:val="4FA0D2E3"/>
    <w:multiLevelType w:val="hybridMultilevel"/>
    <w:lvl w:ilvl="0">
      <w:lvlJc w:val="left"/>
      <w:lvlText w:val="(%1)"/>
      <w:numFmt w:val="lowerRoman"/>
      <w:start w:val="1"/>
    </w:lvl>
  </w:abstractNum>
  <w:abstractNum w:abstractNumId="94">
    <w:nsid w:val="6B1D2C14"/>
    <w:multiLevelType w:val="hybridMultilevel"/>
    <w:lvl w:ilvl="0">
      <w:lvlJc w:val="left"/>
      <w:lvlText w:val="•"/>
      <w:numFmt w:val="bullet"/>
      <w:start w:val="1"/>
    </w:lvl>
  </w:abstractNum>
  <w:abstractNum w:abstractNumId="95">
    <w:nsid w:val="68B867D3"/>
    <w:multiLevelType w:val="hybridMultilevel"/>
    <w:lvl w:ilvl="0">
      <w:lvlJc w:val="left"/>
      <w:lvlText w:val="•"/>
      <w:numFmt w:val="bullet"/>
      <w:start w:val="1"/>
    </w:lvl>
  </w:abstractNum>
  <w:abstractNum w:abstractNumId="96">
    <w:nsid w:val="3F7F5DD9"/>
    <w:multiLevelType w:val="hybridMultilevel"/>
    <w:lvl w:ilvl="0">
      <w:lvlJc w:val="left"/>
      <w:lvlText w:val="•"/>
      <w:numFmt w:val="bullet"/>
      <w:start w:val="1"/>
    </w:lvl>
  </w:abstractNum>
  <w:abstractNum w:abstractNumId="97">
    <w:nsid w:val="2AE05A34"/>
    <w:multiLevelType w:val="hybridMultilevel"/>
    <w:lvl w:ilvl="0">
      <w:lvlJc w:val="left"/>
      <w:lvlText w:val="•"/>
      <w:numFmt w:val="bullet"/>
      <w:start w:val="1"/>
    </w:lvl>
  </w:abstractNum>
  <w:abstractNum w:abstractNumId="98">
    <w:nsid w:val="32794FF7"/>
    <w:multiLevelType w:val="hybridMultilevel"/>
    <w:lvl w:ilvl="0">
      <w:lvlJc w:val="left"/>
      <w:lvlText w:val="•"/>
      <w:numFmt w:val="bullet"/>
      <w:start w:val="1"/>
    </w:lvl>
  </w:abstractNum>
  <w:abstractNum w:abstractNumId="99">
    <w:nsid w:val="5454945E"/>
    <w:multiLevelType w:val="hybridMultilevel"/>
    <w:lvl w:ilvl="0">
      <w:lvlJc w:val="left"/>
      <w:lvlText w:val="•"/>
      <w:numFmt w:val="bullet"/>
      <w:start w:val="1"/>
    </w:lvl>
  </w:abstractNum>
  <w:abstractNum w:abstractNumId="100">
    <w:nsid w:val="4DEFDFA0"/>
    <w:multiLevelType w:val="hybridMultilevel"/>
    <w:lvl w:ilvl="0">
      <w:lvlJc w:val="left"/>
      <w:lvlText w:val="•"/>
      <w:numFmt w:val="bullet"/>
      <w:start w:val="1"/>
    </w:lvl>
    <w:lvl w:ilvl="1">
      <w:lvlJc w:val="left"/>
      <w:lvlText w:val="(%2)"/>
      <w:numFmt w:val="decimal"/>
      <w:start w:val="2"/>
    </w:lvl>
  </w:abstractNum>
  <w:abstractNum w:abstractNumId="101">
    <w:nsid w:val="2123D5F2"/>
    <w:multiLevelType w:val="hybridMultilevel"/>
    <w:lvl w:ilvl="0">
      <w:lvlJc w:val="left"/>
      <w:lvlText w:val="(%1)"/>
      <w:numFmt w:val="lowerLetter"/>
      <w:start w:val="2"/>
    </w:lvl>
  </w:abstractNum>
  <w:abstractNum w:abstractNumId="102">
    <w:nsid w:val="135B8110"/>
    <w:multiLevelType w:val="hybridMultilevel"/>
    <w:lvl w:ilvl="0">
      <w:lvlJc w:val="left"/>
      <w:lvlText w:val="•"/>
      <w:numFmt w:val="bullet"/>
      <w:start w:val="1"/>
    </w:lvl>
  </w:abstractNum>
  <w:abstractNum w:abstractNumId="103">
    <w:nsid w:val="94927A8"/>
    <w:multiLevelType w:val="hybridMultilevel"/>
    <w:lvl w:ilvl="0">
      <w:lvlJc w:val="left"/>
      <w:lvlText w:val="•"/>
      <w:numFmt w:val="bullet"/>
      <w:start w:val="1"/>
    </w:lvl>
  </w:abstractNum>
  <w:abstractNum w:abstractNumId="104">
    <w:nsid w:val="DCDF8F6"/>
    <w:multiLevelType w:val="hybridMultilevel"/>
    <w:lvl w:ilvl="0">
      <w:lvlJc w:val="left"/>
      <w:lvlText w:val="$"/>
      <w:numFmt w:val="bullet"/>
      <w:start w:val="1"/>
    </w:lvl>
  </w:abstractNum>
  <w:abstractNum w:abstractNumId="105">
    <w:nsid w:val="52D7B105"/>
    <w:multiLevelType w:val="hybridMultilevel"/>
    <w:lvl w:ilvl="0">
      <w:lvlJc w:val="left"/>
      <w:lvlText w:val="(%1)"/>
      <w:numFmt w:val="upperLetter"/>
      <w:start w:val="1"/>
    </w:lvl>
    <w:lvl w:ilvl="1">
      <w:lvlJc w:val="left"/>
      <w:lvlText w:val="•"/>
      <w:numFmt w:val="bullet"/>
      <w:start w:val="1"/>
    </w:lvl>
  </w:abstractNum>
  <w:abstractNum w:abstractNumId="106">
    <w:nsid w:val="2E8A6394"/>
    <w:multiLevelType w:val="hybridMultilevel"/>
    <w:lvl w:ilvl="0">
      <w:lvlJc w:val="left"/>
      <w:lvlText w:val="•"/>
      <w:numFmt w:val="bullet"/>
      <w:start w:val="1"/>
    </w:lvl>
  </w:abstractNum>
  <w:abstractNum w:abstractNumId="107">
    <w:nsid w:val="24E60401"/>
    <w:multiLevelType w:val="hybridMultilevel"/>
    <w:lvl w:ilvl="0">
      <w:lvlJc w:val="left"/>
      <w:lvlText w:val="$"/>
      <w:numFmt w:val="bullet"/>
      <w:start w:val="1"/>
    </w:lvl>
  </w:abstractNum>
  <w:abstractNum w:abstractNumId="108">
    <w:nsid w:val="2A6AD9BE"/>
    <w:multiLevelType w:val="hybridMultilevel"/>
    <w:lvl w:ilvl="0">
      <w:lvlJc w:val="left"/>
      <w:lvlText w:val="$"/>
      <w:numFmt w:val="bullet"/>
      <w:start w:val="1"/>
    </w:lvl>
  </w:abstractNum>
  <w:abstractNum w:abstractNumId="109">
    <w:nsid w:val="BAAC1B4"/>
    <w:multiLevelType w:val="hybridMultilevel"/>
    <w:lvl w:ilvl="0">
      <w:lvlJc w:val="left"/>
      <w:lvlText w:val="(%1)"/>
      <w:numFmt w:val="lowerLetter"/>
      <w:start w:val="1"/>
    </w:lvl>
  </w:abstractNum>
  <w:abstractNum w:abstractNumId="110">
    <w:nsid w:val="36B2ACBC"/>
    <w:multiLevelType w:val="hybridMultilevel"/>
    <w:lvl w:ilvl="0">
      <w:lvlJc w:val="left"/>
      <w:lvlText w:val="(%1)"/>
      <w:numFmt w:val="lowerLetter"/>
      <w:start w:val="1"/>
    </w:lvl>
  </w:abstractNum>
  <w:abstractNum w:abstractNumId="111">
    <w:nsid w:val="779D8544"/>
    <w:multiLevelType w:val="hybridMultilevel"/>
    <w:lvl w:ilvl="0">
      <w:lvlJc w:val="left"/>
      <w:lvlText w:val="•"/>
      <w:numFmt w:val="bullet"/>
      <w:start w:val="1"/>
    </w:lvl>
  </w:abstractNum>
  <w:abstractNum w:abstractNumId="112">
    <w:nsid w:val="4AB26E78"/>
    <w:multiLevelType w:val="hybridMultilevel"/>
    <w:lvl w:ilvl="0">
      <w:lvlJc w:val="left"/>
      <w:lvlText w:val="(%1)"/>
      <w:numFmt w:val="lowerLetter"/>
      <w:start w:val="1"/>
    </w:lvl>
  </w:abstractNum>
  <w:abstractNum w:abstractNumId="113">
    <w:nsid w:val="21FAA2FA"/>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35"/>
    </w:lvl>
  </w:abstractNum>
  <w:abstractNum w:abstractNumId="114">
    <w:nsid w:val="5451CF49"/>
    <w:multiLevelType w:val="hybridMultilevel"/>
    <w:lvl w:ilvl="0">
      <w:lvlJc w:val="left"/>
      <w:lvlText w:val="†"/>
      <w:numFmt w:val="bullet"/>
      <w:start w:val="1"/>
    </w:lvl>
    <w:lvl w:ilvl="1">
      <w:lvlJc w:val="left"/>
      <w:lvlText w:val="%2"/>
      <w:numFmt w:val="upperLetter"/>
      <w:start w:val="1"/>
    </w:lvl>
  </w:abstractNum>
  <w:abstractNum w:abstractNumId="115">
    <w:nsid w:val="6181EF69"/>
    <w:multiLevelType w:val="hybridMultilevel"/>
    <w:lvl w:ilvl="0">
      <w:lvlJc w:val="left"/>
      <w:lvlText w:val="%1."/>
      <w:numFmt w:val="decimal"/>
      <w:start w:val="1"/>
    </w:lvl>
  </w:abstractNum>
  <w:abstractNum w:abstractNumId="116">
    <w:nsid w:val="3E6400E6"/>
    <w:multiLevelType w:val="hybridMultilevel"/>
    <w:lvl w:ilvl="0">
      <w:lvlJc w:val="left"/>
      <w:lvlText w:val="%1."/>
      <w:numFmt w:val="decimal"/>
      <w:start w:val="5"/>
    </w:lvl>
    <w:lvl w:ilvl="1">
      <w:lvlJc w:val="left"/>
      <w:lvlText w:val="(%2)"/>
      <w:numFmt w:val="lowerRoman"/>
      <w:start w:val="1"/>
    </w:lvl>
    <w:lvl w:ilvl="2">
      <w:lvlJc w:val="left"/>
      <w:lvlText w:val="(%3)"/>
      <w:numFmt w:val="decimal"/>
      <w:start w:val="1"/>
    </w:lvl>
  </w:abstractNum>
  <w:abstractNum w:abstractNumId="117">
    <w:nsid w:val="14217E23"/>
    <w:multiLevelType w:val="hybridMultilevel"/>
    <w:lvl w:ilvl="0">
      <w:lvlJc w:val="left"/>
      <w:lvlText w:val="%1"/>
      <w:numFmt w:val="lowerRoman"/>
      <w:start w:val="1"/>
    </w:lvl>
    <w:lvl w:ilvl="1">
      <w:lvlJc w:val="left"/>
      <w:lvlText w:val="(%2)"/>
      <w:numFmt w:val="decimal"/>
      <w:start w:val="3"/>
    </w:lvl>
  </w:abstractNum>
  <w:abstractNum w:abstractNumId="118">
    <w:nsid w:val="710757D0"/>
    <w:multiLevelType w:val="hybridMultilevel"/>
    <w:lvl w:ilvl="0">
      <w:lvlJc w:val="left"/>
      <w:lvlText w:val="(%1)"/>
      <w:numFmt w:val="lowerRoman"/>
      <w:start w:val="2"/>
    </w:lvl>
    <w:lvl w:ilvl="1">
      <w:lvlJc w:val="left"/>
      <w:lvlText w:val="(%2)"/>
      <w:numFmt w:val="decimal"/>
      <w:start w:val="1"/>
    </w:lvl>
  </w:abstractNum>
  <w:abstractNum w:abstractNumId="119">
    <w:nsid w:val="5015CD1A"/>
    <w:multiLevelType w:val="hybridMultilevel"/>
    <w:lvl w:ilvl="0">
      <w:lvlJc w:val="left"/>
      <w:lvlText w:val="(%1)"/>
      <w:numFmt w:val="lowerRoman"/>
      <w:start w:val="4"/>
    </w:lvl>
  </w:abstractNum>
  <w:abstractNum w:abstractNumId="120">
    <w:nsid w:val="424479DA"/>
    <w:multiLevelType w:val="hybridMultilevel"/>
    <w:lvl w:ilvl="0">
      <w:lvlJc w:val="left"/>
      <w:lvlText w:val="(%1)"/>
      <w:numFmt w:val="lowerRoman"/>
      <w:start w:val="6"/>
    </w:lvl>
  </w:abstractNum>
  <w:abstractNum w:abstractNumId="121">
    <w:nsid w:val="1A9A9E69"/>
    <w:multiLevelType w:val="hybridMultilevel"/>
    <w:lvl w:ilvl="0">
      <w:lvlJc w:val="left"/>
      <w:lvlText w:val="%1."/>
      <w:numFmt w:val="decimal"/>
      <w:start w:val="6"/>
    </w:lvl>
  </w:abstractNum>
  <w:abstractNum w:abstractNumId="122">
    <w:nsid w:val="475E256A"/>
    <w:multiLevelType w:val="hybridMultilevel"/>
    <w:lvl w:ilvl="0">
      <w:lvlJc w:val="left"/>
      <w:lvlText w:val="%1."/>
      <w:numFmt w:val="decimal"/>
      <w:start w:val="7"/>
    </w:lvl>
  </w:abstractNum>
  <w:abstractNum w:abstractNumId="123">
    <w:nsid w:val="368DB37E"/>
    <w:multiLevelType w:val="hybridMultilevel"/>
    <w:lvl w:ilvl="0">
      <w:lvlJc w:val="left"/>
      <w:lvlText w:val="%1."/>
      <w:numFmt w:val="decimal"/>
      <w:start w:val="8"/>
    </w:lvl>
  </w:abstractNum>
  <w:abstractNum w:abstractNumId="124">
    <w:nsid w:val="6A3B714C"/>
    <w:multiLevelType w:val="hybridMultilevel"/>
    <w:lvl w:ilvl="0">
      <w:lvlJc w:val="left"/>
      <w:lvlText w:val="(%1)"/>
      <w:numFmt w:val="lowerRoman"/>
      <w:start w:val="1"/>
    </w:lvl>
  </w:abstractNum>
  <w:abstractNum w:abstractNumId="125">
    <w:nsid w:val="327B517E"/>
    <w:multiLevelType w:val="hybridMultilevel"/>
    <w:lvl w:ilvl="0">
      <w:lvlJc w:val="left"/>
      <w:lvlText w:val="(%1)"/>
      <w:numFmt w:val="lowerRoman"/>
      <w:start w:val="1"/>
    </w:lvl>
  </w:abstractNum>
  <w:abstractNum w:abstractNumId="126">
    <w:nsid w:val="1F461B5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27">
    <w:nsid w:val="29BACF25"/>
    <w:multiLevelType w:val="hybridMultilevel"/>
    <w:lvl w:ilvl="0">
      <w:lvlJc w:val="left"/>
      <w:lvlText w:val="(%1)"/>
      <w:numFmt w:val="lowerLetter"/>
      <w:start w:val="1"/>
    </w:lvl>
    <w:lvl w:ilvl="1">
      <w:lvlJc w:val="left"/>
      <w:lvlText w:val="(%2)"/>
      <w:numFmt w:val="lowerLetter"/>
      <w:start w:val="60"/>
    </w:lvl>
    <w:lvl w:ilvl="2">
      <w:lvlJc w:val="left"/>
      <w:lvlText w:val="(%3)"/>
      <w:numFmt w:val="decimal"/>
      <w:start w:val="2"/>
    </w:lvl>
  </w:abstractNum>
  <w:abstractNum w:abstractNumId="128">
    <w:nsid w:val="5D5BABB3"/>
    <w:multiLevelType w:val="hybridMultilevel"/>
    <w:lvl w:ilvl="0">
      <w:lvlJc w:val="left"/>
      <w:lvlText w:val="(%1)"/>
      <w:numFmt w:val="lowerRoman"/>
      <w:start w:val="4"/>
    </w:lvl>
    <w:lvl w:ilvl="1">
      <w:lvlJc w:val="left"/>
      <w:lvlText w:val="(%2)"/>
      <w:numFmt w:val="decimal"/>
      <w:start w:val="1"/>
    </w:lvl>
  </w:abstractNum>
  <w:abstractNum w:abstractNumId="129">
    <w:nsid w:val="51BF6B48"/>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130">
    <w:nsid w:val="7E0F6384"/>
    <w:multiLevelType w:val="hybridMultilevel"/>
    <w:lvl w:ilvl="0">
      <w:lvlJc w:val="left"/>
      <w:lvlText w:val="%1"/>
      <w:numFmt w:val="decimal"/>
      <w:start w:val="1"/>
    </w:lvl>
    <w:lvl w:ilvl="1">
      <w:lvlJc w:val="left"/>
      <w:lvlText w:val="(%2)"/>
      <w:numFmt w:val="lowerRoman"/>
      <w:start w:val="6"/>
    </w:lvl>
    <w:lvl w:ilvl="2">
      <w:lvlJc w:val="left"/>
      <w:lvlText w:val="%3"/>
      <w:numFmt w:val="decimal"/>
      <w:start w:val="1"/>
    </w:lvl>
  </w:abstractNum>
  <w:abstractNum w:abstractNumId="131">
    <w:nsid w:val="2B4B8B53"/>
    <w:multiLevelType w:val="hybridMultilevel"/>
    <w:lvl w:ilvl="0">
      <w:lvlJc w:val="left"/>
      <w:lvlText w:val="%1."/>
      <w:numFmt w:val="decimal"/>
      <w:start w:val="9"/>
    </w:lvl>
    <w:lvl w:ilvl="1">
      <w:lvlJc w:val="left"/>
      <w:lvlText w:val="%2"/>
      <w:numFmt w:val="lowerRoman"/>
      <w:start w:val="1"/>
    </w:lvl>
    <w:lvl w:ilvl="2">
      <w:lvlJc w:val="left"/>
      <w:lvlText w:val="%3"/>
      <w:numFmt w:val="decimal"/>
      <w:start w:val="1"/>
    </w:lvl>
  </w:abstractNum>
  <w:abstractNum w:abstractNumId="132">
    <w:nsid w:val="72E3413A"/>
    <w:multiLevelType w:val="hybridMultilevel"/>
    <w:lvl w:ilvl="0">
      <w:lvlJc w:val="left"/>
      <w:lvlText w:val="(%1)"/>
      <w:numFmt w:val="lowerRoman"/>
      <w:start w:val="1"/>
    </w:lvl>
  </w:abstractNum>
  <w:abstractNum w:abstractNumId="133">
    <w:nsid w:val="116AE494"/>
    <w:multiLevelType w:val="hybridMultilevel"/>
    <w:lvl w:ilvl="0">
      <w:lvlJc w:val="left"/>
      <w:lvlText w:val="%1"/>
      <w:numFmt w:val="lowerLetter"/>
      <w:start w:val="1"/>
    </w:lvl>
    <w:lvl w:ilvl="1">
      <w:lvlJc w:val="left"/>
      <w:lvlText w:val="(%2)"/>
      <w:numFmt w:val="lowerLetter"/>
      <w:start w:val="61"/>
    </w:lvl>
  </w:abstractNum>
  <w:abstractNum w:abstractNumId="134">
    <w:nsid w:val="3494B2FB"/>
    <w:multiLevelType w:val="hybridMultilevel"/>
    <w:lvl w:ilvl="0">
      <w:lvlJc w:val="left"/>
      <w:lvlText w:val="(%1)"/>
      <w:numFmt w:val="lowerLetter"/>
      <w:start w:val="2"/>
    </w:lvl>
    <w:lvl w:ilvl="1">
      <w:lvlJc w:val="left"/>
      <w:lvlText w:val="%2"/>
      <w:numFmt w:val="lowerLetter"/>
      <w:start w:val="1"/>
    </w:lvl>
  </w:abstractNum>
  <w:abstractNum w:abstractNumId="135">
    <w:nsid w:val="B13A31"/>
    <w:multiLevelType w:val="hybridMultilevel"/>
    <w:lvl w:ilvl="0">
      <w:lvlJc w:val="left"/>
      <w:lvlText w:val="(%1)"/>
      <w:numFmt w:val="lowerRoman"/>
      <w:start w:val="4"/>
    </w:lvl>
  </w:abstractNum>
  <w:abstractNum w:abstractNumId="136">
    <w:nsid w:val="64429599"/>
    <w:multiLevelType w:val="hybridMultilevel"/>
    <w:lvl w:ilvl="0">
      <w:lvlJc w:val="left"/>
      <w:lvlText w:val="(%1)"/>
      <w:numFmt w:val="lowerRoman"/>
      <w:start w:val="1"/>
    </w:lvl>
  </w:abstractNum>
  <w:abstractNum w:abstractNumId="137">
    <w:nsid w:val="631F1690"/>
    <w:multiLevelType w:val="hybridMultilevel"/>
    <w:lvl w:ilvl="0">
      <w:lvlJc w:val="left"/>
      <w:lvlText w:val="%1"/>
      <w:numFmt w:val="decimal"/>
      <w:start w:val="1"/>
    </w:lvl>
    <w:lvl w:ilvl="1">
      <w:lvlJc w:val="left"/>
      <w:lvlText w:val="(%2)"/>
      <w:numFmt w:val="lowerRoman"/>
      <w:start w:val="2"/>
    </w:lvl>
  </w:abstractNum>
  <w:abstractNum w:abstractNumId="138">
    <w:nsid w:val="25973E32"/>
    <w:multiLevelType w:val="hybridMultilevel"/>
    <w:lvl w:ilvl="0">
      <w:lvlJc w:val="left"/>
      <w:lvlText w:val="%1."/>
      <w:numFmt w:val="decimal"/>
      <w:start w:val="10"/>
    </w:lvl>
    <w:lvl w:ilvl="1">
      <w:lvlJc w:val="left"/>
      <w:lvlText w:val="%2"/>
      <w:numFmt w:val="lowerRoman"/>
      <w:start w:val="1"/>
    </w:lvl>
  </w:abstractNum>
  <w:abstractNum w:abstractNumId="139">
    <w:nsid w:val="EAD6F57"/>
    <w:multiLevelType w:val="hybridMultilevel"/>
    <w:lvl w:ilvl="0">
      <w:lvlJc w:val="left"/>
      <w:lvlText w:val="(%1)"/>
      <w:numFmt w:val="lowerRoman"/>
      <w:start w:val="1"/>
    </w:lvl>
  </w:abstractNum>
  <w:abstractNum w:abstractNumId="140">
    <w:nsid w:val="6EC9D844"/>
    <w:multiLevelType w:val="hybridMultilevel"/>
    <w:lvl w:ilvl="0">
      <w:lvlJc w:val="left"/>
      <w:lvlText w:val="(%1)"/>
      <w:numFmt w:val="lowerRoman"/>
      <w:start w:val="1"/>
    </w:lvl>
  </w:abstractNum>
  <w:abstractNum w:abstractNumId="141">
    <w:nsid w:val="5C49EAEE"/>
    <w:multiLevelType w:val="hybridMultilevel"/>
    <w:lvl w:ilvl="0">
      <w:lvlJc w:val="left"/>
      <w:lvlText w:val="%1."/>
      <w:numFmt w:val="decimal"/>
      <w:start w:val="11"/>
    </w:lvl>
  </w:abstractNum>
  <w:abstractNum w:abstractNumId="142">
    <w:nsid w:val="64AF49B"/>
    <w:multiLevelType w:val="hybridMultilevel"/>
    <w:lvl w:ilvl="0">
      <w:lvlJc w:val="left"/>
      <w:lvlText w:val="%1."/>
      <w:numFmt w:val="decimal"/>
      <w:start w:val="13"/>
    </w:lvl>
  </w:abstractNum>
  <w:abstractNum w:abstractNumId="143">
    <w:nsid w:val="397C46BC"/>
    <w:multiLevelType w:val="hybridMultilevel"/>
    <w:lvl w:ilvl="0">
      <w:lvlJc w:val="left"/>
      <w:lvlText w:val="(%1)"/>
      <w:numFmt w:val="lowerLetter"/>
      <w:start w:val="2"/>
    </w:lvl>
  </w:abstractNum>
  <w:abstractNum w:abstractNumId="144">
    <w:nsid w:val="7E448DE9"/>
    <w:multiLevelType w:val="hybridMultilevel"/>
    <w:lvl w:ilvl="0">
      <w:lvlJc w:val="left"/>
      <w:lvlText w:val="(%1)"/>
      <w:numFmt w:val="lowerLetter"/>
      <w:start w:val="1"/>
    </w:lvl>
  </w:abstractNum>
  <w:abstractNum w:abstractNumId="145">
    <w:nsid w:val="5A9CC3E5"/>
    <w:multiLevelType w:val="hybridMultilevel"/>
    <w:lvl w:ilvl="0">
      <w:lvlJc w:val="left"/>
      <w:lvlText w:val="(%1)"/>
      <w:numFmt w:val="lowerLetter"/>
      <w:start w:val="2"/>
    </w:lvl>
  </w:abstractNum>
  <w:abstractNum w:abstractNumId="146">
    <w:nsid w:val="1AFE3625"/>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147">
    <w:nsid w:val="3CA88ECF"/>
    <w:multiLevelType w:val="hybridMultilevel"/>
    <w:lvl w:ilvl="0">
      <w:lvlJc w:val="left"/>
      <w:lvlText w:val="(%1)"/>
      <w:numFmt w:val="lowerLetter"/>
      <w:start w:val="2"/>
    </w:lvl>
  </w:abstractNum>
  <w:abstractNum w:abstractNumId="148">
    <w:nsid w:val="6EBE4208"/>
    <w:multiLevelType w:val="hybridMultilevel"/>
    <w:lvl w:ilvl="0">
      <w:lvlJc w:val="left"/>
      <w:lvlText w:val="(%1)"/>
      <w:numFmt w:val="lowerLetter"/>
      <w:start w:val="3"/>
    </w:lvl>
  </w:abstractNum>
  <w:abstractNum w:abstractNumId="149">
    <w:nsid w:val="C058DF5"/>
    <w:multiLevelType w:val="hybridMultilevel"/>
    <w:lvl w:ilvl="0">
      <w:lvlJc w:val="left"/>
      <w:lvlText w:val="(%1)"/>
      <w:numFmt w:val="lowerLetter"/>
      <w:start w:val="2"/>
    </w:lvl>
  </w:abstractNum>
  <w:abstractNum w:abstractNumId="150">
    <w:nsid w:val="CBE5BE9"/>
    <w:multiLevelType w:val="hybridMultilevel"/>
    <w:lvl w:ilvl="0">
      <w:lvlJc w:val="left"/>
      <w:lvlText w:val="%1"/>
      <w:numFmt w:val="lowerLetter"/>
      <w:start w:val="1"/>
    </w:lvl>
    <w:lvl w:ilvl="1">
      <w:lvlJc w:val="left"/>
      <w:lvlText w:val="(%2)"/>
      <w:numFmt w:val="lowerLetter"/>
      <w:start w:val="4"/>
    </w:lvl>
  </w:abstractNum>
  <w:abstractNum w:abstractNumId="151">
    <w:nsid w:val="3102BBE2"/>
    <w:multiLevelType w:val="hybridMultilevel"/>
    <w:lvl w:ilvl="0">
      <w:lvlJc w:val="left"/>
      <w:lvlText w:val="(%1)"/>
      <w:numFmt w:val="lowerLetter"/>
      <w:start w:val="9"/>
    </w:lvl>
    <w:lvl w:ilvl="1">
      <w:lvlJc w:val="left"/>
      <w:lvlText w:val="%2"/>
      <w:numFmt w:val="lowerLetter"/>
      <w:start w:val="1"/>
    </w:lvl>
  </w:abstractNum>
  <w:abstractNum w:abstractNumId="152">
    <w:nsid w:val="26A02C5E"/>
    <w:multiLevelType w:val="hybridMultilevel"/>
    <w:lvl w:ilvl="0">
      <w:lvlJc w:val="left"/>
      <w:lvlText w:val="(%1)"/>
      <w:numFmt w:val="lowerRoman"/>
      <w:start w:val="3"/>
    </w:lvl>
  </w:abstractNum>
  <w:abstractNum w:abstractNumId="153">
    <w:nsid w:val="541C8153"/>
    <w:multiLevelType w:val="hybridMultilevel"/>
    <w:lvl w:ilvl="0">
      <w:lvlJc w:val="left"/>
      <w:lvlText w:val="(%1)"/>
      <w:numFmt w:val="lowerLetter"/>
      <w:start w:val="5"/>
    </w:lvl>
    <w:lvl w:ilvl="1">
      <w:lvlJc w:val="left"/>
      <w:lvlText w:val="(%2)"/>
      <w:numFmt w:val="lowerRoman"/>
      <w:start w:val="1"/>
    </w:lvl>
  </w:abstractNum>
  <w:abstractNum w:abstractNumId="154">
    <w:nsid w:val="67906F60"/>
    <w:multiLevelType w:val="hybridMultilevel"/>
    <w:lvl w:ilvl="0">
      <w:lvlJc w:val="left"/>
      <w:lvlText w:val="%1"/>
      <w:numFmt w:val="lowerLetter"/>
      <w:start w:val="1"/>
    </w:lvl>
    <w:lvl w:ilvl="1">
      <w:lvlJc w:val="left"/>
      <w:lvlText w:val="(%2)"/>
      <w:numFmt w:val="lowerRoman"/>
      <w:start w:val="3"/>
    </w:lvl>
  </w:abstractNum>
  <w:abstractNum w:abstractNumId="155">
    <w:nsid w:val="10DB9DAA"/>
    <w:multiLevelType w:val="hybridMultilevel"/>
    <w:lvl w:ilvl="0">
      <w:lvlJc w:val="left"/>
      <w:lvlText w:val="(%1)"/>
      <w:numFmt w:val="lowerLetter"/>
      <w:start w:val="7"/>
    </w:lvl>
    <w:lvl w:ilvl="1">
      <w:lvlJc w:val="left"/>
      <w:lvlText w:val="%2"/>
      <w:numFmt w:val="lowerRoman"/>
      <w:start w:val="1"/>
    </w:lvl>
  </w:abstractNum>
  <w:abstractNum w:abstractNumId="156">
    <w:nsid w:val="697D2D2"/>
    <w:multiLevelType w:val="hybridMultilevel"/>
    <w:lvl w:ilvl="0">
      <w:lvlJc w:val="left"/>
      <w:lvlText w:val="(%1)"/>
      <w:numFmt w:val="lowerLetter"/>
      <w:start w:val="8"/>
    </w:lvl>
  </w:abstractNum>
  <w:abstractNum w:abstractNumId="157">
    <w:nsid w:val="6D68AB2"/>
    <w:multiLevelType w:val="hybridMultilevel"/>
    <w:lvl w:ilvl="0">
      <w:lvlJc w:val="left"/>
      <w:lvlText w:val="(%1)"/>
      <w:numFmt w:val="lowerLetter"/>
      <w:start w:val="2"/>
    </w:lvl>
  </w:abstractNum>
  <w:abstractNum w:abstractNumId="158">
    <w:nsid w:val="3A966CD0"/>
    <w:multiLevelType w:val="hybridMultilevel"/>
    <w:lvl w:ilvl="0">
      <w:lvlJc w:val="left"/>
      <w:lvlText w:val="(%1)"/>
      <w:numFmt w:val="lowerLetter"/>
      <w:start w:val="2"/>
    </w:lvl>
  </w:abstractNum>
  <w:abstractNum w:abstractNumId="159">
    <w:nsid w:val="63F37E85"/>
    <w:multiLevelType w:val="hybridMultilevel"/>
    <w:lvl w:ilvl="0">
      <w:lvlJc w:val="left"/>
      <w:lvlText w:val="(%1)"/>
      <w:numFmt w:val="lowerLetter"/>
      <w:start w:val="2"/>
    </w:lvl>
  </w:abstractNum>
  <w:abstractNum w:abstractNumId="160">
    <w:nsid w:val="5895F5FA"/>
    <w:multiLevelType w:val="hybridMultilevel"/>
    <w:lvl w:ilvl="0">
      <w:lvlJc w:val="left"/>
      <w:lvlText w:val=","/>
      <w:numFmt w:val="bullet"/>
      <w:start w:val="1"/>
    </w:lvl>
  </w:abstractNum>
  <w:abstractNum w:abstractNumId="161">
    <w:nsid w:val="38A5D054"/>
    <w:multiLevelType w:val="hybridMultilevel"/>
    <w:lvl w:ilvl="0">
      <w:lvlJc w:val="left"/>
      <w:lvlText w:val="(%1)"/>
      <w:numFmt w:val="lowerRoman"/>
      <w:start w:val="15"/>
    </w:lvl>
  </w:abstractNum>
  <w:abstractNum w:abstractNumId="162">
    <w:nsid w:val="F3F09D8"/>
    <w:multiLevelType w:val="hybridMultilevel"/>
    <w:lvl w:ilvl="0">
      <w:lvlJc w:val="left"/>
      <w:lvlText w:val="(%1)"/>
      <w:numFmt w:val="lowerLetter"/>
      <w:start w:val="1"/>
    </w:lvl>
  </w:abstractNum>
  <w:abstractNum w:abstractNumId="163">
    <w:nsid w:val="4B793735"/>
    <w:multiLevelType w:val="hybridMultilevel"/>
    <w:lvl w:ilvl="0">
      <w:lvlJc w:val="left"/>
      <w:lvlText w:val="(%1)"/>
      <w:numFmt w:val="lowerRoman"/>
      <w:start w:val="1"/>
    </w:lvl>
  </w:abstractNum>
  <w:abstractNum w:abstractNumId="164">
    <w:nsid w:val="4A10B4E8"/>
    <w:multiLevelType w:val="hybridMultilevel"/>
    <w:lvl w:ilvl="0">
      <w:lvlJc w:val="left"/>
      <w:lvlText w:val="(%1)"/>
      <w:numFmt w:val="lowerLetter"/>
      <w:start w:val="2"/>
    </w:lvl>
  </w:abstractNum>
  <w:abstractNum w:abstractNumId="165">
    <w:nsid w:val="43D3BCD4"/>
    <w:multiLevelType w:val="hybridMultilevel"/>
    <w:lvl w:ilvl="0">
      <w:lvlJc w:val="left"/>
      <w:lvlText w:val="(%1)"/>
      <w:numFmt w:val="lowerLetter"/>
      <w:start w:val="3"/>
    </w:lvl>
    <w:lvl w:ilvl="1">
      <w:lvlJc w:val="left"/>
      <w:lvlText w:val="(%2)"/>
      <w:numFmt w:val="lowerRoman"/>
      <w:start w:val="1"/>
    </w:lvl>
  </w:abstractNum>
  <w:abstractNum w:abstractNumId="166">
    <w:nsid w:val="4C2A7166"/>
    <w:multiLevelType w:val="hybridMultilevel"/>
    <w:lvl w:ilvl="0">
      <w:lvlJc w:val="left"/>
      <w:lvlText w:val="(%1)"/>
      <w:numFmt w:val="lowerLetter"/>
      <w:start w:val="6"/>
    </w:lvl>
  </w:abstractNum>
  <w:abstractNum w:abstractNumId="167">
    <w:nsid w:val="2E534A82"/>
    <w:multiLevelType w:val="hybridMultilevel"/>
    <w:lvl w:ilvl="0">
      <w:lvlJc w:val="left"/>
      <w:lvlText w:val="(%1)"/>
      <w:numFmt w:val="lowerLetter"/>
      <w:start w:val="1"/>
    </w:lvl>
  </w:abstractNum>
  <w:abstractNum w:abstractNumId="168">
    <w:nsid w:val="26F2D364"/>
    <w:multiLevelType w:val="hybridMultilevel"/>
    <w:lvl w:ilvl="0">
      <w:lvlJc w:val="left"/>
      <w:lvlText w:val="(%1)"/>
      <w:numFmt w:val="lowerLetter"/>
      <w:start w:val="3"/>
    </w:lvl>
    <w:lvl w:ilvl="1">
      <w:lvlJc w:val="left"/>
      <w:lvlText w:val="(%2)"/>
      <w:numFmt w:val="lowerRoman"/>
      <w:start w:val="1"/>
    </w:lvl>
  </w:abstractNum>
  <w:abstractNum w:abstractNumId="169">
    <w:nsid w:val="71C1AF98"/>
    <w:multiLevelType w:val="hybridMultilevel"/>
    <w:lvl w:ilvl="0">
      <w:lvlJc w:val="left"/>
      <w:lvlText w:val="(%1)"/>
      <w:numFmt w:val="lowerLetter"/>
      <w:start w:val="5"/>
    </w:lvl>
    <w:lvl w:ilvl="1">
      <w:lvlJc w:val="left"/>
      <w:lvlText w:val="(%2)"/>
      <w:numFmt w:val="lowerLetter"/>
      <w:start w:val="9"/>
    </w:lvl>
  </w:abstractNum>
  <w:abstractNum w:abstractNumId="170">
    <w:nsid w:val="3D00B9D9"/>
    <w:multiLevelType w:val="hybridMultilevel"/>
    <w:lvl w:ilvl="0">
      <w:lvlJc w:val="left"/>
      <w:lvlText w:val="(%1)"/>
      <w:numFmt w:val="lowerRoman"/>
      <w:start w:val="2"/>
    </w:lvl>
    <w:lvl w:ilvl="1">
      <w:lvlJc w:val="left"/>
      <w:lvlText w:val="(%2)"/>
      <w:numFmt w:val="upperLetter"/>
      <w:start w:val="1"/>
    </w:lvl>
  </w:abstractNum>
  <w:abstractNum w:abstractNumId="171">
    <w:nsid w:val="15BCABA8"/>
    <w:multiLevelType w:val="hybridMultilevel"/>
    <w:lvl w:ilvl="0">
      <w:lvlJc w:val="left"/>
      <w:lvlText w:val="%1"/>
      <w:numFmt w:val="upperLetter"/>
      <w:start w:val="1"/>
    </w:lvl>
    <w:lvl w:ilvl="1">
      <w:lvlJc w:val="left"/>
      <w:lvlText w:val="(%2)"/>
      <w:numFmt w:val="lowerLetter"/>
      <w:start w:val="1"/>
    </w:lvl>
  </w:abstractNum>
  <w:abstractNum w:abstractNumId="172">
    <w:nsid w:val="4E0B9A87"/>
    <w:multiLevelType w:val="hybridMultilevel"/>
    <w:lvl w:ilvl="0">
      <w:lvlJc w:val="left"/>
      <w:lvlText w:val="(%1)"/>
      <w:numFmt w:val="upperLetter"/>
      <w:start w:val="35"/>
    </w:lvl>
    <w:lvl w:ilvl="1">
      <w:lvlJc w:val="left"/>
      <w:lvlText w:val="%2"/>
      <w:numFmt w:val="lowerLetter"/>
      <w:start w:val="1"/>
    </w:lvl>
  </w:abstractNum>
  <w:abstractNum w:abstractNumId="173">
    <w:nsid w:val="434BAE75"/>
    <w:multiLevelType w:val="hybridMultilevel"/>
    <w:lvl w:ilvl="0">
      <w:lvlJc w:val="left"/>
      <w:lvlText w:val="(%1)"/>
      <w:numFmt w:val="lowerLetter"/>
      <w:start w:val="2"/>
    </w:lvl>
  </w:abstractNum>
  <w:abstractNum w:abstractNumId="174">
    <w:nsid w:val="4F38F265"/>
    <w:multiLevelType w:val="hybridMultilevel"/>
    <w:lvl w:ilvl="0">
      <w:lvlJc w:val="left"/>
      <w:lvlText w:val="(%1)"/>
      <w:numFmt w:val="lowerLetter"/>
      <w:start w:val="1"/>
    </w:lvl>
  </w:abstractNum>
  <w:abstractNum w:abstractNumId="175">
    <w:nsid w:val="4C502870"/>
    <w:multiLevelType w:val="hybridMultilevel"/>
    <w:lvl w:ilvl="0">
      <w:lvlJc w:val="left"/>
      <w:lvlText w:val="%1"/>
      <w:numFmt w:val="upperLetter"/>
      <w:start w:val="1"/>
    </w:lvl>
    <w:lvl w:ilvl="1">
      <w:lvlJc w:val="left"/>
      <w:lvlText w:val="(%2)"/>
      <w:numFmt w:val="lowerLetter"/>
      <w:start w:val="2"/>
    </w:lvl>
  </w:abstractNum>
  <w:abstractNum w:abstractNumId="176">
    <w:nsid w:val="1DE8725A"/>
    <w:multiLevelType w:val="hybridMultilevel"/>
    <w:lvl w:ilvl="0">
      <w:lvlJc w:val="left"/>
      <w:lvlText w:val="(%1)"/>
      <w:numFmt w:val="upperLetter"/>
      <w:start w:val="3"/>
    </w:lvl>
    <w:lvl w:ilvl="1">
      <w:lvlJc w:val="left"/>
      <w:lvlText w:val="%2"/>
      <w:numFmt w:val="lowerLetter"/>
      <w:start w:val="1"/>
    </w:lvl>
  </w:abstractNum>
  <w:abstractNum w:abstractNumId="177">
    <w:nsid w:val="6A37288A"/>
    <w:multiLevelType w:val="hybridMultilevel"/>
    <w:lvl w:ilvl="0">
      <w:lvlJc w:val="left"/>
      <w:lvlText w:val="%1"/>
      <w:numFmt w:val="lowerLetter"/>
      <w:start w:val="1"/>
    </w:lvl>
    <w:lvl w:ilvl="1">
      <w:lvlJc w:val="left"/>
      <w:lvlText w:val="(%2)"/>
      <w:numFmt w:val="lowerLetter"/>
      <w:start w:val="5"/>
    </w:lvl>
  </w:abstractNum>
  <w:abstractNum w:abstractNumId="178">
    <w:nsid w:val="8F8B73F"/>
    <w:multiLevelType w:val="hybridMultilevel"/>
    <w:lvl w:ilvl="0">
      <w:lvlJc w:val="left"/>
      <w:lvlText w:val="(%1)"/>
      <w:numFmt w:val="lowerLetter"/>
      <w:start w:val="9"/>
    </w:lvl>
    <w:lvl w:ilvl="1">
      <w:lvlJc w:val="left"/>
      <w:lvlText w:val="(%2)"/>
      <w:numFmt w:val="lowerLetter"/>
      <w:start w:val="6"/>
    </w:lvl>
  </w:abstractNum>
  <w:abstractNum w:abstractNumId="179">
    <w:nsid w:val="CA6B462"/>
    <w:multiLevelType w:val="hybridMultilevel"/>
    <w:lvl w:ilvl="0">
      <w:lvlJc w:val="left"/>
      <w:lvlText w:val="%1"/>
      <w:numFmt w:val="lowerLetter"/>
      <w:start w:val="1"/>
    </w:lvl>
    <w:lvl w:ilvl="1">
      <w:lvlJc w:val="left"/>
      <w:lvlText w:val="(%2)"/>
      <w:numFmt w:val="lowerLetter"/>
      <w:start w:val="9"/>
    </w:lvl>
  </w:abstractNum>
  <w:abstractNum w:abstractNumId="180">
    <w:nsid w:val="763CB680"/>
    <w:multiLevelType w:val="hybridMultilevel"/>
    <w:lvl w:ilvl="0">
      <w:lvlJc w:val="left"/>
      <w:lvlText w:val="(%1)"/>
      <w:numFmt w:val="lowerLetter"/>
      <w:start w:val="9"/>
    </w:lvl>
    <w:lvl w:ilvl="1">
      <w:lvlJc w:val="left"/>
      <w:lvlText w:val="(%2)"/>
      <w:numFmt w:val="lowerLetter"/>
      <w:start w:val="14"/>
    </w:lvl>
  </w:abstractNum>
  <w:abstractNum w:abstractNumId="181">
    <w:nsid w:val="15B71329"/>
    <w:multiLevelType w:val="hybridMultilevel"/>
    <w:lvl w:ilvl="0">
      <w:lvlJc w:val="left"/>
      <w:lvlText w:val="(%1)"/>
      <w:numFmt w:val="lowerLetter"/>
      <w:start w:val="16"/>
    </w:lvl>
  </w:abstractNum>
  <w:abstractNum w:abstractNumId="182">
    <w:nsid w:val="3DA97044"/>
    <w:multiLevelType w:val="hybridMultilevel"/>
    <w:lvl w:ilvl="0">
      <w:lvlJc w:val="left"/>
      <w:lvlText w:val="(%1)"/>
      <w:numFmt w:val="lowerLetter"/>
      <w:start w:val="1"/>
    </w:lvl>
  </w:abstractNum>
  <w:abstractNum w:abstractNumId="183">
    <w:nsid w:val="1CDCE2DE"/>
    <w:multiLevelType w:val="hybridMultilevel"/>
    <w:lvl w:ilvl="0">
      <w:lvlJc w:val="left"/>
      <w:lvlText w:val="(%1)"/>
      <w:numFmt w:val="lowerLetter"/>
      <w:start w:val="4"/>
    </w:lvl>
  </w:abstractNum>
  <w:abstractNum w:abstractNumId="184">
    <w:nsid w:val="69D3947C"/>
    <w:multiLevelType w:val="hybridMultilevel"/>
    <w:lvl w:ilvl="0">
      <w:lvlJc w:val="left"/>
      <w:lvlText w:val="(%1)"/>
      <w:numFmt w:val="lowerLetter"/>
      <w:start w:val="1"/>
    </w:lvl>
  </w:abstractNum>
  <w:abstractNum w:abstractNumId="185">
    <w:nsid w:val="2539DFA5"/>
    <w:multiLevelType w:val="hybridMultilevel"/>
    <w:lvl w:ilvl="0">
      <w:lvlJc w:val="left"/>
      <w:lvlText w:val="%1"/>
      <w:numFmt w:val="lowerRoman"/>
      <w:start w:val="1"/>
    </w:lvl>
    <w:lvl w:ilvl="1">
      <w:lvlJc w:val="left"/>
      <w:lvlText w:val="(%2)"/>
      <w:numFmt w:val="lowerRoman"/>
      <w:start w:val="4"/>
    </w:lvl>
  </w:abstractNum>
  <w:abstractNum w:abstractNumId="186">
    <w:nsid w:val="2DB88089"/>
    <w:multiLevelType w:val="hybridMultilevel"/>
    <w:lvl w:ilvl="0">
      <w:lvlJc w:val="left"/>
      <w:lvlText w:val="(%1)"/>
      <w:numFmt w:val="lowerRoman"/>
      <w:start w:val="2"/>
    </w:lvl>
    <w:lvl w:ilvl="1">
      <w:lvlJc w:val="left"/>
      <w:lvlText w:val="%2"/>
      <w:numFmt w:val="lowerRoman"/>
      <w:start w:val="1"/>
    </w:lvl>
  </w:abstractNum>
  <w:abstractNum w:abstractNumId="187">
    <w:nsid w:val="706B674E"/>
    <w:multiLevelType w:val="hybridMultilevel"/>
    <w:lvl w:ilvl="0">
      <w:lvlJc w:val="left"/>
      <w:lvlText w:val="(%1)"/>
      <w:numFmt w:val="lowerLetter"/>
      <w:start w:val="2"/>
    </w:lvl>
    <w:lvl w:ilvl="1">
      <w:lvlJc w:val="left"/>
      <w:lvlText w:val="(%2)"/>
      <w:numFmt w:val="lowerRoman"/>
      <w:start w:val="1"/>
    </w:lvl>
  </w:abstractNum>
  <w:abstractNum w:abstractNumId="188">
    <w:nsid w:val="2C106A57"/>
    <w:multiLevelType w:val="hybridMultilevel"/>
    <w:lvl w:ilvl="0">
      <w:lvlJc w:val="left"/>
      <w:lvlText w:val="(%1)"/>
      <w:numFmt w:val="lowerLetter"/>
      <w:start w:val="3"/>
    </w:lvl>
    <w:lvl w:ilvl="1">
      <w:lvlJc w:val="left"/>
      <w:lvlText w:val="(%2)"/>
      <w:numFmt w:val="lowerRoman"/>
      <w:start w:val="1"/>
    </w:lvl>
  </w:abstractNum>
  <w:abstractNum w:abstractNumId="189">
    <w:nsid w:val="684EED59"/>
    <w:multiLevelType w:val="hybridMultilevel"/>
    <w:lvl w:ilvl="0">
      <w:lvlJc w:val="left"/>
      <w:lvlText w:val="(%1)"/>
      <w:numFmt w:val="lowerLetter"/>
      <w:start w:val="4"/>
    </w:lvl>
  </w:abstractNum>
  <w:abstractNum w:abstractNumId="190">
    <w:nsid w:val="545EE5D3"/>
    <w:multiLevelType w:val="hybridMultilevel"/>
    <w:lvl w:ilvl="0">
      <w:lvlJc w:val="left"/>
      <w:lvlText w:val="(%1)"/>
      <w:numFmt w:val="lowerLetter"/>
      <w:start w:val="1"/>
    </w:lvl>
    <w:lvl w:ilvl="1">
      <w:lvlJc w:val="left"/>
      <w:lvlText w:val="(%2)"/>
      <w:numFmt w:val="lowerLetter"/>
      <w:start w:val="9"/>
    </w:lvl>
  </w:abstractNum>
  <w:abstractNum w:abstractNumId="191">
    <w:nsid w:val="4A66051"/>
    <w:multiLevelType w:val="hybridMultilevel"/>
    <w:lvl w:ilvl="0">
      <w:lvlJc w:val="left"/>
      <w:lvlText w:val="(%1)"/>
      <w:numFmt w:val="lowerRoman"/>
      <w:start w:val="2"/>
    </w:lvl>
  </w:abstractNum>
  <w:abstractNum w:abstractNumId="192">
    <w:nsid w:val="20F4BDAD"/>
    <w:multiLevelType w:val="hybridMultilevel"/>
    <w:lvl w:ilvl="0">
      <w:lvlJc w:val="left"/>
      <w:lvlText w:val="(%1)"/>
      <w:numFmt w:val="lowerLetter"/>
      <w:start w:val="2"/>
    </w:lvl>
  </w:abstractNum>
  <w:abstractNum w:abstractNumId="193">
    <w:nsid w:val="639DEFAC"/>
    <w:multiLevelType w:val="hybridMultilevel"/>
    <w:lvl w:ilvl="0">
      <w:lvlJc w:val="left"/>
      <w:lvlText w:val="(%1)"/>
      <w:numFmt w:val="lowerLetter"/>
      <w:start w:val="1"/>
    </w:lvl>
  </w:abstractNum>
  <w:abstractNum w:abstractNumId="194">
    <w:nsid w:val="501F9786"/>
    <w:multiLevelType w:val="hybridMultilevel"/>
    <w:lvl w:ilvl="0">
      <w:lvlJc w:val="left"/>
      <w:lvlText w:val="%1."/>
      <w:numFmt w:val="decimal"/>
      <w:start w:val="1"/>
    </w:lvl>
    <w:lvl w:ilvl="1">
      <w:lvlJc w:val="left"/>
      <w:lvlText w:val="(%2)"/>
      <w:numFmt w:val="lowerLetter"/>
      <w:start w:val="1"/>
    </w:lvl>
  </w:abstractNum>
  <w:abstractNum w:abstractNumId="195">
    <w:nsid w:val="6B057295"/>
    <w:multiLevelType w:val="hybridMultilevel"/>
    <w:lvl w:ilvl="0">
      <w:lvlJc w:val="left"/>
      <w:lvlText w:val="(%1)"/>
      <w:numFmt w:val="lowerRoman"/>
      <w:start w:val="6"/>
    </w:lvl>
  </w:abstractNum>
  <w:abstractNum w:abstractNumId="196">
    <w:nsid w:val="2771AC80"/>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197">
    <w:nsid w:val="1C4A08EC"/>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98">
    <w:nsid w:val="1958BD17"/>
    <w:multiLevelType w:val="hybridMultilevel"/>
    <w:lvl w:ilvl="0">
      <w:lvlJc w:val="left"/>
      <w:lvlText w:val="(%1)"/>
      <w:numFmt w:val="lowerLetter"/>
      <w:start w:val="8"/>
    </w:lvl>
  </w:abstractNum>
  <w:abstractNum w:abstractNumId="199">
    <w:nsid w:val="4E647FE4"/>
    <w:multiLevelType w:val="hybridMultilevel"/>
    <w:lvl w:ilvl="0">
      <w:lvlJc w:val="left"/>
      <w:lvlText w:val="[***]"/>
      <w:numFmt w:val="bullet"/>
      <w:start w:val="1"/>
    </w:lvl>
    <w:lvl w:ilvl="1">
      <w:lvlJc w:val="left"/>
      <w:lvlText w:val="(%2)"/>
      <w:numFmt w:val="lowerLetter"/>
      <w:start w:val="14"/>
    </w:lvl>
    <w:lvl w:ilvl="2">
      <w:lvlJc w:val="left"/>
      <w:lvlText w:val="(%3)"/>
      <w:numFmt w:val="lowerRoman"/>
      <w:start w:val="1"/>
    </w:lvl>
  </w:abstractNum>
  <w:abstractNum w:abstractNumId="200">
    <w:nsid w:val="E0BB885"/>
    <w:multiLevelType w:val="hybridMultilevel"/>
    <w:lvl w:ilvl="0">
      <w:lvlJc w:val="left"/>
      <w:lvlText w:val="%1"/>
      <w:numFmt w:val="decimal"/>
      <w:start w:val="1"/>
    </w:lvl>
    <w:lvl w:ilvl="1">
      <w:lvlJc w:val="left"/>
      <w:lvlText w:val="(%2)"/>
      <w:numFmt w:val="lowerLetter"/>
      <w:start w:val="17"/>
    </w:lvl>
  </w:abstractNum>
  <w:abstractNum w:abstractNumId="201">
    <w:nsid w:val="565976F1"/>
    <w:multiLevelType w:val="hybridMultilevel"/>
    <w:lvl w:ilvl="0">
      <w:lvlJc w:val="left"/>
      <w:lvlText w:val="%1."/>
      <w:numFmt w:val="decimal"/>
      <w:start w:val="3"/>
    </w:lvl>
    <w:lvl w:ilvl="1">
      <w:lvlJc w:val="left"/>
      <w:lvlText w:val="(%2)"/>
      <w:numFmt w:val="lowerLetter"/>
      <w:start w:val="1"/>
    </w:lvl>
  </w:abstractNum>
  <w:abstractNum w:abstractNumId="202">
    <w:nsid w:val="64212B8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03">
    <w:nsid w:val="5C17530C"/>
    <w:multiLevelType w:val="hybridMultilevel"/>
    <w:lvl w:ilvl="0">
      <w:lvlJc w:val="left"/>
      <w:lvlText w:val="%1."/>
      <w:numFmt w:val="decimal"/>
      <w:start w:val="5"/>
    </w:lvl>
  </w:abstractNum>
  <w:abstractNum w:abstractNumId="204">
    <w:nsid w:val="19A5256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5">
    <w:nsid w:val="335A1DF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06">
    <w:nsid w:val="28677B7C"/>
    <w:multiLevelType w:val="hybridMultilevel"/>
    <w:lvl w:ilvl="0">
      <w:lvlJc w:val="left"/>
      <w:lvlText w:val="%1."/>
      <w:numFmt w:val="lowerRoman"/>
      <w:start w:val="3"/>
    </w:lvl>
  </w:abstractNum>
  <w:abstractNum w:abstractNumId="207">
    <w:nsid w:val="378D97C0"/>
    <w:multiLevelType w:val="hybridMultilevel"/>
    <w:lvl w:ilvl="0">
      <w:lvlJc w:val="left"/>
      <w:lvlText w:val="%1."/>
      <w:numFmt w:val="decimal"/>
      <w:start w:val="9"/>
    </w:lvl>
  </w:abstractNum>
  <w:abstractNum w:abstractNumId="208">
    <w:nsid w:val="1D91467C"/>
    <w:multiLevelType w:val="hybridMultilevel"/>
    <w:lvl w:ilvl="0">
      <w:lvlJc w:val="left"/>
      <w:lvlText w:val="%1."/>
      <w:numFmt w:val="decimal"/>
      <w:start w:val="10"/>
    </w:lvl>
  </w:abstractNum>
  <w:abstractNum w:abstractNumId="209">
    <w:nsid w:val="316032BB"/>
    <w:multiLevelType w:val="hybridMultilevel"/>
    <w:lvl w:ilvl="0">
      <w:lvlJc w:val="left"/>
      <w:lvlText w:val="%1."/>
      <w:numFmt w:val="decimal"/>
      <w:start w:val="11"/>
    </w:lvl>
    <w:lvl w:ilvl="1">
      <w:lvlJc w:val="left"/>
      <w:lvlText w:val="(%2)"/>
      <w:numFmt w:val="lowerLetter"/>
      <w:start w:val="1"/>
    </w:lvl>
  </w:abstractNum>
  <w:abstractNum w:abstractNumId="210">
    <w:nsid w:val="44344C22"/>
    <w:multiLevelType w:val="hybridMultilevel"/>
    <w:lvl w:ilvl="0">
      <w:lvlJc w:val="left"/>
      <w:lvlText w:val="%1"/>
      <w:numFmt w:val="decimal"/>
      <w:start w:val="1"/>
    </w:lvl>
    <w:lvl w:ilvl="1">
      <w:lvlJc w:val="left"/>
      <w:lvlText w:val="(%2)"/>
      <w:numFmt w:val="lowerLetter"/>
      <w:start w:val="2"/>
    </w:lvl>
  </w:abstractNum>
  <w:abstractNum w:abstractNumId="211">
    <w:nsid w:val="13CDFCFC"/>
    <w:multiLevelType w:val="hybridMultilevel"/>
    <w:lvl w:ilvl="0">
      <w:lvlJc w:val="left"/>
      <w:lvlText w:val="%1."/>
      <w:numFmt w:val="decimal"/>
      <w:start w:val="12"/>
    </w:lvl>
    <w:lvl w:ilvl="1">
      <w:lvlJc w:val="left"/>
      <w:lvlText w:val="%2"/>
      <w:numFmt w:val="lowerLetter"/>
      <w:start w:val="1"/>
    </w:lvl>
  </w:abstractNum>
  <w:abstractNum w:abstractNumId="212">
    <w:nsid w:val="471745E4"/>
    <w:multiLevelType w:val="hybridMultilevel"/>
    <w:lvl w:ilvl="0">
      <w:lvlJc w:val="left"/>
      <w:lvlText w:val="%1."/>
      <w:numFmt w:val="decimal"/>
      <w:start w:val="13"/>
    </w:lvl>
  </w:abstractNum>
  <w:abstractNum w:abstractNumId="213">
    <w:nsid w:val="1DDBC66"/>
    <w:multiLevelType w:val="hybridMultilevel"/>
    <w:lvl w:ilvl="0">
      <w:lvlJc w:val="left"/>
      <w:lvlText w:val="%1."/>
      <w:numFmt w:val="decimal"/>
      <w:start w:val="14"/>
    </w:lvl>
  </w:abstractNum>
  <w:abstractNum w:abstractNumId="214">
    <w:nsid w:val="30AADFDA"/>
    <w:multiLevelType w:val="hybridMultilevel"/>
    <w:lvl w:ilvl="0">
      <w:lvlJc w:val="left"/>
      <w:lvlText w:val="%1."/>
      <w:numFmt w:val="decimal"/>
      <w:start w:val="15"/>
    </w:lvl>
  </w:abstractNum>
  <w:abstractNum w:abstractNumId="215">
    <w:nsid w:val="30EADA61"/>
    <w:multiLevelType w:val="hybridMultilevel"/>
    <w:lvl w:ilvl="0">
      <w:lvlJc w:val="left"/>
      <w:lvlText w:val="%1."/>
      <w:numFmt w:val="decimal"/>
      <w:start w:val="16"/>
    </w:lvl>
  </w:abstractNum>
  <w:abstractNum w:abstractNumId="216">
    <w:nsid w:val="27179C0B"/>
    <w:multiLevelType w:val="hybridMultilevel"/>
    <w:lvl w:ilvl="0">
      <w:lvlJc w:val="left"/>
      <w:lvlText w:val="%1."/>
      <w:numFmt w:val="decimal"/>
      <w:start w:val="17"/>
    </w:lvl>
  </w:abstractNum>
  <w:abstractNum w:abstractNumId="217">
    <w:nsid w:val="5E636063"/>
    <w:multiLevelType w:val="hybridMultilevel"/>
    <w:lvl w:ilvl="0">
      <w:lvlJc w:val="left"/>
      <w:lvlText w:val="%1."/>
      <w:numFmt w:val="decimal"/>
      <w:start w:val="18"/>
    </w:lvl>
    <w:lvl w:ilvl="1">
      <w:lvlJc w:val="left"/>
      <w:lvlText w:val="(%2)"/>
      <w:numFmt w:val="lowerLetter"/>
      <w:start w:val="1"/>
    </w:lvl>
  </w:abstractNum>
  <w:abstractNum w:abstractNumId="218">
    <w:nsid w:val="215641AF"/>
    <w:multiLevelType w:val="hybridMultilevel"/>
    <w:lvl w:ilvl="0">
      <w:lvlJc w:val="left"/>
      <w:lvlText w:val="%1"/>
      <w:numFmt w:val="decimal"/>
      <w:start w:val="1"/>
    </w:lvl>
    <w:lvl w:ilvl="1">
      <w:lvlJc w:val="left"/>
      <w:lvlText w:val="(%2)"/>
      <w:numFmt w:val="lowerLetter"/>
      <w:start w:val="2"/>
    </w:lvl>
  </w:abstractNum>
  <w:abstractNum w:abstractNumId="219">
    <w:nsid w:val="53280662"/>
    <w:multiLevelType w:val="hybridMultilevel"/>
    <w:lvl w:ilvl="0">
      <w:lvlJc w:val="left"/>
      <w:lvlText w:val="%1."/>
      <w:numFmt w:val="decimal"/>
      <w:start w:val="19"/>
    </w:lvl>
    <w:lvl w:ilvl="1">
      <w:lvlJc w:val="left"/>
      <w:lvlText w:val="%2"/>
      <w:numFmt w:val="lowerLetter"/>
      <w:start w:val="1"/>
    </w:lvl>
  </w:abstractNum>
  <w:abstractNum w:abstractNumId="220">
    <w:nsid w:val="46B24DBC"/>
    <w:multiLevelType w:val="hybridMultilevel"/>
    <w:lvl w:ilvl="0">
      <w:lvlJc w:val="left"/>
      <w:lvlText w:val="%1."/>
      <w:numFmt w:val="decimal"/>
      <w:start w:val="20"/>
    </w:lvl>
  </w:abstractNum>
  <w:abstractNum w:abstractNumId="221">
    <w:nsid w:val="75B52783"/>
    <w:multiLevelType w:val="hybridMultilevel"/>
    <w:lvl w:ilvl="0">
      <w:lvlJc w:val="left"/>
      <w:lvlText w:val="%1."/>
      <w:numFmt w:val="decimal"/>
      <w:start w:val="21"/>
    </w:lvl>
  </w:abstractNum>
  <w:abstractNum w:abstractNumId="222">
    <w:nsid w:val="57CE66B4"/>
    <w:multiLevelType w:val="hybridMultilevel"/>
    <w:lvl w:ilvl="0">
      <w:lvlJc w:val="left"/>
      <w:lvlText w:val="%1."/>
      <w:numFmt w:val="upperLetter"/>
      <w:start w:val="1"/>
    </w:lvl>
  </w:abstractNum>
  <w:abstractNum w:abstractNumId="223">
    <w:nsid w:val="67A70B69"/>
    <w:multiLevelType w:val="hybridMultilevel"/>
    <w:lvl w:ilvl="0">
      <w:lvlJc w:val="left"/>
      <w:lvlText w:val="%1."/>
      <w:numFmt w:val="decimal"/>
      <w:start w:val="1"/>
    </w:lvl>
  </w:abstractNum>
  <w:abstractNum w:abstractNumId="224">
    <w:nsid w:val="5953172F"/>
    <w:multiLevelType w:val="hybridMultilevel"/>
    <w:lvl w:ilvl="0">
      <w:lvlJc w:val="left"/>
      <w:lvlText w:val="%1."/>
      <w:numFmt w:val="decimal"/>
      <w:start w:val="1"/>
    </w:lvl>
    <w:lvl w:ilvl="1">
      <w:lvlJc w:val="left"/>
      <w:lvlText w:val="%2"/>
      <w:numFmt w:val="lowerLetter"/>
      <w:start w:val="1"/>
    </w:lvl>
  </w:abstractNum>
  <w:abstractNum w:abstractNumId="225">
    <w:nsid w:val="27EDFE3A"/>
    <w:multiLevelType w:val="hybridMultilevel"/>
    <w:lvl w:ilvl="0">
      <w:lvlJc w:val="left"/>
      <w:lvlText w:val="%1."/>
      <w:numFmt w:val="decimal"/>
      <w:start w:val="3"/>
    </w:lvl>
    <w:lvl w:ilvl="1">
      <w:lvlJc w:val="left"/>
      <w:lvlText w:val="%2"/>
      <w:numFmt w:val="lowerLetter"/>
      <w:start w:val="1"/>
    </w:lvl>
  </w:abstractNum>
  <w:abstractNum w:abstractNumId="226">
    <w:nsid w:val="52AC7DFF"/>
    <w:multiLevelType w:val="hybridMultilevel"/>
    <w:lvl w:ilvl="0">
      <w:lvlJc w:val="left"/>
      <w:lvlText w:val="%1."/>
      <w:numFmt w:val="lowerLetter"/>
      <w:start w:val="2"/>
    </w:lvl>
  </w:abstractNum>
  <w:abstractNum w:abstractNumId="227">
    <w:nsid w:val="C4C3AF"/>
    <w:multiLevelType w:val="hybridMultilevel"/>
    <w:lvl w:ilvl="0">
      <w:lvlJc w:val="left"/>
      <w:lvlText w:val="[***]"/>
      <w:numFmt w:val="bullet"/>
      <w:start w:val="1"/>
    </w:lvl>
  </w:abstractNum>
  <w:abstractNum w:abstractNumId="228">
    <w:nsid w:val="44380727"/>
    <w:multiLevelType w:val="hybridMultilevel"/>
    <w:lvl w:ilvl="0">
      <w:lvlJc w:val="left"/>
      <w:lvlText w:val="[***]"/>
      <w:numFmt w:val="bullet"/>
      <w:start w:val="1"/>
    </w:lvl>
  </w:abstractNum>
  <w:abstractNum w:abstractNumId="229">
    <w:nsid w:val="6C053B16"/>
    <w:multiLevelType w:val="hybridMultilevel"/>
    <w:lvl w:ilvl="0">
      <w:lvlJc w:val="left"/>
      <w:lvlText w:val="%1."/>
      <w:numFmt w:val="lowerLetter"/>
      <w:start w:val="4"/>
    </w:lvl>
  </w:abstractNum>
  <w:abstractNum w:abstractNumId="230">
    <w:nsid w:val="4F294393"/>
    <w:multiLevelType w:val="hybridMultilevel"/>
    <w:lvl w:ilvl="0">
      <w:lvlJc w:val="left"/>
      <w:lvlText w:val="%1."/>
      <w:numFmt w:val="lowerLetter"/>
      <w:start w:val="5"/>
    </w:lvl>
  </w:abstractNum>
  <w:abstractNum w:abstractNumId="231">
    <w:nsid w:val="5243BFAC"/>
    <w:multiLevelType w:val="hybridMultilevel"/>
    <w:lvl w:ilvl="0">
      <w:lvlJc w:val="left"/>
      <w:lvlText w:val="%1."/>
      <w:numFmt w:val="lowerLetter"/>
      <w:start w:val="6"/>
    </w:lvl>
  </w:abstractNum>
  <w:abstractNum w:abstractNumId="232">
    <w:nsid w:val="425EB207"/>
    <w:multiLevelType w:val="hybridMultilevel"/>
    <w:lvl w:ilvl="0">
      <w:lvlJc w:val="left"/>
      <w:lvlText w:val="%1."/>
      <w:numFmt w:val="decimal"/>
      <w:start w:val="4"/>
    </w:lvl>
  </w:abstractNum>
  <w:abstractNum w:abstractNumId="233">
    <w:nsid w:val="334A6F1F"/>
    <w:multiLevelType w:val="hybridMultilevel"/>
    <w:lvl w:ilvl="0">
      <w:lvlJc w:val="left"/>
      <w:lvlText w:val="%1"/>
      <w:numFmt w:val="decimal"/>
      <w:start w:val="1"/>
    </w:lvl>
    <w:lvl w:ilvl="1">
      <w:lvlJc w:val="left"/>
      <w:lvlText w:val="%2."/>
      <w:numFmt w:val="lowerLetter"/>
      <w:start w:val="2"/>
    </w:lvl>
  </w:abstractNum>
  <w:abstractNum w:abstractNumId="234">
    <w:nsid w:val="2E5B12B8"/>
    <w:multiLevelType w:val="hybridMultilevel"/>
    <w:lvl w:ilvl="0">
      <w:lvlJc w:val="left"/>
      <w:lvlText w:val="%1."/>
      <w:numFmt w:val="decimal"/>
      <w:start w:val="5"/>
    </w:lvl>
    <w:lvl w:ilvl="1">
      <w:lvlJc w:val="left"/>
      <w:lvlText w:val="%2"/>
      <w:numFmt w:val="lowerLetter"/>
      <w:start w:val="1"/>
    </w:lvl>
  </w:abstractNum>
  <w:abstractNum w:abstractNumId="235">
    <w:nsid w:val="5C03D76D"/>
    <w:multiLevelType w:val="hybridMultilevel"/>
    <w:lvl w:ilvl="0">
      <w:lvlJc w:val="left"/>
      <w:lvlText w:val="%1."/>
      <w:numFmt w:val="decimal"/>
      <w:start w:val="6"/>
    </w:lvl>
  </w:abstractNum>
  <w:abstractNum w:abstractNumId="236">
    <w:nsid w:val="66A48D11"/>
    <w:multiLevelType w:val="hybridMultilevel"/>
    <w:lvl w:ilvl="0">
      <w:lvlJc w:val="left"/>
      <w:lvlText w:val="%1."/>
      <w:numFmt w:val="decimal"/>
      <w:start w:val="8"/>
    </w:lvl>
  </w:abstractNum>
  <w:abstractNum w:abstractNumId="237">
    <w:nsid w:val="56C28E3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2019-11-29T22:52:18Z</dcterms:created>
  <dcterms:modified xsi:type="dcterms:W3CDTF">2019-11-29T22:52:18Z</dcterms:modified>
</cp:coreProperties>
</file>