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001-39093</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BELLRING BRANDS, INC.</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000"/>
        <w:spacing w:after="0"/>
        <w:rPr>
          <w:sz w:val="20"/>
          <w:szCs w:val="20"/>
          <w:color w:val="auto"/>
        </w:rPr>
      </w:pPr>
      <w:r>
        <w:rPr>
          <w:rFonts w:ascii="Arial" w:cs="Arial" w:eastAsia="Arial" w:hAnsi="Arial"/>
          <w:sz w:val="22"/>
          <w:szCs w:val="22"/>
          <w:color w:val="auto"/>
        </w:rPr>
        <w:t>Address: 2503 South Hanley Road</w:t>
      </w:r>
    </w:p>
    <w:p>
      <w:pPr>
        <w:spacing w:after="0" w:line="44" w:lineRule="exact"/>
        <w:rPr>
          <w:sz w:val="24"/>
          <w:szCs w:val="24"/>
          <w:color w:val="auto"/>
        </w:rPr>
      </w:pPr>
    </w:p>
    <w:p>
      <w:pPr>
        <w:ind w:left="3820"/>
        <w:spacing w:after="0"/>
        <w:rPr>
          <w:sz w:val="20"/>
          <w:szCs w:val="20"/>
          <w:color w:val="auto"/>
        </w:rPr>
      </w:pPr>
      <w:r>
        <w:rPr>
          <w:rFonts w:ascii="Arial" w:cs="Arial" w:eastAsia="Arial" w:hAnsi="Arial"/>
          <w:sz w:val="22"/>
          <w:szCs w:val="22"/>
          <w:color w:val="auto"/>
        </w:rPr>
        <w:t>Saint Louis MISSOURI 63144</w:t>
      </w:r>
    </w:p>
    <w:p>
      <w:pPr>
        <w:spacing w:after="0" w:line="44" w:lineRule="exact"/>
        <w:rPr>
          <w:sz w:val="24"/>
          <w:szCs w:val="24"/>
          <w:color w:val="auto"/>
        </w:rPr>
      </w:pPr>
    </w:p>
    <w:tbl>
      <w:tblPr>
        <w:tblLayout w:type="fixed"/>
        <w:tblInd w:w="210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22"/>
                <w:szCs w:val="22"/>
                <w:color w:val="auto"/>
              </w:rPr>
              <w:t>Telephone number:</w:t>
            </w:r>
          </w:p>
        </w:tc>
        <w:tc>
          <w:tcPr>
            <w:tcW w:w="2760" w:type="dxa"/>
            <w:vAlign w:val="bottom"/>
          </w:tcPr>
          <w:p>
            <w:pPr>
              <w:jc w:val="right"/>
              <w:spacing w:after="0"/>
              <w:rPr>
                <w:sz w:val="20"/>
                <w:szCs w:val="20"/>
                <w:color w:val="auto"/>
              </w:rPr>
            </w:pPr>
            <w:r>
              <w:rPr>
                <w:rFonts w:ascii="Arial" w:cs="Arial" w:eastAsia="Arial" w:hAnsi="Arial"/>
                <w:sz w:val="22"/>
                <w:szCs w:val="22"/>
                <w:color w:val="auto"/>
              </w:rPr>
              <w:t>(314) 644-6400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2" w:lineRule="exact"/>
        <w:rPr>
          <w:sz w:val="24"/>
          <w:szCs w:val="24"/>
          <w:color w:val="auto"/>
        </w:rPr>
      </w:pPr>
    </w:p>
    <w:tbl>
      <w:tblPr>
        <w:tblLayout w:type="fixed"/>
        <w:tblInd w:w="640" w:type="dxa"/>
        <w:tblCellMar>
          <w:top w:w="0" w:type="dxa"/>
          <w:left w:w="0" w:type="dxa"/>
          <w:bottom w:w="0" w:type="dxa"/>
          <w:right w:w="0" w:type="dxa"/>
        </w:tblCellMar>
      </w:tblPr>
      <w:tr>
        <w:trPr>
          <w:trHeight w:val="253"/>
        </w:trPr>
        <w:tc>
          <w:tcPr>
            <w:tcW w:w="2060" w:type="dxa"/>
            <w:vAlign w:val="bottom"/>
          </w:tcPr>
          <w:p>
            <w:pPr>
              <w:spacing w:after="0"/>
              <w:rPr>
                <w:sz w:val="21"/>
                <w:szCs w:val="21"/>
                <w:color w:val="auto"/>
              </w:rPr>
            </w:pPr>
          </w:p>
        </w:tc>
        <w:tc>
          <w:tcPr>
            <w:tcW w:w="940" w:type="dxa"/>
            <w:vAlign w:val="bottom"/>
            <w:vMerge w:val="restart"/>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0"/>
              </w:rPr>
              <w:t>Analyst, Market Watch</w:t>
            </w:r>
          </w:p>
        </w:tc>
        <w:tc>
          <w:tcPr>
            <w:tcW w:w="0" w:type="dxa"/>
            <w:vAlign w:val="bottom"/>
          </w:tcPr>
          <w:p>
            <w:pPr>
              <w:spacing w:after="0"/>
              <w:rPr>
                <w:sz w:val="1"/>
                <w:szCs w:val="1"/>
                <w:color w:val="auto"/>
              </w:rPr>
            </w:pPr>
          </w:p>
        </w:tc>
      </w:tr>
      <w:tr>
        <w:trPr>
          <w:trHeight w:val="153"/>
        </w:trPr>
        <w:tc>
          <w:tcPr>
            <w:tcW w:w="2060" w:type="dxa"/>
            <w:vAlign w:val="bottom"/>
            <w:vMerge w:val="restart"/>
          </w:tcPr>
          <w:p>
            <w:pPr>
              <w:jc w:val="right"/>
              <w:ind w:right="412"/>
              <w:spacing w:after="0"/>
              <w:rPr>
                <w:sz w:val="20"/>
                <w:szCs w:val="20"/>
                <w:color w:val="auto"/>
              </w:rPr>
            </w:pPr>
            <w:r>
              <w:rPr>
                <w:rFonts w:ascii="Arial" w:cs="Arial" w:eastAsia="Arial" w:hAnsi="Arial"/>
                <w:sz w:val="22"/>
                <w:szCs w:val="22"/>
                <w:color w:val="auto"/>
              </w:rPr>
              <w:t>2022-03-11</w:t>
            </w:r>
          </w:p>
        </w:tc>
        <w:tc>
          <w:tcPr>
            <w:tcW w:w="940" w:type="dxa"/>
            <w:vAlign w:val="bottom"/>
            <w:vMerge w:val="continue"/>
          </w:tcPr>
          <w:p>
            <w:pPr>
              <w:spacing w:after="0"/>
              <w:rPr>
                <w:sz w:val="13"/>
                <w:szCs w:val="13"/>
                <w:color w:val="auto"/>
              </w:rPr>
            </w:pPr>
          </w:p>
        </w:tc>
        <w:tc>
          <w:tcPr>
            <w:tcW w:w="3400" w:type="dxa"/>
            <w:vAlign w:val="bottom"/>
            <w:vMerge w:val="restart"/>
          </w:tcPr>
          <w:p>
            <w:pPr>
              <w:ind w:left="1020"/>
              <w:spacing w:after="0"/>
              <w:rPr>
                <w:sz w:val="20"/>
                <w:szCs w:val="20"/>
                <w:color w:val="auto"/>
              </w:rPr>
            </w:pPr>
            <w:r>
              <w:rPr>
                <w:rFonts w:ascii="Arial" w:cs="Arial" w:eastAsia="Arial" w:hAnsi="Arial"/>
                <w:sz w:val="22"/>
                <w:szCs w:val="22"/>
                <w:color w:val="auto"/>
              </w:rPr>
              <w:t>Lauren Frawley</w:t>
            </w:r>
          </w:p>
        </w:tc>
        <w:tc>
          <w:tcPr>
            <w:tcW w:w="26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Arial" w:cs="Arial" w:eastAsia="Arial" w:hAnsi="Arial"/>
                <w:sz w:val="22"/>
                <w:szCs w:val="22"/>
                <w:color w:val="auto"/>
                <w:w w:val="89"/>
              </w:rPr>
              <w:t>and Proxy Compliance</w:t>
            </w:r>
          </w:p>
        </w:tc>
        <w:tc>
          <w:tcPr>
            <w:tcW w:w="0" w:type="dxa"/>
            <w:vAlign w:val="bottom"/>
          </w:tcPr>
          <w:p>
            <w:pPr>
              <w:spacing w:after="0"/>
              <w:rPr>
                <w:sz w:val="1"/>
                <w:szCs w:val="1"/>
                <w:color w:val="auto"/>
              </w:rPr>
            </w:pPr>
          </w:p>
        </w:tc>
      </w:tr>
      <w:tr>
        <w:trPr>
          <w:trHeight w:val="128"/>
        </w:trPr>
        <w:tc>
          <w:tcPr>
            <w:tcW w:w="2060" w:type="dxa"/>
            <w:vAlign w:val="bottom"/>
            <w:tcBorders>
              <w:bottom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340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2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c>
          <w:tcPr>
            <w:tcW w:w="0" w:type="dxa"/>
            <w:vAlign w:val="bottom"/>
          </w:tcPr>
          <w:p>
            <w:pPr>
              <w:spacing w:after="0"/>
              <w:rPr>
                <w:sz w:val="1"/>
                <w:szCs w:val="1"/>
                <w:color w:val="auto"/>
              </w:rPr>
            </w:pP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71" w:lineRule="auto"/>
        <w:rPr>
          <w:sz w:val="20"/>
          <w:szCs w:val="20"/>
          <w:color w:val="auto"/>
        </w:rPr>
      </w:pPr>
      <w:r>
        <w:rPr>
          <w:rFonts w:ascii="Arial" w:cs="Arial" w:eastAsia="Arial" w:hAnsi="Arial"/>
          <w:sz w:val="19"/>
          <w:szCs w:val="19"/>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March 22, 2022, pursuant to the provisions of Rule 12d2-2 (a). [ X ] 17 CFR 240.12d2-2(a)(3) That on March 10, 2022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On March 10, 2022, BellRing Brands, Inc. (formerly known as BellRing Distribution, LLC) ("NEW BellRing") and BellRing Intermediate Holdings, Inc. (formerly known as BellRing Brands, Inc.) ("OLD BellRing"), completed the previously announced merger transactions pursuant to the Agreement and Plan of Merger, dated as of October 26, 2021. Each share of Class A Common Stock of BellRing Intermediate Holdings, Inc. will be converted into the right to receive (i) one share of Common Stock of BellRing Brands, Inc., and (ii) $2.97 in cash. This Form 25 is being filed solely in connection with the discontinuation of the trading on the NYSE of BellRing Intermediate Holdings, Inc.'s ("OLD BellRing") Class A common stock and does not affect the continued listing on the NYSE of the BellRing Brands, Inc.'s ("NEW BellRing") common stock. The Exchange also notifies the Securities and Exchange Commission that as a result of the above indicated conditions this security was suspended from trading on March 11, 2022.</w:t>
      </w:r>
    </w:p>
    <w:sectPr>
      <w:pgSz w:w="11900" w:h="16838" w:orient="portrait"/>
      <w:cols w:equalWidth="0" w:num="1">
        <w:col w:w="11180"/>
      </w:cols>
      <w:pgMar w:left="320" w:top="11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9093" TargetMode="External"/><Relationship Id="rId10"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2022-03-11T11:55:17Z</dcterms:created>
  <dcterms:modified xsi:type="dcterms:W3CDTF">2022-03-11T11:55:17Z</dcterms:modified>
</cp:coreProperties>
</file>