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13335</wp:posOffset>
            </wp:positionV>
            <wp:extent cx="7047865" cy="4597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89"/>
                </w:rPr>
                <w:t>Nwamu Chonda J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10/01/2021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 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298.096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298.096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30.75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392.751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A 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Equivalents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200" w:hanging="1"/>
        <w:spacing w:after="0" w:line="235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Person's retainer earned as a Director of Issuer is deferred into BellRing Brands, Inc. Class A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BellRing Brands, Inc. Class A common stock upon Reporting Person's retirement from the Board of Directors.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equivalents have no fixed exercisable or expiration dates.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Craig L. Rosenthal, Attorney-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in-Fact</w:t>
            </w: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439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2021-10-04T16:22:04Z</dcterms:created>
  <dcterms:modified xsi:type="dcterms:W3CDTF">2021-10-04T16:22:04Z</dcterms:modified>
</cp:coreProperties>
</file>