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1271905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1297305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ind w:left="4840"/>
        <w:spacing w:after="0"/>
        <w:rPr>
          <w:sz w:val="20"/>
          <w:szCs w:val="20"/>
          <w:color w:val="auto"/>
        </w:rPr>
      </w:pPr>
      <w:r>
        <w:rPr>
          <w:rFonts w:ascii="Arial" w:cs="Arial" w:eastAsia="Arial" w:hAnsi="Arial"/>
          <w:sz w:val="20"/>
          <w:szCs w:val="20"/>
          <w:b w:val="1"/>
          <w:bCs w:val="1"/>
          <w:color w:val="auto"/>
        </w:rPr>
        <w:t>UNITED STATES</w:t>
      </w:r>
    </w:p>
    <w:p>
      <w:pPr>
        <w:ind w:left="3500"/>
        <w:spacing w:after="0" w:line="197" w:lineRule="auto"/>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SCHEDULE 13G</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2)*</w:t>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BellRing Brands, Inc.</w:t>
      </w:r>
    </w:p>
    <w:p>
      <w:pPr>
        <w:jc w:val="center"/>
        <w:ind w:right="-19"/>
        <w:spacing w:after="0"/>
        <w:rPr>
          <w:sz w:val="20"/>
          <w:szCs w:val="20"/>
          <w:color w:val="auto"/>
        </w:rPr>
      </w:pPr>
      <w:r>
        <w:rPr>
          <w:rFonts w:ascii="Arial" w:cs="Arial" w:eastAsia="Arial" w:hAnsi="Arial"/>
          <w:sz w:val="18"/>
          <w:szCs w:val="18"/>
          <w:color w:val="auto"/>
        </w:rPr>
        <w:t>(Name of Issuer)</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$0.01 per share</w:t>
      </w: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07831C103</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w:t>
      </w: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38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Rule 13d-1(b)</w:t>
      </w:r>
    </w:p>
    <w:p>
      <w:pPr>
        <w:spacing w:after="0" w:line="144"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Rule 13d-1(c)</w:t>
      </w:r>
    </w:p>
    <w:p>
      <w:pPr>
        <w:spacing w:after="0" w:line="158"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Rule 13d-1(d)</w:t>
      </w:r>
    </w:p>
    <w:p>
      <w:pPr>
        <w:spacing w:after="0" w:line="158" w:lineRule="exact"/>
        <w:rPr>
          <w:sz w:val="24"/>
          <w:szCs w:val="24"/>
          <w:color w:val="auto"/>
        </w:rPr>
      </w:pPr>
    </w:p>
    <w:p>
      <w:pPr>
        <w:jc w:val="both"/>
        <w:ind w:right="20"/>
        <w:spacing w:after="0" w:line="235"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5" w:lineRule="exact"/>
        <w:rPr>
          <w:sz w:val="24"/>
          <w:szCs w:val="24"/>
          <w:color w:val="auto"/>
        </w:rPr>
      </w:pPr>
    </w:p>
    <w:p>
      <w:pPr>
        <w:jc w:val="both"/>
        <w:spacing w:after="0" w:line="22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2186940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2212975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43"/>
        </w:trPr>
        <w:tc>
          <w:tcPr>
            <w:tcW w:w="4060" w:type="dxa"/>
            <w:vAlign w:val="bottom"/>
            <w:tcBorders>
              <w:top w:val="single" w:sz="8" w:color="auto"/>
              <w:left w:val="single" w:sz="8" w:color="auto"/>
              <w:bottom w:val="single" w:sz="8" w:color="auto"/>
              <w:right w:val="single" w:sz="8" w:color="auto"/>
            </w:tcBorders>
          </w:tcPr>
          <w:p>
            <w:pPr>
              <w:ind w:left="1160"/>
              <w:spacing w:after="0"/>
              <w:rPr>
                <w:sz w:val="20"/>
                <w:szCs w:val="20"/>
                <w:color w:val="auto"/>
              </w:rPr>
            </w:pPr>
            <w:r>
              <w:rPr>
                <w:rFonts w:ascii="Arial" w:cs="Arial" w:eastAsia="Arial" w:hAnsi="Arial"/>
                <w:sz w:val="18"/>
                <w:szCs w:val="18"/>
                <w:b w:val="1"/>
                <w:bCs w:val="1"/>
                <w:color w:val="auto"/>
              </w:rPr>
              <w:t>CUSIP No. 07831C103</w:t>
            </w:r>
          </w:p>
        </w:tc>
        <w:tc>
          <w:tcPr>
            <w:tcW w:w="3180" w:type="dxa"/>
            <w:vAlign w:val="bottom"/>
            <w:tcBorders>
              <w:right w:val="single" w:sz="8" w:color="auto"/>
            </w:tcBorders>
          </w:tcPr>
          <w:p>
            <w:pPr>
              <w:ind w:left="1420"/>
              <w:spacing w:after="0"/>
              <w:rPr>
                <w:sz w:val="20"/>
                <w:szCs w:val="20"/>
                <w:color w:val="auto"/>
              </w:rPr>
            </w:pPr>
            <w:r>
              <w:rPr>
                <w:rFonts w:ascii="Arial" w:cs="Arial" w:eastAsia="Arial" w:hAnsi="Arial"/>
                <w:sz w:val="18"/>
                <w:szCs w:val="18"/>
                <w:b w:val="1"/>
                <w:bCs w:val="1"/>
                <w:color w:val="auto"/>
              </w:rPr>
              <w:t>13G</w:t>
            </w:r>
          </w:p>
        </w:tc>
        <w:tc>
          <w:tcPr>
            <w:tcW w:w="4020" w:type="dxa"/>
            <w:vAlign w:val="bottom"/>
            <w:tcBorders>
              <w:top w:val="single" w:sz="8" w:color="auto"/>
              <w:bottom w:val="single" w:sz="8" w:color="auto"/>
              <w:right w:val="single" w:sz="8" w:color="auto"/>
            </w:tcBorders>
          </w:tcPr>
          <w:p>
            <w:pPr>
              <w:ind w:left="2600"/>
              <w:spacing w:after="0"/>
              <w:rPr>
                <w:sz w:val="20"/>
                <w:szCs w:val="20"/>
                <w:color w:val="auto"/>
              </w:rPr>
            </w:pPr>
            <w:r>
              <w:rPr>
                <w:rFonts w:ascii="Arial" w:cs="Arial" w:eastAsia="Arial" w:hAnsi="Arial"/>
                <w:sz w:val="18"/>
                <w:szCs w:val="18"/>
                <w:b w:val="1"/>
                <w:bCs w:val="1"/>
                <w:color w:val="auto"/>
                <w:w w:val="90"/>
              </w:rPr>
              <w:t>Page 2 of 5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132320" cy="35401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540125"/>
                    </a:xfrm>
                    <a:prstGeom prst="rect">
                      <a:avLst/>
                    </a:prstGeom>
                    <a:noFill/>
                  </pic:spPr>
                </pic:pic>
              </a:graphicData>
            </a:graphic>
          </wp:anchor>
        </w:drawing>
      </w:r>
    </w:p>
    <w:p>
      <w:pPr>
        <w:spacing w:after="0" w:line="371" w:lineRule="exact"/>
        <w:rPr>
          <w:sz w:val="20"/>
          <w:szCs w:val="20"/>
          <w:color w:val="auto"/>
        </w:rPr>
      </w:pPr>
    </w:p>
    <w:p>
      <w:pPr>
        <w:ind w:left="1100" w:right="8100" w:hanging="637"/>
        <w:spacing w:after="0" w:line="289" w:lineRule="auto"/>
        <w:tabs>
          <w:tab w:leader="none" w:pos="1100" w:val="left"/>
        </w:tabs>
        <w:numPr>
          <w:ilvl w:val="0"/>
          <w:numId w:val="1"/>
        </w:numPr>
        <w:rPr>
          <w:rFonts w:ascii="Arial" w:cs="Arial" w:eastAsia="Arial" w:hAnsi="Arial"/>
          <w:sz w:val="16"/>
          <w:szCs w:val="16"/>
          <w:color w:val="auto"/>
        </w:rPr>
      </w:pPr>
      <w:r>
        <w:rPr>
          <w:rFonts w:ascii="Arial" w:cs="Arial" w:eastAsia="Arial" w:hAnsi="Arial"/>
          <w:sz w:val="16"/>
          <w:szCs w:val="16"/>
          <w:color w:val="auto"/>
        </w:rPr>
        <w:t>Names of Reporting Persons Post Holdings, Inc.</w:t>
      </w:r>
    </w:p>
    <w:p>
      <w:pPr>
        <w:ind w:left="1100" w:hanging="637"/>
        <w:spacing w:after="0" w:line="224" w:lineRule="auto"/>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ind w:left="2720"/>
        <w:spacing w:after="0" w:line="219" w:lineRule="auto"/>
        <w:rPr>
          <w:rFonts w:ascii="Arial" w:cs="Arial" w:eastAsia="Arial" w:hAnsi="Arial"/>
          <w:sz w:val="18"/>
          <w:szCs w:val="18"/>
          <w:color w:val="auto"/>
        </w:rPr>
      </w:pPr>
      <w:r>
        <w:rPr>
          <w:rFonts w:ascii="Arial" w:cs="Arial" w:eastAsia="Arial" w:hAnsi="Arial"/>
          <w:sz w:val="18"/>
          <w:szCs w:val="18"/>
          <w:color w:val="auto"/>
        </w:rPr>
        <w:t>(a)</w:t>
      </w:r>
    </w:p>
    <w:p>
      <w:pPr>
        <w:ind w:left="2720"/>
        <w:spacing w:after="0"/>
        <w:rPr>
          <w:rFonts w:ascii="Arial" w:cs="Arial" w:eastAsia="Arial" w:hAnsi="Arial"/>
          <w:sz w:val="18"/>
          <w:szCs w:val="18"/>
          <w:color w:val="auto"/>
        </w:rPr>
      </w:pPr>
      <w:r>
        <w:rPr>
          <w:rFonts w:ascii="Arial" w:cs="Arial" w:eastAsia="Arial" w:hAnsi="Arial"/>
          <w:sz w:val="18"/>
          <w:szCs w:val="18"/>
          <w:color w:val="auto"/>
        </w:rPr>
        <w:t>(b)</w:t>
      </w:r>
    </w:p>
    <w:p>
      <w:pPr>
        <w:spacing w:after="0" w:line="34" w:lineRule="exact"/>
        <w:rPr>
          <w:sz w:val="20"/>
          <w:szCs w:val="20"/>
          <w:color w:val="auto"/>
        </w:rPr>
      </w:pPr>
    </w:p>
    <w:p>
      <w:pPr>
        <w:ind w:left="1100" w:hanging="637"/>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50" w:lineRule="exact"/>
        <w:rPr>
          <w:sz w:val="20"/>
          <w:szCs w:val="20"/>
          <w:color w:val="auto"/>
        </w:rPr>
      </w:pPr>
    </w:p>
    <w:p>
      <w:pPr>
        <w:ind w:left="1100" w:right="7540" w:hanging="637"/>
        <w:spacing w:after="0" w:line="235"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Missouri</w:t>
      </w:r>
    </w:p>
    <w:tbl>
      <w:tblPr>
        <w:tblLayout w:type="fixed"/>
        <w:tblInd w:w="0" w:type="dxa"/>
        <w:tblCellMar>
          <w:top w:w="0" w:type="dxa"/>
          <w:left w:w="0" w:type="dxa"/>
          <w:bottom w:w="0" w:type="dxa"/>
          <w:right w:w="0" w:type="dxa"/>
        </w:tblCellMar>
      </w:tblPr>
      <w:tr>
        <w:trPr>
          <w:trHeight w:val="196"/>
        </w:trPr>
        <w:tc>
          <w:tcPr>
            <w:tcW w:w="1760" w:type="dxa"/>
            <w:vAlign w:val="bottom"/>
            <w:tcBorders>
              <w:top w:val="single" w:sz="8" w:color="auto"/>
              <w:right w:val="single" w:sz="8" w:color="auto"/>
            </w:tcBorders>
          </w:tcPr>
          <w:p>
            <w:pPr>
              <w:spacing w:after="0"/>
              <w:rPr>
                <w:sz w:val="17"/>
                <w:szCs w:val="17"/>
                <w:color w:val="auto"/>
              </w:rPr>
            </w:pPr>
          </w:p>
        </w:tc>
        <w:tc>
          <w:tcPr>
            <w:tcW w:w="560" w:type="dxa"/>
            <w:vAlign w:val="bottom"/>
            <w:tcBorders>
              <w:top w:val="single" w:sz="8" w:color="auto"/>
              <w:right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99"/>
              </w:rPr>
              <w:t>5</w:t>
            </w:r>
          </w:p>
        </w:tc>
        <w:tc>
          <w:tcPr>
            <w:tcW w:w="8900" w:type="dxa"/>
            <w:vAlign w:val="bottom"/>
            <w:tcBorders>
              <w:top w:val="single" w:sz="8" w:color="auto"/>
            </w:tcBorders>
          </w:tcPr>
          <w:p>
            <w:pPr>
              <w:ind w:left="80"/>
              <w:spacing w:after="0" w:line="196"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50"/>
        </w:trPr>
        <w:tc>
          <w:tcPr>
            <w:tcW w:w="1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Number of</w:t>
            </w:r>
          </w:p>
        </w:tc>
        <w:tc>
          <w:tcPr>
            <w:tcW w:w="560" w:type="dxa"/>
            <w:vAlign w:val="bottom"/>
            <w:tcBorders>
              <w:bottom w:val="single" w:sz="8" w:color="auto"/>
              <w:right w:val="single" w:sz="8" w:color="auto"/>
            </w:tcBorders>
          </w:tcPr>
          <w:p>
            <w:pPr>
              <w:spacing w:after="0"/>
              <w:rPr>
                <w:sz w:val="21"/>
                <w:szCs w:val="21"/>
                <w:color w:val="auto"/>
              </w:rPr>
            </w:pPr>
          </w:p>
        </w:tc>
        <w:tc>
          <w:tcPr>
            <w:tcW w:w="8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8"/>
        </w:trPr>
        <w:tc>
          <w:tcPr>
            <w:tcW w:w="1760" w:type="dxa"/>
            <w:vAlign w:val="bottom"/>
            <w:tcBorders>
              <w:right w:val="single" w:sz="8" w:color="auto"/>
            </w:tcBorders>
            <w:vMerge w:val="continue"/>
          </w:tcPr>
          <w:p>
            <w:pPr>
              <w:spacing w:after="0"/>
              <w:rPr>
                <w:sz w:val="12"/>
                <w:szCs w:val="12"/>
                <w:color w:val="auto"/>
              </w:rPr>
            </w:pPr>
          </w:p>
        </w:tc>
        <w:tc>
          <w:tcPr>
            <w:tcW w:w="560" w:type="dxa"/>
            <w:vAlign w:val="bottom"/>
            <w:tcBorders>
              <w:right w:val="single" w:sz="8" w:color="auto"/>
            </w:tcBorders>
            <w:vMerge w:val="restart"/>
          </w:tcPr>
          <w:p>
            <w:pPr>
              <w:jc w:val="right"/>
              <w:ind w:right="350"/>
              <w:spacing w:after="0" w:line="176" w:lineRule="exact"/>
              <w:rPr>
                <w:sz w:val="20"/>
                <w:szCs w:val="20"/>
                <w:color w:val="auto"/>
              </w:rPr>
            </w:pPr>
            <w:r>
              <w:rPr>
                <w:rFonts w:ascii="Arial" w:cs="Arial" w:eastAsia="Arial" w:hAnsi="Arial"/>
                <w:sz w:val="18"/>
                <w:szCs w:val="18"/>
                <w:color w:val="auto"/>
                <w:w w:val="99"/>
              </w:rPr>
              <w:t>6</w:t>
            </w:r>
          </w:p>
        </w:tc>
        <w:tc>
          <w:tcPr>
            <w:tcW w:w="8900" w:type="dxa"/>
            <w:vAlign w:val="bottom"/>
            <w:vMerge w:val="restart"/>
          </w:tcPr>
          <w:p>
            <w:pPr>
              <w:ind w:left="80"/>
              <w:spacing w:after="0" w:line="17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8"/>
        </w:trPr>
        <w:tc>
          <w:tcPr>
            <w:tcW w:w="1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4"/>
              </w:rPr>
              <w:t>Shares</w:t>
            </w:r>
          </w:p>
        </w:tc>
        <w:tc>
          <w:tcPr>
            <w:tcW w:w="560" w:type="dxa"/>
            <w:vAlign w:val="bottom"/>
            <w:tcBorders>
              <w:right w:val="single" w:sz="8" w:color="auto"/>
            </w:tcBorders>
            <w:vMerge w:val="continue"/>
          </w:tcPr>
          <w:p>
            <w:pPr>
              <w:spacing w:after="0"/>
              <w:rPr>
                <w:sz w:val="2"/>
                <w:szCs w:val="2"/>
                <w:color w:val="auto"/>
              </w:rPr>
            </w:pPr>
          </w:p>
        </w:tc>
        <w:tc>
          <w:tcPr>
            <w:tcW w:w="89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1760" w:type="dxa"/>
            <w:vAlign w:val="bottom"/>
            <w:tcBorders>
              <w:right w:val="single" w:sz="8" w:color="auto"/>
            </w:tcBorders>
            <w:vMerge w:val="continue"/>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8900" w:type="dxa"/>
            <w:vAlign w:val="bottom"/>
          </w:tcPr>
          <w:p>
            <w:pPr>
              <w:ind w:left="80"/>
              <w:spacing w:after="0" w:line="201"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1"/>
        </w:trPr>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Beneficially</w:t>
            </w:r>
          </w:p>
        </w:tc>
        <w:tc>
          <w:tcPr>
            <w:tcW w:w="560" w:type="dxa"/>
            <w:vAlign w:val="bottom"/>
            <w:tcBorders>
              <w:bottom w:val="single" w:sz="8" w:color="auto"/>
              <w:right w:val="single" w:sz="8" w:color="auto"/>
            </w:tcBorders>
          </w:tcPr>
          <w:p>
            <w:pPr>
              <w:spacing w:after="0"/>
              <w:rPr>
                <w:sz w:val="21"/>
                <w:szCs w:val="21"/>
                <w:color w:val="auto"/>
              </w:rPr>
            </w:pPr>
          </w:p>
        </w:tc>
        <w:tc>
          <w:tcPr>
            <w:tcW w:w="89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7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3"/>
              </w:rPr>
              <w:t>Owned by</w:t>
            </w:r>
          </w:p>
        </w:tc>
        <w:tc>
          <w:tcPr>
            <w:tcW w:w="560" w:type="dxa"/>
            <w:vAlign w:val="bottom"/>
            <w:tcBorders>
              <w:right w:val="single" w:sz="8" w:color="auto"/>
            </w:tcBorders>
          </w:tcPr>
          <w:p>
            <w:pPr>
              <w:jc w:val="right"/>
              <w:ind w:right="350"/>
              <w:spacing w:after="0" w:line="176" w:lineRule="exact"/>
              <w:rPr>
                <w:sz w:val="20"/>
                <w:szCs w:val="20"/>
                <w:color w:val="auto"/>
              </w:rPr>
            </w:pPr>
            <w:r>
              <w:rPr>
                <w:rFonts w:ascii="Arial" w:cs="Arial" w:eastAsia="Arial" w:hAnsi="Arial"/>
                <w:sz w:val="18"/>
                <w:szCs w:val="18"/>
                <w:color w:val="auto"/>
                <w:w w:val="99"/>
              </w:rPr>
              <w:t>7</w:t>
            </w:r>
          </w:p>
        </w:tc>
        <w:tc>
          <w:tcPr>
            <w:tcW w:w="8900" w:type="dxa"/>
            <w:vAlign w:val="bottom"/>
          </w:tcPr>
          <w:p>
            <w:pPr>
              <w:ind w:left="80"/>
              <w:spacing w:after="0" w:line="176"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0"/>
        </w:trPr>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Each Reporting</w:t>
            </w:r>
          </w:p>
        </w:tc>
        <w:tc>
          <w:tcPr>
            <w:tcW w:w="560" w:type="dxa"/>
            <w:vAlign w:val="bottom"/>
            <w:tcBorders>
              <w:bottom w:val="single" w:sz="8" w:color="auto"/>
              <w:right w:val="single" w:sz="8" w:color="auto"/>
            </w:tcBorders>
          </w:tcPr>
          <w:p>
            <w:pPr>
              <w:spacing w:after="0"/>
              <w:rPr>
                <w:sz w:val="21"/>
                <w:szCs w:val="21"/>
                <w:color w:val="auto"/>
              </w:rPr>
            </w:pPr>
          </w:p>
        </w:tc>
        <w:tc>
          <w:tcPr>
            <w:tcW w:w="8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5"/>
        </w:trPr>
        <w:tc>
          <w:tcPr>
            <w:tcW w:w="17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2"/>
              </w:rPr>
              <w:t>Person with:</w:t>
            </w:r>
          </w:p>
        </w:tc>
        <w:tc>
          <w:tcPr>
            <w:tcW w:w="560" w:type="dxa"/>
            <w:vAlign w:val="bottom"/>
            <w:tcBorders>
              <w:right w:val="single" w:sz="8" w:color="auto"/>
            </w:tcBorders>
          </w:tcPr>
          <w:p>
            <w:pPr>
              <w:jc w:val="right"/>
              <w:ind w:right="350"/>
              <w:spacing w:after="0" w:line="176" w:lineRule="exact"/>
              <w:rPr>
                <w:sz w:val="20"/>
                <w:szCs w:val="20"/>
                <w:color w:val="auto"/>
              </w:rPr>
            </w:pPr>
            <w:r>
              <w:rPr>
                <w:rFonts w:ascii="Arial" w:cs="Arial" w:eastAsia="Arial" w:hAnsi="Arial"/>
                <w:sz w:val="18"/>
                <w:szCs w:val="18"/>
                <w:color w:val="auto"/>
                <w:w w:val="99"/>
              </w:rPr>
              <w:t>8</w:t>
            </w:r>
          </w:p>
        </w:tc>
        <w:tc>
          <w:tcPr>
            <w:tcW w:w="8900" w:type="dxa"/>
            <w:vAlign w:val="bottom"/>
          </w:tcPr>
          <w:p>
            <w:pPr>
              <w:ind w:left="80"/>
              <w:spacing w:after="0" w:line="176"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76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8900" w:type="dxa"/>
            <w:vAlign w:val="bottom"/>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76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8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ind w:left="1100" w:right="5260" w:hanging="637"/>
        <w:spacing w:after="0" w:line="234"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spacing w:after="0" w:line="41" w:lineRule="exact"/>
        <w:rPr>
          <w:sz w:val="20"/>
          <w:szCs w:val="20"/>
          <w:color w:val="auto"/>
        </w:rPr>
      </w:pPr>
    </w:p>
    <w:p>
      <w:pPr>
        <w:ind w:left="1100" w:hanging="683"/>
        <w:spacing w:after="0"/>
        <w:tabs>
          <w:tab w:leader="none" w:pos="1100" w:val="left"/>
        </w:tabs>
        <w:numPr>
          <w:ilvl w:val="1"/>
          <w:numId w:val="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49" w:lineRule="exact"/>
        <w:rPr>
          <w:rFonts w:ascii="Arial" w:cs="Arial" w:eastAsia="Arial" w:hAnsi="Arial"/>
          <w:sz w:val="18"/>
          <w:szCs w:val="18"/>
          <w:color w:val="auto"/>
        </w:rPr>
      </w:pPr>
    </w:p>
    <w:p>
      <w:pPr>
        <w:ind w:left="1100" w:right="6280" w:hanging="679"/>
        <w:spacing w:after="0" w:line="235" w:lineRule="auto"/>
        <w:tabs>
          <w:tab w:leader="none" w:pos="1100" w:val="left"/>
        </w:tabs>
        <w:numPr>
          <w:ilvl w:val="1"/>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spacing w:after="0" w:line="24" w:lineRule="exact"/>
        <w:rPr>
          <w:rFonts w:ascii="Arial" w:cs="Arial" w:eastAsia="Arial" w:hAnsi="Arial"/>
          <w:sz w:val="18"/>
          <w:szCs w:val="18"/>
          <w:color w:val="auto"/>
        </w:rPr>
      </w:pPr>
    </w:p>
    <w:p>
      <w:pPr>
        <w:ind w:left="1100" w:hanging="683"/>
        <w:spacing w:after="0"/>
        <w:tabs>
          <w:tab w:leader="none" w:pos="11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ind w:left="110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35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Number of shares as of December 31, 2022. See Item 4 below.</w:t>
      </w:r>
    </w:p>
    <w:p>
      <w:pPr>
        <w:sectPr>
          <w:pgSz w:w="11900" w:h="16838" w:orient="portrait"/>
          <w:cols w:equalWidth="0" w:num="1">
            <w:col w:w="11260"/>
          </w:cols>
          <w:pgMar w:left="320" w:top="1294" w:right="319" w:bottom="1440" w:gutter="0" w:footer="0" w:header="0"/>
        </w:sectPr>
      </w:pPr>
    </w:p>
    <w:bookmarkStart w:id="2" w:name="page3"/>
    <w:bookmarkEnd w:id="2"/>
    <w:p>
      <w:pPr>
        <w:ind w:left="1160"/>
        <w:spacing w:after="0"/>
        <w:tabs>
          <w:tab w:leader="none" w:pos="5460" w:val="left"/>
          <w:tab w:leader="none" w:pos="9820" w:val="left"/>
        </w:tabs>
        <w:rPr>
          <w:sz w:val="20"/>
          <w:szCs w:val="20"/>
          <w:color w:val="auto"/>
        </w:rPr>
      </w:pPr>
      <w:r>
        <w:rPr>
          <w:rFonts w:ascii="Arial" w:cs="Arial" w:eastAsia="Arial" w:hAnsi="Arial"/>
          <w:sz w:val="18"/>
          <w:szCs w:val="18"/>
          <w:b w:val="1"/>
          <w:bCs w:val="1"/>
          <w:color w:val="auto"/>
        </w:rPr>
        <w:t>CUSIP No. 07831C103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3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-127635</wp:posOffset>
            </wp:positionV>
            <wp:extent cx="256286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6286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257175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71750" cy="16319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Name of Issuer:</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BellRing Brands, Inc. (“BellRing”)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2503 S. Hanley Road</w:t>
      </w:r>
    </w:p>
    <w:p>
      <w:pPr>
        <w:ind w:left="180"/>
        <w:spacing w:after="0"/>
        <w:rPr>
          <w:sz w:val="20"/>
          <w:szCs w:val="20"/>
          <w:color w:val="auto"/>
        </w:rPr>
      </w:pPr>
      <w:r>
        <w:rPr>
          <w:rFonts w:ascii="Arial" w:cs="Arial" w:eastAsia="Arial" w:hAnsi="Arial"/>
          <w:sz w:val="18"/>
          <w:szCs w:val="18"/>
          <w:color w:val="auto"/>
        </w:rPr>
        <w:t>St. Louis, Missouri 63144</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Post Holdings, Inc. (“Post”)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or Principal Business Office or, if None, Residence: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2503 S. Hanley Road</w:t>
      </w:r>
    </w:p>
    <w:p>
      <w:pPr>
        <w:ind w:left="180"/>
        <w:spacing w:after="0"/>
        <w:rPr>
          <w:sz w:val="20"/>
          <w:szCs w:val="20"/>
          <w:color w:val="auto"/>
        </w:rPr>
      </w:pPr>
      <w:r>
        <w:rPr>
          <w:rFonts w:ascii="Arial" w:cs="Arial" w:eastAsia="Arial" w:hAnsi="Arial"/>
          <w:sz w:val="18"/>
          <w:szCs w:val="18"/>
          <w:color w:val="auto"/>
        </w:rPr>
        <w:t>St. Louis, Missouri 63144</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Post is a Missouri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stock, par value $0.01 per share (“BellRing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No.:</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07831C103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Explanatory Note: </w:t>
      </w:r>
      <w:r>
        <w:rPr>
          <w:rFonts w:ascii="Arial" w:cs="Arial" w:eastAsia="Arial" w:hAnsi="Arial"/>
          <w:sz w:val="18"/>
          <w:szCs w:val="18"/>
          <w:color w:val="auto"/>
        </w:rPr>
        <w:t>On October 26, 2021, BellRing (then BellRing Distribution, LLC), a wholly-owned subsidiary of Post, entered into a</w:t>
      </w:r>
    </w:p>
    <w:p>
      <w:pPr>
        <w:jc w:val="both"/>
        <w:ind w:left="660" w:right="460"/>
        <w:spacing w:after="0" w:line="234" w:lineRule="auto"/>
        <w:rPr>
          <w:sz w:val="20"/>
          <w:szCs w:val="20"/>
          <w:color w:val="auto"/>
        </w:rPr>
      </w:pPr>
      <w:r>
        <w:rPr>
          <w:rFonts w:ascii="Arial" w:cs="Arial" w:eastAsia="Arial" w:hAnsi="Arial"/>
          <w:sz w:val="16"/>
          <w:szCs w:val="16"/>
          <w:color w:val="auto"/>
        </w:rPr>
        <w:t>Transaction Agreement and Plan of Merger (as amended February 28, 2022, the “Transaction Agreement”) with Post, BellRing Intermediate Holdings, Inc. (then BellRing Brands, Inc., “Old BellRing”) and BellRing Merger Sub Corporation, a wholly-owned subsidiary of BellRing (“Merger Sub”). Pursuant to the Transaction Agreement and subject to certain conditions, among other things, (i) on March 9, 2022, Post</w:t>
      </w:r>
    </w:p>
    <w:p>
      <w:pPr>
        <w:spacing w:after="0" w:line="2" w:lineRule="exact"/>
        <w:rPr>
          <w:sz w:val="20"/>
          <w:szCs w:val="20"/>
          <w:color w:val="auto"/>
        </w:rPr>
      </w:pPr>
    </w:p>
    <w:p>
      <w:pPr>
        <w:ind w:left="660" w:right="20"/>
        <w:spacing w:after="0" w:line="234" w:lineRule="auto"/>
        <w:rPr>
          <w:sz w:val="20"/>
          <w:szCs w:val="20"/>
          <w:color w:val="auto"/>
        </w:rPr>
      </w:pPr>
      <w:r>
        <w:rPr>
          <w:rFonts w:ascii="Arial" w:cs="Arial" w:eastAsia="Arial" w:hAnsi="Arial"/>
          <w:sz w:val="16"/>
          <w:szCs w:val="16"/>
          <w:color w:val="auto"/>
        </w:rPr>
        <w:t>contributed (such contribution, the “Separation”) its share of Old BellRing Class B common stock, all of its membership interests of BellRing Brands, LLC and cash to BellRing in exchange for all of the then-outstanding equity of BellRing and debt securities of BellRing, (ii) on March 10, 2022 (the “Closing Date”), BellRing converted into a Delaware corporation and changed its name to BellRing Brands, Inc., (iii) following the</w:t>
      </w:r>
    </w:p>
    <w:p>
      <w:pPr>
        <w:spacing w:after="0" w:line="2" w:lineRule="exact"/>
        <w:rPr>
          <w:sz w:val="20"/>
          <w:szCs w:val="20"/>
          <w:color w:val="auto"/>
        </w:rPr>
      </w:pPr>
    </w:p>
    <w:p>
      <w:pPr>
        <w:ind w:left="660"/>
        <w:spacing w:after="0" w:line="234" w:lineRule="auto"/>
        <w:rPr>
          <w:sz w:val="20"/>
          <w:szCs w:val="20"/>
          <w:color w:val="auto"/>
        </w:rPr>
      </w:pPr>
      <w:r>
        <w:rPr>
          <w:rFonts w:ascii="Arial" w:cs="Arial" w:eastAsia="Arial" w:hAnsi="Arial"/>
          <w:sz w:val="16"/>
          <w:szCs w:val="16"/>
          <w:color w:val="auto"/>
        </w:rPr>
        <w:t>Separation and such conversion, Post distributed an aggregate of 78,076,841 shares of BellRing Common Stock to Post shareholders in a pro-rata distribution (the “Distribution”) and (iv) following the Distribution, Merger Sub merged with and into Old BellRing, with Old BellRing continuing as the surviving corporation and a wholly-owned subsidiary of BellRing. Immediately following the Distribution, Post owned 19,397,339 shares</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of BellRing Common Stock, or approximately 14.2% of the shares of BellRing Common Stock outstanding as of such time.</w:t>
      </w:r>
    </w:p>
    <w:p>
      <w:pPr>
        <w:spacing w:after="0" w:line="196" w:lineRule="exact"/>
        <w:rPr>
          <w:sz w:val="20"/>
          <w:szCs w:val="20"/>
          <w:color w:val="auto"/>
        </w:rPr>
      </w:pPr>
    </w:p>
    <w:p>
      <w:pPr>
        <w:ind w:left="660" w:right="200"/>
        <w:spacing w:after="0" w:line="248" w:lineRule="auto"/>
        <w:rPr>
          <w:sz w:val="20"/>
          <w:szCs w:val="20"/>
          <w:color w:val="auto"/>
        </w:rPr>
      </w:pPr>
      <w:r>
        <w:rPr>
          <w:rFonts w:ascii="Arial" w:cs="Arial" w:eastAsia="Arial" w:hAnsi="Arial"/>
          <w:sz w:val="16"/>
          <w:szCs w:val="16"/>
          <w:color w:val="auto"/>
        </w:rPr>
        <w:t>On August 11, 2022, pursuant to an exchange agreement, dated as of August 8, 2022, by and between Post and certain funding incremental term loan lenders, Post transferred 14,800,000 shares of BellRing Common Stock to such lenders (or their respective designees) to repay and retire</w:t>
      </w:r>
    </w:p>
    <w:p>
      <w:pPr>
        <w:ind w:left="660" w:right="160"/>
        <w:spacing w:after="0" w:line="218" w:lineRule="auto"/>
        <w:rPr>
          <w:sz w:val="20"/>
          <w:szCs w:val="20"/>
          <w:color w:val="auto"/>
        </w:rPr>
      </w:pPr>
      <w:r>
        <w:rPr>
          <w:rFonts w:ascii="Arial" w:cs="Arial" w:eastAsia="Arial" w:hAnsi="Arial"/>
          <w:sz w:val="18"/>
          <w:szCs w:val="18"/>
          <w:color w:val="auto"/>
        </w:rPr>
        <w:t>certain of its debt obligations (the “August Debt-for-Equity Exchange”). Immediately after the completion of the August Debt-for-Equity Exchange, Post held 4,597,339 shares of BellRing Common Stock, or approximately 3.4% of the shares of BellRing Common Stock outstanding as of such time.</w:t>
      </w:r>
    </w:p>
    <w:p>
      <w:pPr>
        <w:spacing w:after="0" w:line="203" w:lineRule="exact"/>
        <w:rPr>
          <w:sz w:val="20"/>
          <w:szCs w:val="20"/>
          <w:color w:val="auto"/>
        </w:rPr>
      </w:pPr>
    </w:p>
    <w:p>
      <w:pPr>
        <w:ind w:left="660" w:right="360"/>
        <w:spacing w:after="0" w:line="241" w:lineRule="auto"/>
        <w:rPr>
          <w:sz w:val="20"/>
          <w:szCs w:val="20"/>
          <w:color w:val="auto"/>
        </w:rPr>
      </w:pPr>
      <w:r>
        <w:rPr>
          <w:rFonts w:ascii="Arial" w:cs="Arial" w:eastAsia="Arial" w:hAnsi="Arial"/>
          <w:sz w:val="16"/>
          <w:szCs w:val="16"/>
          <w:color w:val="auto"/>
        </w:rPr>
        <w:t>On November 25, 2022, pursuant to an exchange agreement, dated as of November 21, 2022, by and between Post and J.P. Morgan Securities LLC (“J.P. Morgan”), Post transferred 4,597,339 shares of BellRing Common Stock, which represented its remaining ownership interest in BellRing, to J.P. Morgan to repay and retire certain of its debt obligations (the “November Debt-for-Equity Exchange”). Immediately after the</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completion of the November Debt-for-Equity Exchange, Post did not hold any shares of BellRing Common Stock.</w:t>
      </w:r>
    </w:p>
    <w:p>
      <w:pPr>
        <w:sectPr>
          <w:pgSz w:w="11900" w:h="16838" w:orient="portrait"/>
          <w:cols w:equalWidth="0" w:num="1">
            <w:col w:w="11240"/>
          </w:cols>
          <w:pgMar w:left="320" w:top="1417" w:right="339" w:bottom="1440" w:gutter="0" w:footer="0" w:header="0"/>
          <w:type w:val="continuous"/>
        </w:sectPr>
      </w:pPr>
    </w:p>
    <w:bookmarkStart w:id="3" w:name="page4"/>
    <w:bookmarkEnd w:id="3"/>
    <w:tbl>
      <w:tblPr>
        <w:tblLayout w:type="fixed"/>
        <w:tblInd w:w="10" w:type="dxa"/>
        <w:tblCellMar>
          <w:top w:w="0" w:type="dxa"/>
          <w:left w:w="0" w:type="dxa"/>
          <w:bottom w:w="0" w:type="dxa"/>
          <w:right w:w="0" w:type="dxa"/>
        </w:tblCellMar>
      </w:tblPr>
      <w:tr>
        <w:trPr>
          <w:trHeight w:val="243"/>
        </w:trPr>
        <w:tc>
          <w:tcPr>
            <w:tcW w:w="4060" w:type="dxa"/>
            <w:vAlign w:val="bottom"/>
            <w:tcBorders>
              <w:top w:val="single" w:sz="8" w:color="auto"/>
              <w:left w:val="single" w:sz="8" w:color="auto"/>
              <w:bottom w:val="single" w:sz="8" w:color="auto"/>
              <w:right w:val="single" w:sz="8" w:color="auto"/>
            </w:tcBorders>
          </w:tcPr>
          <w:p>
            <w:pPr>
              <w:ind w:left="1160"/>
              <w:spacing w:after="0"/>
              <w:rPr>
                <w:sz w:val="20"/>
                <w:szCs w:val="20"/>
                <w:color w:val="auto"/>
              </w:rPr>
            </w:pPr>
            <w:r>
              <w:rPr>
                <w:rFonts w:ascii="Arial" w:cs="Arial" w:eastAsia="Arial" w:hAnsi="Arial"/>
                <w:sz w:val="18"/>
                <w:szCs w:val="18"/>
                <w:b w:val="1"/>
                <w:bCs w:val="1"/>
                <w:color w:val="auto"/>
              </w:rPr>
              <w:t>CUSIP No. 07831C103</w:t>
            </w:r>
          </w:p>
        </w:tc>
        <w:tc>
          <w:tcPr>
            <w:tcW w:w="3180" w:type="dxa"/>
            <w:vAlign w:val="bottom"/>
            <w:tcBorders>
              <w:right w:val="single" w:sz="8" w:color="auto"/>
            </w:tcBorders>
          </w:tcPr>
          <w:p>
            <w:pPr>
              <w:ind w:left="1420"/>
              <w:spacing w:after="0"/>
              <w:rPr>
                <w:sz w:val="20"/>
                <w:szCs w:val="20"/>
                <w:color w:val="auto"/>
              </w:rPr>
            </w:pPr>
            <w:r>
              <w:rPr>
                <w:rFonts w:ascii="Arial" w:cs="Arial" w:eastAsia="Arial" w:hAnsi="Arial"/>
                <w:sz w:val="18"/>
                <w:szCs w:val="18"/>
                <w:b w:val="1"/>
                <w:bCs w:val="1"/>
                <w:color w:val="auto"/>
              </w:rPr>
              <w:t>13G</w:t>
            </w:r>
          </w:p>
        </w:tc>
        <w:tc>
          <w:tcPr>
            <w:tcW w:w="4020" w:type="dxa"/>
            <w:vAlign w:val="bottom"/>
            <w:tcBorders>
              <w:top w:val="single" w:sz="8" w:color="auto"/>
              <w:bottom w:val="single" w:sz="8" w:color="auto"/>
              <w:right w:val="single" w:sz="8" w:color="auto"/>
            </w:tcBorders>
          </w:tcPr>
          <w:p>
            <w:pPr>
              <w:ind w:left="2600"/>
              <w:spacing w:after="0"/>
              <w:rPr>
                <w:sz w:val="20"/>
                <w:szCs w:val="20"/>
                <w:color w:val="auto"/>
              </w:rPr>
            </w:pPr>
            <w:r>
              <w:rPr>
                <w:rFonts w:ascii="Arial" w:cs="Arial" w:eastAsia="Arial" w:hAnsi="Arial"/>
                <w:sz w:val="18"/>
                <w:szCs w:val="18"/>
                <w:b w:val="1"/>
                <w:bCs w:val="1"/>
                <w:color w:val="auto"/>
                <w:w w:val="90"/>
              </w:rPr>
              <w:t>Page 4 of 5 Pages</w:t>
            </w:r>
          </w:p>
        </w:tc>
      </w:tr>
    </w:tbl>
    <w:p>
      <w:pPr>
        <w:spacing w:after="0" w:line="306"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Amount beneficially owned:</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0 shares of BellRing Common Stock.</w:t>
      </w:r>
    </w:p>
    <w:p>
      <w:pPr>
        <w:spacing w:after="0" w:line="221"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Percent of class:</w:t>
      </w:r>
    </w:p>
    <w:p>
      <w:pPr>
        <w:spacing w:after="0" w:line="21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0%.</w:t>
      </w:r>
    </w:p>
    <w:p>
      <w:pPr>
        <w:spacing w:after="0" w:line="208" w:lineRule="exact"/>
        <w:rPr>
          <w:sz w:val="20"/>
          <w:szCs w:val="20"/>
          <w:color w:val="auto"/>
        </w:rPr>
      </w:pPr>
    </w:p>
    <w:p>
      <w:pPr>
        <w:ind w:left="800" w:hanging="387"/>
        <w:spacing w:after="0"/>
        <w:tabs>
          <w:tab w:leader="none" w:pos="8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such person has:</w:t>
      </w:r>
    </w:p>
    <w:p>
      <w:pPr>
        <w:spacing w:after="0" w:line="229" w:lineRule="exact"/>
        <w:rPr>
          <w:rFonts w:ascii="Arial" w:cs="Arial" w:eastAsia="Arial" w:hAnsi="Arial"/>
          <w:sz w:val="18"/>
          <w:szCs w:val="18"/>
          <w:b w:val="1"/>
          <w:bCs w:val="1"/>
          <w:color w:val="auto"/>
        </w:rPr>
      </w:pPr>
    </w:p>
    <w:p>
      <w:pPr>
        <w:ind w:left="1700" w:right="6700" w:hanging="639"/>
        <w:spacing w:after="0" w:line="235" w:lineRule="auto"/>
        <w:tabs>
          <w:tab w:leader="none" w:pos="1694"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34" w:lineRule="exact"/>
        <w:rPr>
          <w:rFonts w:ascii="Arial" w:cs="Arial" w:eastAsia="Arial" w:hAnsi="Arial"/>
          <w:sz w:val="18"/>
          <w:szCs w:val="18"/>
          <w:color w:val="auto"/>
        </w:rPr>
      </w:pPr>
    </w:p>
    <w:p>
      <w:pPr>
        <w:ind w:left="1700" w:right="6520" w:hanging="639"/>
        <w:spacing w:after="0" w:line="212" w:lineRule="auto"/>
        <w:tabs>
          <w:tab w:leader="none" w:pos="169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1" w:lineRule="exact"/>
        <w:rPr>
          <w:rFonts w:ascii="Arial" w:cs="Arial" w:eastAsia="Arial" w:hAnsi="Arial"/>
          <w:sz w:val="18"/>
          <w:szCs w:val="18"/>
          <w:color w:val="auto"/>
        </w:rPr>
      </w:pPr>
    </w:p>
    <w:p>
      <w:pPr>
        <w:ind w:left="1700" w:right="5780" w:hanging="639"/>
        <w:spacing w:after="0" w:line="233" w:lineRule="auto"/>
        <w:tabs>
          <w:tab w:leader="none" w:pos="17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89" w:lineRule="exact"/>
        <w:rPr>
          <w:rFonts w:ascii="Arial" w:cs="Arial" w:eastAsia="Arial" w:hAnsi="Arial"/>
          <w:sz w:val="18"/>
          <w:szCs w:val="18"/>
          <w:color w:val="auto"/>
        </w:rPr>
      </w:pPr>
    </w:p>
    <w:p>
      <w:pPr>
        <w:ind w:left="1700" w:right="5620" w:hanging="639"/>
        <w:spacing w:after="0" w:line="235" w:lineRule="auto"/>
        <w:tabs>
          <w:tab w:leader="none" w:pos="169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5 Percent or Less of a Class.</w:t>
      </w:r>
    </w:p>
    <w:p>
      <w:pPr>
        <w:spacing w:after="0" w:line="148" w:lineRule="exact"/>
        <w:rPr>
          <w:sz w:val="20"/>
          <w:szCs w:val="20"/>
          <w:color w:val="auto"/>
        </w:rPr>
      </w:pPr>
    </w:p>
    <w:p>
      <w:pPr>
        <w:ind w:left="660" w:right="80"/>
        <w:spacing w:after="0" w:line="246"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5 percent of the class of securities, check the following .</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5 Percent on Behalf of Another Person.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60"/>
          </w:cols>
          <w:pgMar w:left="320" w:top="1402" w:right="319" w:bottom="1440" w:gutter="0" w:footer="0" w:header="0"/>
        </w:sectPr>
      </w:pPr>
    </w:p>
    <w:bookmarkStart w:id="4" w:name="page5"/>
    <w:bookmarkEnd w:id="4"/>
    <w:p>
      <w:pPr>
        <w:ind w:left="1160"/>
        <w:spacing w:after="0"/>
        <w:tabs>
          <w:tab w:leader="none" w:pos="5460" w:val="left"/>
          <w:tab w:leader="none" w:pos="9820" w:val="left"/>
        </w:tabs>
        <w:rPr>
          <w:sz w:val="20"/>
          <w:szCs w:val="20"/>
          <w:color w:val="auto"/>
        </w:rPr>
      </w:pPr>
      <w:r>
        <w:rPr>
          <w:rFonts w:ascii="Arial" w:cs="Arial" w:eastAsia="Arial" w:hAnsi="Arial"/>
          <w:sz w:val="18"/>
          <w:szCs w:val="18"/>
          <w:b w:val="1"/>
          <w:bCs w:val="1"/>
          <w:color w:val="auto"/>
        </w:rPr>
        <w:t>CUSIP No. 07831C103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5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-127635</wp:posOffset>
            </wp:positionV>
            <wp:extent cx="256286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6286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257175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71750" cy="16319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r>
              <w:rPr>
                <w:rFonts w:ascii="Arial" w:cs="Arial" w:eastAsia="Arial" w:hAnsi="Arial"/>
                <w:sz w:val="18"/>
                <w:szCs w:val="18"/>
                <w:color w:val="auto"/>
              </w:rPr>
              <w:t>Date: January 5, 2023</w:t>
            </w:r>
          </w:p>
        </w:tc>
        <w:tc>
          <w:tcPr>
            <w:tcW w:w="7780" w:type="dxa"/>
            <w:vAlign w:val="bottom"/>
            <w:gridSpan w:val="2"/>
          </w:tcPr>
          <w:p>
            <w:pPr>
              <w:ind w:left="1760"/>
              <w:spacing w:after="0"/>
              <w:rPr>
                <w:sz w:val="20"/>
                <w:szCs w:val="20"/>
                <w:color w:val="auto"/>
              </w:rPr>
            </w:pPr>
            <w:r>
              <w:rPr>
                <w:rFonts w:ascii="Arial" w:cs="Arial" w:eastAsia="Arial" w:hAnsi="Arial"/>
                <w:sz w:val="18"/>
                <w:szCs w:val="18"/>
                <w:b w:val="1"/>
                <w:bCs w:val="1"/>
                <w:color w:val="auto"/>
              </w:rPr>
              <w:t>Post Holdings, Inc.</w:t>
            </w:r>
          </w:p>
        </w:tc>
      </w:tr>
      <w:tr>
        <w:trPr>
          <w:trHeight w:val="445"/>
        </w:trPr>
        <w:tc>
          <w:tcPr>
            <w:tcW w:w="3340" w:type="dxa"/>
            <w:vAlign w:val="bottom"/>
          </w:tcPr>
          <w:p>
            <w:pPr>
              <w:spacing w:after="0"/>
              <w:rPr>
                <w:sz w:val="24"/>
                <w:szCs w:val="24"/>
                <w:color w:val="auto"/>
              </w:rPr>
            </w:pPr>
          </w:p>
        </w:tc>
        <w:tc>
          <w:tcPr>
            <w:tcW w:w="2380" w:type="dxa"/>
            <w:vAlign w:val="bottom"/>
          </w:tcPr>
          <w:p>
            <w:pPr>
              <w:ind w:left="1760"/>
              <w:spacing w:after="0"/>
              <w:rPr>
                <w:sz w:val="20"/>
                <w:szCs w:val="20"/>
                <w:color w:val="auto"/>
              </w:rPr>
            </w:pPr>
            <w:r>
              <w:rPr>
                <w:rFonts w:ascii="Arial" w:cs="Arial" w:eastAsia="Arial" w:hAnsi="Arial"/>
                <w:sz w:val="18"/>
                <w:szCs w:val="18"/>
                <w:color w:val="auto"/>
              </w:rPr>
              <w:t>By:</w:t>
            </w:r>
          </w:p>
        </w:tc>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Diedre J. Gray</w:t>
            </w:r>
          </w:p>
        </w:tc>
      </w:tr>
      <w:tr>
        <w:trPr>
          <w:trHeight w:val="224"/>
        </w:trPr>
        <w:tc>
          <w:tcPr>
            <w:tcW w:w="33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Name:  Diedre J. Gray</w:t>
            </w:r>
          </w:p>
        </w:tc>
      </w:tr>
    </w:tbl>
    <w:p>
      <w:pPr>
        <w:ind w:left="5800"/>
        <w:spacing w:after="0"/>
        <w:tabs>
          <w:tab w:leader="none" w:pos="6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EVP, General Counsel &amp; Chief Administrative</w:t>
      </w:r>
    </w:p>
    <w:p>
      <w:pPr>
        <w:ind w:left="5980"/>
        <w:spacing w:after="0"/>
        <w:rPr>
          <w:sz w:val="20"/>
          <w:szCs w:val="20"/>
          <w:color w:val="auto"/>
        </w:rPr>
      </w:pPr>
      <w:r>
        <w:rPr>
          <w:rFonts w:ascii="Arial" w:cs="Arial" w:eastAsia="Arial" w:hAnsi="Arial"/>
          <w:sz w:val="18"/>
          <w:szCs w:val="18"/>
          <w:color w:val="auto"/>
        </w:rPr>
        <w:t>Officer, Secretary</w:t>
      </w:r>
    </w:p>
    <w:sectPr>
      <w:pgSz w:w="11900" w:h="16838" w:orient="portrait"/>
      <w:cols w:equalWidth="0" w:num="1">
        <w:col w:w="11240"/>
      </w:cols>
      <w:pgMar w:left="320" w:top="141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bullet"/>
      <w:start w:val="1"/>
    </w:lvl>
  </w:abstractNum>
  <w:abstractNum w:abstractNumId="1">
    <w:nsid w:val="238E1F29"/>
    <w:multiLevelType w:val="hybridMultilevel"/>
    <w:lvl w:ilvl="0">
      <w:lvlJc w:val="left"/>
      <w:lvlText w:val="2"/>
      <w:numFmt w:val="bullet"/>
      <w:start w:val="1"/>
    </w:lvl>
  </w:abstractNum>
  <w:abstractNum w:abstractNumId="2">
    <w:nsid w:val="46E87CCD"/>
    <w:multiLevelType w:val="hybridMultilevel"/>
    <w:lvl w:ilvl="0">
      <w:lvlJc w:val="left"/>
      <w:lvlText w:val="3"/>
      <w:numFmt w:val="bullet"/>
      <w:start w:val="1"/>
    </w:lvl>
  </w:abstractNum>
  <w:abstractNum w:abstractNumId="3">
    <w:nsid w:val="3D1B58BA"/>
    <w:multiLevelType w:val="hybridMultilevel"/>
    <w:lvl w:ilvl="0">
      <w:lvlJc w:val="left"/>
      <w:lvlText w:val="4"/>
      <w:numFmt w:val="bullet"/>
      <w:start w:val="1"/>
    </w:lvl>
  </w:abstractNum>
  <w:abstractNum w:abstractNumId="4">
    <w:nsid w:val="507ED7AB"/>
    <w:multiLevelType w:val="hybridMultilevel"/>
    <w:lvl w:ilvl="0">
      <w:lvlJc w:val="left"/>
      <w:lvlText w:val="9"/>
      <w:numFmt w:val="bullet"/>
      <w:start w:val="1"/>
    </w:lvl>
  </w:abstractNum>
  <w:abstractNum w:abstractNumId="5">
    <w:nsid w:val="2EB141F2"/>
    <w:multiLevelType w:val="hybridMultilevel"/>
    <w:lvl w:ilvl="0">
      <w:lvlJc w:val="left"/>
      <w:lvlText w:val="*"/>
      <w:numFmt w:val="bullet"/>
      <w:start w:val="1"/>
    </w:lvl>
    <w:lvl w:ilvl="1">
      <w:lvlJc w:val="left"/>
      <w:lvlText w:val="%2"/>
      <w:numFmt w:val="decimal"/>
      <w:start w:val="10"/>
    </w:lvl>
  </w:abstractNum>
  <w:abstractNum w:abstractNumId="6">
    <w:nsid w:val="41B71EFB"/>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2023-01-05T15:38:13Z</dcterms:created>
  <dcterms:modified xsi:type="dcterms:W3CDTF">2023-01-05T15:38:13Z</dcterms:modified>
</cp:coreProperties>
</file>