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52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528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Post Holdings, Inc.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10/16/2019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BELLRING BRANDS,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16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2503 S. HANLEY ROAD</w:t>
            </w:r>
          </w:p>
        </w:tc>
        <w:tc>
          <w:tcPr>
            <w:tcW w:w="120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ST. LOUIS</w:t>
            </w:r>
          </w:p>
        </w:tc>
        <w:tc>
          <w:tcPr>
            <w:tcW w:w="1080" w:type="dxa"/>
            <w:vAlign w:val="bottom"/>
          </w:tcPr>
          <w:p>
            <w:pPr>
              <w:ind w:left="160"/>
              <w:spacing w:after="0"/>
              <w:rPr>
                <w:sz w:val="20"/>
                <w:szCs w:val="20"/>
                <w:color w:val="auto"/>
              </w:rPr>
            </w:pPr>
            <w:r>
              <w:rPr>
                <w:rFonts w:ascii="Arial" w:cs="Arial" w:eastAsia="Arial" w:hAnsi="Arial"/>
                <w:sz w:val="18"/>
                <w:szCs w:val="18"/>
                <w:color w:val="0000FF"/>
              </w:rPr>
              <w:t>MO</w:t>
            </w:r>
          </w:p>
        </w:tc>
        <w:tc>
          <w:tcPr>
            <w:tcW w:w="1200" w:type="dxa"/>
            <w:vAlign w:val="bottom"/>
          </w:tcPr>
          <w:p>
            <w:pPr>
              <w:ind w:left="160"/>
              <w:spacing w:after="0"/>
              <w:rPr>
                <w:sz w:val="20"/>
                <w:szCs w:val="20"/>
                <w:color w:val="auto"/>
              </w:rPr>
            </w:pPr>
            <w:r>
              <w:rPr>
                <w:rFonts w:ascii="Arial" w:cs="Arial" w:eastAsia="Arial" w:hAnsi="Arial"/>
                <w:sz w:val="18"/>
                <w:szCs w:val="18"/>
                <w:color w:val="0000FF"/>
              </w:rPr>
              <w:t>63144</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160"/>
              <w:spacing w:after="0"/>
              <w:rPr>
                <w:sz w:val="20"/>
                <w:szCs w:val="20"/>
                <w:color w:val="auto"/>
              </w:rPr>
            </w:pPr>
            <w:r>
              <w:rPr>
                <w:rFonts w:ascii="Arial" w:cs="Arial" w:eastAsia="Arial" w:hAnsi="Arial"/>
                <w:sz w:val="14"/>
                <w:szCs w:val="14"/>
                <w:color w:val="auto"/>
              </w:rPr>
              <w:t>(State)</w:t>
            </w:r>
          </w:p>
        </w:tc>
        <w:tc>
          <w:tcPr>
            <w:tcW w:w="120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jc w:val="center"/>
              <w:ind w:right="771"/>
              <w:spacing w:after="0" w:line="324" w:lineRule="exact"/>
              <w:rPr>
                <w:sz w:val="20"/>
                <w:szCs w:val="20"/>
                <w:color w:val="auto"/>
              </w:rPr>
            </w:pPr>
            <w:r>
              <w:rPr>
                <w:rFonts w:ascii="Arial" w:cs="Arial" w:eastAsia="Arial" w:hAnsi="Arial"/>
                <w:sz w:val="35"/>
                <w:szCs w:val="35"/>
                <w:color w:val="0000FF"/>
                <w:vertAlign w:val="subscript"/>
              </w:rPr>
              <w:t>1</w:t>
            </w:r>
            <w:r>
              <w:rPr>
                <w:rFonts w:ascii="Arial" w:cs="Arial" w:eastAsia="Arial" w:hAnsi="Arial"/>
                <w:sz w:val="11"/>
                <w:szCs w:val="11"/>
                <w:color w:val="008000"/>
              </w:rPr>
              <w:t>(1)</w:t>
            </w:r>
          </w:p>
        </w:tc>
        <w:tc>
          <w:tcPr>
            <w:tcW w:w="98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640" w:type="dxa"/>
            <w:vAlign w:val="bottom"/>
            <w:tcBorders>
              <w:top w:val="single" w:sz="8" w:color="2C2C2C"/>
            </w:tcBorders>
            <w:gridSpan w:val="4"/>
          </w:tcPr>
          <w:p>
            <w:pPr>
              <w:ind w:left="22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4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9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9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960" w:type="dxa"/>
            <w:vAlign w:val="bottom"/>
            <w:vMerge w:val="continue"/>
          </w:tcPr>
          <w:p>
            <w:pPr>
              <w:spacing w:after="0"/>
              <w:rPr>
                <w:sz w:val="15"/>
                <w:szCs w:val="15"/>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LLC Units</w:t>
            </w:r>
            <w:r>
              <w:rPr>
                <w:rFonts w:ascii="Arial" w:cs="Arial" w:eastAsia="Arial" w:hAnsi="Arial"/>
                <w:sz w:val="22"/>
                <w:szCs w:val="22"/>
                <w:color w:val="008000"/>
                <w:vertAlign w:val="superscript"/>
              </w:rPr>
              <w:t>(2)</w:t>
            </w:r>
          </w:p>
        </w:tc>
        <w:tc>
          <w:tcPr>
            <w:tcW w:w="14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right"/>
              <w:ind w:right="276"/>
              <w:spacing w:after="0"/>
              <w:rPr>
                <w:sz w:val="20"/>
                <w:szCs w:val="20"/>
                <w:color w:val="auto"/>
              </w:rPr>
            </w:pPr>
            <w:r>
              <w:rPr>
                <w:rFonts w:ascii="Arial" w:cs="Arial" w:eastAsia="Arial" w:hAnsi="Arial"/>
                <w:sz w:val="11"/>
                <w:szCs w:val="11"/>
                <w:color w:val="008000"/>
              </w:rPr>
              <w:t>(3)</w:t>
            </w:r>
          </w:p>
        </w:tc>
        <w:tc>
          <w:tcPr>
            <w:tcW w:w="1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Class A Common Stock</w:t>
            </w:r>
          </w:p>
        </w:tc>
        <w:tc>
          <w:tcPr>
            <w:tcW w:w="9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3"/>
              </w:rPr>
              <w:t>97,474,180</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 of Class B common stock will, so long as Post Holdings, Inc. ("Post") or its affiliates (other than BellRing Brands, Inc. and its subsidiaries) directly own more than 50% of the non-voting membership units of BellRing Brands, LLC ("LLC Units"), represent 67% of the combined voting power of the common stock of BellRing Brands, Inc.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non-voting membership units of BellRing Brands, LLC ("LLC Units").</w:t>
      </w:r>
    </w:p>
    <w:p>
      <w:pPr>
        <w:spacing w:after="0" w:line="41" w:lineRule="exact"/>
        <w:rPr>
          <w:rFonts w:ascii="Arial" w:cs="Arial" w:eastAsia="Arial" w:hAnsi="Arial"/>
          <w:sz w:val="14"/>
          <w:szCs w:val="14"/>
          <w:color w:val="008000"/>
        </w:rPr>
      </w:pPr>
    </w:p>
    <w:p>
      <w:pPr>
        <w:jc w:val="both"/>
        <w:ind w:left="40" w:right="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Subject to the terms of the BellRing Brands, LLC Amended and Restated Limited Liability Company Agreement, Post may at any time redeem LLC Units for, at BellRing Brands, LLC's option, (i) shares of BellRing Brands, Inc. Class A common stock or (ii) cash (based on the market price of the shares of BellRing Brands, Inc. Class A common stock). The redemption of LLC Units for shares of Class A common stock will be an an initial redemption rate of one share of Class A common stock for one LLC Unit.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Diedre J. Gray, EVP,</w:t>
            </w:r>
          </w:p>
        </w:tc>
        <w:tc>
          <w:tcPr>
            <w:tcW w:w="440" w:type="dxa"/>
            <w:vAlign w:val="bottom"/>
            <w:gridSpan w:val="2"/>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10/16/2019</w:t>
            </w:r>
          </w:p>
        </w:tc>
        <w:tc>
          <w:tcPr>
            <w:tcW w:w="0" w:type="dxa"/>
            <w:vAlign w:val="bottom"/>
          </w:tcPr>
          <w:p>
            <w:pPr>
              <w:spacing w:after="0"/>
              <w:rPr>
                <w:sz w:val="1"/>
                <w:szCs w:val="1"/>
                <w:color w:val="auto"/>
              </w:rPr>
            </w:pPr>
          </w:p>
        </w:tc>
      </w:tr>
      <w:tr>
        <w:trPr>
          <w:trHeight w:val="88"/>
        </w:trPr>
        <w:tc>
          <w:tcPr>
            <w:tcW w:w="19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7"/>
              </w:rPr>
              <w:t>General Counsel and CAO</w:t>
            </w:r>
          </w:p>
        </w:tc>
        <w:tc>
          <w:tcPr>
            <w:tcW w:w="2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00" w:type="dxa"/>
            <w:vAlign w:val="bottom"/>
            <w:tcBorders>
              <w:bottom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30950" TargetMode="External"/><Relationship Id="rId12"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2019-12-03T23:14:07Z</dcterms:created>
  <dcterms:modified xsi:type="dcterms:W3CDTF">2019-12-03T23:14:07Z</dcterms:modified>
</cp:coreProperties>
</file>