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2747279.xml.htm"/>
      <w:bookmarkStart w:id="1" w:name="kswkform4_17327472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CORNILLE DOUGLAS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BELLRING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2503 S. HANLEY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BELLRING BRANDS, INC.</w:t>
              </w:r>
            </w:hyperlink>
            <w:r>
              <w:rPr/>
              <w:t xml:space="preserve"> [ </w:t>
            </w:r>
            <w:r>
              <w:rPr>
                <w:rFonts w:ascii="Times;serif" w:hAnsi="Times;serif"/>
                <w:color w:val="0000FF"/>
                <w:sz w:val="24"/>
                <w:shd w:fill="FFFFFF" w:val="clear"/>
              </w:rPr>
              <w:t>BRBR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GROWTH OFFICER PNC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25,891</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74,150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13,122</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78.6</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61,028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Acquisition of shares pursuant to Rule 16b-3 upon payout of earned performance share award (PRSUs) under stockholder-approved equity plan. The payout was based on the level of achievement of the performance goal of relative total shareholder return percentile rank for the performance period November 11, 2021 through November 10,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Surrender of shares in payment of tax withholding due as a result of the vesting of 25,891 PRSUs in accordance with Rule 16b-3.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Craig L. Rosenthal,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0179" TargetMode="External"/><Relationship Id="rId5" Type="http://schemas.openxmlformats.org/officeDocument/2006/relationships/hyperlink" Target="http://www.sec.gov/cgi-bin/browse-edgar?action=getcompany&amp;CIK=0001772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3523</Characters>
  <CharactersWithSpaces>4109</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