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4060" w:right="1400" w:hanging="2656"/>
        <w:spacing w:after="0" w:line="284" w:lineRule="auto"/>
        <w:tabs>
          <w:tab w:leader="none" w:pos="16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100" w:type="dxa"/>
            <w:vAlign w:val="bottom"/>
            <w:gridSpan w:val="2"/>
          </w:tcPr>
          <w:p>
            <w:pPr>
              <w:jc w:val="center"/>
              <w:ind w:right="699"/>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40" w:type="dxa"/>
            <w:vAlign w:val="bottom"/>
            <w:gridSpan w:val="2"/>
          </w:tcPr>
          <w:p>
            <w:pPr>
              <w:jc w:val="right"/>
              <w:ind w:right="1799"/>
              <w:spacing w:after="0"/>
              <w:rPr>
                <w:sz w:val="20"/>
                <w:szCs w:val="20"/>
                <w:color w:val="auto"/>
              </w:rPr>
            </w:pPr>
            <w:r>
              <w:rPr>
                <w:rFonts w:ascii="Arial" w:cs="Arial" w:eastAsia="Arial" w:hAnsi="Arial"/>
                <w:sz w:val="18"/>
                <w:szCs w:val="18"/>
                <w:b w:val="1"/>
                <w:bCs w:val="1"/>
                <w:color w:val="auto"/>
              </w:rPr>
              <w:t>83-4096323</w:t>
            </w:r>
          </w:p>
        </w:tc>
      </w:tr>
      <w:tr>
        <w:trPr>
          <w:trHeight w:val="250"/>
        </w:trPr>
        <w:tc>
          <w:tcPr>
            <w:tcW w:w="4660" w:type="dxa"/>
            <w:vAlign w:val="bottom"/>
            <w:gridSpan w:val="3"/>
          </w:tcPr>
          <w:p>
            <w:pPr>
              <w:jc w:val="center"/>
              <w:ind w:left="69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300" w:type="dxa"/>
            <w:vAlign w:val="bottom"/>
            <w:gridSpan w:val="3"/>
          </w:tcPr>
          <w:p>
            <w:pPr>
              <w:jc w:val="center"/>
              <w:ind w:right="259"/>
              <w:spacing w:after="0"/>
              <w:rPr>
                <w:sz w:val="20"/>
                <w:szCs w:val="20"/>
                <w:color w:val="auto"/>
              </w:rPr>
            </w:pPr>
            <w:r>
              <w:rPr>
                <w:rFonts w:ascii="Arial" w:cs="Arial" w:eastAsia="Arial" w:hAnsi="Arial"/>
                <w:sz w:val="16"/>
                <w:szCs w:val="16"/>
                <w:color w:val="auto"/>
                <w:w w:val="95"/>
              </w:rPr>
              <w:t>(I.R.S. Employer Identification No.)</w:t>
            </w:r>
          </w:p>
        </w:tc>
      </w:tr>
      <w:tr>
        <w:trPr>
          <w:trHeight w:val="290"/>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gridSpan w:val="3"/>
          </w:tcPr>
          <w:p>
            <w:pPr>
              <w:jc w:val="center"/>
              <w:ind w:right="859"/>
              <w:spacing w:after="0"/>
              <w:rPr>
                <w:sz w:val="20"/>
                <w:szCs w:val="20"/>
                <w:color w:val="auto"/>
              </w:rPr>
            </w:pPr>
            <w:r>
              <w:rPr>
                <w:rFonts w:ascii="Arial" w:cs="Arial" w:eastAsia="Arial" w:hAnsi="Arial"/>
                <w:sz w:val="18"/>
                <w:szCs w:val="18"/>
                <w:b w:val="1"/>
                <w:bCs w:val="1"/>
                <w:color w:val="auto"/>
                <w:w w:val="90"/>
              </w:rPr>
              <w:t>2503 S. Hanley Road</w:t>
            </w: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gridSpan w:val="3"/>
          </w:tcPr>
          <w:p>
            <w:pPr>
              <w:jc w:val="center"/>
              <w:ind w:right="839"/>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06"/>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0" w:type="dxa"/>
            <w:vAlign w:val="bottom"/>
            <w:gridSpan w:val="4"/>
          </w:tcPr>
          <w:p>
            <w:pPr>
              <w:jc w:val="center"/>
              <w:ind w:left="919"/>
              <w:spacing w:after="0"/>
              <w:rPr>
                <w:sz w:val="20"/>
                <w:szCs w:val="20"/>
                <w:color w:val="auto"/>
              </w:rPr>
            </w:pPr>
            <w:r>
              <w:rPr>
                <w:rFonts w:ascii="Arial" w:cs="Arial" w:eastAsia="Arial" w:hAnsi="Arial"/>
                <w:sz w:val="16"/>
                <w:szCs w:val="16"/>
                <w:color w:val="auto"/>
                <w:w w:val="93"/>
              </w:rPr>
              <w:t>(Address of principal executive offices) (Zip Code)</w:t>
            </w: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07"/>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(314) 644-7600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0" w:type="dxa"/>
            <w:vAlign w:val="bottom"/>
            <w:gridSpan w:val="4"/>
          </w:tcPr>
          <w:p>
            <w:pPr>
              <w:jc w:val="center"/>
              <w:ind w:left="919"/>
              <w:spacing w:after="0"/>
              <w:rPr>
                <w:sz w:val="20"/>
                <w:szCs w:val="20"/>
                <w:color w:val="auto"/>
              </w:rPr>
            </w:pPr>
            <w:r>
              <w:rPr>
                <w:rFonts w:ascii="Arial" w:cs="Arial" w:eastAsia="Arial" w:hAnsi="Arial"/>
                <w:sz w:val="16"/>
                <w:szCs w:val="16"/>
                <w:color w:val="auto"/>
                <w:w w:val="91"/>
              </w:rPr>
              <w:t>(Registrant’s telephone number, including area code)</w:t>
            </w: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97"/>
        </w:trPr>
        <w:tc>
          <w:tcPr>
            <w:tcW w:w="46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9"/>
        </w:trPr>
        <w:tc>
          <w:tcPr>
            <w:tcW w:w="1560" w:type="dxa"/>
            <w:vAlign w:val="bottom"/>
          </w:tcPr>
          <w:p>
            <w:pPr>
              <w:spacing w:after="0"/>
              <w:rPr>
                <w:sz w:val="18"/>
                <w:szCs w:val="18"/>
                <w:color w:val="auto"/>
              </w:rPr>
            </w:pPr>
          </w:p>
        </w:tc>
        <w:tc>
          <w:tcPr>
            <w:tcW w:w="3100" w:type="dxa"/>
            <w:vAlign w:val="bottom"/>
            <w:gridSpan w:val="2"/>
          </w:tcPr>
          <w:p>
            <w:pPr>
              <w:jc w:val="center"/>
              <w:ind w:right="1859"/>
              <w:spacing w:after="0"/>
              <w:rPr>
                <w:sz w:val="20"/>
                <w:szCs w:val="20"/>
                <w:color w:val="auto"/>
              </w:rPr>
            </w:pPr>
            <w:r>
              <w:rPr>
                <w:rFonts w:ascii="Arial" w:cs="Arial" w:eastAsia="Arial" w:hAnsi="Arial"/>
                <w:sz w:val="16"/>
                <w:szCs w:val="16"/>
                <w:color w:val="auto"/>
                <w:w w:val="90"/>
              </w:rPr>
              <w:t>Title of each class</w:t>
            </w:r>
          </w:p>
        </w:tc>
        <w:tc>
          <w:tcPr>
            <w:tcW w:w="3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Trading Symbol(s)</w:t>
            </w:r>
          </w:p>
        </w:tc>
        <w:tc>
          <w:tcPr>
            <w:tcW w:w="3040" w:type="dxa"/>
            <w:vAlign w:val="bottom"/>
            <w:gridSpan w:val="2"/>
          </w:tcPr>
          <w:p>
            <w:pPr>
              <w:jc w:val="center"/>
              <w:ind w:left="95"/>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466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w w:val="90"/>
              </w:rPr>
              <w:t>Class A Common Stock, $0.01 par value</w:t>
            </w:r>
          </w:p>
        </w:tc>
        <w:tc>
          <w:tcPr>
            <w:tcW w:w="380" w:type="dxa"/>
            <w:vAlign w:val="bottom"/>
          </w:tcPr>
          <w:p>
            <w:pPr>
              <w:spacing w:after="0"/>
              <w:rPr>
                <w:sz w:val="23"/>
                <w:szCs w:val="23"/>
                <w:color w:val="auto"/>
              </w:rPr>
            </w:pPr>
          </w:p>
        </w:tc>
        <w:tc>
          <w:tcPr>
            <w:tcW w:w="2480" w:type="dxa"/>
            <w:vAlign w:val="bottom"/>
            <w:gridSpan w:val="2"/>
          </w:tcPr>
          <w:p>
            <w:pPr>
              <w:jc w:val="center"/>
              <w:ind w:right="1199"/>
              <w:spacing w:after="0"/>
              <w:rPr>
                <w:sz w:val="20"/>
                <w:szCs w:val="20"/>
                <w:color w:val="auto"/>
              </w:rPr>
            </w:pPr>
            <w:r>
              <w:rPr>
                <w:rFonts w:ascii="Arial" w:cs="Arial" w:eastAsia="Arial" w:hAnsi="Arial"/>
                <w:sz w:val="16"/>
                <w:szCs w:val="16"/>
                <w:b w:val="1"/>
                <w:bCs w:val="1"/>
                <w:color w:val="auto"/>
                <w:w w:val="95"/>
              </w:rPr>
              <w:t>BRBR</w:t>
            </w:r>
          </w:p>
        </w:tc>
        <w:tc>
          <w:tcPr>
            <w:tcW w:w="18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31"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70"/>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0"/>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 39,428,571 shares as of August 3, 2020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- 1 share as of 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1520" w:val="left"/>
        </w:tabs>
        <w:rPr>
          <w:rFonts w:ascii="Arial" w:cs="Arial" w:eastAsia="Arial" w:hAnsi="Arial"/>
          <w:sz w:val="18"/>
          <w:szCs w:val="18"/>
          <w:b w:val="1"/>
          <w:bCs w:val="1"/>
          <w:u w:val="single" w:color="auto"/>
          <w:color w:val="0000FF"/>
        </w:rPr>
      </w:pPr>
      <w:r>
        <w:rPr>
          <w:rFonts w:ascii="Arial" w:cs="Arial" w:eastAsia="Arial" w:hAnsi="Arial"/>
          <w:sz w:val="18"/>
          <w:szCs w:val="18"/>
          <w:b w:val="1"/>
          <w:bCs w:val="1"/>
          <w:color w:val="auto"/>
        </w:rPr>
        <w:t>PART I.</w:t>
      </w:r>
      <w:r>
        <w:rPr>
          <w:sz w:val="20"/>
          <w:szCs w:val="20"/>
          <w:color w:val="auto"/>
        </w:rPr>
        <w:tab/>
      </w:r>
      <w:hyperlink w:anchor="page2">
        <w:r>
          <w:rPr>
            <w:rFonts w:ascii="Arial" w:cs="Arial" w:eastAsia="Arial" w:hAnsi="Arial"/>
            <w:sz w:val="18"/>
            <w:szCs w:val="18"/>
            <w:b w:val="1"/>
            <w:bCs w:val="1"/>
            <w:u w:val="single" w:color="auto"/>
            <w:color w:val="0000FF"/>
          </w:rPr>
          <w:t>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9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2">
        <w:r>
          <w:rPr>
            <w:rFonts w:ascii="Arial" w:cs="Arial" w:eastAsia="Arial" w:hAnsi="Arial"/>
            <w:sz w:val="16"/>
            <w:szCs w:val="16"/>
            <w:u w:val="single" w:color="auto"/>
            <w:color w:val="0000FF"/>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154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(Unaudited)</w:t>
        </w:r>
        <w:r>
          <w:rPr>
            <w:rFonts w:ascii="Arial" w:cs="Arial" w:eastAsia="Arial" w:hAnsi="Arial"/>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Cash Flows (Unaudited)</w:t>
        </w:r>
        <w:r>
          <w:rPr>
            <w:rFonts w:ascii="Arial" w:cs="Arial" w:eastAsia="Arial" w:hAnsi="Arial"/>
            <w:sz w:val="18"/>
            <w:szCs w:val="18"/>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59" w:lineRule="exact"/>
        <w:rPr>
          <w:sz w:val="20"/>
          <w:szCs w:val="20"/>
          <w:color w:val="auto"/>
        </w:rPr>
      </w:pPr>
    </w:p>
    <w:p>
      <w:pPr>
        <w:ind w:left="15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9">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5">
        <w:r>
          <w:rPr>
            <w:rFonts w:ascii="Arial" w:cs="Arial" w:eastAsia="Arial" w:hAnsi="Arial"/>
            <w:sz w:val="16"/>
            <w:szCs w:val="16"/>
            <w:u w:val="single" w:color="auto"/>
            <w:color w:val="0000FF"/>
          </w:rPr>
          <w:t>Quantitative and Qualitative Disclosures About Market Risk</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26">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1520" w:val="left"/>
        </w:tabs>
        <w:rPr>
          <w:rFonts w:ascii="Arial" w:cs="Arial" w:eastAsia="Arial" w:hAnsi="Arial"/>
          <w:sz w:val="18"/>
          <w:szCs w:val="18"/>
          <w:b w:val="1"/>
          <w:bCs w:val="1"/>
          <w:u w:val="single" w:color="auto"/>
          <w:color w:val="0000FF"/>
        </w:rPr>
      </w:pPr>
      <w:r>
        <w:rPr>
          <w:rFonts w:ascii="Arial" w:cs="Arial" w:eastAsia="Arial" w:hAnsi="Arial"/>
          <w:sz w:val="18"/>
          <w:szCs w:val="18"/>
          <w:b w:val="1"/>
          <w:bCs w:val="1"/>
          <w:color w:val="auto"/>
        </w:rPr>
        <w:t>PART II.</w:t>
      </w:r>
      <w:r>
        <w:rPr>
          <w:sz w:val="20"/>
          <w:szCs w:val="20"/>
          <w:color w:val="auto"/>
        </w:rPr>
        <w:tab/>
      </w:r>
      <w:hyperlink w:anchor="page26">
        <w:r>
          <w:rPr>
            <w:rFonts w:ascii="Arial" w:cs="Arial" w:eastAsia="Arial" w:hAnsi="Arial"/>
            <w:sz w:val="18"/>
            <w:szCs w:val="18"/>
            <w:b w:val="1"/>
            <w:bCs w:val="1"/>
            <w:u w:val="single" w:color="auto"/>
            <w:color w:val="0000FF"/>
          </w:rPr>
          <w:t>OTHER INFORMATION</w:t>
        </w:r>
        <w:r>
          <w:rPr>
            <w:rFonts w:ascii="Arial" w:cs="Arial" w:eastAsia="Arial" w:hAnsi="Arial"/>
            <w:sz w:val="18"/>
            <w:szCs w:val="18"/>
            <w:b w:val="1"/>
            <w:bCs w:val="1"/>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26">
        <w:r>
          <w:rPr>
            <w:rFonts w:ascii="Arial" w:cs="Arial" w:eastAsia="Arial" w:hAnsi="Arial"/>
            <w:sz w:val="16"/>
            <w:szCs w:val="16"/>
            <w:u w:val="single" w:color="auto"/>
            <w:color w:val="0000FF"/>
          </w:rPr>
          <w:t>Legal Proceedings</w:t>
        </w:r>
        <w:r>
          <w:rPr>
            <w:rFonts w:ascii="Arial" w:cs="Arial" w:eastAsia="Arial" w:hAnsi="Arial"/>
            <w:sz w:val="16"/>
            <w:szCs w:val="16"/>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1A.</w:t>
      </w:r>
      <w:r>
        <w:rPr>
          <w:sz w:val="20"/>
          <w:szCs w:val="20"/>
          <w:color w:val="auto"/>
        </w:rPr>
        <w:tab/>
      </w:r>
      <w:hyperlink w:anchor="page27">
        <w:r>
          <w:rPr>
            <w:rFonts w:ascii="Arial" w:cs="Arial" w:eastAsia="Arial" w:hAnsi="Arial"/>
            <w:sz w:val="16"/>
            <w:szCs w:val="16"/>
            <w:u w:val="single" w:color="auto"/>
            <w:color w:val="0000FF"/>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18"/>
          <w:szCs w:val="18"/>
          <w:color w:val="auto"/>
        </w:rPr>
        <w:t>Item 6.</w:t>
      </w:r>
      <w:r>
        <w:rPr>
          <w:sz w:val="20"/>
          <w:szCs w:val="20"/>
          <w:color w:val="auto"/>
        </w:rPr>
        <w:tab/>
      </w:r>
      <w:hyperlink w:anchor="page27">
        <w:r>
          <w:rPr>
            <w:rFonts w:ascii="Arial" w:cs="Arial" w:eastAsia="Arial" w:hAnsi="Arial"/>
            <w:sz w:val="16"/>
            <w:szCs w:val="16"/>
            <w:u w:val="single" w:color="auto"/>
            <w:color w:val="0000FF"/>
          </w:rPr>
          <w:t>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1540"/>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SIGNATURES</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17</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p>
      <w:pPr>
        <w:spacing w:after="0" w:line="320" w:lineRule="exact"/>
        <w:rPr>
          <w:sz w:val="20"/>
          <w:szCs w:val="20"/>
          <w:color w:val="auto"/>
        </w:rPr>
      </w:pPr>
    </w:p>
    <w:p>
      <w:pPr>
        <w:ind w:left="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p>
      <w:pPr>
        <w:spacing w:after="0" w:line="279" w:lineRule="exact"/>
        <w:rPr>
          <w:sz w:val="20"/>
          <w:szCs w:val="20"/>
          <w:color w:val="auto"/>
        </w:rPr>
      </w:pPr>
    </w:p>
    <w:p>
      <w:pPr>
        <w:ind w:left="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p>
      <w:pPr>
        <w:sectPr>
          <w:pgSz w:w="11900" w:h="16838" w:orient="portrait"/>
          <w:cols w:equalWidth="0" w:num="2">
            <w:col w:w="10020" w:space="720"/>
            <w:col w:w="360"/>
          </w:cols>
          <w:pgMar w:left="320" w:top="125" w:right="4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92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705.7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457.5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404.8</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235.1</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92.0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96.4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96.4</w:t>
            </w:r>
          </w:p>
        </w:tc>
      </w:tr>
      <w:tr>
        <w:trPr>
          <w:trHeight w:val="26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6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92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Reclassifications to net earnings</w:t>
            </w: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Unrealized foreign currency translation adjustments</w:t>
            </w: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Tax (expense) benefit on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Arial" w:cs="Arial" w:eastAsia="Arial" w:hAnsi="Arial"/>
                <w:sz w:val="18"/>
                <w:szCs w:val="18"/>
                <w:color w:val="auto"/>
              </w:rPr>
              <w:t>Net loss on derivatives</w:t>
            </w: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5"/>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6"/>
              </w:rPr>
              <w:t>Total Other Comprehensive Income (Loss) Including Redeemable Noncontrolling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96.0</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37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68.4</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138.2</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7.4</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11.7</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296.5</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r>
      <w:tr>
        <w:trPr>
          <w:trHeight w:val="263"/>
        </w:trPr>
        <w:tc>
          <w:tcPr>
            <w:tcW w:w="37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45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659.9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594.5</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372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3720" w:type="dxa"/>
            <w:vAlign w:val="bottom"/>
          </w:tcPr>
          <w:p>
            <w:pPr>
              <w:spacing w:after="0"/>
              <w:rPr>
                <w:sz w:val="21"/>
                <w:szCs w:val="21"/>
                <w:color w:val="auto"/>
              </w:rPr>
            </w:pPr>
          </w:p>
        </w:tc>
        <w:tc>
          <w:tcPr>
            <w:tcW w:w="48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LIABILITIES AND STOCKHOLDERS’ EQUITY</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4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31.0</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92.7</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of Post Holdings, Inc.</w:t>
            </w:r>
          </w:p>
        </w:tc>
        <w:tc>
          <w:tcPr>
            <w:tcW w:w="4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489.0</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37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3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4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486.4</w:t>
            </w:r>
          </w:p>
        </w:tc>
      </w:tr>
      <w:tr>
        <w:trPr>
          <w:trHeight w:val="263"/>
        </w:trPr>
        <w:tc>
          <w:tcPr>
            <w:tcW w:w="3720" w:type="dxa"/>
            <w:vAlign w:val="bottom"/>
          </w:tcPr>
          <w:p>
            <w:pPr>
              <w:ind w:left="500"/>
              <w:spacing w:after="0"/>
              <w:rPr>
                <w:sz w:val="20"/>
                <w:szCs w:val="20"/>
                <w:color w:val="auto"/>
              </w:rPr>
            </w:pPr>
            <w:r>
              <w:rPr>
                <w:rFonts w:ascii="Arial" w:cs="Arial" w:eastAsia="Arial" w:hAnsi="Arial"/>
                <w:sz w:val="18"/>
                <w:szCs w:val="18"/>
                <w:b w:val="1"/>
                <w:bCs w:val="1"/>
                <w:color w:val="auto"/>
                <w:w w:val="90"/>
              </w:rPr>
              <w:t>Total Liabilities and Stockholders’ Equity</w:t>
            </w:r>
          </w:p>
        </w:tc>
        <w:tc>
          <w:tcPr>
            <w:tcW w:w="45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659.9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594.5</w:t>
            </w:r>
          </w:p>
        </w:tc>
      </w:tr>
      <w:tr>
        <w:trPr>
          <w:trHeight w:val="20"/>
        </w:trPr>
        <w:tc>
          <w:tcPr>
            <w:tcW w:w="37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96.4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Adjustments to reconcile net earnings including redeemable noncontrolling interest to net cash provided by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Increase in receivables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Increase in prepaid expenses and other current assets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Decrease in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Decrease in accounts payable and other current liabilities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Increase in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7"/>
        </w:trPr>
        <w:tc>
          <w:tcPr>
            <w:tcW w:w="822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59.4</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3"/>
              </w:rPr>
              <w:t>As Of and For The</w:t>
            </w:r>
          </w:p>
        </w:tc>
        <w:tc>
          <w:tcPr>
            <w:tcW w:w="180" w:type="dxa"/>
            <w:vAlign w:val="bottom"/>
          </w:tcPr>
          <w:p>
            <w:pPr>
              <w:spacing w:after="0"/>
              <w:rPr>
                <w:sz w:val="17"/>
                <w:szCs w:val="17"/>
                <w:color w:val="auto"/>
              </w:rPr>
            </w:pPr>
          </w:p>
        </w:tc>
        <w:tc>
          <w:tcPr>
            <w:tcW w:w="2020" w:type="dxa"/>
            <w:vAlign w:val="bottom"/>
            <w:gridSpan w:val="4"/>
          </w:tcPr>
          <w:p>
            <w:pPr>
              <w:jc w:val="center"/>
              <w:ind w:right="90"/>
              <w:spacing w:after="0"/>
              <w:rPr>
                <w:sz w:val="20"/>
                <w:szCs w:val="20"/>
                <w:color w:val="auto"/>
              </w:rPr>
            </w:pPr>
            <w:r>
              <w:rPr>
                <w:rFonts w:ascii="Arial" w:cs="Arial" w:eastAsia="Arial" w:hAnsi="Arial"/>
                <w:sz w:val="16"/>
                <w:szCs w:val="16"/>
                <w:b w:val="1"/>
                <w:bCs w:val="1"/>
                <w:color w:val="auto"/>
                <w:w w:val="95"/>
              </w:rPr>
              <w:t>As Of and For The</w:t>
            </w:r>
          </w:p>
        </w:tc>
      </w:tr>
      <w:tr>
        <w:trPr>
          <w:trHeight w:val="203"/>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2020" w:type="dxa"/>
            <w:vAlign w:val="bottom"/>
            <w:gridSpan w:val="4"/>
          </w:tcPr>
          <w:p>
            <w:pPr>
              <w:jc w:val="center"/>
              <w:ind w:right="130"/>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left="471"/>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left="471"/>
              <w:spacing w:after="0"/>
              <w:rPr>
                <w:sz w:val="20"/>
                <w:szCs w:val="20"/>
                <w:color w:val="auto"/>
              </w:rPr>
            </w:pPr>
            <w:r>
              <w:rPr>
                <w:rFonts w:ascii="Arial" w:cs="Arial" w:eastAsia="Arial" w:hAnsi="Arial"/>
                <w:sz w:val="16"/>
                <w:szCs w:val="16"/>
                <w:b w:val="1"/>
                <w:bCs w:val="1"/>
                <w:color w:val="auto"/>
                <w:w w:val="87"/>
              </w:rPr>
              <w:t>June 30,</w:t>
            </w:r>
          </w:p>
        </w:tc>
        <w:tc>
          <w:tcPr>
            <w:tcW w:w="74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r>
      <w:tr>
        <w:trPr>
          <w:trHeight w:val="33"/>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Activity under deferred compensation plans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Non-cash stock-based compensation expense</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97"/>
              </w:rPr>
              <w:t>(1,859.1)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available to Class A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Distribution to Post Holdings, Inc.</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Initial public offering</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99"/>
              </w:rPr>
              <w:t>(2,112.4)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of net investment of Post Holdings, Inc.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(269.4)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(538.6)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(2,132.8)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(2,132.8)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489.0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453.1</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Net earnings attributable to Post Holdings, Inc.</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96.4</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Initial public offering</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Reclassification of net investment of Post Holdings, Inc.</w:t>
            </w: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 net investment of Post Holdings, Inc.</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492.8</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492.8</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change in hedges, net of tax</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6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60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64"/>
        </w:trPr>
        <w:tc>
          <w:tcPr>
            <w:tcW w:w="660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(2,136.7)</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491.0</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(2,136.7)</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491.0</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after deducting underwriting discounts and commissions, all of which were contributed to BellRing Brands, LLC, a Delaware limited liability company and subsidiary of BellRing Inc. (“BellRing LLC”), in exchange for 39.4 million BellRing LLC non-voting membership units (the “BellRing LLC units”).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w:t>
      </w:r>
    </w:p>
    <w:p>
      <w:pPr>
        <w:spacing w:after="0" w:line="117" w:lineRule="exact"/>
        <w:rPr>
          <w:sz w:val="20"/>
          <w:szCs w:val="20"/>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BellRing LLC became the holder of the active nutrition business of Post Holdings, Inc. (“Post”), which until the completion of the IPO, had been comprised of Premier Nutrition Company, LLC (as successor to Premier Nutrition Corporation, “Premier Nutrition”), Dymatize Enterprises, LLC (“Dymatize”), Supreme Protein, LLC,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Active Nutrition International GmbH (“Active Nutrition International”).</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as a holding company, has no material assets other than its ownership of BellRing LLC units and its indirect interests in the subsidiaries of BellRing LLC and has no independent means of generating revenue or cash flow.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members of BellRing LLC are Post and BellRing Inc.</w:t>
      </w:r>
    </w:p>
    <w:p>
      <w:pPr>
        <w:spacing w:after="0" w:line="117"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Post holds 97.5 million BellRing LLC units, equal to 71.2% of the economic interest in BellRing LLC, and one share of Class B common stock of BellRing Inc., $0.01 par value per share (the “Class B Common Stock”), which, for so long as Post or its affiliates (other than the Company) directly own more than 50% of the BellRing LLC units, represents 67% of the combined voting power of the common stock of BellRing Inc. The Class B Common Stock has no dividend or other economic rights. Subject to the terms of the amended and restated limited liability company agreement (the “LLC Agreement”) of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The share of Class B Common Stock is owned by Post and cannot be transferred except to affiliates of Post and its subsidiaries (other than the Company). BellRing Inc. does not intend to list its Class B Common Stock on any stock exchange.</w:t>
      </w:r>
    </w:p>
    <w:p>
      <w:pPr>
        <w:spacing w:after="0" w:line="7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public stockholders of BellRing Inc. (i) own 39.4 million shares of Class A Common Stock, which, for so long as Post or its affiliates (other than the Company) directly own more than 50% of the BellRing LLC units, represent 33% of the combined voting power of BellRing Inc. common stock and 100% of the economic interest in BellRing Inc., and (ii) through BellRing Inc.’s ownership of BellRing LLC units, indirectly hold 28.8% of the economic interest in BellRing LLC.</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Inc. and BellRing LLC will at all times maintain, subject to certain exceptions, a one-to-one ratio between the number of shares of Class A Common Stock issued by BellRing Inc. and the number of BellRing LLC units owned by BellRing Inc.</w:t>
      </w:r>
    </w:p>
    <w:p>
      <w:pPr>
        <w:spacing w:after="0" w:line="6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member of BellRing LLC, does not have the power to appoint any members of the Board of Managers or voting rights with respect to BellRing LLC. Post controls BellRing Inc. through its ownership of the share of Class B Common Stock.</w:t>
      </w:r>
    </w:p>
    <w:p>
      <w:pPr>
        <w:spacing w:after="0" w:line="62" w:lineRule="exact"/>
        <w:rPr>
          <w:sz w:val="20"/>
          <w:szCs w:val="20"/>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results of BellRing LLC and its subsidiaries are consolidated with BellRing Inc., and effective as of October 21, 2019, 71.2% of the consolidated net earnings of BellRing LLC are allocated to the redeemable noncontrolling interest (the “NCI”) to reflect the entitlement of Post to a portion of the consolidated net earnings. Prior to October 21, 2019, 100% of the consolidated net earnings of BellRing LLC were allocated to the NCI.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unaudited condensed consolidated financial statements have been prepared in accordance with accounting principles generally accepted in the United States of America (“GAAP”), under the rules and regulations of the United States Securities and Exchange Commission (the “SEC”), and on a basis substantially consistent with the audited combined financial statements of the Company as of and for the year ended September 30, 2019. These unaudited condensed consolidated financial statements should be read in conjunction with such audited combined financial statements, which are included in the Company’s Annual Report on Form 10-K for the fiscal year ended September 30, 2019, filed with the SEC on November 22, 2019.</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 prior to the IPO, these unaudited condensed consolidated financial statements present the combined results of operations, comprehensive income, financial position, cash flows and stockholders’ equity of the active nutrition business of Post. All intercompany balances and transactions have been eliminated. Transactions between the Company and Post are included in these financial statements. See Note 4 for further information on transactions with Post.</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period prior to the IPO, these unaudited condensed consolidated financial statements included allocations of certain Post corporate expenses. These allocated expenses related to various services that were provided to the Company by Post, including, but not limited to, cash management and other treasury services, administrative services (such as tax, employee benefit administration, risk management, internal audit, accounting and human resources) and stock-based compensation plan administration. See Note 4 for further information on services that Post continues to provide to the Company.</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three and nine months ended June 30, 2020, $10.9 and $51.1 of the consolidated net earnings of BellRing LLC were allocated to the NCI, respectively, of which zero and $5.5 reflects the entitlement of Post to 100% of the consolidated net earnings of BellRing LLC prior to the IPO, respectively, and $10.9 and $45.6 reflects the entitlement of Post to 71.2% of the consolidated net earnings of BellRing LLC subsequent to the IPO, respectively. For the three and nine months ended June 30, 2019, $40.3 and $96.4 of the consolidated net earnings of BellRing LLC were allocated to the NCI, respectively, to reflect the entitlement of Post to 100% of the consolidated net earnings of BellRing LLC prior to the IPO.</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Accounting Standards Update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 that reference LIBOR.</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provides guidance on the measurement of credit losses for most financial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certain other instruments. This ASU replaces the current incurred loss impairment approach with a methodology to reflect expected credit losses and requires consideration of a broader range of reasonable and supportable information to explain credit loss estimates. This ASU is effective for annual periods beginning after December 15, 2019 and interim periods therein (i.e., BellRing’s financial statements for the year ending September 30, 2021), with early adoption permitted. The Company is currently evaluating the impact of adopting this ASU; however, the impact to the Company’s financial statements is not likely to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This ASU simplifies the accounting for income taxes by removing certain exceptions for recognizing deferred taxes for investments, performing intra-period allocations and calculating income taxes in interim periods. The Company early adopted this ASU as of June 30, 2020 on a prospective basis, as permitted by the ASU. The adoption of this ASU did not have a material impact on the Company’s condensed consolidated financial statements.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(“ROU”)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 Company adopted these ASUs on October 1, 2019, and utilized the cumulative effect adjustment approach. At adoption, the Company recognized ROU assets and lease liabilities of $14.8 and $16.0, respectively, on the condensed consolidated balance sheet at October 1, 2019. The adoption of these ASUs did not materially impact the statements of operations or cash flows. In addition, the Company provides expanded disclosures related to its leasing arrangements in accordance with these ASUs. For additional information, refer to Note 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r>
      <w:tr>
        <w:trPr>
          <w:trHeight w:val="33"/>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167.7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191.3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493.6</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90.0</w:t>
            </w: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48.9</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7.4</w:t>
            </w:r>
          </w:p>
        </w:tc>
      </w:tr>
      <w:tr>
        <w:trPr>
          <w:trHeight w:val="27"/>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204.2</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237.6</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705.7</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639.9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IPO, the Company used certain functions and services performed by Post. These functions and services included legal, finance, internal audit, treasury, information technology support, insurance and tax matters, the use of office and/or data center space, payroll processing services, and tax compliance services. Costs for these functions and services performed by Post were allocated to the Company based on a reasonable activity base (including specific costs, revenue, net assets and headcount, or a combination of such items) or another reasonable method. For the three and nine months ended June 30, 2019, allocated costs were $2.8 and $8.3, respectively, including $1.0 and $3.9, respectively, of costs related to the separation from Post. Allocated costs were included in “Selling, general and administrative expenses” in the Condensed Consolidated Statements of Operations. Costs related to the separation from Post were $0.1 and $1.9 for the three and nine months ended June 30, 2020, respectively.</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the completion of the IPO, Post continues to provide these services and other services to the Company under a master services agreement (“MSA”). In addition to charges for these services, the Company also incurs certain pass-through charges from Post, primarily relating to stock-based compensation for employees participating in Post’s stock-based compensation plans. MSA fees for the three and nine months ended June 30, 2020 were $0.6 and $1.6, respectively, and stock-based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compensation expense related to Post’s stock-based compensation plans for the three and nine months ended June 30, 2020 were $1.0 and $2.9, respectively. MSA fees and stock-based compensation expense were reported in “Selling, general and administrative expenses” in the Condensed Consolidated Statements of Operations.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certain products to Post and its subsidiaries. For the periods prior to the IPO, the amounts related to these transactions were included in the accompanying financial statements based upon transfer prices in effect at the time of the individual transactions. For the periods subsequent to the IPO, these transactions were based upon pricing governed by agreements between the Company and Post and its subsidiaries. These transactions were consistent with prices of similar arm's-length transactions during all periods. During each of the three and nine months ended June 30, 2020 and 2019, net sales to, purchases from and royalties paid to Post and its subsidiaries were immaterial.</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IPO, the Company entered into a series of agreements with Post which govern the ongoing relationship between the Company and Post. These agreements included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and $2.7 of payables with Post at June 30, 2020, related to MSA fees and pass-through charges owed by the Company to Post, as well as related party sales and purchases. The receivables and payables were included in “Receivables, net” and “Accounts payable,” respectively, on the Condensed Consolidated Balance Sheet. During the nine months ended June 30, 2020, BellRing LLC paid $17.3 to Post related to quarterly tax distributions from BellRing LLC to Post made pursuant to the terms of the LLC Agreement and $2.0 for state corporate tax withholdings on behalf of Post.</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were $10.9 at June 30, 2020, and were recorded in “Other liabilities” on the Condensed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Post holds 97.5 million BellRing LLC units, equal to 71.2% of the economic interest in BellRing LLC, and may redeem BellRing LLC units for, at BellRing LLC’s option (as determined by its Board of Managers), (i) one share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Post’s ownership of BellRing LLC units represents an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(“OCI”) or loss and distributions or dividends or (ii) the redemption value. As of June 30, 2020, the carrying amount of the NCI was recorded at its redemption value of $1,943.6. Changes in the redemption value of the NCI are recorded to additional paid-in capital, to the extent available, and “Accumulated deficit” on the Condensed Consolidated Balance Sheet.</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BellRing Inc. owned 28.8% of the outstanding BellRing LLC units. The financial results of BellRing LLC and its subsidiaries were consolidated with BellRing Inc., and 71.2% of the consolidated net earnings of BellRing LLC were allocated to the NCI to reflect the entitlement of Post to a portion of the consolidated net earnings.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ended June 30, 2020 represents the period beginning October 21, 2019, the effective date of the IPO, and ending June 30, 2020 (see Note 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Ended</w:t>
            </w:r>
          </w:p>
        </w:tc>
        <w:tc>
          <w:tcPr>
            <w:tcW w:w="180" w:type="dxa"/>
            <w:vAlign w:val="bottom"/>
          </w:tcPr>
          <w:p>
            <w:pPr>
              <w:spacing w:after="0"/>
              <w:rPr>
                <w:sz w:val="17"/>
                <w:szCs w:val="17"/>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Period Ended</w:t>
            </w:r>
          </w:p>
        </w:tc>
      </w:tr>
      <w:tr>
        <w:trPr>
          <w:trHeight w:val="210"/>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June 30, 2020</w:t>
            </w:r>
          </w:p>
        </w:tc>
      </w:tr>
      <w:tr>
        <w:trPr>
          <w:trHeight w:val="3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Net earnings attributable to NCI after IPO</w:t>
            </w:r>
          </w:p>
        </w:tc>
        <w:tc>
          <w:tcPr>
            <w:tcW w:w="18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45.6</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hedges,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IPO</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1,364.6</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Redemption value adjustment to NCI</w:t>
            </w:r>
          </w:p>
        </w:tc>
        <w:tc>
          <w:tcPr>
            <w:tcW w:w="18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540.4</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1,943.6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1,943.6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effects of changes in ownership in BellRing LLC on BellRing Inc.’s equity. The period ended June 30, 2020 represents the period beginning October 21, 2019, the effective date of the IPO, and ending June 30, 2020 (see Note 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Three Months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Period Ended</w:t>
            </w:r>
          </w:p>
        </w:tc>
      </w:t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18"/>
                <w:szCs w:val="18"/>
                <w:color w:val="auto"/>
              </w:rPr>
            </w:pPr>
          </w:p>
        </w:tc>
        <w:tc>
          <w:tcPr>
            <w:tcW w:w="126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June 30, 2020</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Transfers to NCI:</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IPO</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1,364.6</w:t>
            </w:r>
          </w:p>
        </w:tc>
      </w:tr>
      <w:tr>
        <w:trPr>
          <w:trHeight w:val="243"/>
        </w:trPr>
        <w:tc>
          <w:tcPr>
            <w:tcW w:w="8220" w:type="dxa"/>
            <w:vAlign w:val="bottom"/>
          </w:tcPr>
          <w:p>
            <w:pPr>
              <w:ind w:left="120"/>
              <w:spacing w:after="0"/>
              <w:rPr>
                <w:sz w:val="20"/>
                <w:szCs w:val="20"/>
                <w:color w:val="auto"/>
              </w:rPr>
            </w:pPr>
            <w:r>
              <w:rPr>
                <w:rFonts w:ascii="Arial" w:cs="Arial" w:eastAsia="Arial" w:hAnsi="Arial"/>
                <w:sz w:val="18"/>
                <w:szCs w:val="18"/>
                <w:color w:val="auto"/>
              </w:rPr>
              <w:t>Redemption value adjustment to NCI</w:t>
            </w:r>
          </w:p>
        </w:tc>
        <w:tc>
          <w:tcPr>
            <w:tcW w:w="16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540.4</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273.4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1,918.5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 holds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income tax rate was 7.2% and 12.5% for the three and nine months ended June 30, 2020, respectively, and 23.7% and 23.8% for the three and nine months ended June 30, 2019, respectively. The decreases in the effective income tax rate compared to each of the prior year periods were primarily due to the Company taking into account for U.S. federal, state and local income tax purposes its 28.8% distributive share of the items of income, gain, loss and deduction of BellRing LLC in the periods subsequent to the IPO. Prior to the IPO and formation transactions, the Company reported 100% of the income, gain, loss and deduction of BellRing LLC.</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Based on the Company’s review of the CARES Act provisions, it has determined that there were no significant tax impacts during the three or nine months ended June 30, 2020, and the Company has accounted for any tax impacts.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the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The period ended June 30, 2020 represents the period beginning October 21, 2019, the effective date of the IPO, and ending June 30, 2020 (see Note 1). There were no shares of Class A Common Stock outstanding during the three or nine months ended June 30, 2019, and as such, no computation of basic and diluted earnings per share has been provided.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180" w:type="dxa"/>
            <w:vAlign w:val="bottom"/>
          </w:tcPr>
          <w:p>
            <w:pPr>
              <w:spacing w:after="0"/>
              <w:rPr>
                <w:sz w:val="17"/>
                <w:szCs w:val="17"/>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Period Ended</w:t>
            </w:r>
          </w:p>
        </w:tc>
      </w:tr>
      <w:tr>
        <w:trPr>
          <w:trHeight w:val="210"/>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June 30, 2020</w:t>
            </w:r>
          </w:p>
        </w:tc>
      </w:tr>
      <w:tr>
        <w:trPr>
          <w:trHeight w:val="33"/>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16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70"/>
        </w:trPr>
        <w:tc>
          <w:tcPr>
            <w:tcW w:w="8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earnings per share (in millions)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Total dilutive restricted stock units (in millions)</w:t>
            </w:r>
          </w:p>
        </w:tc>
        <w:tc>
          <w:tcPr>
            <w:tcW w:w="16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 (in millions)</w:t>
            </w: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40" w:type="dxa"/>
            <w:vAlign w:val="bottom"/>
          </w:tcPr>
          <w:p>
            <w:pPr>
              <w:ind w:left="20"/>
              <w:spacing w:after="0"/>
              <w:rPr>
                <w:sz w:val="20"/>
                <w:szCs w:val="20"/>
                <w:color w:val="auto"/>
              </w:rPr>
            </w:pPr>
            <w:r>
              <w:rPr>
                <w:rFonts w:ascii="Arial" w:cs="Arial" w:eastAsia="Arial" w:hAnsi="Arial"/>
                <w:sz w:val="18"/>
                <w:szCs w:val="18"/>
                <w:color w:val="auto"/>
              </w:rPr>
              <w:t>Diluted earnings per share of Class A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0.34</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excluded 0.1 million equity awards for both the three months ended June 30, 2020 and the period ended June 30, 2020, respectively, as they were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June 30,</w:t>
            </w:r>
          </w:p>
        </w:tc>
        <w:tc>
          <w:tcPr>
            <w:tcW w:w="180" w:type="dxa"/>
            <w:vAlign w:val="bottom"/>
          </w:tcPr>
          <w:p>
            <w:pPr>
              <w:spacing w:after="0"/>
              <w:rPr>
                <w:sz w:val="17"/>
                <w:szCs w:val="17"/>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64"/>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NET</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June 30,</w:t>
            </w:r>
          </w:p>
        </w:tc>
        <w:tc>
          <w:tcPr>
            <w:tcW w:w="180" w:type="dxa"/>
            <w:vAlign w:val="bottom"/>
          </w:tcPr>
          <w:p>
            <w:pPr>
              <w:spacing w:after="0"/>
              <w:rPr>
                <w:sz w:val="24"/>
                <w:szCs w:val="24"/>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June 30, 2020 and September 30, 2019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4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20"/>
        <w:spacing w:after="0"/>
        <w:rPr>
          <w:sz w:val="20"/>
          <w:szCs w:val="20"/>
          <w:color w:val="auto"/>
        </w:rPr>
      </w:pPr>
      <w:r>
        <w:rPr>
          <w:rFonts w:ascii="Arial" w:cs="Arial" w:eastAsia="Arial" w:hAnsi="Arial"/>
          <w:sz w:val="17"/>
          <w:szCs w:val="17"/>
          <w:b w:val="1"/>
          <w:bCs w:val="1"/>
          <w:color w:val="auto"/>
        </w:rPr>
        <w:t>NOTE 11 — INTANGIBLE ASSETS, NET</w:t>
      </w:r>
    </w:p>
    <w:p>
      <w:pPr>
        <w:spacing w:after="0" w:line="133" w:lineRule="exact"/>
        <w:rPr>
          <w:sz w:val="20"/>
          <w:szCs w:val="20"/>
          <w:color w:val="auto"/>
        </w:rPr>
      </w:pPr>
    </w:p>
    <w:p>
      <w:pPr>
        <w:jc w:val="center"/>
        <w:ind w:right="7880"/>
        <w:spacing w:after="0"/>
        <w:rPr>
          <w:sz w:val="20"/>
          <w:szCs w:val="20"/>
          <w:color w:val="auto"/>
        </w:rPr>
      </w:pPr>
      <w:r>
        <w:rPr>
          <w:rFonts w:ascii="Arial" w:cs="Arial" w:eastAsia="Arial" w:hAnsi="Arial"/>
          <w:sz w:val="18"/>
          <w:szCs w:val="18"/>
          <w:color w:val="auto"/>
        </w:rPr>
        <w:t>Total intangible assets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 2019</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8"/>
                <w:szCs w:val="18"/>
                <w:color w:val="auto"/>
              </w:rPr>
            </w:pPr>
          </w:p>
        </w:tc>
        <w:tc>
          <w:tcPr>
            <w:tcW w:w="1080" w:type="dxa"/>
            <w:vAlign w:val="bottom"/>
          </w:tcPr>
          <w:p>
            <w:pPr>
              <w:jc w:val="right"/>
              <w:ind w:right="253"/>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Net</w:t>
            </w:r>
          </w:p>
        </w:tc>
      </w:tr>
      <w:tr>
        <w:trPr>
          <w:trHeight w:val="210"/>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80" w:type="dxa"/>
            <w:vAlign w:val="bottom"/>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08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r>
      <w:tr>
        <w:trPr>
          <w:trHeight w:val="33"/>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209.3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209.4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143.9</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144.6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152.6</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296.5</w:t>
            </w:r>
          </w:p>
        </w:tc>
      </w:tr>
      <w:tr>
        <w:trPr>
          <w:trHeight w:val="21"/>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the adoption of ASUs 2016-02 and 2018-11 (see Note 2), the Company updated its policy for recognizing leases under Accounting Standards Codification (“ASC”) Topic 842. The Company assessed the impact of these ASUs by reviewing its lease portfolio, implementing lease accounting software, developing related business processes and implementing internal controls. A summary of the updated policy is included below. Prior to October 1, 2019, the Company accounted for leases under ASC Topic 840, “Leases.”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Portfolio</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7 years and most leases provide the Company with the option to exercise one or more renewal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Policy</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most of the Company’s lease arrangements do not provide an implicit interest rate, an incremental borrowing rate (“IBR”) is applied in determining the present value of future payments. The Company’s IBR is selected based upon information available at the lease commencement date.</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Condensed Consolidated Balance Sheet. Operating lease expense is recognized on a straight-line basis over the lease term and is included in “Selling, general and administrative expenses” in the Condensed Consolidated Statements of Operations. Costs associated with finance leases and lease income do not have a material impact on the Company’s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Adoption</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utilized the cumulative effect adjustment method of adoption and, accordingly, recorded ROU assets and lease liabilities of $14.8 and $16.0, respectively, on the balance sheet at October 1, 2019. The Company elected the following practical expedients in accordance with ASC Topic 842:</w:t>
      </w:r>
    </w:p>
    <w:p>
      <w:pPr>
        <w:spacing w:after="0" w:line="16"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Reassessment elections </w:t>
      </w:r>
      <w:r>
        <w:rPr>
          <w:rFonts w:ascii="Arial" w:cs="Arial" w:eastAsia="Arial" w:hAnsi="Arial"/>
          <w:sz w:val="18"/>
          <w:szCs w:val="18"/>
          <w:color w:val="auto"/>
        </w:rPr>
        <w:t>— The Company elected the package of practical expedients and did not reassess whether any existing contracts are or</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a lease, provided a lease analysis was conducted under ASC Topic 840. To the extent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76" w:lineRule="exact"/>
        <w:rPr>
          <w:sz w:val="20"/>
          <w:szCs w:val="20"/>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Short-term lease election </w:t>
      </w:r>
      <w:r>
        <w:rPr>
          <w:rFonts w:ascii="Arial" w:cs="Arial" w:eastAsia="Arial" w:hAnsi="Arial"/>
          <w:sz w:val="18"/>
          <w:szCs w:val="18"/>
          <w:color w:val="auto"/>
        </w:rPr>
        <w:t>— ASC Topic 842 allows lessees an option to not recognize ROU assets and lease liabilities arising from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Lease vs non-lease components </w:t>
      </w:r>
      <w:r>
        <w:rPr>
          <w:rFonts w:ascii="Arial" w:cs="Arial" w:eastAsia="Arial" w:hAnsi="Arial"/>
          <w:sz w:val="18"/>
          <w:szCs w:val="18"/>
          <w:color w:val="auto"/>
        </w:rPr>
        <w:t>— The Company elected to combine lease and non-lease components as a single component 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arrangements was accounted for as a lease.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9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33"/>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12.6</w:t>
            </w: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11.5</w:t>
            </w:r>
          </w:p>
        </w:tc>
      </w:tr>
      <w:tr>
        <w:trPr>
          <w:trHeight w:val="27"/>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maturities of the Company’s operating lease liabilities as of June 30, 2020, presented under ASC Topic 842.</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9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33"/>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Fiscal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w:t>
            </w:r>
          </w:p>
        </w:tc>
      </w:tr>
      <w:tr>
        <w:trPr>
          <w:trHeight w:val="27"/>
        </w:trPr>
        <w:tc>
          <w:tcPr>
            <w:tcW w:w="9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7"/>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r>
      <w:tr>
        <w:trPr>
          <w:trHeight w:val="243"/>
        </w:trPr>
        <w:tc>
          <w:tcPr>
            <w:tcW w:w="9760" w:type="dxa"/>
            <w:vAlign w:val="bottom"/>
          </w:tcPr>
          <w:p>
            <w:pPr>
              <w:ind w:left="160"/>
              <w:spacing w:after="0"/>
              <w:rPr>
                <w:sz w:val="20"/>
                <w:szCs w:val="20"/>
                <w:color w:val="auto"/>
              </w:rPr>
            </w:pPr>
            <w:r>
              <w:rPr>
                <w:rFonts w:ascii="Arial" w:cs="Arial" w:eastAsia="Arial" w:hAnsi="Arial"/>
                <w:sz w:val="18"/>
                <w:szCs w:val="18"/>
                <w:color w:val="auto"/>
              </w:rPr>
              <w:t>Less: Implied interest</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9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future minimum rental payments under the Company’s noncancellable operating leases as of September 30, 2019, presented under ASC Topic 840.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September 30,</w:t>
            </w:r>
          </w:p>
        </w:tc>
      </w:tr>
      <w:tr>
        <w:trPr>
          <w:trHeight w:val="210"/>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4.7</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reported under ASC Topic 842, operating lease expense for the three and nine months ended June 30, 2020 was $1.0 and $3.0, respectively, which included immaterial variable lease costs and short-term lease costs in both periods. As reported under ASC Topic 840, rent expense for the three and nine months ended June 30, 2019 was $0.6 and $2.2, respectively. Operating cash flows for amounts included in the measurement of the Company’s operating lease liabilities for the nine months ended June 30, 2020 were $2.7. ROU assets obtained in exchange for operating lease liabilities during the nine months ended June 30, 2020 were immaterial. The weighted average remaining lease term of the Company’s operating leases as of June 30, 2020 was approximately 6 years and the weighted average incremental borrowing rate was 4.2% as of June 30,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June 30, 2020, the Company had pay-fixed, receive-variable interest rate swaps with a notional amount of $350.0 maturing in December 2022 that require monthly settlements which began on January 31, 2020 and are used to hedge forecasted interest payments on its variable rate debt (see Note 15). As of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 No derivative instruments were held by the Company at September 30, 2019.</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2020, accumulated OCI included a $10.0 net hedging loss before taxes ($9.3 after taxes). Approximately $2.3 of the net hedging loss reported in accumulated OCI at June 30, 2020 is expected to be reclassified into earnings within the next 12 months.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Condensed Consolidated Balance Sheet.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June 30, 2020</w:t>
            </w:r>
          </w:p>
        </w:tc>
      </w:tr>
      <w:tr>
        <w:trPr>
          <w:trHeight w:val="33"/>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6.8</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the Company’s net hedging losses on interest rate swaps which are included in “Interest expense, net” in the Condensed Consolidated Statements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Ended</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June 30, 2020</w:t>
            </w:r>
          </w:p>
        </w:tc>
      </w:tr>
      <w:tr>
        <w:trPr>
          <w:trHeight w:val="33"/>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settlements paid, net</w:t>
            </w: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r>
      <w:tr>
        <w:trPr>
          <w:trHeight w:val="263"/>
        </w:trPr>
        <w:tc>
          <w:tcPr>
            <w:tcW w:w="8240" w:type="dxa"/>
            <w:vAlign w:val="bottom"/>
          </w:tcPr>
          <w:p>
            <w:pPr>
              <w:ind w:left="120"/>
              <w:spacing w:after="0"/>
              <w:rPr>
                <w:sz w:val="20"/>
                <w:szCs w:val="20"/>
                <w:color w:val="auto"/>
              </w:rPr>
            </w:pPr>
            <w:r>
              <w:rPr>
                <w:rFonts w:ascii="Arial" w:cs="Arial" w:eastAsia="Arial" w:hAnsi="Arial"/>
                <w:sz w:val="18"/>
                <w:szCs w:val="18"/>
                <w:color w:val="auto"/>
              </w:rPr>
              <w:t>Total net hedging losses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1.9</w:t>
            </w: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liabilities and NCI measured at fair value on a recurring basis and the basis for that measurement according to the levels in the fair value hierarchy in ASC Topic 820.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2020</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Level 2</w:t>
            </w:r>
          </w:p>
        </w:tc>
      </w:tr>
      <w:tr>
        <w:trPr>
          <w:trHeight w:val="33"/>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w:t>
            </w:r>
          </w:p>
        </w:tc>
      </w:tr>
      <w:tr>
        <w:trPr>
          <w:trHeight w:val="270"/>
        </w:trPr>
        <w:tc>
          <w:tcPr>
            <w:tcW w:w="6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1,943.6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1,943.6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There were no such derivative liabilities as of September 30, 2019. The fair value of the NCI is calculated as its redemption value based on the Class A Common Stock price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and number of BellRing LLC units owned by Post as of June 30, 2020 (see Note 5). The Company did not have an NCI as of September 30, 2019.</w:t>
      </w:r>
    </w:p>
    <w:p>
      <w:pPr>
        <w:spacing w:after="0" w:line="1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The fair value of outstanding borrowings under the Revolving Credit Facility (as defined in Note 15) as of June 30, 2020 approximated its carrying value. Based on current market rates, the fair value (Level 2) of the Term B Facility (as defined in Note 15) was $677.8 as of June 30, 2020. The Company did not have short-term or long-term debt as of September 30, 2019.</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LONG-TERM DEBT</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“Long-term debt” on the Condensed Consolidated Balance Sheet at June 30, 2020 are presented in the following table. No long-term debt was held by the Company at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9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33"/>
        </w:trPr>
        <w:tc>
          <w:tcPr>
            <w:tcW w:w="9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682.5</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55.0</w:t>
            </w:r>
          </w:p>
        </w:tc>
      </w:tr>
      <w:tr>
        <w:trPr>
          <w:trHeight w:val="27"/>
        </w:trPr>
        <w:tc>
          <w:tcPr>
            <w:tcW w:w="9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737.5</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9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Debt issuance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9800" w:type="dxa"/>
            <w:vAlign w:val="bottom"/>
          </w:tcPr>
          <w:p>
            <w:pPr>
              <w:ind w:left="440"/>
              <w:spacing w:after="0"/>
              <w:rPr>
                <w:sz w:val="20"/>
                <w:szCs w:val="20"/>
                <w:color w:val="auto"/>
              </w:rPr>
            </w:pPr>
            <w:r>
              <w:rPr>
                <w:rFonts w:ascii="Arial" w:cs="Arial" w:eastAsia="Arial" w:hAnsi="Arial"/>
                <w:sz w:val="18"/>
                <w:szCs w:val="18"/>
                <w:color w:val="auto"/>
              </w:rPr>
              <w:t>Unamortized discount</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9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683.9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Bridge Loan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Bridge Facility Agreement (the “Bridge Loan Facility”) and borrowed $1,225.0 under the Bridge Loan Facility (the “Bridge Loan”). Certain of Post’s domestic subsidiaries (other than BellRing Inc. but including BellRing LLC and its domestic subsidiaries) guaranteed the Bridge Loan.</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LLC entered into a Borrower Assignment and Assumption Agreement with Post and the administrative agent under the Bridge Loan Facility, under which (i) BellRing LLC became the borrower under the Bridge Loan and assumed all interest of $2.2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the assets (other than real estate) of BellRing LLC and in substantially all of the assets of its subsidiary guarantors. BellRing LLC did not receive any of the proceeds of the Bridge Loan. On October 21, 2019, the Bridge Loan was repaid in full. See below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21, 2019, BellRing LLC borrowed the full amount under the Term B Facility and $100.0 under the Revolving Credit Facility. The Term B Facility was issued at 98.0% of par and BellRing LLC received $776.4 from the Term B Facility and Revolving Credit Facility after accounting for the original issue discount of $14.0 and paying investment banking and other fees of $9.6, which were deferred and will be amortized to interest expense over the terms of the loans. BellRing LLC used the proceeds, together with the net proceeds of the IPO that were contributed to it by BellRing Inc.,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completion of the IPO and (iv) for general corporate and working capital purposes, as well as to repay $20.0 of outstanding borrowings under the Revolving Credit Facility.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June 30, 2020, BellRing LLC borrowed $185.0 under the Revolving Credit Facility and repaid $130.0 on the Revolving Credit Facility. As of June 30, 2020, the available borrowing capacity under the Revolving Credit Facility was $145.0, and there were no outstanding letters of credit.</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Borrowings under the Term B Facility bear interest, at the option of BellRing LLC, at an annual rate equal to either (a) the Eurodollar rate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The Term B Facility requires quarterly scheduled amortization payments of $8.75 which began on March 31, 2020, with the balance to be paid at maturity on October 21, 2024. The Term B Facility contains customary mandatory prepayment provisions, including provisions for mandatory prepayment (a) from the net cash proceeds of certain asset sales and (b) beginning with the fiscal year ending September 30, 2020, of 75% of consolidated excess cash flow (as defined in the Credit Agreement) (which percentage will be reduced to 50% if the secured net leverage ratio (as defined in the Credit Agreement) is less than or equal to 3.35:1.00 as of a fiscal year end). The Term B Facility may be optionally prepaid at 101% of the principal amount prepaid at any time during the first 12 months following the closing of the Term B Facility, and without premium or penalty thereafter. The interest rate on the Term B Facility was 6.00% at June 30, 2020.</w:t>
      </w:r>
    </w:p>
    <w:p>
      <w:pPr>
        <w:spacing w:after="0" w:line="7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Borrowings under the Revolving Credit Facility bear interest, at the option of BellRing LLC, at an annual rate equal to either the Eurodollar rate or the base rate (determined as described above) plus a margin, which initially were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were initially accrued at the rate of 0.50% per annum and thereafter, depending on BellRing LLC’s secured net leverage ratio, will accrue at rates ranging from 0.25% to 0.50% per annum. The interest rate on the drawn portion of the Revolving Credit Facility was 5.25% at June 30, 2020.</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not to exceed 6.00 to 1.00, measured as of the last day of each fiscal quarter. The total net leverage ratio of BellRing LLC did not exceed this threshold as of June 30, 2020.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direct and indirect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supplements were false and misleading. In April 2016, the district court certified a California-only class of consumers in this lawsuit (this lawsuit is hereinafter referred to as the “California Federal Class Lawsuit”).</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2018, the district court dismissed the California Federal Class Lawsuit with prejudice. This dismissal was upheld on appeal by the U.S. Court of Appeals for the Ninth Circuit. Plaintiff has petitioned for an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rehearing by the U.S. Court of Appeals for the Ninth Circuit. The other ten complaints remain pending in the U.S. District Court for the Northern District of California, and the court has certified individual state classes in each of those cases.</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or nine months ended June 30, 2020 or 2019. At both June 30, 2020 and September 30, 2019,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STOCKHOLDERS’ EQUITY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21, 2019, 50.0 million shares of preferred stock were authorized pursuant to BellRing Inc.’s Amended and Restated Certificate of Incorporation. There were no shares of BellRing Inc.’s preferred stock issued or outstanding as of June 30, 2020.</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on October 21, 2019, 500.0 million shares of Class A Common Stock and one share of Class B Common Stock were authorized pursuant to BellRing Inc.’s Amended and Restated Certificate of Incorporation. The share of Class B Common Stock was issued to Post in exchange for 1,000 shares of BellRing Inc.’s common stock, par value $0.01 per share, initially issued to Post in connection with BellRing Inc.’s incorporation. These common shares were outstanding as of September 30, 2019 and were cancelled on October 21, 2019 as part of the exchange. BellRing Inc. initially issued 39.4 million shares of Class A Common Stock on October 21, 2019 in connection with the IPO, which were also outstanding as of June 30, 2020. One share of Class B Common Stock was issued and outstanding as of June 30,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Annual Report on Form 10-K for the fiscal year ended September 30, 2019 and the “Cautionary Statement on Forward-Looking Statements” section included below. The terms “our,” “we,” “us,” “Company” and “BellRing” as used herein refer to BellRing Brands,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We are a consumer products holding company operating in the global convenient nutrition category and a provider of ready-to-drink (“RTD”) protein shakes, other RTD beverages, powders, nutrition bars and nutritional supplements. Our primary brands are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The IPO was completed at an offering price of $14.00 per share and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a result of the IPO and certain other transactions completed in connection with the IPO (the “formation transactions”), BellRing Inc. became the holder of the historical active nutrition business of Post Holdings, Inc. (“Post”), which until the completion of the IPO, had been comprised of Premier Nutrition Company, LLC (the successor of Premier Nutrition Corporation), Dymatize Enterprises, LLC, Supreme Protein, LLC,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Active Nutrition International GmbH. As a holding company, BellRing Inc.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2020, BellRing Inc. owned 28.8% of the outstanding BellRing LLC units. The financial results of BellRing LLC and its subsidiaries were consolidated with BellRing Inc., and effective as of October 21, 2019, 71.2% of the consolidated net earnings of BellRing LLC were allocated to the redeemable noncontrolling interest (the “NCI”) to reflect the entitlement of Post to a portion of the consolidated net earnings.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COVID-19 pandemic has continued to create economic disruption and uncertainty both globally and in our business. We continue to closely monitor the impact of the COVID-19 pandemic and developments related thereto, including the rising number of cases in the United States, and are taking necessary actions to ensure our ability to safeguard the health of our employees, maintain the continuity of our supply chain to serve customers and manage our financial performance and liquidity. Examples of actions we have taken in response to the pandemic include implementing remote work arrangements and restrictions on business travel, enhancing facility safety measures and working closely with public health officials to follow additional health and safety guidelines. In addition, we drew an additional $65.0 million of our revolving credit facility to further enhance liquidity at the end of the second quarter of fiscal 2020 as a precautionary measure. This $65.0 million was subsequently repaid in May 2020.</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When the effects of the COVID-19 pandemic, including the actions of public health and other governmental officials in response to the pandemic, began to impact the category in which we operate, our products experienced category-wide slowing growth rates resulting from changes in consumer behavior, including lower on-the-go consumption and decreased relevance of sports nutrition consumption.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sold through the food, drug and mass (“FDM”), club and eCommerce channels initially experienced an increase in sales driven by a build up of customer inventory levels in March 2020. However, customers reduced their purchases during the third quarter of fiscal 2020 which resulted in a decrease in sales. Other actions in response to the pandemic, such as gym and store closures (both temporary and permanent) and domestic and international “stay at home” consumer behavior, have also negatively impacted sales for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For additional discussion, refer to “Liquidity and Capital Resources” and “Cautionary Statement on Forward-Looking Statements” within this section, as well as “Risk Factors” in Part II of this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1, 2019, we adopted Accounting Standards Update (“ASU”) 2016-02, “Leases (Topic 842),” and ASU 2018-11, “Leases (Topic 842):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Targeted Improvements.” At adoption, we recognized right-of-use assets and lease liabilities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$14.8 million and $16.0 million, respectively, on the balance sheet at October 1, 2019. For additional information regarding the ASUs, refer to Notes 2 and 12 within “Notes to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Three Months Ended June 30,</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Nine Months Ended June 30,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ind w:left="240"/>
              <w:spacing w:after="0"/>
              <w:rPr>
                <w:sz w:val="20"/>
                <w:szCs w:val="20"/>
                <w:color w:val="auto"/>
              </w:rPr>
            </w:pPr>
            <w:r>
              <w:rPr>
                <w:rFonts w:ascii="Arial" w:cs="Arial" w:eastAsia="Arial" w:hAnsi="Arial"/>
                <w:sz w:val="14"/>
                <w:szCs w:val="14"/>
                <w:b w:val="1"/>
                <w:bCs w:val="1"/>
                <w:color w:val="auto"/>
              </w:rPr>
              <w:t>favorable/(unfavorable)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favorable/(unfavorable)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3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204.2</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237.6</w:t>
            </w: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705.7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639.9</w:t>
            </w: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1"/>
              </w:rPr>
              <w:t>65.8</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9"/>
              </w:rPr>
              <w:t>(11.5)</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3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3"/>
                <w:szCs w:val="23"/>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center"/>
              <w:ind w:left="113"/>
              <w:spacing w:after="0"/>
              <w:rPr>
                <w:sz w:val="20"/>
                <w:szCs w:val="20"/>
                <w:color w:val="auto"/>
              </w:rPr>
            </w:pPr>
            <w:r>
              <w:rPr>
                <w:rFonts w:ascii="Arial" w:cs="Arial" w:eastAsia="Arial" w:hAnsi="Arial"/>
                <w:sz w:val="18"/>
                <w:szCs w:val="18"/>
                <w:color w:val="auto"/>
                <w:w w:val="93"/>
              </w:rPr>
              <w:t>(41.2)</w:t>
            </w: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91"/>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2320" w:type="dxa"/>
            <w:vAlign w:val="bottom"/>
          </w:tcPr>
          <w:p>
            <w:pPr>
              <w:ind w:left="120"/>
              <w:spacing w:after="0"/>
              <w:rPr>
                <w:sz w:val="20"/>
                <w:szCs w:val="20"/>
                <w:color w:val="auto"/>
              </w:rPr>
            </w:pPr>
            <w:r>
              <w:rPr>
                <w:rFonts w:ascii="Arial" w:cs="Arial" w:eastAsia="Arial" w:hAnsi="Arial"/>
                <w:sz w:val="18"/>
                <w:szCs w:val="18"/>
                <w:color w:val="auto"/>
              </w:rPr>
              <w:t>Less: Net earnings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20"/>
              <w:spacing w:after="0"/>
              <w:rPr>
                <w:sz w:val="20"/>
                <w:szCs w:val="20"/>
                <w:color w:val="auto"/>
              </w:rPr>
            </w:pPr>
            <w:r>
              <w:rPr>
                <w:rFonts w:ascii="Arial" w:cs="Arial" w:eastAsia="Arial" w:hAnsi="Arial"/>
                <w:sz w:val="18"/>
                <w:szCs w:val="18"/>
                <w:color w:val="auto"/>
              </w:rPr>
              <w:t>attributable to NCI</w:t>
            </w:r>
          </w:p>
        </w:tc>
        <w:tc>
          <w:tcPr>
            <w:tcW w:w="20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left="153"/>
              <w:spacing w:after="0"/>
              <w:rPr>
                <w:sz w:val="20"/>
                <w:szCs w:val="20"/>
                <w:color w:val="auto"/>
              </w:rPr>
            </w:pPr>
            <w:r>
              <w:rPr>
                <w:rFonts w:ascii="Arial" w:cs="Arial" w:eastAsia="Arial" w:hAnsi="Arial"/>
                <w:sz w:val="18"/>
                <w:szCs w:val="18"/>
                <w:color w:val="auto"/>
                <w:w w:val="91"/>
              </w:rPr>
              <w:t>45.3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Earnings Available to</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A Common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center"/>
              <w:ind w:left="153"/>
              <w:spacing w:after="0"/>
              <w:rPr>
                <w:sz w:val="20"/>
                <w:szCs w:val="20"/>
                <w:color w:val="auto"/>
              </w:rPr>
            </w:pPr>
            <w:r>
              <w:rPr>
                <w:rFonts w:ascii="Arial" w:cs="Arial" w:eastAsia="Arial" w:hAnsi="Arial"/>
                <w:sz w:val="18"/>
                <w:szCs w:val="18"/>
                <w:color w:val="auto"/>
                <w:w w:val="91"/>
              </w:rPr>
              <w:t>13.5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84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7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8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Net sales decreased $33.4 million, or 14%, during the three months ended June 30, 2020, compared to the corresponding prior year period.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down $23.3 million, or 12%, with volume down 10%. Volume decreases were driven by lower RTD protein shake, other RTDs and bar volumes. The decrease in RTD protein shake volumes was primarily the result of higher customer inventory levels at the end of our second fiscal quarter, which reduced customer purchases in the three months ended June 30, 2020. In addition, RTD protein shake volumes in the three months ended June 30, 2020 were negatively impacted by the lapping of an early delivery of product requested by a large customer in the third quarter of fiscal 2019 to support promotional activity and lower category-wide on-the-go consumption. These negative impacts were partially offset by distribution gains and new product introductions. Average net selling prices decreased in the three months ended June 30, 2020 due to increased promotional spending.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$4.4 million, or 17%, with volume down 22%. Volume decreases were primarily driven by lower international and specialty channel sales, largely resulting from consumer reaction to the COVID-19 pandemic, partially offset by gains in the club and eCommerce channels.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$5.6 million, or 44%, with volume down 45%, driven by lower consumer purchases in response to the COVID-19 pandemic and planned product discontinuations of certain products in North America. Sales of all other products were down $0.1 million.</w:t>
      </w:r>
    </w:p>
    <w:p>
      <w:pPr>
        <w:spacing w:after="0" w:line="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Net sales increased $65.8 million, or 10%, during the nine months ended June 30, 2020, compared to the corresponding prior year period.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$84.1 million, or 17%, with volume up 16%. Volume increases were driven by higher RTD protein shake product volumes which primarily related to distribution gains, lapping short-term capacity constraints in the prior year period and new product introductions, partially offset by the lapping of an early delivery of product requested by a large customer in the third quarter of fiscal 2019 to support promotional activity as well as lower bar volumes.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$8.1 million, or 10%, with volume down 8%. Volumes decreased primarily due to lower club volumes as a result of lapping prior year promotional activity and lower international and specialty channel volumes, largely resulting from consumer reaction to the COVID-19 pandemic. These negative impacts were partially offset by higher eCommerce volumes. Average net selling prices decreased in the nine months ended June 30, 2020 due to an unfavorable sales mix resulting from an increase in lower-priced powder volumes.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$9.3 million, or 26%, with volume down 33%, driven by planned product discontinuations of certain products in North America and lower consumer purchases in response to the COVID-19 pandemic, partially offset by an increase in average net selling prices. Sales of all other products were down $0.9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Operating profit decreased $22.2 million, or 42%, during the three months ended June 30, 2020, when compared to the prior year period. This decrease was primarily driven by lower net sales, as previously discussed, higher net product costs of $2.7 million, as unfavorable raw materials costs were partially offset by lower manufacturing and freight costs, increased advertising and promotional spend of $2.0 million and incremental public company costs of $2.1 million (including higher stock-based compensation expense of $0.7 million). These negative impacts were partially offset by lower employee-related expenses of $2.9 million and lower costs related to the separation from Post of $1.0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Operating profit decreased $11.5 million, or 9%, during the nine months ended June 30, 2020, when compared to the prior year period. This decrease was primarily driven by increased advertising and promotional spending of $13.5 million, higher net product costs of $9.2 million, as unfavorable raw materials costs were partially offset by lower manufacturing and freight costs, incremental public company costs of $6.9 million (including higher stock-based compensation expense of $2.4 million), higher warehousing costs of $3.1 million and higher employee-related expenses of $2.1 million. These negative impacts were partially offset by higher net sales, as previously discussed, and lower costs related to the separation from Post of $2.1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Interest expense, net was $15.3 million and $41.2 million during the three and nine months ended June 30, 2020, respectively, compared to zero during each of the three and nine months ended June 30, 2019. The increases in interest expense each period were primarily due to the issuance of debt in the first quarter of fiscal 2020. Additionally, we recognized net hedging losses of $2.1 million and $1.9 million on interest rate swaps during the three and nine months ended June 30, 2020, respectively. We had no debt outstanding in fiscal 2019. See Note 15 for additional information on our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income tax rate was 7.2% and 12.5% for the three and nine months ended June 30, 2020, respectively, and 23.7% and 23.8% for the three and nine months ended June 30, 2019, respectively. The decrease in the effective income tax rate compared to each of the prior year periods was primarily due to us taking into account for U.S. federal income tax purposes our 28.8% distributive share of the items of income, gain, loss and deduction of BellRing LLC in the periods subsequent to the IPO. Prior to the IPO and formation transactions, we reported 100% of the income, gain, loss and deduction of BellRing LLC.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21, 2019, BellRing Inc. closed its IPO of 39.4 million shares of Class A Common Stock, which number of shares included the underwriters’ exercise in full of their option to purchase up to an additional 5.1 million shares of Class A Common Stock, at an offering price of $14.00 per share. BellRing Inc. received net proceeds from the IPO of $524.4 million, after deducting underwriting discounts and commissions.</w:t>
      </w:r>
    </w:p>
    <w:p>
      <w:pPr>
        <w:spacing w:after="0" w:line="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11, 2019, in connection with the IPO and the formation transactions, Post entered into a $1,225.0 million Bridge Facility Agreement (the “Bridge Loan Facility”) and borrowed $1,225.0 million under the Bridge Loan Facility (the “Bridge Loan”). Certain of Post’s domestic subsidiaries (other than BellRing Inc. but including BellRing LLC and its domestic subsidiaries) guaranteed the Bridge Loan. On October 21, 2019, BellRing LLC entered into a Borrower Assignment and Assumption Agreement with Post and the administrative agent under the Bridge Loan Facility, under which (i) BellRing LLC became the borrower under the Bridge Loan and assumed all interest of $2.2 million thereunder, and Post and its subsidiary guarantors (other than BellRing LLC or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BellRing LLC’s assets and substantially all of the assets of its subsidiary guarantors (other than real estate). BellRing LLC did not receive any of the proceeds of the Bridge Loan.</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21, 2019, BellRing LLC entered into a credit agreement (“Credit Agreement”) which provides for a term B loan facility in an aggregate principal amount of $700.0 million (the “Term B Facility”), and a revolving credit facility in an aggregate principal amount of $200.0 million (the “Revolving Credit Facility”). During the three months ended December 31, 2019, BellRing LLC borrowed the full amount under the Term B Facility and $120.0 million under the Revolving Credit Facility and used the proceeds, together with the net proceeds of the IPO that were contributed to it by BellRing Inc., (i) to repay in full the $1,225.0 million of borrowings under the Bridge Loan and all interest thereunder and related costs and expenses, (ii) to pay directly, or reimburse Post for, as applicable, all fees and expenses incurred by BellRing Inc.,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certain borrowings under the Revolving Credit Facility.</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June 30, 2020, BellRing LLC borrowed $185.0 million under the Revolving Credit Facility and repaid $130.0 million on the Revolving Credit Facility. As of June 30, 2020, the available borrowing capacity under the Revolving Credit Facility was $145.0 million, and there were no outstanding letters of credit.</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additional information on the IPO, the formation transactions and the Credit Agreement, see Notes 1 and 15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2020. Our ability to generate positive cash flows from operations is dependent on general economic conditions, competitive pressures and other business risk factors. As a result of uncertainties in the near-term outlook for our business caused by the COVID-19 pandemic, we have taken steps to limit spending on travel and other operating expenses, and we continue to focus on cash flow generation. If we are unable to generate sufficient cash flows from operations, or otherwise to comply with the terms of BellRing LLC’s credit facilities, we may be required to seek additional financing alternatives.</w:t>
      </w:r>
    </w:p>
    <w:p>
      <w:pPr>
        <w:sectPr>
          <w:pgSz w:w="11900" w:h="16838" w:orient="portrait"/>
          <w:cols w:equalWidth="0" w:num="1">
            <w:col w:w="11240"/>
          </w:cols>
          <w:pgMar w:left="320" w:top="125" w:right="339" w:bottom="1440" w:gutter="0" w:footer="0" w:header="0"/>
        </w:sectPr>
      </w:pP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Cash provided by (used in):</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increase (decrease) in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1903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9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59.4</w:t>
            </w:r>
          </w:p>
        </w:tc>
      </w:tr>
      <w:tr>
        <w:trPr>
          <w:trHeight w:val="270"/>
        </w:trPr>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0"/>
        </w:trPr>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(65.0)</w:t>
            </w:r>
          </w:p>
        </w:tc>
      </w:tr>
      <w:tr>
        <w:trPr>
          <w:trHeight w:val="270"/>
        </w:trPr>
        <w:tc>
          <w:tcPr>
            <w:tcW w:w="3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7520" w:space="720"/>
            <w:col w:w="3000"/>
          </w:cols>
          <w:pgMar w:left="320" w:top="125" w:right="339" w:bottom="1440" w:gutter="0" w:footer="0" w:header="0"/>
          <w:type w:val="continuous"/>
        </w:sectPr>
      </w:pPr>
    </w:p>
    <w:p>
      <w:pPr>
        <w:jc w:val="both"/>
        <w:ind w:firstLine="324"/>
        <w:spacing w:after="0" w:line="296" w:lineRule="auto"/>
        <w:rPr>
          <w:sz w:val="20"/>
          <w:szCs w:val="20"/>
          <w:color w:val="auto"/>
        </w:rPr>
      </w:pPr>
      <w:r>
        <w:rPr>
          <w:rFonts w:ascii="Arial" w:cs="Arial" w:eastAsia="Arial" w:hAnsi="Arial"/>
          <w:sz w:val="16"/>
          <w:szCs w:val="16"/>
          <w:color w:val="auto"/>
        </w:rPr>
        <w:t>Cash provided by operating activities for the nine months ended June 30, 2020 decreased $32.2 million when compared to the prior year period. The decrease was primarily driven by higher interest payments of $37.5 million due to the increase in the principal balance of our outstanding debt, incremental income tax payments of $4.9 million and lower operating profit. These increased cash outflows were partially offset by favorable working capital changes of $6.0 million, primarily due to the build up of inventory in the prior year period related to short-term supply constraints and fluctuations in the timing of sales and collections of trade receivables, partially offset by fluctuations in the timing of purchases and payments of trade payables.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nine months ended June 30, 2020 decreased $0.5 million compared to the prior year period,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2020</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Cash used in financing activities for the nine months ended June 30, 2020 was $9.1 million. BellRing LLC received proceeds of $686.0 million, net of discount, related to the issuance of the Term B Facility and drew an aggregate of $185.0 million on the Revolving Credit Facility. In addition, BellRing Inc. received $524.4 million from the issuance of its Class A Common Stock in conjunction with the IPO. BellRing LLC had net cash transfers of $22.4 million to Post which included cash deposits prior to the IPO, tax distributions to Post pursuant to BellRing LLC’s amended and restated limited liability company agreement and state tax withholdings payments on behalf of Post. BellRing LLC also repaid the $1,225.0 million outstanding principal balance of the Bridge Loan assumed from Post, repaid $130.0 million of outstanding borrowings on the Revolving Credit Facility and repaid $17.5 million on the principal balance of the Term B Facility. In connection with the issuance of BellRing LLC’s long-term debt, BellRing LLC paid $9.6 million in debt issuance costs and deferred financing fees.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2019</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for the nine months ended June 30, 2019 was $65.0 million, which primarily related to cash transfers to and from Post, including cash deposits to Post and cash borrowings received from Post used to fund operations or capital expenditures and allocations of Post’s corporate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June 30, 2020, and we do not believe non-compliance is reasonably likely in the foreseeable future.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incremental revolving and term facilities, and also permits other secured or unsecured debt, if, among other conditions, certain financial ratios are met, as defined and specified in the 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1, 2019, we adopted ASU 2016-02, “Leases (Topic 842),” and ASU 2018-11, “Leases (Topic 842): Targeted Improvements.” For additional information, refer to Notes 2 and 12 within “Notes to Condensed Consolidated Financial Statements.”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2019, as filed with the Securities and Exchange Commission (“SEC”) on November 22, 2019. Except as noted above, there have been no significant changes to our critical accounting policies and estimates since September 30, 2019.</w:t>
      </w:r>
    </w:p>
    <w:p>
      <w:pPr>
        <w:spacing w:after="0" w:line="23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 within “Notes to Condensed Consolidated Financial Statements” for a discussion regarding recently issued accounting standards.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results of operations, financial condition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0"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our ability and the ability of our third party manufacturers to manufacture and deliver our products, our supply chain and our operations generally;</w:t>
      </w:r>
    </w:p>
    <w:p>
      <w:pPr>
        <w:spacing w:after="0" w:line="6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or inefficiencies in the supply chain, including as a result of our reliance on third party suppliers or manufacturers for the manufacturing of many of our products, pandemics, changes in weather conditions, natural disasters, agricultural diseases and pests and other events beyond our control;</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volatility in the costs or availability of certain commodities (including raw materials and packaging used to manufacture our products), higher freight costs or higher energy costs;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and global capital and credit markets, changes in interest rates and fluctuations in foreign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attract key employees, loss of key employees, employee absenteeism, labor strikes, work stoppages or unionization efforts;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trends and to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and our obligations under various agreements with Post, including under the tax receivable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our ability to operate as a separate public company following the IPO and the additional expenses we will incur to create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2019, filed with the SEC on November 22, 2019.</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within Item 2 of this report, as well as “Risk Factors” in Part II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and fuels.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940"/>
        <w:spacing w:after="0" w:line="375" w:lineRule="auto"/>
        <w:rPr>
          <w:sz w:val="20"/>
          <w:szCs w:val="20"/>
          <w:color w:val="auto"/>
        </w:rPr>
      </w:pPr>
      <w:r>
        <w:rPr>
          <w:rFonts w:ascii="Arial" w:cs="Arial" w:eastAsia="Arial" w:hAnsi="Arial"/>
          <w:sz w:val="18"/>
          <w:szCs w:val="18"/>
          <w:color w:val="auto"/>
        </w:rPr>
        <w:t xml:space="preserve">the Company may not be able to pass along the full effect of increases in raw materials and other input costs as they are incurred. </w:t>
      </w:r>
      <w:r>
        <w:rPr>
          <w:rFonts w:ascii="Arial" w:cs="Arial" w:eastAsia="Arial" w:hAnsi="Arial"/>
          <w:sz w:val="18"/>
          <w:szCs w:val="18"/>
          <w:b w:val="1"/>
          <w:bCs w:val="1"/>
          <w:color w:val="auto"/>
        </w:rPr>
        <w:t>Foreign Currency Risk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June 30, 2020, BellRing LLC had an aggregate principal amount of $682.5 million outstanding on its Term B Facility and an aggregate principal amount of $55.0 million outstanding under its Revolving Credit Facility. Borrowings under the Term B Facility and the Revolving Credit Facility bear interest at variable rates. Including the impact of interest rate swaps, a hypothetical 10% increase in interest rates would have an immaterial impact on both interest expense and interest paid during the three and nine months ended June 30, 2020. BellRing LLC had no outstanding debt as of September 30, 2019. For additional information regarding BellRing LLC’s debt, see Note 15 within “Notes to Condensed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the Company had interest rate swaps with a notional value of $350.0 million. A hypothetical 10% adverse change in interest rates would have an immaterial impact on the fair value of the interest rate swaps as of June 30, 2020. The Company held no interest rate swaps as of September 30, 2019. For additional information regarding the Company’s interest rate swap contracts, see Note 13 within “Notes to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June 30, 2020, that have materially affected, or are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(as successor to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2018, the district court dismissed the California Federal Class Lawsuit with prejudice. This dismissal was upheld on appeal by the U.S. Court of Appeals for the Ninth Circuit. Plaintiff has petitioned for an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rehearing by the U.S. Court of Appeals for the Ninth Circuit. The other ten complaints remain pending in the U.S. District Court for the Northern District of California, and the court has certified individual state classes in each of those cases.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January 2019, the same lead counsel filed another class action complaint against Premier Nutrition in Alameda County California Superior Court, alleging claims similar to the above actions and seeking monetary damages and injunctive relief on behalf of a putative class of California consumers.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information set forth elsewhere in this Quarterly Report on Form 10-Q and the risk factor set forth below, you should carefully consider the risk factors we previously disclosed in our Annual Report on Form 10-K, filed with the United States Securities and Exchange Commission on November 22, 2019, as of and for the year ended September 30, 2019 (the “Form 10-K”).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negatively impacted and is expected to continue to negatively impact the global economy and capital markets. In addition the COVID-19 pandemic has and we expect it to continue to impact our financial and operational performance.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pandemic has and is likely to continue to negatively impact the global economy and capital markets, which could result in a prolonged economic downturn or a global economic recession. These impacts could limit our ability to satisfy our debt obligations or the cost or availability of additional capital transactions. As of June 30, 2020, we had $737.5 million in aggregate principal amount debt and $22.5 million in cash and cash equivalents.</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regional or global impact of the outbreak, including official or unofficial quarantines and governmental restrictions on activities taken in response to such event, could limit our ability and the ability of our third party manufacturers to manufacture and deliver our products, which would have a material adverse impact on our business, financial condition, results of operations and cash flows. The impact of the COVID-19 pandemic could include voluntary or mandatory closures of our facilities, interruptions in our supply chain, which could impact the cost or availability of materials, restrictions on our ability to deliver our products, closures of our customers and labor shortages. We believe the COVID-19 pandemic has reduced consumer demand for our products due to, among other things, quarantines and governmental restrictions on activities and that the closure of certain specialty stores where our products are sold has decreased the sale of our products. Additional voluntary or mandatory closure of clubs, FDM, eCommerce and other retailers where our products are sold could result in a decrease in the sale of our products. We may incur additional expenses to comply with new requirements imposed by governmental authorities, including purchases of equipment or supplies that are in high demand, as well as engaging third party resources.</w:t>
      </w:r>
    </w:p>
    <w:p>
      <w:pPr>
        <w:spacing w:after="0" w:line="8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and other impacts of the COVID-19 pandemic have heightened, or in some cases manifested, many of the other risks we previously disclosed in the “Risk Factors” section of the Form 10-K, any of which could have a material effect on us. This situation is changing rapidly and additional impacts may arise that we are not aware of as of the date hereof. The extent and potential short and long term impact of the COVID-19 pandemic on our business, financial condition, results of operations and cash flows, which could be material, will depend on future developments, including the duration, severity and spread of the pandemic, actions that have and may be taken by governmental authorities in response to the pandemic and the impact on our supply chain, operations, workforce and the financial markets, all of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either provided with this Form 10-Q or are incorporated herein by reference.</w:t>
      </w:r>
    </w:p>
    <w:p>
      <w:pPr>
        <w:spacing w:after="0" w:line="19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07758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31.1</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31.3</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32.1</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579"/>
        <w:spacing w:after="0" w:line="235"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Amended and Restated Certificate of Incorporation of BellRing Brands, Inc. (Incorporated by reference to Exhibit</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3.1 to the Company’s Form 8-K filed on October 21, 2019)</w:t>
        </w:r>
      </w:hyperlink>
    </w:p>
    <w:p>
      <w:pPr>
        <w:ind w:right="579"/>
        <w:spacing w:after="0" w:line="23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Amended and Restated Bylaws of BellRing Brands, Inc. (Incorporated by reference to Exhibit 3.2 to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Company’s Form 8-K filed on October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579"/>
        <w:spacing w:after="0" w:line="234"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the Company’s Form S-1 filed on September 20, 2019)</w:t>
        </w:r>
      </w:hyperlink>
    </w:p>
    <w:p>
      <w:pPr>
        <w:spacing w:after="0" w:line="1" w:lineRule="exact"/>
        <w:rPr>
          <w:sz w:val="20"/>
          <w:szCs w:val="20"/>
          <w:color w:val="auto"/>
        </w:rPr>
      </w:pPr>
    </w:p>
    <w:p>
      <w:pPr>
        <w:ind w:right="799"/>
        <w:spacing w:after="0" w:line="234" w:lineRule="auto"/>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30">
        <w:r>
          <w:rPr>
            <w:rFonts w:ascii="Arial" w:cs="Arial" w:eastAsia="Arial" w:hAnsi="Arial"/>
            <w:sz w:val="18"/>
            <w:szCs w:val="18"/>
            <w:u w:val="single" w:color="auto"/>
            <w:color w:val="0000FF"/>
          </w:rPr>
          <w:t>Oxley Act of 2002, dated August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579"/>
        <w:spacing w:after="0" w:line="234"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Sarbanes-Oxley Act of 2002, dated August 7, 2020</w:t>
        </w:r>
      </w:hyperlink>
    </w:p>
    <w:p>
      <w:pPr>
        <w:spacing w:after="0" w:line="1" w:lineRule="exact"/>
        <w:rPr>
          <w:sz w:val="20"/>
          <w:szCs w:val="20"/>
          <w:color w:val="auto"/>
        </w:rPr>
      </w:pPr>
    </w:p>
    <w:p>
      <w:pPr>
        <w:ind w:right="999"/>
        <w:spacing w:after="0" w:line="234"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32">
        <w:r>
          <w:rPr>
            <w:rFonts w:ascii="Arial" w:cs="Arial" w:eastAsia="Arial" w:hAnsi="Arial"/>
            <w:sz w:val="18"/>
            <w:szCs w:val="18"/>
            <w:u w:val="single" w:color="auto"/>
            <w:color w:val="0000FF"/>
          </w:rPr>
          <w:t>Oxley Act of 2002, dated August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599"/>
        <w:spacing w:after="0" w:line="234"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adopted pursuant to Section 906 of the Sarbanes-Oxley Act of 2002, dated August 7, 2020</w:t>
        </w:r>
      </w:hyperlink>
    </w:p>
    <w:p>
      <w:pPr>
        <w:spacing w:after="0" w:line="1" w:lineRule="exact"/>
        <w:rPr>
          <w:sz w:val="20"/>
          <w:szCs w:val="20"/>
          <w:color w:val="auto"/>
        </w:rPr>
      </w:pPr>
    </w:p>
    <w:p>
      <w:pPr>
        <w:ind w:right="799"/>
        <w:spacing w:after="0" w:line="224" w:lineRule="auto"/>
        <w:rPr>
          <w:sz w:val="20"/>
          <w:szCs w:val="20"/>
          <w:color w:val="auto"/>
        </w:rPr>
      </w:pPr>
      <w:r>
        <w:rPr>
          <w:rFonts w:ascii="Arial" w:cs="Arial" w:eastAsia="Arial" w:hAnsi="Arial"/>
          <w:sz w:val="18"/>
          <w:szCs w:val="18"/>
          <w:color w:val="auto"/>
        </w:rPr>
        <w:t>Interactive Data File (Form 10-Q for the quarterly period ended June 30, 2020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wp:posOffset>
            </wp:positionV>
            <wp:extent cx="607758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 w:space="560"/>
            <w:col w:w="8919"/>
          </w:cols>
          <w:pgMar w:left="320" w:top="125" w:right="1440" w:bottom="1440" w:gutter="0" w:footer="0" w:header="0"/>
          <w:type w:val="continuous"/>
        </w:sectPr>
      </w:pPr>
    </w:p>
    <w:p>
      <w:pPr>
        <w:ind w:left="1220" w:right="639" w:hanging="848"/>
        <w:spacing w:after="0" w:line="23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June 30, 2020, formatted in iXBRL (Inline eXtensible Business Reporting Language)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BELLRING BRANDS, INC.</w:t>
      </w:r>
    </w:p>
    <w:p>
      <w:pPr>
        <w:spacing w:after="0" w:line="63" w:lineRule="exact"/>
        <w:rPr>
          <w:sz w:val="20"/>
          <w:szCs w:val="20"/>
          <w:color w:val="auto"/>
        </w:rPr>
      </w:pPr>
    </w:p>
    <w:p>
      <w:pPr>
        <w:ind w:left="20"/>
        <w:spacing w:after="0"/>
        <w:tabs>
          <w:tab w:leader="none" w:pos="740" w:val="left"/>
          <w:tab w:leader="none" w:pos="7020" w:val="left"/>
          <w:tab w:leader="none" w:pos="7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31750</wp:posOffset>
            </wp:positionV>
            <wp:extent cx="24003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25" w:right="3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Chief Executive Chairman</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8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78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20"/>
        <w:spacing w:after="0"/>
        <w:tabs>
          <w:tab w:leader="none" w:pos="700" w:val="left"/>
          <w:tab w:leader="none" w:pos="4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1843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jc w:val="right"/>
        <w:ind w:left="660" w:right="820" w:hanging="652"/>
        <w:spacing w:after="0" w:line="342" w:lineRule="auto"/>
        <w:tabs>
          <w:tab w:leader="none" w:pos="2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June 30, 2020, filed on the date hereof with the Securities and Exchange Commission (the “Report”), fully complies with the requirements of Section 13(a) or 15(d) of the Securities Exchange Act of 1934, as amended; and</w:t>
      </w:r>
    </w:p>
    <w:p>
      <w:pPr>
        <w:spacing w:after="0" w:line="150"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Robert V. Vitale</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Executive Chairman</w:t>
      </w:r>
    </w:p>
    <w:p>
      <w:pPr>
        <w:spacing w:after="0" w:line="3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3" w:name="page34"/>
    <w:bookmarkEnd w:id="33"/>
    <w:p>
      <w:pPr>
        <w:spacing w:after="0" w:line="200" w:lineRule="exact"/>
        <w:rPr>
          <w:sz w:val="20"/>
          <w:szCs w:val="20"/>
          <w:color w:val="auto"/>
        </w:rPr>
      </w:pPr>
    </w:p>
    <w:p>
      <w:pPr>
        <w:spacing w:after="0" w:line="227"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jc w:val="right"/>
        <w:ind w:left="660" w:right="40" w:hanging="652"/>
        <w:spacing w:after="0" w:line="342" w:lineRule="auto"/>
        <w:tabs>
          <w:tab w:leader="none" w:pos="2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June 30, 2020, filed on the date hereof with the Securities and Exchange Commission (the “Report”), fully complies with the requirements of Section 13(a) or 15(d) of the Securities Exchange Act of 1934, as amended; and</w:t>
      </w:r>
    </w:p>
    <w:p>
      <w:pPr>
        <w:spacing w:after="0" w:line="150"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4" w:name="page35"/>
    <w:bookmarkEnd w:id="34"/>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jc w:val="right"/>
        <w:ind w:left="660" w:right="40" w:hanging="652"/>
        <w:spacing w:after="0" w:line="342" w:lineRule="auto"/>
        <w:tabs>
          <w:tab w:leader="none" w:pos="2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period ended June 30, 2020, filed on the date hereof with the Securities and Exchange Commission (the “Report”), fully complies with the requirements of Section 13(a) or 15(d) of the Securities Exchange Act of 1934, as amended; and</w:t>
      </w:r>
    </w:p>
    <w:p>
      <w:pPr>
        <w:spacing w:after="0" w:line="150"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40" w:val="left"/>
          <w:tab w:leader="none" w:pos="3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color w:val="auto"/>
        </w:rPr>
        <w:t>By: /s/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894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Paul A. Rode</w:t>
      </w:r>
    </w:p>
    <w:p>
      <w:pPr>
        <w:spacing w:after="0" w:line="6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04"/>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62" Type="http://schemas.openxmlformats.org/officeDocument/2006/relationships/hyperlink" Target="http://www.sec.gov/Archives/edgar/data/1772016/000119312519270862/d812149dex31.htm" TargetMode="External"/><Relationship Id="rId63" Type="http://schemas.openxmlformats.org/officeDocument/2006/relationships/hyperlink" Target="http://www.sec.gov/Archives/edgar/data/1772016/000119312519270862/d812149dex32.htm" TargetMode="External"/><Relationship Id="rId65" Type="http://schemas.openxmlformats.org/officeDocument/2006/relationships/hyperlink" Target="http://www.sec.gov/Archives/edgar/data/1772016/000119312519250692/d727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2020-08-07T11:10:36Z</dcterms:created>
  <dcterms:modified xsi:type="dcterms:W3CDTF">2020-08-07T11:10:36Z</dcterms:modified>
</cp:coreProperties>
</file>