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339725</wp:posOffset>
            </wp:positionH>
            <wp:positionV relativeFrom="page">
              <wp:posOffset>597535</wp:posOffset>
            </wp:positionV>
            <wp:extent cx="61436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3625" cy="5715"/>
                    </a:xfrm>
                    <a:prstGeom prst="rect">
                      <a:avLst/>
                    </a:prstGeom>
                    <a:noFill/>
                  </pic:spPr>
                </pic:pic>
              </a:graphicData>
            </a:graphic>
          </wp:anchor>
        </w:drawing>
        <w:drawing>
          <wp:anchor simplePos="0" relativeHeight="251657728" behindDoc="1" locked="0" layoutInCell="0" allowOverlap="1">
            <wp:simplePos x="0" y="0"/>
            <wp:positionH relativeFrom="page">
              <wp:posOffset>339725</wp:posOffset>
            </wp:positionH>
            <wp:positionV relativeFrom="page">
              <wp:posOffset>614680</wp:posOffset>
            </wp:positionV>
            <wp:extent cx="61436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3625" cy="571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color w:val="auto"/>
        </w:rPr>
        <w:t>______________________</w:t>
      </w:r>
    </w:p>
    <w:p>
      <w:pPr>
        <w:spacing w:after="0" w:line="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2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1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Date of Report (Date of earliest event reported): January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79375</wp:posOffset>
            </wp:positionV>
            <wp:extent cx="1000125" cy="525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0125" cy="525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BellRing Brands, Inc.</w:t>
      </w:r>
    </w:p>
    <w:p>
      <w:pPr>
        <w:spacing w:after="0" w:line="103" w:lineRule="exact"/>
        <w:rPr>
          <w:sz w:val="24"/>
          <w:szCs w:val="24"/>
          <w:color w:val="auto"/>
        </w:rPr>
      </w:pPr>
    </w:p>
    <w:tbl>
      <w:tblPr>
        <w:tblLayout w:type="fixed"/>
        <w:tblInd w:w="1280" w:type="dxa"/>
        <w:tblCellMar>
          <w:top w:w="0" w:type="dxa"/>
          <w:left w:w="0" w:type="dxa"/>
          <w:bottom w:w="0" w:type="dxa"/>
          <w:right w:w="0" w:type="dxa"/>
        </w:tblCellMar>
      </w:tblPr>
      <w:tr>
        <w:trPr>
          <w:trHeight w:val="155"/>
        </w:trPr>
        <w:tc>
          <w:tcPr>
            <w:tcW w:w="2620" w:type="dxa"/>
            <w:vAlign w:val="bottom"/>
          </w:tcPr>
          <w:p>
            <w:pPr>
              <w:spacing w:after="0"/>
              <w:rPr>
                <w:sz w:val="13"/>
                <w:szCs w:val="13"/>
                <w:color w:val="auto"/>
              </w:rPr>
            </w:pP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2280" w:type="dxa"/>
            <w:vAlign w:val="bottom"/>
          </w:tcPr>
          <w:p>
            <w:pPr>
              <w:spacing w:after="0"/>
              <w:rPr>
                <w:sz w:val="13"/>
                <w:szCs w:val="13"/>
                <w:color w:val="auto"/>
              </w:rPr>
            </w:pPr>
          </w:p>
        </w:tc>
      </w:tr>
      <w:tr>
        <w:trPr>
          <w:trHeight w:val="184"/>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340" w:type="dxa"/>
            <w:vAlign w:val="bottom"/>
          </w:tcPr>
          <w:p>
            <w:pPr>
              <w:spacing w:after="0"/>
              <w:rPr>
                <w:sz w:val="16"/>
                <w:szCs w:val="16"/>
                <w:color w:val="auto"/>
              </w:rPr>
            </w:pPr>
          </w:p>
        </w:tc>
        <w:tc>
          <w:tcPr>
            <w:tcW w:w="2260" w:type="dxa"/>
            <w:vAlign w:val="bottom"/>
          </w:tcPr>
          <w:p>
            <w:pPr>
              <w:jc w:val="center"/>
              <w:ind w:right="1394"/>
              <w:spacing w:after="0"/>
              <w:rPr>
                <w:sz w:val="20"/>
                <w:szCs w:val="20"/>
                <w:color w:val="auto"/>
              </w:rPr>
            </w:pPr>
            <w:r>
              <w:rPr>
                <w:rFonts w:ascii="Times New Roman" w:cs="Times New Roman" w:eastAsia="Times New Roman" w:hAnsi="Times New Roman"/>
                <w:sz w:val="13"/>
                <w:szCs w:val="13"/>
                <w:b w:val="1"/>
                <w:bCs w:val="1"/>
                <w:color w:val="auto"/>
                <w:w w:val="99"/>
              </w:rPr>
              <w:t>001-39093</w:t>
            </w:r>
          </w:p>
        </w:tc>
        <w:tc>
          <w:tcPr>
            <w:tcW w:w="2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87-3296749</w:t>
            </w:r>
          </w:p>
        </w:tc>
      </w:tr>
      <w:tr>
        <w:trPr>
          <w:trHeight w:val="158"/>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2"/>
                <w:szCs w:val="12"/>
                <w:color w:val="auto"/>
                <w:w w:val="99"/>
              </w:rPr>
              <w:t>(State or other jurisdiction of incorporation)</w:t>
            </w: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2280" w:type="dxa"/>
            <w:vAlign w:val="bottom"/>
          </w:tcPr>
          <w:p>
            <w:pPr>
              <w:jc w:val="center"/>
              <w:ind w:left="557"/>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391"/>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2503 S. Hanley Road</w:t>
            </w:r>
          </w:p>
        </w:tc>
        <w:tc>
          <w:tcPr>
            <w:tcW w:w="134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St. Louis</w:t>
            </w:r>
          </w:p>
        </w:tc>
        <w:tc>
          <w:tcPr>
            <w:tcW w:w="2260" w:type="dxa"/>
            <w:vAlign w:val="bottom"/>
          </w:tcPr>
          <w:p>
            <w:pPr>
              <w:ind w:left="1060"/>
              <w:spacing w:after="0"/>
              <w:rPr>
                <w:sz w:val="20"/>
                <w:szCs w:val="20"/>
                <w:color w:val="auto"/>
              </w:rPr>
            </w:pPr>
            <w:r>
              <w:rPr>
                <w:rFonts w:ascii="Times New Roman" w:cs="Times New Roman" w:eastAsia="Times New Roman" w:hAnsi="Times New Roman"/>
                <w:sz w:val="13"/>
                <w:szCs w:val="13"/>
                <w:b w:val="1"/>
                <w:bCs w:val="1"/>
                <w:color w:val="auto"/>
              </w:rPr>
              <w:t>Missouri</w:t>
            </w:r>
          </w:p>
        </w:tc>
        <w:tc>
          <w:tcPr>
            <w:tcW w:w="2280" w:type="dxa"/>
            <w:vAlign w:val="bottom"/>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63144</w:t>
            </w:r>
          </w:p>
        </w:tc>
      </w:tr>
      <w:tr>
        <w:trPr>
          <w:trHeight w:val="158"/>
        </w:trPr>
        <w:tc>
          <w:tcPr>
            <w:tcW w:w="3960" w:type="dxa"/>
            <w:vAlign w:val="bottom"/>
            <w:gridSpan w:val="2"/>
          </w:tcPr>
          <w:p>
            <w:pPr>
              <w:ind w:left="172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2260" w:type="dxa"/>
            <w:vAlign w:val="bottom"/>
          </w:tcPr>
          <w:p>
            <w:pPr>
              <w:spacing w:after="0"/>
              <w:rPr>
                <w:sz w:val="13"/>
                <w:szCs w:val="13"/>
                <w:color w:val="auto"/>
              </w:rPr>
            </w:pPr>
          </w:p>
        </w:tc>
        <w:tc>
          <w:tcPr>
            <w:tcW w:w="2280" w:type="dxa"/>
            <w:vAlign w:val="bottom"/>
          </w:tcPr>
          <w:p>
            <w:pPr>
              <w:jc w:val="center"/>
              <w:ind w:left="577"/>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1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3"/>
          <w:szCs w:val="13"/>
          <w:b w:val="1"/>
          <w:bCs w:val="1"/>
          <w:color w:val="auto"/>
        </w:rPr>
        <w:t>(314) 644-7600</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44"/>
        </w:trPr>
        <w:tc>
          <w:tcPr>
            <w:tcW w:w="1420" w:type="dxa"/>
            <w:vAlign w:val="bottom"/>
          </w:tcPr>
          <w:p>
            <w:pPr>
              <w:spacing w:after="0"/>
              <w:rPr>
                <w:sz w:val="12"/>
                <w:szCs w:val="12"/>
                <w:color w:val="auto"/>
              </w:rPr>
            </w:pPr>
          </w:p>
        </w:tc>
        <w:tc>
          <w:tcPr>
            <w:tcW w:w="2280" w:type="dxa"/>
            <w:vAlign w:val="bottom"/>
            <w:gridSpan w:val="2"/>
          </w:tcPr>
          <w:p>
            <w:pPr>
              <w:jc w:val="center"/>
              <w:ind w:right="142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4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292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60"/>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$0.01 par value per share</w:t>
            </w:r>
          </w:p>
        </w:tc>
        <w:tc>
          <w:tcPr>
            <w:tcW w:w="780" w:type="dxa"/>
            <w:vAlign w:val="bottom"/>
          </w:tcPr>
          <w:p>
            <w:pPr>
              <w:spacing w:after="0"/>
              <w:rPr>
                <w:sz w:val="13"/>
                <w:szCs w:val="13"/>
                <w:color w:val="auto"/>
              </w:rPr>
            </w:pPr>
          </w:p>
        </w:tc>
        <w:tc>
          <w:tcPr>
            <w:tcW w:w="170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rPr>
              <w:t>BRBR</w:t>
            </w:r>
          </w:p>
        </w:tc>
        <w:tc>
          <w:tcPr>
            <w:tcW w:w="8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bl>
    <w:p>
      <w:pPr>
        <w:spacing w:after="0" w:line="115"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196"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587375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-39370</wp:posOffset>
            </wp:positionV>
            <wp:extent cx="60636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3615" cy="571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-22225</wp:posOffset>
            </wp:positionV>
            <wp:extent cx="60636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3615" cy="5715"/>
                    </a:xfrm>
                    <a:prstGeom prst="rect">
                      <a:avLst/>
                    </a:prstGeom>
                    <a:noFill/>
                  </pic:spPr>
                </pic:pic>
              </a:graphicData>
            </a:graphic>
          </wp:anchor>
        </w:drawing>
      </w:r>
    </w:p>
    <w:p>
      <w:pPr>
        <w:sectPr>
          <w:pgSz w:w="11900" w:h="16838" w:orient="portrait"/>
          <w:cols w:equalWidth="0" w:num="1">
            <w:col w:w="11200"/>
          </w:cols>
          <w:pgMar w:left="300" w:top="1087" w:right="399" w:bottom="1440" w:gutter="0" w:footer="0" w:header="0"/>
        </w:sectPr>
      </w:pPr>
    </w:p>
    <w:bookmarkStart w:id="1" w:name="page2"/>
    <w:bookmarkEnd w:id="1"/>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 and Financial Condition.</w:t>
      </w:r>
    </w:p>
    <w:p>
      <w:pPr>
        <w:spacing w:after="0" w:line="172"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On February 5, 2024, BellRing Brands, Inc. (the "Company") issued a press release announcing results for its first fiscal quarter ended December 31, 2023. A copy of the press release is attached hereto as Exhibit 99.1 and incorporated herein by reference.</w:t>
      </w:r>
    </w:p>
    <w:p>
      <w:pPr>
        <w:spacing w:after="0" w:line="129"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 addition, on February 5, 2024, the Company published to the "Investor Relations" section of its website, www.bellringbrands.com, a supplemental presentation related to results for its first fiscal quarter ended December 31, 2023. A copy of the presentation is attached hereto as Exhibit 99.2 and incorporated herein by reference.</w:t>
      </w:r>
    </w:p>
    <w:p>
      <w:pPr>
        <w:spacing w:after="0" w:line="12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13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5.07.</w:t>
      </w:r>
      <w:r>
        <w:rPr>
          <w:sz w:val="20"/>
          <w:szCs w:val="20"/>
          <w:color w:val="auto"/>
        </w:rPr>
        <w:tab/>
      </w:r>
      <w:r>
        <w:rPr>
          <w:rFonts w:ascii="Times New Roman" w:cs="Times New Roman" w:eastAsia="Times New Roman" w:hAnsi="Times New Roman"/>
          <w:sz w:val="11"/>
          <w:szCs w:val="11"/>
          <w:b w:val="1"/>
          <w:bCs w:val="1"/>
          <w:color w:val="auto"/>
        </w:rPr>
        <w:t>Submission of Matters to a Vote of Security Holders.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BellRing Brands, Inc. (the “Company”) held its annual meeting of stockholders (the “Annual Meeting”) entirely virtually, conducted via a live audio-only webcast on Wednesday, January 31, 2024. At the Annual Meeting, of the</w:t>
      </w:r>
    </w:p>
    <w:p>
      <w:pPr>
        <w:spacing w:after="0" w:line="24"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2"/>
          <w:szCs w:val="12"/>
          <w:color w:val="auto"/>
        </w:rPr>
        <w:t>131,168,834 shares outstanding and entitled to vote, 121,948,293 shares were represented, constituting a 92.97% quorum. The final result for each of the matters submitted to a vote of the stockholders at the Annual Meeting are as follows:</w:t>
      </w:r>
    </w:p>
    <w:p>
      <w:pPr>
        <w:spacing w:after="0" w:line="12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i w:val="1"/>
          <w:iCs w:val="1"/>
          <w:color w:val="auto"/>
        </w:rPr>
        <w:t>Proposal 1:</w:t>
      </w:r>
      <w:r>
        <w:rPr>
          <w:sz w:val="20"/>
          <w:szCs w:val="20"/>
          <w:color w:val="auto"/>
        </w:rPr>
        <w:tab/>
      </w:r>
      <w:r>
        <w:rPr>
          <w:rFonts w:ascii="Times New Roman" w:cs="Times New Roman" w:eastAsia="Times New Roman" w:hAnsi="Times New Roman"/>
          <w:sz w:val="11"/>
          <w:szCs w:val="11"/>
          <w:i w:val="1"/>
          <w:iCs w:val="1"/>
          <w:color w:val="auto"/>
        </w:rPr>
        <w:t xml:space="preserve">Each </w:t>
      </w:r>
      <w:r>
        <w:rPr>
          <w:rFonts w:ascii="Times New Roman" w:cs="Times New Roman" w:eastAsia="Times New Roman" w:hAnsi="Times New Roman"/>
          <w:sz w:val="11"/>
          <w:szCs w:val="11"/>
          <w:color w:val="auto"/>
        </w:rPr>
        <w:t>of the nominees for director were elected to serve until the Company’s annual meeting of stockholders to be held in 2027 or until their respective successors are elected and qualified, by the votes set forth in the table</w:t>
      </w:r>
    </w:p>
    <w:p>
      <w:pPr>
        <w:spacing w:after="0" w:line="23" w:lineRule="exact"/>
        <w:rPr>
          <w:sz w:val="20"/>
          <w:szCs w:val="20"/>
          <w:color w:val="auto"/>
        </w:rPr>
      </w:pPr>
    </w:p>
    <w:tbl>
      <w:tblPr>
        <w:tblLayout w:type="fixed"/>
        <w:tblInd w:w="740" w:type="dxa"/>
        <w:tblCellMar>
          <w:top w:w="0" w:type="dxa"/>
          <w:left w:w="0" w:type="dxa"/>
          <w:bottom w:w="0" w:type="dxa"/>
          <w:right w:w="0" w:type="dxa"/>
        </w:tblCellMar>
      </w:tblPr>
      <w:tr>
        <w:trPr>
          <w:trHeight w:val="138"/>
        </w:trPr>
        <w:tc>
          <w:tcPr>
            <w:tcW w:w="4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rPr>
              <w:t>Broker</w:t>
            </w:r>
          </w:p>
        </w:tc>
        <w:tc>
          <w:tcPr>
            <w:tcW w:w="15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Percentage of</w:t>
            </w: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2140" w:type="dxa"/>
            <w:vAlign w:val="bottom"/>
            <w:gridSpan w:val="2"/>
          </w:tcPr>
          <w:p>
            <w:pPr>
              <w:ind w:left="760"/>
              <w:spacing w:after="0"/>
              <w:rPr>
                <w:sz w:val="20"/>
                <w:szCs w:val="20"/>
                <w:color w:val="auto"/>
              </w:rPr>
            </w:pPr>
            <w:r>
              <w:rPr>
                <w:rFonts w:ascii="Times New Roman" w:cs="Times New Roman" w:eastAsia="Times New Roman" w:hAnsi="Times New Roman"/>
                <w:sz w:val="12"/>
                <w:szCs w:val="12"/>
                <w:color w:val="auto"/>
              </w:rPr>
              <w:t>Nominee</w:t>
            </w:r>
          </w:p>
        </w:tc>
        <w:tc>
          <w:tcPr>
            <w:tcW w:w="1740" w:type="dxa"/>
            <w:vAlign w:val="bottom"/>
            <w:gridSpan w:val="2"/>
          </w:tcPr>
          <w:p>
            <w:pPr>
              <w:ind w:left="700"/>
              <w:spacing w:after="0"/>
              <w:rPr>
                <w:sz w:val="20"/>
                <w:szCs w:val="20"/>
                <w:color w:val="auto"/>
              </w:rPr>
            </w:pPr>
            <w:r>
              <w:rPr>
                <w:rFonts w:ascii="Times New Roman" w:cs="Times New Roman" w:eastAsia="Times New Roman" w:hAnsi="Times New Roman"/>
                <w:sz w:val="12"/>
                <w:szCs w:val="12"/>
                <w:color w:val="auto"/>
              </w:rPr>
              <w:t>For</w:t>
            </w:r>
          </w:p>
        </w:tc>
        <w:tc>
          <w:tcPr>
            <w:tcW w:w="172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Withhold</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8"/>
              </w:rPr>
              <w:t>Non-Votes</w:t>
            </w:r>
          </w:p>
        </w:tc>
        <w:tc>
          <w:tcPr>
            <w:tcW w:w="1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Votes Cast For</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Shawn W. Conway</w:t>
            </w:r>
          </w:p>
        </w:tc>
        <w:tc>
          <w:tcPr>
            <w:tcW w:w="16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118,126,073</w:t>
            </w:r>
          </w:p>
        </w:tc>
        <w:tc>
          <w:tcPr>
            <w:tcW w:w="16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811,585</w:t>
            </w:r>
          </w:p>
        </w:tc>
        <w:tc>
          <w:tcPr>
            <w:tcW w:w="16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3,010,597</w:t>
            </w:r>
          </w:p>
        </w:tc>
        <w:tc>
          <w:tcPr>
            <w:tcW w:w="16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99.32%</w:t>
            </w:r>
          </w:p>
        </w:tc>
        <w:tc>
          <w:tcPr>
            <w:tcW w:w="0" w:type="dxa"/>
            <w:vAlign w:val="bottom"/>
          </w:tcPr>
          <w:p>
            <w:pPr>
              <w:spacing w:after="0"/>
              <w:rPr>
                <w:sz w:val="1"/>
                <w:szCs w:val="1"/>
                <w:color w:val="auto"/>
              </w:rPr>
            </w:pPr>
          </w:p>
        </w:tc>
      </w:tr>
      <w:tr>
        <w:trPr>
          <w:trHeight w:val="153"/>
        </w:trPr>
        <w:tc>
          <w:tcPr>
            <w:tcW w:w="460" w:type="dxa"/>
            <w:vAlign w:val="bottom"/>
          </w:tcPr>
          <w:p>
            <w:pPr>
              <w:spacing w:after="0"/>
              <w:rPr>
                <w:sz w:val="13"/>
                <w:szCs w:val="13"/>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Thomas P. Erickson</w:t>
            </w: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82,592,518</w:t>
            </w:r>
          </w:p>
        </w:tc>
        <w:tc>
          <w:tcPr>
            <w:tcW w:w="1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36,345,140</w:t>
            </w:r>
          </w:p>
        </w:tc>
        <w:tc>
          <w:tcPr>
            <w:tcW w:w="16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3,010,597</w:t>
            </w:r>
          </w:p>
        </w:tc>
        <w:tc>
          <w:tcPr>
            <w:tcW w:w="1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69.44%</w:t>
            </w:r>
          </w:p>
        </w:tc>
        <w:tc>
          <w:tcPr>
            <w:tcW w:w="0" w:type="dxa"/>
            <w:vAlign w:val="bottom"/>
          </w:tcPr>
          <w:p>
            <w:pPr>
              <w:spacing w:after="0"/>
              <w:rPr>
                <w:sz w:val="1"/>
                <w:szCs w:val="1"/>
                <w:color w:val="auto"/>
              </w:rPr>
            </w:pPr>
          </w:p>
        </w:tc>
      </w:tr>
      <w:tr>
        <w:trPr>
          <w:trHeight w:val="153"/>
        </w:trPr>
        <w:tc>
          <w:tcPr>
            <w:tcW w:w="4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below:</w:t>
            </w: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Jennifer K. Johnson</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87,001,178</w:t>
            </w:r>
          </w:p>
        </w:tc>
        <w:tc>
          <w:tcPr>
            <w:tcW w:w="160" w:type="dxa"/>
            <w:vAlign w:val="bottom"/>
            <w:shd w:val="clear" w:color="auto" w:fill="CCEEFF"/>
          </w:tcPr>
          <w:p>
            <w:pPr>
              <w:spacing w:after="0"/>
              <w:rPr>
                <w:sz w:val="13"/>
                <w:szCs w:val="13"/>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31,936,480</w:t>
            </w:r>
          </w:p>
        </w:tc>
        <w:tc>
          <w:tcPr>
            <w:tcW w:w="16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3,010,597</w:t>
            </w:r>
          </w:p>
        </w:tc>
        <w:tc>
          <w:tcPr>
            <w:tcW w:w="160" w:type="dxa"/>
            <w:vAlign w:val="bottom"/>
            <w:shd w:val="clear" w:color="auto" w:fill="CCEEFF"/>
          </w:tcPr>
          <w:p>
            <w:pPr>
              <w:spacing w:after="0"/>
              <w:rPr>
                <w:sz w:val="13"/>
                <w:szCs w:val="13"/>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73.15%</w:t>
            </w:r>
          </w:p>
        </w:tc>
        <w:tc>
          <w:tcPr>
            <w:tcW w:w="0" w:type="dxa"/>
            <w:vAlign w:val="bottom"/>
          </w:tcPr>
          <w:p>
            <w:pPr>
              <w:spacing w:after="0"/>
              <w:rPr>
                <w:sz w:val="1"/>
                <w:szCs w:val="1"/>
                <w:color w:val="auto"/>
              </w:rPr>
            </w:pPr>
          </w:p>
        </w:tc>
      </w:tr>
      <w:tr>
        <w:trPr>
          <w:trHeight w:val="72"/>
        </w:trPr>
        <w:tc>
          <w:tcPr>
            <w:tcW w:w="460" w:type="dxa"/>
            <w:vAlign w:val="bottom"/>
            <w:vMerge w:val="continue"/>
          </w:tcPr>
          <w:p>
            <w:pPr>
              <w:spacing w:after="0"/>
              <w:rPr>
                <w:sz w:val="6"/>
                <w:szCs w:val="6"/>
                <w:color w:val="auto"/>
              </w:rPr>
            </w:pPr>
          </w:p>
        </w:tc>
        <w:tc>
          <w:tcPr>
            <w:tcW w:w="1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i w:val="1"/>
          <w:iCs w:val="1"/>
          <w:color w:val="auto"/>
        </w:rPr>
        <w:t>Proposal 2:</w:t>
      </w:r>
      <w:r>
        <w:rPr>
          <w:sz w:val="20"/>
          <w:szCs w:val="20"/>
          <w:color w:val="auto"/>
        </w:rPr>
        <w:tab/>
      </w:r>
      <w:r>
        <w:rPr>
          <w:rFonts w:ascii="Times New Roman" w:cs="Times New Roman" w:eastAsia="Times New Roman" w:hAnsi="Times New Roman"/>
          <w:sz w:val="11"/>
          <w:szCs w:val="11"/>
          <w:color w:val="auto"/>
        </w:rPr>
        <w:t>The appointment of PricewaterhouseCoopers LLP as the Company’s independent registered public accounting firm for fiscal year 2024 was ratified by the stockholders, by the votes set forth in the table below:</w:t>
      </w:r>
    </w:p>
    <w:p>
      <w:pPr>
        <w:spacing w:after="0" w:line="2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2"/>
          <w:szCs w:val="12"/>
          <w:color w:val="auto"/>
        </w:rPr>
        <w:t>Percentage of</w:t>
      </w:r>
    </w:p>
    <w:tbl>
      <w:tblPr>
        <w:tblLayout w:type="fixed"/>
        <w:tblInd w:w="740" w:type="dxa"/>
        <w:tblCellMar>
          <w:top w:w="0" w:type="dxa"/>
          <w:left w:w="0" w:type="dxa"/>
          <w:bottom w:w="0" w:type="dxa"/>
          <w:right w:w="0" w:type="dxa"/>
        </w:tblCellMar>
      </w:tblPr>
      <w:tr>
        <w:trPr>
          <w:trHeight w:val="152"/>
        </w:trPr>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5"/>
              </w:rPr>
              <w:t>For</w:t>
            </w:r>
          </w:p>
        </w:tc>
        <w:tc>
          <w:tcPr>
            <w:tcW w:w="174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Against</w:t>
            </w:r>
          </w:p>
        </w:tc>
        <w:tc>
          <w:tcPr>
            <w:tcW w:w="1720" w:type="dxa"/>
            <w:vAlign w:val="bottom"/>
            <w:gridSpan w:val="2"/>
          </w:tcPr>
          <w:p>
            <w:pPr>
              <w:ind w:left="580"/>
              <w:spacing w:after="0"/>
              <w:rPr>
                <w:sz w:val="20"/>
                <w:szCs w:val="20"/>
                <w:color w:val="auto"/>
              </w:rPr>
            </w:pPr>
            <w:r>
              <w:rPr>
                <w:rFonts w:ascii="Times New Roman" w:cs="Times New Roman" w:eastAsia="Times New Roman" w:hAnsi="Times New Roman"/>
                <w:sz w:val="12"/>
                <w:szCs w:val="12"/>
                <w:color w:val="auto"/>
              </w:rPr>
              <w:t>Abstain</w:t>
            </w:r>
          </w:p>
        </w:tc>
        <w:tc>
          <w:tcPr>
            <w:tcW w:w="1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Votes Cast For</w:t>
            </w:r>
          </w:p>
        </w:tc>
      </w:tr>
      <w:tr>
        <w:trPr>
          <w:trHeight w:val="142"/>
        </w:trPr>
        <w:tc>
          <w:tcPr>
            <w:tcW w:w="2000" w:type="dxa"/>
            <w:vAlign w:val="bottom"/>
            <w:tcBorders>
              <w:top w:val="single" w:sz="8" w:color="auto"/>
            </w:tcBorders>
            <w:shd w:val="clear" w:color="auto" w:fill="CCEEFF"/>
          </w:tcPr>
          <w:p>
            <w:pPr>
              <w:jc w:val="right"/>
              <w:ind w:right="640"/>
              <w:spacing w:after="0"/>
              <w:rPr>
                <w:sz w:val="20"/>
                <w:szCs w:val="20"/>
                <w:color w:val="auto"/>
              </w:rPr>
            </w:pPr>
            <w:r>
              <w:rPr>
                <w:rFonts w:ascii="Times New Roman" w:cs="Times New Roman" w:eastAsia="Times New Roman" w:hAnsi="Times New Roman"/>
                <w:sz w:val="12"/>
                <w:szCs w:val="12"/>
                <w:color w:val="auto"/>
              </w:rPr>
              <w:t>121,426,296</w:t>
            </w:r>
          </w:p>
        </w:tc>
        <w:tc>
          <w:tcPr>
            <w:tcW w:w="16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383,028</w:t>
            </w:r>
          </w:p>
        </w:tc>
        <w:tc>
          <w:tcPr>
            <w:tcW w:w="18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138,969</w:t>
            </w:r>
          </w:p>
        </w:tc>
        <w:tc>
          <w:tcPr>
            <w:tcW w:w="16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rPr>
              <w:t>99.58%</w:t>
            </w:r>
          </w:p>
        </w:tc>
      </w:tr>
    </w:tbl>
    <w:p>
      <w:pPr>
        <w:spacing w:after="0" w:line="203" w:lineRule="exact"/>
        <w:rPr>
          <w:sz w:val="20"/>
          <w:szCs w:val="20"/>
          <w:color w:val="auto"/>
        </w:rPr>
      </w:pPr>
    </w:p>
    <w:p>
      <w:pPr>
        <w:ind w:left="680" w:right="60" w:hanging="755"/>
        <w:spacing w:after="0" w:line="248" w:lineRule="auto"/>
        <w:tabs>
          <w:tab w:leader="none" w:pos="660" w:val="left"/>
        </w:tabs>
        <w:rPr>
          <w:sz w:val="20"/>
          <w:szCs w:val="20"/>
          <w:color w:val="auto"/>
        </w:rPr>
      </w:pPr>
      <w:r>
        <w:rPr>
          <w:rFonts w:ascii="Times New Roman" w:cs="Times New Roman" w:eastAsia="Times New Roman" w:hAnsi="Times New Roman"/>
          <w:sz w:val="12"/>
          <w:szCs w:val="12"/>
          <w:i w:val="1"/>
          <w:iCs w:val="1"/>
          <w:color w:val="auto"/>
        </w:rPr>
        <w:t>Proposal 3:</w:t>
      </w:r>
      <w:r>
        <w:rPr>
          <w:sz w:val="20"/>
          <w:szCs w:val="20"/>
          <w:color w:val="auto"/>
        </w:rPr>
        <w:tab/>
      </w:r>
      <w:r>
        <w:rPr>
          <w:rFonts w:ascii="Times New Roman" w:cs="Times New Roman" w:eastAsia="Times New Roman" w:hAnsi="Times New Roman"/>
          <w:sz w:val="12"/>
          <w:szCs w:val="12"/>
          <w:color w:val="auto"/>
        </w:rPr>
        <w:t>The Company's executive compensation as described in the Company's Definitive Proxy Statement on Schedule 14A filed with the Securities and Exchange Commission on December 14, 2023, was approved by the non-binding advisory votes of the stockholders set forth in the table below:</w:t>
      </w:r>
    </w:p>
    <w:tbl>
      <w:tblPr>
        <w:tblLayout w:type="fixed"/>
        <w:tblInd w:w="0" w:type="dxa"/>
        <w:tblCellMar>
          <w:top w:w="0" w:type="dxa"/>
          <w:left w:w="0" w:type="dxa"/>
          <w:bottom w:w="0" w:type="dxa"/>
          <w:right w:w="0" w:type="dxa"/>
        </w:tblCellMar>
      </w:tblPr>
      <w:tr>
        <w:trPr>
          <w:trHeight w:val="131"/>
        </w:trPr>
        <w:tc>
          <w:tcPr>
            <w:tcW w:w="1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2"/>
                <w:szCs w:val="12"/>
                <w:color w:val="auto"/>
                <w:w w:val="95"/>
              </w:rPr>
              <w:t>Broker</w:t>
            </w:r>
          </w:p>
        </w:tc>
        <w:tc>
          <w:tcPr>
            <w:tcW w:w="3860" w:type="dxa"/>
            <w:vAlign w:val="bottom"/>
            <w:gridSpan w:val="2"/>
          </w:tcPr>
          <w:p>
            <w:pPr>
              <w:jc w:val="center"/>
              <w:ind w:right="2280"/>
              <w:spacing w:after="0" w:line="131" w:lineRule="exact"/>
              <w:rPr>
                <w:sz w:val="20"/>
                <w:szCs w:val="20"/>
                <w:color w:val="auto"/>
              </w:rPr>
            </w:pPr>
            <w:r>
              <w:rPr>
                <w:rFonts w:ascii="Times New Roman" w:cs="Times New Roman" w:eastAsia="Times New Roman" w:hAnsi="Times New Roman"/>
                <w:sz w:val="12"/>
                <w:szCs w:val="12"/>
                <w:color w:val="auto"/>
              </w:rPr>
              <w:t>Percentage of</w:t>
            </w:r>
          </w:p>
        </w:tc>
      </w:tr>
      <w:tr>
        <w:trPr>
          <w:trHeight w:val="155"/>
        </w:trPr>
        <w:tc>
          <w:tcPr>
            <w:tcW w:w="100" w:type="dxa"/>
            <w:vAlign w:val="bottom"/>
          </w:tcPr>
          <w:p>
            <w:pPr>
              <w:spacing w:after="0"/>
              <w:rPr>
                <w:sz w:val="13"/>
                <w:szCs w:val="13"/>
                <w:color w:val="auto"/>
              </w:rPr>
            </w:pPr>
          </w:p>
        </w:tc>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5"/>
              </w:rPr>
              <w:t>For</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rPr>
              <w:t>Against</w:t>
            </w:r>
          </w:p>
        </w:tc>
        <w:tc>
          <w:tcPr>
            <w:tcW w:w="174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Abstain</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8"/>
              </w:rPr>
              <w:t>Non-Votes</w:t>
            </w:r>
          </w:p>
        </w:tc>
        <w:tc>
          <w:tcPr>
            <w:tcW w:w="3860" w:type="dxa"/>
            <w:vAlign w:val="bottom"/>
            <w:gridSpan w:val="2"/>
          </w:tcPr>
          <w:p>
            <w:pPr>
              <w:jc w:val="center"/>
              <w:ind w:right="2280"/>
              <w:spacing w:after="0"/>
              <w:rPr>
                <w:sz w:val="20"/>
                <w:szCs w:val="20"/>
                <w:color w:val="auto"/>
              </w:rPr>
            </w:pPr>
            <w:r>
              <w:rPr>
                <w:rFonts w:ascii="Times New Roman" w:cs="Times New Roman" w:eastAsia="Times New Roman" w:hAnsi="Times New Roman"/>
                <w:sz w:val="12"/>
                <w:szCs w:val="12"/>
                <w:color w:val="auto"/>
                <w:w w:val="97"/>
              </w:rPr>
              <w:t>Votes Cast For</w:t>
            </w:r>
          </w:p>
        </w:tc>
      </w:tr>
      <w:tr>
        <w:trPr>
          <w:trHeight w:val="142"/>
        </w:trPr>
        <w:tc>
          <w:tcPr>
            <w:tcW w:w="100" w:type="dxa"/>
            <w:vAlign w:val="bottom"/>
          </w:tcPr>
          <w:p>
            <w:pPr>
              <w:spacing w:after="0"/>
              <w:rPr>
                <w:sz w:val="12"/>
                <w:szCs w:val="12"/>
                <w:color w:val="auto"/>
              </w:rPr>
            </w:pPr>
          </w:p>
        </w:tc>
        <w:tc>
          <w:tcPr>
            <w:tcW w:w="2000" w:type="dxa"/>
            <w:vAlign w:val="bottom"/>
            <w:tcBorders>
              <w:top w:val="single" w:sz="8" w:color="auto"/>
            </w:tcBorders>
            <w:shd w:val="clear" w:color="auto" w:fill="CCEEFF"/>
          </w:tcPr>
          <w:p>
            <w:pPr>
              <w:jc w:val="right"/>
              <w:ind w:right="640"/>
              <w:spacing w:after="0"/>
              <w:rPr>
                <w:sz w:val="20"/>
                <w:szCs w:val="20"/>
                <w:color w:val="auto"/>
              </w:rPr>
            </w:pPr>
            <w:r>
              <w:rPr>
                <w:rFonts w:ascii="Times New Roman" w:cs="Times New Roman" w:eastAsia="Times New Roman" w:hAnsi="Times New Roman"/>
                <w:sz w:val="12"/>
                <w:szCs w:val="12"/>
                <w:color w:val="auto"/>
              </w:rPr>
              <w:t>116,481,876</w:t>
            </w:r>
          </w:p>
        </w:tc>
        <w:tc>
          <w:tcPr>
            <w:tcW w:w="16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2,296,970.00</w:t>
            </w:r>
          </w:p>
        </w:tc>
        <w:tc>
          <w:tcPr>
            <w:tcW w:w="16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158,850</w:t>
            </w:r>
          </w:p>
        </w:tc>
        <w:tc>
          <w:tcPr>
            <w:tcW w:w="16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3,010,597</w:t>
            </w:r>
          </w:p>
        </w:tc>
        <w:tc>
          <w:tcPr>
            <w:tcW w:w="16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97.94%</w:t>
            </w:r>
          </w:p>
        </w:tc>
        <w:tc>
          <w:tcPr>
            <w:tcW w:w="2300" w:type="dxa"/>
            <w:vAlign w:val="bottom"/>
          </w:tcPr>
          <w:p>
            <w:pPr>
              <w:spacing w:after="0"/>
              <w:rPr>
                <w:sz w:val="12"/>
                <w:szCs w:val="12"/>
                <w:color w:val="auto"/>
              </w:rPr>
            </w:pPr>
          </w:p>
        </w:tc>
      </w:tr>
      <w:tr>
        <w:trPr>
          <w:trHeight w:val="1323"/>
        </w:trPr>
        <w:tc>
          <w:tcPr>
            <w:tcW w:w="1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60" w:right="299" w:bottom="1440" w:gutter="0" w:footer="0" w:header="0"/>
        </w:sectPr>
      </w:pPr>
    </w:p>
    <w:bookmarkStart w:id="2" w:name="page3"/>
    <w:bookmarkEnd w:id="2"/>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No.</w:t>
            </w: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700" w:type="dxa"/>
            <w:vAlign w:val="bottom"/>
          </w:tcPr>
          <w:p>
            <w:pPr>
              <w:spacing w:after="0"/>
              <w:rPr>
                <w:sz w:val="20"/>
                <w:szCs w:val="20"/>
                <w:color w:val="auto"/>
              </w:rPr>
            </w:pPr>
          </w:p>
        </w:tc>
        <w:tc>
          <w:tcPr>
            <w:tcW w:w="18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8"/>
              </w:rPr>
              <w:t>Press Release dated February 5, 2024</w:t>
            </w:r>
          </w:p>
        </w:tc>
        <w:tc>
          <w:tcPr>
            <w:tcW w:w="7240" w:type="dxa"/>
            <w:vAlign w:val="bottom"/>
            <w:gridSpan w:val="2"/>
          </w:tcPr>
          <w:p>
            <w:pPr>
              <w:spacing w:after="0"/>
              <w:rPr>
                <w:sz w:val="20"/>
                <w:szCs w:val="20"/>
                <w:color w:val="auto"/>
              </w:rPr>
            </w:pP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1700" w:type="dxa"/>
            <w:vAlign w:val="bottom"/>
          </w:tcPr>
          <w:p>
            <w:pPr>
              <w:spacing w:after="0"/>
              <w:rPr>
                <w:sz w:val="11"/>
                <w:szCs w:val="11"/>
                <w:color w:val="auto"/>
              </w:rPr>
            </w:pPr>
          </w:p>
        </w:tc>
        <w:tc>
          <w:tcPr>
            <w:tcW w:w="904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First Fiscal Quarter Ended December 31, 2023 Supplemental Presentation</w:t>
            </w:r>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160"/>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700" w:type="dxa"/>
            <w:vAlign w:val="bottom"/>
          </w:tcPr>
          <w:p>
            <w:pPr>
              <w:spacing w:after="0"/>
              <w:rPr>
                <w:sz w:val="13"/>
                <w:szCs w:val="13"/>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(the cover page iXBRL tags are embedded within the Inline XBRL document)</w:t>
            </w:r>
          </w:p>
        </w:tc>
      </w:tr>
      <w:tr>
        <w:trPr>
          <w:trHeight w:val="2241"/>
        </w:trPr>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89"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20" w:type="dxa"/>
            <w:vAlign w:val="bottom"/>
          </w:tcPr>
          <w:p>
            <w:pPr>
              <w:spacing w:after="0"/>
              <w:rPr>
                <w:sz w:val="20"/>
                <w:szCs w:val="20"/>
                <w:color w:val="auto"/>
              </w:rPr>
            </w:pPr>
            <w:r>
              <w:rPr>
                <w:rFonts w:ascii="Times New Roman" w:cs="Times New Roman" w:eastAsia="Times New Roman" w:hAnsi="Times New Roman"/>
                <w:sz w:val="12"/>
                <w:szCs w:val="12"/>
                <w:color w:val="auto"/>
              </w:rPr>
              <w:t>Date: February 5, 2024</w:t>
            </w:r>
          </w:p>
        </w:tc>
        <w:tc>
          <w:tcPr>
            <w:tcW w:w="7760" w:type="dxa"/>
            <w:vAlign w:val="bottom"/>
            <w:gridSpan w:val="2"/>
          </w:tcPr>
          <w:p>
            <w:pPr>
              <w:ind w:left="2220"/>
              <w:spacing w:after="0"/>
              <w:rPr>
                <w:sz w:val="20"/>
                <w:szCs w:val="20"/>
                <w:color w:val="auto"/>
              </w:rPr>
            </w:pPr>
            <w:r>
              <w:rPr>
                <w:rFonts w:ascii="Times New Roman" w:cs="Times New Roman" w:eastAsia="Times New Roman" w:hAnsi="Times New Roman"/>
                <w:sz w:val="12"/>
                <w:szCs w:val="12"/>
                <w:b w:val="1"/>
                <w:bCs w:val="1"/>
                <w:color w:val="auto"/>
              </w:rPr>
              <w:t>BellRing Brands, Inc.</w:t>
            </w:r>
          </w:p>
        </w:tc>
      </w:tr>
      <w:tr>
        <w:trPr>
          <w:trHeight w:val="225"/>
        </w:trPr>
        <w:tc>
          <w:tcPr>
            <w:tcW w:w="3320" w:type="dxa"/>
            <w:vAlign w:val="bottom"/>
          </w:tcPr>
          <w:p>
            <w:pPr>
              <w:spacing w:after="0"/>
              <w:rPr>
                <w:sz w:val="19"/>
                <w:szCs w:val="19"/>
                <w:color w:val="auto"/>
              </w:rPr>
            </w:pPr>
          </w:p>
        </w:tc>
        <w:tc>
          <w:tcPr>
            <w:tcW w:w="3140" w:type="dxa"/>
            <w:vAlign w:val="bottom"/>
          </w:tcPr>
          <w:p>
            <w:pPr>
              <w:ind w:left="2220"/>
              <w:spacing w:after="0"/>
              <w:rPr>
                <w:sz w:val="20"/>
                <w:szCs w:val="20"/>
                <w:color w:val="auto"/>
              </w:rPr>
            </w:pPr>
            <w:r>
              <w:rPr>
                <w:rFonts w:ascii="Times New Roman" w:cs="Times New Roman" w:eastAsia="Times New Roman" w:hAnsi="Times New Roman"/>
                <w:sz w:val="12"/>
                <w:szCs w:val="12"/>
                <w:color w:val="auto"/>
              </w:rPr>
              <w:t>(Registrant)</w:t>
            </w:r>
          </w:p>
        </w:tc>
        <w:tc>
          <w:tcPr>
            <w:tcW w:w="4620" w:type="dxa"/>
            <w:vAlign w:val="bottom"/>
          </w:tcPr>
          <w:p>
            <w:pPr>
              <w:spacing w:after="0"/>
              <w:rPr>
                <w:sz w:val="19"/>
                <w:szCs w:val="19"/>
                <w:color w:val="auto"/>
              </w:rPr>
            </w:pPr>
          </w:p>
        </w:tc>
      </w:tr>
      <w:tr>
        <w:trPr>
          <w:trHeight w:val="450"/>
        </w:trPr>
        <w:tc>
          <w:tcPr>
            <w:tcW w:w="3320" w:type="dxa"/>
            <w:vAlign w:val="bottom"/>
          </w:tcPr>
          <w:p>
            <w:pPr>
              <w:spacing w:after="0"/>
              <w:rPr>
                <w:sz w:val="24"/>
                <w:szCs w:val="24"/>
                <w:color w:val="auto"/>
              </w:rPr>
            </w:pPr>
          </w:p>
        </w:tc>
        <w:tc>
          <w:tcPr>
            <w:tcW w:w="3140" w:type="dxa"/>
            <w:vAlign w:val="bottom"/>
          </w:tcPr>
          <w:p>
            <w:pPr>
              <w:ind w:left="2220"/>
              <w:spacing w:after="0"/>
              <w:rPr>
                <w:sz w:val="20"/>
                <w:szCs w:val="20"/>
                <w:color w:val="auto"/>
              </w:rPr>
            </w:pPr>
            <w:r>
              <w:rPr>
                <w:rFonts w:ascii="Times New Roman" w:cs="Times New Roman" w:eastAsia="Times New Roman" w:hAnsi="Times New Roman"/>
                <w:sz w:val="12"/>
                <w:szCs w:val="12"/>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Paul A. Rode</w:t>
            </w:r>
          </w:p>
        </w:tc>
      </w:tr>
      <w:tr>
        <w:trPr>
          <w:trHeight w:val="203"/>
        </w:trPr>
        <w:tc>
          <w:tcPr>
            <w:tcW w:w="3320" w:type="dxa"/>
            <w:vAlign w:val="bottom"/>
          </w:tcPr>
          <w:p>
            <w:pPr>
              <w:spacing w:after="0"/>
              <w:rPr>
                <w:sz w:val="17"/>
                <w:szCs w:val="17"/>
                <w:color w:val="auto"/>
              </w:rPr>
            </w:pPr>
          </w:p>
        </w:tc>
        <w:tc>
          <w:tcPr>
            <w:tcW w:w="3140" w:type="dxa"/>
            <w:vAlign w:val="bottom"/>
          </w:tcPr>
          <w:p>
            <w:pPr>
              <w:ind w:left="2220"/>
              <w:spacing w:after="0"/>
              <w:rPr>
                <w:sz w:val="20"/>
                <w:szCs w:val="20"/>
                <w:color w:val="auto"/>
              </w:rPr>
            </w:pPr>
            <w:r>
              <w:rPr>
                <w:rFonts w:ascii="Times New Roman" w:cs="Times New Roman" w:eastAsia="Times New Roman" w:hAnsi="Times New Roman"/>
                <w:sz w:val="12"/>
                <w:szCs w:val="12"/>
                <w:color w:val="auto"/>
              </w:rPr>
              <w:t>Name: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Paul A. Rode</w:t>
            </w:r>
          </w:p>
        </w:tc>
      </w:tr>
      <w:tr>
        <w:trPr>
          <w:trHeight w:val="155"/>
        </w:trPr>
        <w:tc>
          <w:tcPr>
            <w:tcW w:w="3320" w:type="dxa"/>
            <w:vAlign w:val="bottom"/>
          </w:tcPr>
          <w:p>
            <w:pPr>
              <w:spacing w:after="0"/>
              <w:rPr>
                <w:sz w:val="13"/>
                <w:szCs w:val="13"/>
                <w:color w:val="auto"/>
              </w:rPr>
            </w:pPr>
          </w:p>
        </w:tc>
        <w:tc>
          <w:tcPr>
            <w:tcW w:w="3140" w:type="dxa"/>
            <w:vAlign w:val="bottom"/>
          </w:tcPr>
          <w:p>
            <w:pPr>
              <w:ind w:left="2220"/>
              <w:spacing w:after="0"/>
              <w:rPr>
                <w:sz w:val="20"/>
                <w:szCs w:val="20"/>
                <w:color w:val="auto"/>
              </w:rPr>
            </w:pPr>
            <w:r>
              <w:rPr>
                <w:rFonts w:ascii="Times New Roman" w:cs="Times New Roman" w:eastAsia="Times New Roman" w:hAnsi="Times New Roman"/>
                <w:sz w:val="12"/>
                <w:szCs w:val="12"/>
                <w:color w:val="auto"/>
              </w:rPr>
              <w:t>Title: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080"/>
          </w:cols>
          <w:pgMar w:left="300" w:top="1155" w:right="5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2"/>
          <w:szCs w:val="12"/>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994410" cy="474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94410"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BellRing Brands Reports Results for the First Quarter of Fiscal Year 2024; Raises Fiscal Year 2024 Outlook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St. Louis - February 5, 2024 </w:t>
      </w:r>
      <w:r>
        <w:rPr>
          <w:rFonts w:ascii="Times New Roman" w:cs="Times New Roman" w:eastAsia="Times New Roman" w:hAnsi="Times New Roman"/>
          <w:sz w:val="12"/>
          <w:szCs w:val="12"/>
          <w:color w:val="auto"/>
        </w:rPr>
        <w:t>- BellRing Brands, Inc. (NYSE:BRBR) (“BellRing”), a holding company operating in the global convenient nutrition category, today reported results for the first fiscal quarter ended December 31, 2023.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Highlights:</w:t>
      </w:r>
    </w:p>
    <w:p>
      <w:pPr>
        <w:spacing w:after="0" w:line="78"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First quarter net sales of $430.4 million</w:t>
      </w:r>
    </w:p>
    <w:p>
      <w:pPr>
        <w:spacing w:after="0" w:line="20"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Operating profit of $73.0 million, net earnings of $43.9 million and Adjusted EBITDA* of $100.5 million</w:t>
      </w:r>
    </w:p>
    <w:p>
      <w:pPr>
        <w:spacing w:after="0" w:line="6"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Generated $74.2 million in cash from operations</w:t>
      </w:r>
    </w:p>
    <w:p>
      <w:pPr>
        <w:spacing w:after="0" w:line="6"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Raised fiscal year 2024 net sales outlook to $1.87-$1.95 billion and Adjusted EBITDA* outlook to $375-$400 million</w:t>
      </w:r>
    </w:p>
    <w:p>
      <w:pPr>
        <w:spacing w:after="0" w:line="98" w:lineRule="exact"/>
        <w:rPr>
          <w:sz w:val="20"/>
          <w:szCs w:val="20"/>
          <w:color w:val="auto"/>
        </w:rPr>
      </w:pPr>
    </w:p>
    <w:p>
      <w:pPr>
        <w:jc w:val="both"/>
        <w:ind w:right="160"/>
        <w:spacing w:after="0" w:line="237" w:lineRule="auto"/>
        <w:rPr>
          <w:sz w:val="20"/>
          <w:szCs w:val="20"/>
          <w:color w:val="auto"/>
        </w:rPr>
      </w:pPr>
      <w:r>
        <w:rPr>
          <w:rFonts w:ascii="Times New Roman" w:cs="Times New Roman" w:eastAsia="Times New Roman" w:hAnsi="Times New Roman"/>
          <w:sz w:val="10"/>
          <w:szCs w:val="10"/>
          <w:i w:val="1"/>
          <w:iCs w:val="1"/>
          <w:color w:val="auto"/>
        </w:rPr>
        <w:t>*Adjusted EBITDA is a non-GAAP measure. For additional information regarding non-GAAP measures, see the related explanations presented under “Use of Non-GAAP Measures” later in this release. 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the adjustments described under “Outlook” later in this release.</w:t>
      </w:r>
    </w:p>
    <w:p>
      <w:pPr>
        <w:spacing w:after="0" w:line="9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2"/>
          <w:szCs w:val="12"/>
          <w:color w:val="auto"/>
        </w:rPr>
        <w:t xml:space="preserve">“Our first quarter performance was strong, coming in ahead of our expectations as we continued to ramp up our shake supply and began to drive demand.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drove the outperformance as some customers chose to improve trade inventories as they headed into the ‘New Year, New You’ season that started in our second quarter.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shake consumption growth remained robust this quarter, lifted by strong velocities and modest incremental promotional activity.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powder businesses experienced strong consumption growth behind organic momentum and distribution gains,” said Darcy H. Davenport, President and Chief Executive Officer of BellRing. “Our second new greenfield co-manufacturing facility came online and overall shake capacity expansion is on track. Our strong start to 2024 gives us greater confidence in the full year and drives our decision to raise our outlook.”</w:t>
      </w:r>
    </w:p>
    <w:p>
      <w:pPr>
        <w:spacing w:after="0" w:line="86"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2"/>
          <w:szCs w:val="12"/>
          <w:color w:val="auto"/>
        </w:rPr>
        <w:t xml:space="preserve">Dollar consumption of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ready-to-drink (“RTD”) shakes,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powder products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powder products increased 29.3%, 66.3% and 15.7%, respectively, in the 13-week period ended December 31, 2023, as compared to the same period in 2022 (inclusive of Circana United States (“U.S.”) Multi Outlet including Convenience and management estimates of untracked channels).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First Quarter Operating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sales were $430.4 million, an increase of 18.7%, or $67.7 million, compared to the prior year period, driven by 19.0% increase in volume and 0.3% decrease in price/mix.</w:t>
      </w:r>
    </w:p>
    <w:p>
      <w:pPr>
        <w:spacing w:after="0" w:line="112"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Premier Protein </w:t>
      </w:r>
      <w:r>
        <w:rPr>
          <w:rFonts w:ascii="Times New Roman" w:cs="Times New Roman" w:eastAsia="Times New Roman" w:hAnsi="Times New Roman"/>
          <w:sz w:val="12"/>
          <w:szCs w:val="12"/>
          <w:color w:val="auto"/>
        </w:rPr>
        <w:t>net sales increased 18.9%, driven by 19.5% increase in volume and 0.6% decrease in price/mix.</w:t>
      </w:r>
      <w:r>
        <w:rPr>
          <w:rFonts w:ascii="Times New Roman" w:cs="Times New Roman" w:eastAsia="Times New Roman" w:hAnsi="Times New Roman"/>
          <w:sz w:val="12"/>
          <w:szCs w:val="12"/>
          <w:i w:val="1"/>
          <w:iCs w:val="1"/>
          <w:color w:val="auto"/>
        </w:rPr>
        <w:t xml:space="preserve"> Premier Protein </w:t>
      </w:r>
      <w:r>
        <w:rPr>
          <w:rFonts w:ascii="Times New Roman" w:cs="Times New Roman" w:eastAsia="Times New Roman" w:hAnsi="Times New Roman"/>
          <w:sz w:val="12"/>
          <w:szCs w:val="12"/>
          <w:color w:val="auto"/>
        </w:rPr>
        <w:t>RTD shake net sales increased 19.0%, driven by 20.4% increase in volume and 1.4% decrease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price/mix. Volume growth was driven by distribution gains, organic growth and modest incremental promotional activity.</w:t>
      </w:r>
    </w:p>
    <w:p>
      <w:pPr>
        <w:spacing w:after="0" w:line="71"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Dymatize </w:t>
      </w:r>
      <w:r>
        <w:rPr>
          <w:rFonts w:ascii="Times New Roman" w:cs="Times New Roman" w:eastAsia="Times New Roman" w:hAnsi="Times New Roman"/>
          <w:sz w:val="12"/>
          <w:szCs w:val="12"/>
          <w:color w:val="auto"/>
        </w:rPr>
        <w:t>net sales increased 20.9%, driven by 32.4% increase in volume and 11.5% decrease in price/mix. Volume growth was driven by distribution gains and organic growth, along with lapping a trade inventory de-load in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international and specialty channels in the prior year period. The decline in price/mix was driven by incremental promotional activity and unfavorable mix changes.</w:t>
      </w:r>
    </w:p>
    <w:p>
      <w:pPr>
        <w:spacing w:after="0" w:line="73"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Gross profit was $148.0 million, or 34.4% of net sales, an increase of 21.5%, or $26.2 million, compared to $121.8 million, or 33.6% of net sales, in the prior year period. The higher gross profit margin was driven by net input cost deflation, which was partially offset by incremental promotional activity and lapping production attainment fees received in the prior year period.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642" w:right="299" w:bottom="1440" w:gutter="0" w:footer="0" w:header="0"/>
        </w:sectPr>
      </w:pPr>
    </w:p>
    <w:bookmarkStart w:id="5" w:name="page6"/>
    <w:bookmarkEnd w:id="5"/>
    <w:p>
      <w:pPr>
        <w:ind w:right="280"/>
        <w:spacing w:after="0" w:line="279" w:lineRule="auto"/>
        <w:rPr>
          <w:sz w:val="20"/>
          <w:szCs w:val="20"/>
          <w:color w:val="auto"/>
        </w:rPr>
      </w:pPr>
      <w:r>
        <w:rPr>
          <w:rFonts w:ascii="Times New Roman" w:cs="Times New Roman" w:eastAsia="Times New Roman" w:hAnsi="Times New Roman"/>
          <w:sz w:val="12"/>
          <w:szCs w:val="12"/>
          <w:color w:val="auto"/>
        </w:rPr>
        <w:t>Selling, general and administrative (“SG&amp;A”) expenses were $52.8 million, or 12.3% of net sales, an increase of $11.1 million compared to $41.7 million, or 11.5% of net sales, in the prior year period. SG&amp;A expenses in the first quarter of 2024 included higher employee costs and increased distribution and warehousing expenses on higher volumes.</w:t>
      </w:r>
    </w:p>
    <w:p>
      <w:pPr>
        <w:spacing w:after="0" w:line="75"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 xml:space="preserve">Operating profit was $73.0 million, a decrease of 2.9%, or $2.2 million, compared to $75.2 million in the prior year period, and was negatively impacted by $17.4 million of accelerated amortization incurred in connection with the discontinuance of the North American </w:t>
      </w:r>
      <w:r>
        <w:rPr>
          <w:rFonts w:ascii="Times New Roman" w:cs="Times New Roman" w:eastAsia="Times New Roman" w:hAnsi="Times New Roman"/>
          <w:sz w:val="12"/>
          <w:szCs w:val="12"/>
          <w:i w:val="1"/>
          <w:iCs w:val="1"/>
          <w:color w:val="auto"/>
        </w:rPr>
        <w:t>PowerBar</w:t>
      </w:r>
      <w:r>
        <w:rPr>
          <w:rFonts w:ascii="Times New Roman" w:cs="Times New Roman" w:eastAsia="Times New Roman" w:hAnsi="Times New Roman"/>
          <w:sz w:val="12"/>
          <w:szCs w:val="12"/>
          <w:color w:val="auto"/>
        </w:rPr>
        <w:t xml:space="preserve"> business, which was treated as an adjustment for non-GAAP measures.</w:t>
      </w:r>
    </w:p>
    <w:p>
      <w:pPr>
        <w:spacing w:after="0" w:line="7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Interest expense, net was $14.9 million and $16.7 million in the first quarter of 2024 and 2023, respectively. The decline was primarily driven by lower borrowings outstanding under the revolving credit facility. Income tax expense was $14.2 million in the first quarter of 2024, compared to $14.3 million in the first quarter of 2023. The effective income tax rate was 24.4% in both the first quarter of 2024 and 2023.</w:t>
      </w:r>
    </w:p>
    <w:p>
      <w:pPr>
        <w:spacing w:after="0" w:line="75"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2"/>
          <w:szCs w:val="12"/>
          <w:color w:val="auto"/>
        </w:rPr>
        <w:t>Net earnings were $43.9 million, a decrease of 0.7%, or $0.3 million, compared to $44.2 million in the prior year period. Net earnings per diluted common share were $0.33, flat compared to $0.33 in the prior year period. Adjusted net earnings* were $57.3 million, an increase of 27.6%, or $12.4 million, compared to $44.9 million in the prior year period. Adjusted diluted earnings per common share* were $0.43, an increase of 30.3%, compared to $0.33, in the prior year period.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EBITDA* was $100.5 million, an increase of 18.4%, or $15.6 million, compared to $84.9 million in the prior year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*Adjusted net earnings, Adjusted diluted earnings per common share and Adjusted EBITDA are non-GAAP measures. For additional information regarding non-GAAP measures, see the related explanations presented under “Use of Non-GAAP Measures” later in this release.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 Repurchases</w:t>
      </w:r>
    </w:p>
    <w:p>
      <w:pPr>
        <w:spacing w:after="0" w:line="118" w:lineRule="exact"/>
        <w:rPr>
          <w:sz w:val="20"/>
          <w:szCs w:val="20"/>
          <w:color w:val="auto"/>
        </w:rPr>
      </w:pPr>
    </w:p>
    <w:p>
      <w:pPr>
        <w:ind w:right="660"/>
        <w:spacing w:after="0" w:line="279" w:lineRule="auto"/>
        <w:rPr>
          <w:sz w:val="20"/>
          <w:szCs w:val="20"/>
          <w:color w:val="auto"/>
        </w:rPr>
      </w:pPr>
      <w:r>
        <w:rPr>
          <w:rFonts w:ascii="Times New Roman" w:cs="Times New Roman" w:eastAsia="Times New Roman" w:hAnsi="Times New Roman"/>
          <w:sz w:val="12"/>
          <w:szCs w:val="12"/>
          <w:color w:val="auto"/>
        </w:rPr>
        <w:t>During the first quarter of 2024, BellRing repurchased 0.2 million shares for $9.4 million at an average price of $44.27 per share. As of December 31, 2023, BellRing had $13.7 million remaining under its share repurchase authorization.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Outlook</w:t>
      </w:r>
    </w:p>
    <w:p>
      <w:pPr>
        <w:spacing w:after="0" w:line="118"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For fiscal year 2024, BellRing management has raised its guidance range for net sales to $1.87-$1.95 billion (from $1.83-$1.91 billion) and Adjusted EBITDA to $375-$400 million (from $360-$390 million) (resulting in net sales and Adjusted EBITDA growth of 12%-17% and 11%-18%, respectively, over fiscal year 2023). BellRing management continues to expect fiscal year 2024 capital expenditures of approximately $2 million.</w:t>
      </w:r>
    </w:p>
    <w:p>
      <w:pPr>
        <w:spacing w:after="0" w:line="75"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2"/>
          <w:szCs w:val="12"/>
          <w:color w:val="auto"/>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mark-to-market adjustments on commodity hedges and other charges reflected in BellRing’s reconciliation of historical numbers, the amounts of which, based on historical experience, could be significant. For additional information regarding BellRing’s non-GAAP measures, see the related explanations presented under “Use of Non-GAAP Measures.”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Non-GAAP Measures</w:t>
      </w:r>
    </w:p>
    <w:p>
      <w:pPr>
        <w:spacing w:after="0" w:line="11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net earnings, Adjusted diluted earnings per common share, Adjusted EBITDA and Adjusted EBITDA as a percentage of net sales. The reconciliation of each of these non-GAAP measures to the most directly comparable GAAP measure is provided later in this release under “Explanation and Reconciliation of Non-GAAP Measures.”</w:t>
      </w:r>
    </w:p>
    <w:p>
      <w:pPr>
        <w:spacing w:after="0" w:line="8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Management uses certain of these non-GAAP measures, including Adjusted EBITDA and Adjusted EBITDA as a percentage of net sales, as key metrics in the evaluation of underlying company performance, in making financial, operating and planning decisions and, in part, in the determination of bonuses for its executive officers and employees. Additionally, BellRing is required to comply with certain covenants and limitations that are based on variations of EBITDA in its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280"/>
          </w:cols>
          <w:pgMar w:left="300" w:top="642"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Conference Call to Discuss Earnings Results and Outlook</w:t>
      </w:r>
    </w:p>
    <w:p>
      <w:pPr>
        <w:spacing w:after="0" w:line="118"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BellRing will host a conference call on Tuesday, February 6, 2024 at 9:00 a.m. EST to discuss financial results for the first quarter of fiscal year 2024 and fiscal year 2024 outlook and to respond to questions. Darcy H. Davenport, President and Chief Executive Officer, and Paul A. Rode, Chief Financial Officer, will participate in the call.</w:t>
      </w:r>
    </w:p>
    <w:p>
      <w:pPr>
        <w:spacing w:after="0" w:line="7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 xml:space="preserve">Interested parties may join the conference call by registering in advance at the following link: </w:t>
      </w:r>
      <w:r>
        <w:rPr>
          <w:rFonts w:ascii="Times New Roman" w:cs="Times New Roman" w:eastAsia="Times New Roman" w:hAnsi="Times New Roman"/>
          <w:sz w:val="12"/>
          <w:szCs w:val="12"/>
          <w:u w:val="single" w:color="auto"/>
          <w:color w:val="3051F2"/>
        </w:rPr>
        <w:t>BellRing Q1 2024 Earnings Conference Call</w:t>
      </w:r>
      <w:r>
        <w:rPr>
          <w:rFonts w:ascii="Times New Roman" w:cs="Times New Roman" w:eastAsia="Times New Roman" w:hAnsi="Times New Roman"/>
          <w:sz w:val="12"/>
          <w:szCs w:val="12"/>
          <w:color w:val="auto"/>
        </w:rPr>
        <w:t>. Upon registration, participants will receive a dial-in number and a unique passcode to access the conference call.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 A webcast replay also will be available for a limited period on BellRing’s website in the Investor Relations section.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Prospective Financial Information</w:t>
      </w:r>
    </w:p>
    <w:p>
      <w:pPr>
        <w:spacing w:after="0" w:line="11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Certain matters discussed in this release and on BellRing’s conference call are forward-looking statements, including BellRing’s net sales and Adjusted EBITDA and capital expenditures outlook for fiscal year 2024.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sales from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continue to compete in its product categories and its ability to retain its market position and favorable perceptions of its brands;</w:t>
      </w:r>
    </w:p>
    <w:p>
      <w:pPr>
        <w:spacing w:after="0" w:line="6" w:lineRule="exact"/>
        <w:rPr>
          <w:rFonts w:ascii="Times New Roman" w:cs="Times New Roman" w:eastAsia="Times New Roman" w:hAnsi="Times New Roman"/>
          <w:sz w:val="12"/>
          <w:szCs w:val="12"/>
          <w:color w:val="auto"/>
        </w:rPr>
      </w:pPr>
    </w:p>
    <w:p>
      <w:pPr>
        <w:ind w:left="420" w:right="12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disruptions or inefficiencies in BellRing’s supply chain, including as a result of BellRing’s reliance on third-party suppliers or manufacturers for the manufacturing of many of its products, pandemics and other outbreaks of contagious diseases, labor shortages, fires and evacuations related thereto, changes in weather conditions, natural disasters, agricultural diseases and pests and other events beyond BellRing’s control;</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a limited number of third-party contract manufacturers for the manufacturing of most of its products, including one manufacturer for the majority of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BellRing’s third-party contract manufacturers to produce an amount of BellRing’s products that enables BellRing to meet customer and consumer demand for the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reliance on a limited number of third-party suppliers to provide certain ingredients and packaging;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volatility in the cost or availability of inputs to BellRing’s business (including freight, raw materials, packaging, energy, labor and other supplies);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anticipate and respond to changes in consumer and customer preferences and behaviors and introduce new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consolidation in BellRing’s distribution channels;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expand existing market penetration and enter into new markets;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loss of, a significant reduction of purchases by or the bankruptcy of a major customer;</w:t>
      </w:r>
    </w:p>
    <w:p>
      <w:pPr>
        <w:spacing w:after="0" w:line="6" w:lineRule="exact"/>
        <w:rPr>
          <w:rFonts w:ascii="Times New Roman" w:cs="Times New Roman" w:eastAsia="Times New Roman" w:hAnsi="Times New Roman"/>
          <w:sz w:val="12"/>
          <w:szCs w:val="12"/>
          <w:color w:val="auto"/>
        </w:rPr>
      </w:pPr>
    </w:p>
    <w:p>
      <w:pPr>
        <w:ind w:left="420" w:right="6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BellRing’s business due to changes in its promotional activities and seasonality;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maintain the net selling prices of its products and manage promotional activities with respect to its products;</w:t>
      </w:r>
    </w:p>
    <w:p>
      <w:pPr>
        <w:spacing w:after="0" w:line="3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180"/>
          </w:cols>
          <w:pgMar w:left="300" w:top="638" w:right="419" w:bottom="1440" w:gutter="0" w:footer="0" w:header="0"/>
        </w:sectPr>
      </w:pPr>
    </w:p>
    <w:bookmarkStart w:id="7" w:name="page8"/>
    <w:bookmarkEnd w:id="7"/>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obtain additional financing (including both secured and unsecured debt) and its ability to service its outstanding debt (including covenants that restrict the operation of its business);</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accuracy of BellRing’s market data and attributes and related information;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critical accounting estimates;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uncertain or unfavorable economic conditions that limit customer and consumer demand for BellRing’s products or increase its costs;</w:t>
      </w:r>
    </w:p>
    <w:p>
      <w:pPr>
        <w:spacing w:after="0" w:line="6" w:lineRule="exact"/>
        <w:rPr>
          <w:rFonts w:ascii="Times New Roman" w:cs="Times New Roman" w:eastAsia="Times New Roman" w:hAnsi="Times New Roman"/>
          <w:sz w:val="12"/>
          <w:szCs w:val="12"/>
          <w:color w:val="auto"/>
        </w:rPr>
      </w:pPr>
    </w:p>
    <w:p>
      <w:pPr>
        <w:ind w:left="420" w:right="400" w:hanging="212"/>
        <w:spacing w:after="0" w:line="250"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BellRing’s ongoing relationship with Post Holdings, Inc. (“Post”) following BellRing’s separation from Post and Post’s distribution of BellRing stock to Post’s shareholders (“ the Spin-off”), including BellRing’s obligations under various agreements with Post;</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conflicting interests or the appearance of conflicting interests resulting from certain of BellRing’s directors also serving as officers or directors of Post;</w:t>
      </w:r>
    </w:p>
    <w:p>
      <w:pPr>
        <w:spacing w:after="0" w:line="6" w:lineRule="exact"/>
        <w:rPr>
          <w:rFonts w:ascii="Times New Roman" w:cs="Times New Roman" w:eastAsia="Times New Roman" w:hAnsi="Times New Roman"/>
          <w:sz w:val="12"/>
          <w:szCs w:val="12"/>
          <w:color w:val="auto"/>
        </w:rPr>
      </w:pPr>
    </w:p>
    <w:p>
      <w:pPr>
        <w:ind w:left="420" w:right="60" w:hanging="212"/>
        <w:spacing w:after="0" w:line="250"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the previously completed Spin-off, including BellRing’s inability to take certain actions because such actions could jeopardize the tax-free status of the Spin-off and BellRing’s possible responsibility for U.S. federal tax liabilities related to the Spin-off;</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ultimate impact litigation or other regulatory matters may have on BellRing;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BellRing’s international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protect its intellectual property and other assets and to continue to use third-party intellectual property subject to intellectual property licenses;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business disruptions and reputational damage associated with technology failures, cybersecurity incidents and corruption of BellRing’s data privacy protections;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impairment in the carrying value of goodwill or other intangible assets;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identify, complete and integrate or otherwise effectively execute acquisitions or other strategic transactions and effectively manage its growth;</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hire and retain talented personnel, employee absenteeism, labor strikes, work stoppages or unionization efforts;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satisfy the requirements of Section 404 of the Sarbanes-Oxley Act of 2002;</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differences in BellRing’s actual operating results from any guidance BellRing may give regarding its performance;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described in BellRing’s filings with the Securities and Exchange Commission.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forward-looking statements represent BellRing’s judgment as of the date of this release. BellRing disclaims, however, any intent or obligation to update these forward-looking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BellRing Brands, Inc.</w:t>
      </w:r>
    </w:p>
    <w:p>
      <w:pPr>
        <w:spacing w:after="0" w:line="11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2"/>
          <w:szCs w:val="12"/>
          <w:color w:val="auto"/>
        </w:rPr>
        <w:t xml:space="preserve">BellRing Brands, Inc. is a rapidly growing leader in the global convenient nutrition category offering ready-to-drink shake and powder protein products. Its primary brands,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 Meyer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jennifer.meyer@bellringbrands.com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(415) 814-9388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160"/>
          </w:cols>
          <w:pgMar w:left="300" w:top="642"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 xml:space="preserve">CONDENSED CONSOLIDATED STATEMENTS OF OPERATIONS </w:t>
      </w:r>
      <w:r>
        <w:rPr>
          <w:rFonts w:ascii="Times New Roman" w:cs="Times New Roman" w:eastAsia="Times New Roman" w:hAnsi="Times New Roman"/>
          <w:sz w:val="10"/>
          <w:szCs w:val="10"/>
          <w:b w:val="1"/>
          <w:bCs w:val="1"/>
          <w:color w:val="auto"/>
        </w:rPr>
        <w:t>(Unaudited)</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 except for per share data)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14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1140" w:type="dxa"/>
            <w:vAlign w:val="bottom"/>
            <w:tcBorders>
              <w:bottom w:val="single" w:sz="8" w:color="auto"/>
            </w:tcBorders>
          </w:tcPr>
          <w:p>
            <w:pPr>
              <w:spacing w:after="0"/>
              <w:rPr>
                <w:sz w:val="12"/>
                <w:szCs w:val="12"/>
                <w:color w:val="auto"/>
              </w:rPr>
            </w:pPr>
          </w:p>
        </w:tc>
      </w:tr>
      <w:tr>
        <w:trPr>
          <w:trHeight w:val="134"/>
        </w:trPr>
        <w:tc>
          <w:tcPr>
            <w:tcW w:w="714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1"/>
                <w:szCs w:val="11"/>
                <w:b w:val="1"/>
                <w:bCs w:val="1"/>
                <w:color w:val="auto"/>
              </w:rPr>
              <w:t>2023</w:t>
            </w:r>
          </w:p>
        </w:tc>
        <w:tc>
          <w:tcPr>
            <w:tcW w:w="72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Sales</w:t>
            </w:r>
          </w:p>
        </w:tc>
        <w:tc>
          <w:tcPr>
            <w:tcW w:w="114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430.4</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362.7</w:t>
            </w:r>
          </w:p>
        </w:tc>
      </w:tr>
      <w:tr>
        <w:trPr>
          <w:trHeight w:val="153"/>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1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282.4</w:t>
            </w:r>
          </w:p>
        </w:tc>
        <w:tc>
          <w:tcPr>
            <w:tcW w:w="3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240.9</w:t>
            </w:r>
          </w:p>
        </w:tc>
      </w:tr>
      <w:tr>
        <w:trPr>
          <w:trHeight w:val="142"/>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1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121.8</w:t>
            </w:r>
          </w:p>
        </w:tc>
      </w:tr>
      <w:tr>
        <w:trPr>
          <w:trHeight w:val="153"/>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1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52.8</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w:t>
            </w: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1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w:t>
            </w:r>
          </w:p>
        </w:tc>
        <w:tc>
          <w:tcPr>
            <w:tcW w:w="3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r>
      <w:tr>
        <w:trPr>
          <w:trHeight w:val="142"/>
        </w:trPr>
        <w:tc>
          <w:tcPr>
            <w:tcW w:w="7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1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75.2</w:t>
            </w: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1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3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w:t>
            </w:r>
          </w:p>
        </w:tc>
      </w:tr>
      <w:tr>
        <w:trPr>
          <w:trHeight w:val="142"/>
        </w:trPr>
        <w:tc>
          <w:tcPr>
            <w:tcW w:w="7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Earnings before Income Taxes</w:t>
            </w:r>
          </w:p>
        </w:tc>
        <w:tc>
          <w:tcPr>
            <w:tcW w:w="1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58.1</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w:t>
            </w: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3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w:t>
            </w:r>
          </w:p>
        </w:tc>
      </w:tr>
      <w:tr>
        <w:trPr>
          <w:trHeight w:val="158"/>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1140" w:type="dxa"/>
            <w:vAlign w:val="bottom"/>
            <w:tcBorders>
              <w:bottom w:val="single" w:sz="8" w:color="auto"/>
            </w:tcBorders>
          </w:tcPr>
          <w:p>
            <w:pPr>
              <w:jc w:val="right"/>
              <w:ind w:right="10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3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44.2</w:t>
            </w:r>
          </w:p>
        </w:tc>
      </w:tr>
      <w:tr>
        <w:trPr>
          <w:trHeight w:val="153"/>
        </w:trPr>
        <w:tc>
          <w:tcPr>
            <w:tcW w:w="7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7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Earnings per Common Share:</w:t>
            </w: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w:t>
            </w:r>
          </w:p>
        </w:tc>
        <w:tc>
          <w:tcPr>
            <w:tcW w:w="114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0.33</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0.33</w:t>
            </w:r>
          </w:p>
        </w:tc>
      </w:tr>
      <w:tr>
        <w:trPr>
          <w:trHeight w:val="153"/>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Diluted</w:t>
            </w:r>
          </w:p>
        </w:tc>
        <w:tc>
          <w:tcPr>
            <w:tcW w:w="1140" w:type="dxa"/>
            <w:vAlign w:val="bottom"/>
          </w:tcPr>
          <w:p>
            <w:pPr>
              <w:jc w:val="right"/>
              <w:ind w:right="10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0.33</w:t>
            </w:r>
          </w:p>
        </w:tc>
        <w:tc>
          <w:tcPr>
            <w:tcW w:w="340" w:type="dxa"/>
            <w:vAlign w:val="bottom"/>
          </w:tcPr>
          <w:p>
            <w:pPr>
              <w:spacing w:after="0"/>
              <w:rPr>
                <w:sz w:val="13"/>
                <w:szCs w:val="13"/>
                <w:color w:val="auto"/>
              </w:rPr>
            </w:pPr>
          </w:p>
        </w:tc>
        <w:tc>
          <w:tcPr>
            <w:tcW w:w="740" w:type="dxa"/>
            <w:vAlign w:val="bottom"/>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0.33</w:t>
            </w:r>
          </w:p>
        </w:tc>
      </w:tr>
      <w:tr>
        <w:trPr>
          <w:trHeight w:val="171"/>
        </w:trPr>
        <w:tc>
          <w:tcPr>
            <w:tcW w:w="7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53"/>
        </w:trPr>
        <w:tc>
          <w:tcPr>
            <w:tcW w:w="7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w:t>
            </w: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131.2</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134.9</w:t>
            </w:r>
          </w:p>
        </w:tc>
      </w:tr>
      <w:tr>
        <w:trPr>
          <w:trHeight w:val="155"/>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Diluted</w:t>
            </w:r>
          </w:p>
        </w:tc>
        <w:tc>
          <w:tcPr>
            <w:tcW w:w="1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133.0</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220"/>
          </w:cols>
          <w:pgMar w:left="340" w:top="638"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 (Unaudited)</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0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44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460" w:type="dxa"/>
            <w:vAlign w:val="bottom"/>
            <w:tcBorders>
              <w:bottom w:val="single" w:sz="8" w:color="auto"/>
            </w:tcBorders>
          </w:tcPr>
          <w:p>
            <w:pPr>
              <w:spacing w:after="0"/>
              <w:rPr>
                <w:sz w:val="12"/>
                <w:szCs w:val="12"/>
                <w:color w:val="auto"/>
              </w:rPr>
            </w:pPr>
          </w:p>
        </w:tc>
      </w:tr>
      <w:tr>
        <w:trPr>
          <w:trHeight w:val="162"/>
        </w:trPr>
        <w:tc>
          <w:tcPr>
            <w:tcW w:w="3200" w:type="dxa"/>
            <w:vAlign w:val="bottom"/>
            <w:shd w:val="clear" w:color="auto" w:fill="CCEEFF"/>
          </w:tcPr>
          <w:p>
            <w:pPr>
              <w:spacing w:after="0"/>
              <w:rPr>
                <w:sz w:val="14"/>
                <w:szCs w:val="14"/>
                <w:color w:val="auto"/>
              </w:rPr>
            </w:pPr>
          </w:p>
        </w:tc>
        <w:tc>
          <w:tcPr>
            <w:tcW w:w="5360" w:type="dxa"/>
            <w:vAlign w:val="bottom"/>
            <w:gridSpan w:val="2"/>
            <w:shd w:val="clear" w:color="auto" w:fill="CCEEFF"/>
          </w:tcPr>
          <w:p>
            <w:pPr>
              <w:jc w:val="center"/>
              <w:ind w:right="503"/>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360" w:type="dxa"/>
            <w:vAlign w:val="bottom"/>
            <w:gridSpan w:val="2"/>
            <w:shd w:val="clear" w:color="auto" w:fill="CCEEFF"/>
          </w:tcPr>
          <w:p>
            <w:pPr>
              <w:jc w:val="right"/>
              <w:ind w:right="1283"/>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w:t>
            </w: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Receivables, net</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178.6</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168.2</w:t>
            </w: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Inventories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187.6</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194.3</w:t>
            </w:r>
          </w:p>
        </w:tc>
      </w:tr>
      <w:tr>
        <w:trPr>
          <w:trHeight w:val="153"/>
        </w:trPr>
        <w:tc>
          <w:tcPr>
            <w:tcW w:w="3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9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w:t>
            </w:r>
          </w:p>
        </w:tc>
      </w:tr>
      <w:tr>
        <w:trPr>
          <w:trHeight w:val="142"/>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39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464.8</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424.2</w:t>
            </w: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net</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154.6</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176.8</w:t>
            </w: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39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r>
      <w:tr>
        <w:trPr>
          <w:trHeight w:val="158"/>
        </w:trPr>
        <w:tc>
          <w:tcPr>
            <w:tcW w:w="3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39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1283"/>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715.5</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691.6</w:t>
            </w:r>
          </w:p>
        </w:tc>
      </w:tr>
      <w:tr>
        <w:trPr>
          <w:trHeight w:val="153"/>
        </w:trPr>
        <w:tc>
          <w:tcPr>
            <w:tcW w:w="3200" w:type="dxa"/>
            <w:vAlign w:val="bottom"/>
            <w:shd w:val="clear" w:color="auto" w:fill="CCEEFF"/>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78"/>
        </w:trPr>
        <w:tc>
          <w:tcPr>
            <w:tcW w:w="3200" w:type="dxa"/>
            <w:vAlign w:val="bottom"/>
          </w:tcPr>
          <w:p>
            <w:pPr>
              <w:spacing w:after="0"/>
              <w:rPr>
                <w:sz w:val="15"/>
                <w:szCs w:val="15"/>
                <w:color w:val="auto"/>
              </w:rPr>
            </w:pPr>
          </w:p>
        </w:tc>
        <w:tc>
          <w:tcPr>
            <w:tcW w:w="5360" w:type="dxa"/>
            <w:vAlign w:val="bottom"/>
            <w:gridSpan w:val="2"/>
          </w:tcPr>
          <w:p>
            <w:pPr>
              <w:jc w:val="center"/>
              <w:ind w:right="503"/>
              <w:spacing w:after="0"/>
              <w:rPr>
                <w:sz w:val="20"/>
                <w:szCs w:val="20"/>
                <w:color w:val="auto"/>
              </w:rPr>
            </w:pPr>
            <w:r>
              <w:rPr>
                <w:rFonts w:ascii="Times New Roman" w:cs="Times New Roman" w:eastAsia="Times New Roman" w:hAnsi="Times New Roman"/>
                <w:sz w:val="11"/>
                <w:szCs w:val="11"/>
                <w:b w:val="1"/>
                <w:bCs w:val="1"/>
                <w:color w:val="auto"/>
                <w:w w:val="97"/>
              </w:rPr>
              <w:t>LIABILITIES AND STOCKHOLDERS’ DEFICIT</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5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5360" w:type="dxa"/>
            <w:vAlign w:val="bottom"/>
            <w:gridSpan w:val="2"/>
          </w:tcPr>
          <w:p>
            <w:pPr>
              <w:jc w:val="right"/>
              <w:ind w:right="1283"/>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91.3</w:t>
            </w:r>
          </w:p>
        </w:tc>
        <w:tc>
          <w:tcPr>
            <w:tcW w:w="340" w:type="dxa"/>
            <w:vAlign w:val="bottom"/>
          </w:tcPr>
          <w:p>
            <w:pPr>
              <w:spacing w:after="0"/>
              <w:rPr>
                <w:sz w:val="13"/>
                <w:szCs w:val="13"/>
                <w:color w:val="auto"/>
              </w:rPr>
            </w:pPr>
          </w:p>
        </w:tc>
        <w:tc>
          <w:tcPr>
            <w:tcW w:w="1420" w:type="dxa"/>
            <w:vAlign w:val="bottom"/>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89.0</w:t>
            </w: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39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w:t>
            </w:r>
          </w:p>
        </w:tc>
      </w:tr>
      <w:tr>
        <w:trPr>
          <w:trHeight w:val="142"/>
        </w:trPr>
        <w:tc>
          <w:tcPr>
            <w:tcW w:w="320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3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162.5</w:t>
            </w: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150.2</w:t>
            </w:r>
          </w:p>
        </w:tc>
      </w:tr>
      <w:tr>
        <w:trPr>
          <w:trHeight w:val="144"/>
        </w:trPr>
        <w:tc>
          <w:tcPr>
            <w:tcW w:w="320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832.1</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856.8</w:t>
            </w: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r>
      <w:tr>
        <w:trPr>
          <w:trHeight w:val="153"/>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39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w:t>
            </w:r>
          </w:p>
        </w:tc>
      </w:tr>
      <w:tr>
        <w:trPr>
          <w:trHeight w:val="142"/>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39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1,002.4</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1,015.1</w:t>
            </w: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 Deficit</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Common stock</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w:t>
            </w: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Accumulated deficit</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(146.2)</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(190.1)</w:t>
            </w: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53"/>
        </w:trPr>
        <w:tc>
          <w:tcPr>
            <w:tcW w:w="3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Treasury stock, at cost</w:t>
            </w:r>
          </w:p>
        </w:tc>
        <w:tc>
          <w:tcPr>
            <w:tcW w:w="39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(160.4)</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(151.0)</w:t>
            </w:r>
          </w:p>
        </w:tc>
      </w:tr>
      <w:tr>
        <w:trPr>
          <w:trHeight w:val="142"/>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3940" w:type="dxa"/>
            <w:vAlign w:val="bottom"/>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(286.9)</w:t>
            </w:r>
          </w:p>
        </w:tc>
        <w:tc>
          <w:tcPr>
            <w:tcW w:w="340" w:type="dxa"/>
            <w:vAlign w:val="bottom"/>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(323.5)</w:t>
            </w:r>
          </w:p>
        </w:tc>
      </w:tr>
      <w:tr>
        <w:trPr>
          <w:trHeight w:val="142"/>
        </w:trPr>
        <w:tc>
          <w:tcPr>
            <w:tcW w:w="320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 and Stockholders’ Deficit</w:t>
            </w:r>
          </w:p>
        </w:tc>
        <w:tc>
          <w:tcPr>
            <w:tcW w:w="3940" w:type="dxa"/>
            <w:vAlign w:val="bottom"/>
          </w:tcPr>
          <w:p>
            <w:pPr>
              <w:spacing w:after="0"/>
              <w:rPr>
                <w:sz w:val="12"/>
                <w:szCs w:val="12"/>
                <w:color w:val="auto"/>
              </w:rPr>
            </w:pPr>
          </w:p>
        </w:tc>
        <w:tc>
          <w:tcPr>
            <w:tcW w:w="1420" w:type="dxa"/>
            <w:vAlign w:val="bottom"/>
            <w:tcBorders>
              <w:bottom w:val="single" w:sz="8" w:color="auto"/>
            </w:tcBorders>
          </w:tcPr>
          <w:p>
            <w:pPr>
              <w:jc w:val="right"/>
              <w:ind w:right="1283"/>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715.5</w:t>
            </w:r>
          </w:p>
        </w:tc>
        <w:tc>
          <w:tcPr>
            <w:tcW w:w="340" w:type="dxa"/>
            <w:vAlign w:val="bottom"/>
          </w:tcPr>
          <w:p>
            <w:pPr>
              <w:spacing w:after="0"/>
              <w:rPr>
                <w:sz w:val="12"/>
                <w:szCs w:val="12"/>
                <w:color w:val="auto"/>
              </w:rPr>
            </w:pPr>
          </w:p>
        </w:tc>
        <w:tc>
          <w:tcPr>
            <w:tcW w:w="1420" w:type="dxa"/>
            <w:vAlign w:val="bottom"/>
            <w:tcBorders>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691.6</w:t>
            </w:r>
          </w:p>
        </w:tc>
      </w:tr>
      <w:tr>
        <w:trPr>
          <w:trHeight w:val="20"/>
        </w:trPr>
        <w:tc>
          <w:tcPr>
            <w:tcW w:w="3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478"/>
        </w:trPr>
        <w:tc>
          <w:tcPr>
            <w:tcW w:w="3200" w:type="dxa"/>
            <w:vAlign w:val="bottom"/>
          </w:tcPr>
          <w:p>
            <w:pPr>
              <w:spacing w:after="0"/>
              <w:rPr>
                <w:sz w:val="24"/>
                <w:szCs w:val="24"/>
                <w:color w:val="auto"/>
              </w:rPr>
            </w:pPr>
          </w:p>
        </w:tc>
        <w:tc>
          <w:tcPr>
            <w:tcW w:w="5360" w:type="dxa"/>
            <w:vAlign w:val="bottom"/>
            <w:gridSpan w:val="2"/>
          </w:tcPr>
          <w:p>
            <w:pPr>
              <w:jc w:val="center"/>
              <w:ind w:right="503"/>
              <w:spacing w:after="0"/>
              <w:rPr>
                <w:sz w:val="20"/>
                <w:szCs w:val="20"/>
                <w:color w:val="auto"/>
              </w:rPr>
            </w:pPr>
            <w:r>
              <w:rPr>
                <w:rFonts w:ascii="Times New Roman" w:cs="Times New Roman" w:eastAsia="Times New Roman" w:hAnsi="Times New Roman"/>
                <w:sz w:val="11"/>
                <w:szCs w:val="11"/>
                <w:b w:val="1"/>
                <w:bCs w:val="1"/>
                <w:color w:val="auto"/>
                <w:w w:val="97"/>
              </w:rPr>
              <w:t>SELECTED CONDENSED CONSOLIDATED CASH FLOWS INFORMATION (Unaudited)</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42"/>
        </w:trPr>
        <w:tc>
          <w:tcPr>
            <w:tcW w:w="3200" w:type="dxa"/>
            <w:vAlign w:val="bottom"/>
          </w:tcPr>
          <w:p>
            <w:pPr>
              <w:spacing w:after="0"/>
              <w:rPr>
                <w:sz w:val="12"/>
                <w:szCs w:val="12"/>
                <w:color w:val="auto"/>
              </w:rPr>
            </w:pPr>
          </w:p>
        </w:tc>
        <w:tc>
          <w:tcPr>
            <w:tcW w:w="5360" w:type="dxa"/>
            <w:vAlign w:val="bottom"/>
            <w:gridSpan w:val="2"/>
          </w:tcPr>
          <w:p>
            <w:pPr>
              <w:jc w:val="center"/>
              <w:ind w:right="503"/>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5"/>
        </w:trPr>
        <w:tc>
          <w:tcPr>
            <w:tcW w:w="32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3620" w:type="dxa"/>
            <w:vAlign w:val="bottom"/>
            <w:tcBorders>
              <w:bottom w:val="single" w:sz="8" w:color="auto"/>
            </w:tcBorders>
            <w:gridSpan w:val="4"/>
          </w:tcPr>
          <w:p>
            <w:pPr>
              <w:jc w:val="right"/>
              <w:ind w:right="702"/>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460" w:type="dxa"/>
            <w:vAlign w:val="bottom"/>
            <w:tcBorders>
              <w:bottom w:val="single" w:sz="8" w:color="auto"/>
            </w:tcBorders>
          </w:tcPr>
          <w:p>
            <w:pPr>
              <w:spacing w:after="0"/>
              <w:rPr>
                <w:sz w:val="13"/>
                <w:szCs w:val="13"/>
                <w:color w:val="auto"/>
              </w:rPr>
            </w:pPr>
          </w:p>
        </w:tc>
      </w:tr>
      <w:tr>
        <w:trPr>
          <w:trHeight w:val="134"/>
        </w:trPr>
        <w:tc>
          <w:tcPr>
            <w:tcW w:w="3200" w:type="dxa"/>
            <w:vAlign w:val="bottom"/>
            <w:tcBorders>
              <w:bottom w:val="single" w:sz="8" w:color="CCEEFF"/>
            </w:tcBorders>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1"/>
                <w:szCs w:val="11"/>
                <w:b w:val="1"/>
                <w:bCs w:val="1"/>
                <w:color w:val="auto"/>
              </w:rPr>
              <w:t>2022</w:t>
            </w:r>
          </w:p>
        </w:tc>
        <w:tc>
          <w:tcPr>
            <w:tcW w:w="460" w:type="dxa"/>
            <w:vAlign w:val="bottom"/>
            <w:tcBorders>
              <w:bottom w:val="single" w:sz="8" w:color="auto"/>
            </w:tcBorders>
          </w:tcPr>
          <w:p>
            <w:pPr>
              <w:spacing w:after="0"/>
              <w:rPr>
                <w:sz w:val="11"/>
                <w:szCs w:val="11"/>
                <w:color w:val="auto"/>
              </w:rPr>
            </w:pPr>
          </w:p>
        </w:tc>
      </w:tr>
      <w:tr>
        <w:trPr>
          <w:trHeight w:val="134"/>
        </w:trPr>
        <w:tc>
          <w:tcPr>
            <w:tcW w:w="320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Cash provided by (used in):</w:t>
            </w:r>
          </w:p>
        </w:tc>
        <w:tc>
          <w:tcPr>
            <w:tcW w:w="39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r>
      <w:tr>
        <w:trPr>
          <w:trHeight w:val="153"/>
        </w:trPr>
        <w:tc>
          <w:tcPr>
            <w:tcW w:w="3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Operating activities</w:t>
            </w:r>
          </w:p>
        </w:tc>
        <w:tc>
          <w:tcPr>
            <w:tcW w:w="5360" w:type="dxa"/>
            <w:vAlign w:val="bottom"/>
            <w:gridSpan w:val="2"/>
          </w:tcPr>
          <w:p>
            <w:pPr>
              <w:jc w:val="right"/>
              <w:ind w:right="1283"/>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74.2</w:t>
            </w:r>
          </w:p>
        </w:tc>
        <w:tc>
          <w:tcPr>
            <w:tcW w:w="340" w:type="dxa"/>
            <w:vAlign w:val="bottom"/>
          </w:tcPr>
          <w:p>
            <w:pPr>
              <w:spacing w:after="0"/>
              <w:rPr>
                <w:sz w:val="13"/>
                <w:szCs w:val="13"/>
                <w:color w:val="auto"/>
              </w:rPr>
            </w:pPr>
          </w:p>
        </w:tc>
        <w:tc>
          <w:tcPr>
            <w:tcW w:w="1420" w:type="dxa"/>
            <w:vAlign w:val="bottom"/>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w:t>
            </w:r>
          </w:p>
        </w:tc>
      </w:tr>
      <w:tr>
        <w:trPr>
          <w:trHeight w:val="153"/>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Investing activities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53"/>
        </w:trPr>
        <w:tc>
          <w:tcPr>
            <w:tcW w:w="3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Financing activities</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w:t>
            </w: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exchange rate changes on cash and cash equivalents</w:t>
            </w:r>
          </w:p>
        </w:tc>
        <w:tc>
          <w:tcPr>
            <w:tcW w:w="39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r>
      <w:tr>
        <w:trPr>
          <w:trHeight w:val="142"/>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increase in cash and cash equivalents</w:t>
            </w:r>
          </w:p>
        </w:tc>
        <w:tc>
          <w:tcPr>
            <w:tcW w:w="3940" w:type="dxa"/>
            <w:vAlign w:val="bottom"/>
          </w:tcPr>
          <w:p>
            <w:pPr>
              <w:spacing w:after="0"/>
              <w:rPr>
                <w:sz w:val="12"/>
                <w:szCs w:val="12"/>
                <w:color w:val="auto"/>
              </w:rPr>
            </w:pPr>
          </w:p>
        </w:tc>
        <w:tc>
          <w:tcPr>
            <w:tcW w:w="1420" w:type="dxa"/>
            <w:vAlign w:val="bottom"/>
            <w:tcBorders>
              <w:bottom w:val="single" w:sz="8" w:color="auto"/>
            </w:tcBorders>
          </w:tcPr>
          <w:p>
            <w:pPr>
              <w:jc w:val="right"/>
              <w:ind w:right="1283"/>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36.6</w:t>
            </w:r>
          </w:p>
        </w:tc>
        <w:tc>
          <w:tcPr>
            <w:tcW w:w="340" w:type="dxa"/>
            <w:vAlign w:val="bottom"/>
          </w:tcPr>
          <w:p>
            <w:pPr>
              <w:spacing w:after="0"/>
              <w:rPr>
                <w:sz w:val="12"/>
                <w:szCs w:val="12"/>
                <w:color w:val="auto"/>
              </w:rPr>
            </w:pPr>
          </w:p>
        </w:tc>
        <w:tc>
          <w:tcPr>
            <w:tcW w:w="1420" w:type="dxa"/>
            <w:vAlign w:val="bottom"/>
            <w:tcBorders>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w:t>
            </w:r>
          </w:p>
        </w:tc>
      </w:tr>
      <w:tr>
        <w:trPr>
          <w:trHeight w:val="20"/>
        </w:trPr>
        <w:tc>
          <w:tcPr>
            <w:tcW w:w="3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220"/>
          </w:cols>
          <w:pgMar w:left="340" w:top="638"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EXPLANATION AND RECONCILIATION OF NON-GAAP MEASURES</w:t>
      </w:r>
    </w:p>
    <w:p>
      <w:pPr>
        <w:spacing w:after="0" w:line="10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net earnings, Adjusted diluted earnings per common share, Adjusted EBITDA and Adjusted EBITDA as a percentage of net sales.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net earnings and Adjusted diluted earnings per common share</w:t>
      </w:r>
    </w:p>
    <w:p>
      <w:pPr>
        <w:spacing w:after="0" w:line="1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BellRing believes Adjusted net earnings and Adjusted diluted earnings per common share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net earnings and Adjusted diluted earnings per common share are adjusted for the following items:</w:t>
      </w:r>
    </w:p>
    <w:p>
      <w:pPr>
        <w:spacing w:after="0" w:line="17" w:lineRule="exact"/>
        <w:rPr>
          <w:sz w:val="20"/>
          <w:szCs w:val="20"/>
          <w:color w:val="auto"/>
        </w:rPr>
      </w:pPr>
    </w:p>
    <w:p>
      <w:pPr>
        <w:ind w:left="42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Accelerated amortization</w:t>
      </w:r>
      <w:r>
        <w:rPr>
          <w:rFonts w:ascii="Times New Roman" w:cs="Times New Roman" w:eastAsia="Times New Roman" w:hAnsi="Times New Roman"/>
          <w:sz w:val="12"/>
          <w:szCs w:val="12"/>
          <w:color w:val="auto"/>
        </w:rPr>
        <w:t>: BellRing has excluded non-cash accelerated amortization charges recorded in connection with the discontinuation of certain brands or the discontinuation of the use of certain brands in certain regions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 the amount and frequency of such charges are not consistent. Additionally, BellRing believes that these charges do not reflect expected ongoing future operating expenses and do not contribute to a meaningful evaluation of BellRing’s current operating performance or comparisons of BellRing’s operating performance to other periods.</w:t>
      </w:r>
    </w:p>
    <w:p>
      <w:pPr>
        <w:ind w:left="420" w:right="6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Mark-to-market adjustments on commodity hedges</w:t>
      </w:r>
      <w:r>
        <w:rPr>
          <w:rFonts w:ascii="Times New Roman" w:cs="Times New Roman" w:eastAsia="Times New Roman" w:hAnsi="Times New Roman"/>
          <w:sz w:val="12"/>
          <w:szCs w:val="12"/>
          <w:color w:val="auto"/>
        </w:rPr>
        <w:t>: BellRing has excluded the impact of mark-to-market adjustments on commodity hedges due to the inherent uncertainty and volatility associated with such amounts based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changes in assumptions with respect to fair value estimates. Additionally, these adjustments are primarily non-cash items and the amount and frequency of such adjustments are not consistent.</w:t>
      </w:r>
    </w:p>
    <w:p>
      <w:pPr>
        <w:ind w:left="420" w:right="50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Foreign currency gain/loss on intercompany loans</w:t>
      </w:r>
      <w:r>
        <w:rPr>
          <w:rFonts w:ascii="Times New Roman" w:cs="Times New Roman" w:eastAsia="Times New Roman" w:hAnsi="Times New Roman"/>
          <w:sz w:val="12"/>
          <w:szCs w:val="12"/>
          <w:color w:val="auto"/>
        </w:rPr>
        <w:t>: BellRing has excluded the impact of foreign currency fluctuations related to intercompany loans denominated in currencies other than the functional currency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respective legal entity in evaluating BellRing’s performance to allow for more meaningful comparisons of performance to other periods.</w:t>
      </w:r>
    </w:p>
    <w:p>
      <w:pPr>
        <w:ind w:left="420" w:right="18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Separation costs</w:t>
      </w:r>
      <w:r>
        <w:rPr>
          <w:rFonts w:ascii="Times New Roman" w:cs="Times New Roman" w:eastAsia="Times New Roman" w:hAnsi="Times New Roman"/>
          <w:sz w:val="12"/>
          <w:szCs w:val="12"/>
          <w:color w:val="auto"/>
        </w:rPr>
        <w:t>: BellRing has excluded certain expenses incurred in connection with secondary offerings of shares of BellRing common stock previously held by Post, as the amount and frequency of such expenses are not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200" w:hanging="212"/>
        <w:spacing w:after="0" w:line="26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Income tax effect on adjustments</w:t>
      </w:r>
      <w:r>
        <w:rPr>
          <w:rFonts w:ascii="Times New Roman" w:cs="Times New Roman" w:eastAsia="Times New Roman" w:hAnsi="Times New Roman"/>
          <w:sz w:val="12"/>
          <w:szCs w:val="12"/>
          <w:color w:val="auto"/>
        </w:rPr>
        <w:t>: BellRing has included the income tax impact of the non-GAAP adjustments using a rate described in the applicable footnote of the reconciliation tables, as BellRing believes that its GAAP</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effective income tax rate as reported is not representative of the income tax expense impact of the adjustments.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 and Adjusted EBITDA as a percentage of net sales</w:t>
      </w:r>
    </w:p>
    <w:p>
      <w:pPr>
        <w:spacing w:after="0" w:line="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2"/>
          <w:szCs w:val="12"/>
          <w:color w:val="auto"/>
        </w:rPr>
        <w:t>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is required to comply with certain covenants and limitations that are based on variations of EBITDA in its financing documents. Management uses Adjusted EBITDA to provide forward-looking guidance and to forecast future results. BellRing believes that Adjusted EBITDA as a percentage of net sales is useful to investors in evaluating BellRing’s operating performance because it allows for more meaningful comparison of operating performance across periods.</w:t>
      </w:r>
    </w:p>
    <w:p>
      <w:pPr>
        <w:spacing w:after="0" w:line="9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2"/>
          <w:szCs w:val="12"/>
          <w:color w:val="auto"/>
        </w:rPr>
        <w:t>Adjusted EBITDA reflects adjustments for income tax expense, interest expense, net and depreciation and amortization including accelerated amortization, and the following adjustments discussed above: mark-to-market adjustments on commodity hedges, foreign currency gain/loss on intercompany loans and separation costs. Additionally, Adjusted EBITDA reflects an adjustment for the following item:</w:t>
      </w:r>
    </w:p>
    <w:p>
      <w:pPr>
        <w:spacing w:after="0" w:line="1" w:lineRule="exact"/>
        <w:rPr>
          <w:sz w:val="20"/>
          <w:szCs w:val="20"/>
          <w:color w:val="auto"/>
        </w:rPr>
      </w:pPr>
    </w:p>
    <w:p>
      <w:pPr>
        <w:ind w:left="420" w:right="160" w:hanging="212"/>
        <w:spacing w:after="0" w:line="253" w:lineRule="auto"/>
        <w:tabs>
          <w:tab w:leader="none" w:pos="41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Stock-based compensation</w:t>
      </w:r>
      <w:r>
        <w:rPr>
          <w:rFonts w:ascii="Times New Roman" w:cs="Times New Roman" w:eastAsia="Times New Roman" w:hAnsi="Times New Roman"/>
          <w:sz w:val="12"/>
          <w:szCs w:val="12"/>
          <w:color w:val="auto"/>
        </w:rPr>
        <w:t>: BellRing’s compensation strategy includes the use of BellRing stock-based compensation to attract and retain executives and employees by aligning their long-term compensation interests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BellRing’s stockholders’ investment interests. BellRing’s director compensation strategy includes an election by any director who earns retainers in which the director may elect to defer compensation granted as a director to BellRing common stock, earning a match on the deferral, both of which are stock-settled upon the director’s retirement from the BellRing board of directors. BellRing has excluded stock-based compensation as stock-based compensation can vary significantly based on reasons such as the timing, size and nature of the awards granted and subjective assumptions which are</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280"/>
          </w:cols>
          <w:pgMar w:left="300" w:top="641" w:right="319" w:bottom="1440" w:gutter="0" w:footer="0" w:header="0"/>
        </w:sectPr>
      </w:pPr>
    </w:p>
    <w:bookmarkStart w:id="11" w:name="page12"/>
    <w:bookmarkEnd w:id="11"/>
    <w:p>
      <w:pPr>
        <w:ind w:left="380"/>
        <w:spacing w:after="0"/>
        <w:rPr>
          <w:sz w:val="20"/>
          <w:szCs w:val="20"/>
          <w:color w:val="auto"/>
        </w:rPr>
      </w:pPr>
      <w:r>
        <w:rPr>
          <w:rFonts w:ascii="Times New Roman" w:cs="Times New Roman" w:eastAsia="Times New Roman" w:hAnsi="Times New Roman"/>
          <w:sz w:val="12"/>
          <w:szCs w:val="12"/>
          <w:color w:val="auto"/>
        </w:rPr>
        <w:t>unrelated to operational decisions and performance in any particular period and does not contribute to meaningful comparisons of BellRing’s operating performance to other periods.</w:t>
      </w: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NET EARNINGS TO ADJUSTED NET EARNINGS (Unaudited)</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14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1140" w:type="dxa"/>
            <w:vAlign w:val="bottom"/>
            <w:tcBorders>
              <w:bottom w:val="single" w:sz="8" w:color="auto"/>
            </w:tcBorders>
          </w:tcPr>
          <w:p>
            <w:pPr>
              <w:spacing w:after="0"/>
              <w:rPr>
                <w:sz w:val="12"/>
                <w:szCs w:val="12"/>
                <w:color w:val="auto"/>
              </w:rPr>
            </w:pPr>
          </w:p>
        </w:tc>
      </w:tr>
      <w:tr>
        <w:trPr>
          <w:trHeight w:val="134"/>
        </w:trPr>
        <w:tc>
          <w:tcPr>
            <w:tcW w:w="714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2023</w:t>
            </w:r>
          </w:p>
        </w:tc>
        <w:tc>
          <w:tcPr>
            <w:tcW w:w="72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1140" w:type="dxa"/>
            <w:vAlign w:val="bottom"/>
            <w:shd w:val="clear" w:color="auto" w:fill="CCEEFF"/>
          </w:tcPr>
          <w:p>
            <w:pPr>
              <w:jc w:val="right"/>
              <w:ind w:right="100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44.2</w:t>
            </w:r>
          </w:p>
        </w:tc>
      </w:tr>
      <w:tr>
        <w:trPr>
          <w:trHeight w:val="180"/>
        </w:trPr>
        <w:tc>
          <w:tcPr>
            <w:tcW w:w="7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71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Accelerated amortization</w:t>
            </w:r>
          </w:p>
        </w:tc>
        <w:tc>
          <w:tcPr>
            <w:tcW w:w="1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w:t>
            </w:r>
          </w:p>
        </w:tc>
      </w:tr>
      <w:tr>
        <w:trPr>
          <w:trHeight w:val="153"/>
        </w:trPr>
        <w:tc>
          <w:tcPr>
            <w:tcW w:w="71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Foreign currency gain on intercompany loans</w:t>
            </w:r>
          </w:p>
        </w:tc>
        <w:tc>
          <w:tcPr>
            <w:tcW w:w="1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r>
      <w:tr>
        <w:trPr>
          <w:trHeight w:val="153"/>
        </w:trPr>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Separation costs</w:t>
            </w:r>
          </w:p>
        </w:tc>
        <w:tc>
          <w:tcPr>
            <w:tcW w:w="1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0.3</w:t>
            </w:r>
          </w:p>
        </w:tc>
      </w:tr>
      <w:tr>
        <w:trPr>
          <w:trHeight w:val="142"/>
        </w:trPr>
        <w:tc>
          <w:tcPr>
            <w:tcW w:w="714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1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0.9</w:t>
            </w:r>
          </w:p>
        </w:tc>
      </w:tr>
      <w:tr>
        <w:trPr>
          <w:trHeight w:val="153"/>
        </w:trPr>
        <w:tc>
          <w:tcPr>
            <w:tcW w:w="714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1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3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142"/>
        </w:trPr>
        <w:tc>
          <w:tcPr>
            <w:tcW w:w="7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Net Earnings</w:t>
            </w:r>
          </w:p>
        </w:tc>
        <w:tc>
          <w:tcPr>
            <w:tcW w:w="1140" w:type="dxa"/>
            <w:vAlign w:val="bottom"/>
            <w:tcBorders>
              <w:bottom w:val="single" w:sz="8" w:color="auto"/>
            </w:tcBorders>
          </w:tcPr>
          <w:p>
            <w:pPr>
              <w:jc w:val="right"/>
              <w:ind w:right="100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57.3</w:t>
            </w:r>
          </w:p>
        </w:tc>
        <w:tc>
          <w:tcPr>
            <w:tcW w:w="340" w:type="dxa"/>
            <w:vAlign w:val="bottom"/>
          </w:tcPr>
          <w:p>
            <w:pPr>
              <w:spacing w:after="0"/>
              <w:rPr>
                <w:sz w:val="12"/>
                <w:szCs w:val="12"/>
                <w:color w:val="auto"/>
              </w:rPr>
            </w:pPr>
          </w:p>
        </w:tc>
        <w:tc>
          <w:tcPr>
            <w:tcW w:w="74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44.9</w:t>
            </w:r>
          </w:p>
        </w:tc>
      </w:tr>
      <w:tr>
        <w:trPr>
          <w:trHeight w:val="20"/>
        </w:trPr>
        <w:tc>
          <w:tcPr>
            <w:tcW w:w="7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120" w:hanging="111"/>
        <w:spacing w:after="0"/>
        <w:tabs>
          <w:tab w:leader="none" w:pos="120"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Income tax effect on adjustments was calculated on all items, except for separation costs, using a rate of 24.0%. For the three months ended December 31, 2022, income tax effect for separation costs was calculated using a rate of</w:t>
      </w:r>
    </w:p>
    <w:p>
      <w:pPr>
        <w:spacing w:after="0"/>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2"/>
          <w:szCs w:val="12"/>
          <w:color w:val="auto"/>
        </w:rPr>
        <w:t>8.0%.</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200" w:type="dxa"/>
            <w:vAlign w:val="bottom"/>
          </w:tcPr>
          <w:p>
            <w:pPr>
              <w:spacing w:after="0"/>
              <w:rPr>
                <w:sz w:val="11"/>
                <w:szCs w:val="11"/>
                <w:color w:val="auto"/>
              </w:rPr>
            </w:pPr>
          </w:p>
        </w:tc>
        <w:tc>
          <w:tcPr>
            <w:tcW w:w="5080" w:type="dxa"/>
            <w:vAlign w:val="bottom"/>
            <w:gridSpan w:val="2"/>
          </w:tcPr>
          <w:p>
            <w:pPr>
              <w:jc w:val="center"/>
              <w:ind w:right="202"/>
              <w:spacing w:after="0"/>
              <w:rPr>
                <w:sz w:val="20"/>
                <w:szCs w:val="20"/>
                <w:color w:val="auto"/>
              </w:rPr>
            </w:pPr>
            <w:r>
              <w:rPr>
                <w:rFonts w:ascii="Times New Roman" w:cs="Times New Roman" w:eastAsia="Times New Roman" w:hAnsi="Times New Roman"/>
                <w:sz w:val="11"/>
                <w:szCs w:val="11"/>
                <w:b w:val="1"/>
                <w:bCs w:val="1"/>
                <w:color w:val="auto"/>
                <w:w w:val="97"/>
              </w:rPr>
              <w:t>RECONCILIATION OF DILUTED EARNINGS PER COMMON SHARE</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42"/>
        </w:trPr>
        <w:tc>
          <w:tcPr>
            <w:tcW w:w="3200" w:type="dxa"/>
            <w:vAlign w:val="bottom"/>
          </w:tcPr>
          <w:p>
            <w:pPr>
              <w:spacing w:after="0"/>
              <w:rPr>
                <w:sz w:val="12"/>
                <w:szCs w:val="12"/>
                <w:color w:val="auto"/>
              </w:rPr>
            </w:pPr>
          </w:p>
        </w:tc>
        <w:tc>
          <w:tcPr>
            <w:tcW w:w="5080" w:type="dxa"/>
            <w:vAlign w:val="bottom"/>
            <w:gridSpan w:val="2"/>
          </w:tcPr>
          <w:p>
            <w:pPr>
              <w:jc w:val="center"/>
              <w:ind w:right="222"/>
              <w:spacing w:after="0"/>
              <w:rPr>
                <w:sz w:val="20"/>
                <w:szCs w:val="20"/>
                <w:color w:val="auto"/>
              </w:rPr>
            </w:pPr>
            <w:r>
              <w:rPr>
                <w:rFonts w:ascii="Times New Roman" w:cs="Times New Roman" w:eastAsia="Times New Roman" w:hAnsi="Times New Roman"/>
                <w:sz w:val="11"/>
                <w:szCs w:val="11"/>
                <w:b w:val="1"/>
                <w:bCs w:val="1"/>
                <w:color w:val="auto"/>
                <w:w w:val="97"/>
              </w:rPr>
              <w:t>TO ADJUSTED DILUTED EARNINGS PER COMMON SHARE (Unaudited)</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5"/>
        </w:trPr>
        <w:tc>
          <w:tcPr>
            <w:tcW w:w="32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1140" w:type="dxa"/>
            <w:vAlign w:val="bottom"/>
            <w:tcBorders>
              <w:bottom w:val="single" w:sz="8" w:color="auto"/>
            </w:tcBorders>
          </w:tcPr>
          <w:p>
            <w:pPr>
              <w:spacing w:after="0"/>
              <w:rPr>
                <w:sz w:val="13"/>
                <w:szCs w:val="13"/>
                <w:color w:val="auto"/>
              </w:rPr>
            </w:pPr>
          </w:p>
        </w:tc>
      </w:tr>
      <w:tr>
        <w:trPr>
          <w:trHeight w:val="134"/>
        </w:trPr>
        <w:tc>
          <w:tcPr>
            <w:tcW w:w="3200" w:type="dxa"/>
            <w:vAlign w:val="bottom"/>
            <w:tcBorders>
              <w:bottom w:val="single" w:sz="8" w:color="CCEEFF"/>
            </w:tcBorders>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2023</w:t>
            </w:r>
          </w:p>
        </w:tc>
        <w:tc>
          <w:tcPr>
            <w:tcW w:w="72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Diluted Earnings per Common Share</w:t>
            </w:r>
          </w:p>
        </w:tc>
        <w:tc>
          <w:tcPr>
            <w:tcW w:w="39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00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0.33</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0.33</w:t>
            </w:r>
          </w:p>
        </w:tc>
      </w:tr>
      <w:tr>
        <w:trPr>
          <w:trHeight w:val="180"/>
        </w:trPr>
        <w:tc>
          <w:tcPr>
            <w:tcW w:w="32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39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3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Accelerated amortization</w:t>
            </w:r>
          </w:p>
        </w:tc>
        <w:tc>
          <w:tcPr>
            <w:tcW w:w="3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0.13</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39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0.01</w:t>
            </w:r>
          </w:p>
        </w:tc>
      </w:tr>
      <w:tr>
        <w:trPr>
          <w:trHeight w:val="153"/>
        </w:trPr>
        <w:tc>
          <w:tcPr>
            <w:tcW w:w="3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Foreign currency loss on intercompany loans</w:t>
            </w:r>
          </w:p>
        </w:tc>
        <w:tc>
          <w:tcPr>
            <w:tcW w:w="3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42"/>
        </w:trPr>
        <w:tc>
          <w:tcPr>
            <w:tcW w:w="32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394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0.13</w:t>
            </w:r>
          </w:p>
        </w:tc>
        <w:tc>
          <w:tcPr>
            <w:tcW w:w="3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Income tax effect on adjustments</w:t>
            </w:r>
          </w:p>
        </w:tc>
        <w:tc>
          <w:tcPr>
            <w:tcW w:w="394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3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Diluted Earnings per Common Share</w:t>
            </w:r>
          </w:p>
        </w:tc>
        <w:tc>
          <w:tcPr>
            <w:tcW w:w="39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100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0.43</w:t>
            </w:r>
          </w:p>
        </w:tc>
        <w:tc>
          <w:tcPr>
            <w:tcW w:w="3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0.33</w:t>
            </w:r>
          </w:p>
        </w:tc>
      </w:tr>
      <w:tr>
        <w:trPr>
          <w:trHeight w:val="554"/>
        </w:trPr>
        <w:tc>
          <w:tcPr>
            <w:tcW w:w="3200" w:type="dxa"/>
            <w:vAlign w:val="bottom"/>
          </w:tcPr>
          <w:p>
            <w:pPr>
              <w:spacing w:after="0"/>
              <w:rPr>
                <w:sz w:val="24"/>
                <w:szCs w:val="24"/>
                <w:color w:val="auto"/>
              </w:rPr>
            </w:pPr>
          </w:p>
        </w:tc>
        <w:tc>
          <w:tcPr>
            <w:tcW w:w="3940" w:type="dxa"/>
            <w:vAlign w:val="bottom"/>
          </w:tcPr>
          <w:p>
            <w:pPr>
              <w:jc w:val="center"/>
              <w:ind w:left="824"/>
              <w:spacing w:after="0"/>
              <w:rPr>
                <w:sz w:val="20"/>
                <w:szCs w:val="20"/>
                <w:color w:val="auto"/>
              </w:rPr>
            </w:pPr>
            <w:r>
              <w:rPr>
                <w:rFonts w:ascii="Times New Roman" w:cs="Times New Roman" w:eastAsia="Times New Roman" w:hAnsi="Times New Roman"/>
                <w:sz w:val="12"/>
                <w:szCs w:val="12"/>
                <w:color w:val="auto"/>
                <w:w w:val="99"/>
              </w:rPr>
              <w:t>8</w:t>
            </w: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220"/>
          </w:cols>
          <w:pgMar w:left="340" w:top="642"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NET EARNINGS TO ADJUSTED EBITDA (Unaudited)</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00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1200" w:type="dxa"/>
            <w:vAlign w:val="bottom"/>
            <w:tcBorders>
              <w:bottom w:val="single" w:sz="8" w:color="auto"/>
            </w:tcBorders>
          </w:tcPr>
          <w:p>
            <w:pPr>
              <w:spacing w:after="0"/>
              <w:rPr>
                <w:sz w:val="12"/>
                <w:szCs w:val="12"/>
                <w:color w:val="auto"/>
              </w:rPr>
            </w:pPr>
          </w:p>
        </w:tc>
      </w:tr>
      <w:tr>
        <w:trPr>
          <w:trHeight w:val="134"/>
        </w:trPr>
        <w:tc>
          <w:tcPr>
            <w:tcW w:w="700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2023</w:t>
            </w:r>
          </w:p>
        </w:tc>
        <w:tc>
          <w:tcPr>
            <w:tcW w:w="76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1180" w:type="dxa"/>
            <w:vAlign w:val="bottom"/>
            <w:shd w:val="clear" w:color="auto" w:fill="CCEEFF"/>
          </w:tcPr>
          <w:p>
            <w:pPr>
              <w:jc w:val="right"/>
              <w:ind w:right="1042"/>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43.9</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44.2</w:t>
            </w:r>
          </w:p>
        </w:tc>
      </w:tr>
      <w:tr>
        <w:trPr>
          <w:trHeight w:val="153"/>
        </w:trPr>
        <w:tc>
          <w:tcPr>
            <w:tcW w:w="700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180" w:type="dxa"/>
            <w:vAlign w:val="bottom"/>
          </w:tcPr>
          <w:p>
            <w:pPr>
              <w:spacing w:after="0"/>
              <w:rPr>
                <w:sz w:val="13"/>
                <w:szCs w:val="13"/>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14.2</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14.3</w:t>
            </w:r>
          </w:p>
        </w:tc>
      </w:tr>
      <w:tr>
        <w:trPr>
          <w:trHeight w:val="15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14.9</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16.7</w:t>
            </w:r>
          </w:p>
        </w:tc>
      </w:tr>
      <w:tr>
        <w:trPr>
          <w:trHeight w:val="153"/>
        </w:trPr>
        <w:tc>
          <w:tcPr>
            <w:tcW w:w="70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 including accelerated amortization</w:t>
            </w:r>
          </w:p>
        </w:tc>
        <w:tc>
          <w:tcPr>
            <w:tcW w:w="1180" w:type="dxa"/>
            <w:vAlign w:val="bottom"/>
          </w:tcPr>
          <w:p>
            <w:pPr>
              <w:spacing w:after="0"/>
              <w:rPr>
                <w:sz w:val="13"/>
                <w:szCs w:val="13"/>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22.6</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5.3</w:t>
            </w:r>
          </w:p>
        </w:tc>
      </w:tr>
      <w:tr>
        <w:trPr>
          <w:trHeight w:val="15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4.7</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3.5</w:t>
            </w:r>
          </w:p>
        </w:tc>
      </w:tr>
      <w:tr>
        <w:trPr>
          <w:trHeight w:val="153"/>
        </w:trPr>
        <w:tc>
          <w:tcPr>
            <w:tcW w:w="7000" w:type="dxa"/>
            <w:vAlign w:val="bottom"/>
          </w:tcPr>
          <w:p>
            <w:pPr>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1180" w:type="dxa"/>
            <w:vAlign w:val="bottom"/>
          </w:tcPr>
          <w:p>
            <w:pPr>
              <w:spacing w:after="0"/>
              <w:rPr>
                <w:sz w:val="13"/>
                <w:szCs w:val="13"/>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0.2</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1.2</w:t>
            </w:r>
          </w:p>
        </w:tc>
      </w:tr>
      <w:tr>
        <w:trPr>
          <w:trHeight w:val="15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gain on intercompany loans</w:t>
            </w:r>
          </w:p>
        </w:tc>
        <w:tc>
          <w:tcPr>
            <w:tcW w:w="1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(0.6)</w:t>
            </w:r>
          </w:p>
        </w:tc>
      </w:tr>
      <w:tr>
        <w:trPr>
          <w:trHeight w:val="153"/>
        </w:trPr>
        <w:tc>
          <w:tcPr>
            <w:tcW w:w="7000" w:type="dxa"/>
            <w:vAlign w:val="bottom"/>
          </w:tcPr>
          <w:p>
            <w:pPr>
              <w:spacing w:after="0"/>
              <w:rPr>
                <w:sz w:val="20"/>
                <w:szCs w:val="20"/>
                <w:color w:val="auto"/>
              </w:rPr>
            </w:pPr>
            <w:r>
              <w:rPr>
                <w:rFonts w:ascii="Times New Roman" w:cs="Times New Roman" w:eastAsia="Times New Roman" w:hAnsi="Times New Roman"/>
                <w:sz w:val="12"/>
                <w:szCs w:val="12"/>
                <w:color w:val="auto"/>
              </w:rPr>
              <w:t>Separation costs</w:t>
            </w:r>
          </w:p>
        </w:tc>
        <w:tc>
          <w:tcPr>
            <w:tcW w:w="1180" w:type="dxa"/>
            <w:vAlign w:val="bottom"/>
          </w:tcPr>
          <w:p>
            <w:pPr>
              <w:spacing w:after="0"/>
              <w:rPr>
                <w:sz w:val="13"/>
                <w:szCs w:val="13"/>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spacing w:after="0"/>
              <w:rPr>
                <w:sz w:val="13"/>
                <w:szCs w:val="13"/>
                <w:color w:val="auto"/>
              </w:rPr>
            </w:pP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0.3</w:t>
            </w:r>
          </w:p>
        </w:tc>
      </w:tr>
      <w:tr>
        <w:trPr>
          <w:trHeight w:val="158"/>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1180" w:type="dxa"/>
            <w:vAlign w:val="bottom"/>
            <w:tcBorders>
              <w:top w:val="single" w:sz="8" w:color="auto"/>
              <w:bottom w:val="single" w:sz="8" w:color="auto"/>
            </w:tcBorders>
            <w:shd w:val="clear" w:color="auto" w:fill="CCEEFF"/>
          </w:tcPr>
          <w:p>
            <w:pPr>
              <w:jc w:val="right"/>
              <w:ind w:right="1042"/>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100.5</w:t>
            </w: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84.9</w:t>
            </w:r>
          </w:p>
        </w:tc>
      </w:tr>
      <w:tr>
        <w:trPr>
          <w:trHeight w:val="169"/>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Earnings as a percentage of Net Sales</w:t>
            </w:r>
          </w:p>
        </w:tc>
        <w:tc>
          <w:tcPr>
            <w:tcW w:w="1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10.2 %</w:t>
            </w: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12.2 %</w:t>
            </w:r>
          </w:p>
        </w:tc>
      </w:tr>
      <w:tr>
        <w:trPr>
          <w:trHeight w:val="169"/>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 as a percentage of Net Sales</w:t>
            </w:r>
          </w:p>
        </w:tc>
        <w:tc>
          <w:tcPr>
            <w:tcW w:w="1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23.4 %</w:t>
            </w:r>
          </w:p>
        </w:tc>
        <w:tc>
          <w:tcPr>
            <w:tcW w:w="3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220"/>
          </w:cols>
          <w:pgMar w:left="340" w:top="749" w:right="339" w:bottom="1440"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6"/>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2024-02-05T16:15:35Z</dcterms:created>
  <dcterms:modified xsi:type="dcterms:W3CDTF">2024-02-05T16:15:35Z</dcterms:modified>
</cp:coreProperties>
</file>