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422275</wp:posOffset>
            </wp:positionV>
            <wp:extent cx="1842770" cy="891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March 1, 2022, BellRing Distribution, LLC (“New BellRing”), currently a wholly-owned subsidiary of Post Holdings, Inc. (“Post”), announced that it intends to commence a private offering (the “Offering”) by Selling Noteholders (as defined below) of $840.0 million in aggregate principal amount of New BellRing’s senior notes due 2030 (the “Notes”) to eligible purchasers.</w:t>
      </w:r>
    </w:p>
    <w:p>
      <w:pPr>
        <w:spacing w:after="0" w:line="18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Offering is being undertaken in connection with the previously disclosed distribution (the “Distribution”) of 80.1% of Post’s ownership interest in New BellRing to Post’s shareholders. As provided in the Transaction Agreement and Plan of Merger (the “Transaction Agreement”), dated October 26, 2021, as amended on February 28, 2022, among Post, New BellRing, BellRing Brands, Inc. (“BellRing”) and BellRing Merger Sub Corporation, a wholly-owned subsidiary of New BellRing (“Merger Sub”), the Notes will initially be issued by New BellRing to Post, together with all of New BellRing’s outstanding limited liability company interests, in exchange for the contribution by Post of (i) all of its nonvoting common units of BellRing Brands, LLC (“BellRing LLC”) and the sole outstanding share of BellRing’s Class B common stock, par value $0.01 per share, and (ii) $550.4 million in cash. Post will then exchange (the “Debt Exchange”) the Notes for certain debt obligations of Post with the holders thereof (or their respective affiliates) (the “Selling Noteholders”). The Selling Noteholders intend to offer the Notes for sale to qualified institutional buyers pursuant to Rule 144A under the Securities Act of 1933, as amended (the “Securities Act”) and to non-U.S. persons outside of the United States in compliance with Regulation S under the Securities Act. Following the closing of the Offering and prior to the Distribution and the merger described below, New BellRing will convert into a Delaware corporation and change its name to BellRing Brands, Inc., and, at the same time, the current BellRing Brands, Inc. will change its name to BellRing Intermediate Holdings, Inc. Following completion of the Distribution, Merger Sub will merge with and into BellRing (the “Merger”) and New BellRing will become a new public holding company and the successor registrant to BellRing. New BellRing will use the cash received from Post, along with cash on hand and a draw on the new revolving credit facility (the “New BellRing Credit Facility”) that it will enter into as part of the transactions, to refinance BellRing LLC’s existing indebtedness and to pay fees and expenses related to the transaction, as well as to distribute cash to existing BellRing stockholders in connection with the Merger. New BellRing will not receive any proceeds from the Offering of the Notes by the Selling Noteholders.</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the Offering, the Notes will be unsecured unsubordinated obligations of New BellRing and, on the fourteenth day after the Notes are issued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Completion of the Offering will be subject to market and certain other conditions, including consummation of the Debt Exchange, New BellRing’s entry into the New BellRing Credit Facility and the consummation of the Distribution and the Merger, in each case, substantially concurrently with the consummation of the Offering, consistent in all material respects with the descriptions thereof set forth in the offering memorandum relating to the Notes and the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in connection therewith is attached hereto as Exhibit 99.1 and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740" w:type="dxa"/>
            <w:vAlign w:val="bottom"/>
          </w:tcPr>
          <w:p>
            <w:pPr>
              <w:spacing w:after="0"/>
              <w:rPr>
                <w:sz w:val="15"/>
                <w:szCs w:val="15"/>
                <w:color w:val="auto"/>
              </w:rPr>
            </w:pPr>
          </w:p>
        </w:tc>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c>
          <w:tcPr>
            <w:tcW w:w="5520" w:type="dxa"/>
            <w:vAlign w:val="bottom"/>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3"/>
                <w:szCs w:val="23"/>
                <w:color w:val="auto"/>
              </w:rPr>
            </w:pPr>
          </w:p>
        </w:tc>
        <w:tc>
          <w:tcPr>
            <w:tcW w:w="2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March 1, 2022</w:t>
              </w:r>
            </w:hyperlink>
          </w:p>
        </w:tc>
        <w:tc>
          <w:tcPr>
            <w:tcW w:w="5520" w:type="dxa"/>
            <w:vAlign w:val="bottom"/>
          </w:tcPr>
          <w:p>
            <w:pPr>
              <w:spacing w:after="0"/>
              <w:rPr>
                <w:sz w:val="23"/>
                <w:szCs w:val="23"/>
                <w:color w:val="auto"/>
              </w:rPr>
            </w:pPr>
          </w:p>
        </w:tc>
      </w:tr>
      <w:tr>
        <w:trPr>
          <w:trHeight w:val="345"/>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w:t>
      </w:r>
    </w:p>
    <w:p>
      <w:pPr>
        <w:sectPr>
          <w:pgSz w:w="11900" w:h="16838" w:orient="portrait"/>
          <w:cols w:equalWidth="0" w:num="1">
            <w:col w:w="11000"/>
          </w:cols>
          <w:pgMar w:left="440" w:top="297" w:right="459" w:bottom="1440" w:gutter="0" w:footer="0" w:header="0"/>
        </w:sectPr>
      </w:pPr>
    </w:p>
    <w:bookmarkStart w:id="2" w:name="page3"/>
    <w:bookmarkEnd w:id="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New BellRing to Post shareholders, including the amount of New BellRing equity Post intends to distribute, the form of the Distribution, the amount of cash Post intends to contribute to New BellRing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t>
      </w:r>
      <w:r>
        <w:rPr>
          <w:rFonts w:ascii="Arial" w:cs="Arial" w:eastAsia="Arial" w:hAnsi="Arial"/>
          <w:sz w:val="16"/>
          <w:szCs w:val="16"/>
          <w:u w:val="single" w:color="auto"/>
          <w:color w:val="auto"/>
        </w:rPr>
        <w:t>www.bellring.com</w:t>
      </w:r>
      <w:r>
        <w:rPr>
          <w:rFonts w:ascii="Arial" w:cs="Arial" w:eastAsia="Arial" w:hAnsi="Arial"/>
          <w:sz w:val="16"/>
          <w:szCs w:val="16"/>
          <w:color w:val="auto"/>
        </w:rPr>
        <w:t>, or Post’s website, www.postholdings.com.</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Date: March 1, 2022</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Distribution, LLC Announces Commencement of Senior Notes Offering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ST. LOUIS, March 1, 2022 </w:t>
      </w:r>
      <w:r>
        <w:rPr>
          <w:rFonts w:ascii="Arial" w:cs="Arial" w:eastAsia="Arial" w:hAnsi="Arial"/>
          <w:sz w:val="17"/>
          <w:szCs w:val="17"/>
          <w:color w:val="auto"/>
        </w:rPr>
        <w:t>– BellRing Distribution, LLC (“New BellRing”) today announced that it intends to commence a private offering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purchasers of $840.0 million in aggregate principal amount of senior notes due 2030 (the “Notes”). The Notes are being offered in connection with the transactions involved with Post Holdings, Inc.’s (“Post”) anticipated spin-off of 80.1% of its interest in New BellRing to Post shareholders, and completion of the Notes offering is conditioned upon, in addition to market and certain other conditions, the substantially concurrent completion of the spin-off and the related merger of a subsidiary of New BellRing into BellRing Brands, Inc. (“BellRing”).</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will be issued to Post as partial consideration for the transfer by Post to New BellRing of certain assets, including all of the equity interests held by Post in BellRing, BellRing Brands, LLC (“BellRing LLC”) and cash. Post will then transfer the Notes to certain of its lenders or their respective affiliates (the “Selling Noteholders”) to satisfy outstanding Post debt owed to the lenders. New BellRing will use the cash received from Post, along with cash on hand and a draw on the new revolving credit facility that it will enter into as part of the transactions, to refinance BellRing LLC’s existing indebtedness and to pay fees and expenses related to the transaction, as well as to distribute cash to existing BellRing stockholders in connection with the above-described merger. The Selling Noteholders intend to offer the Notes for resale in a transaction exempt from registration. The Selling Noteholders (or their respective affiliates) will receive all of the proceeds from such offering.</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the closing of the offering, the Notes will be unsecured unsubordinated obligations of New BellRing and, fourteen days after the closing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The final terms and amounts of the Notes are subject to market and other conditions, and may be materially different than expectations.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and the related subsidiary guarantees are being offered by the Selling Noteholders to persons reasonably believed to be qualified institutional buyers in an offering exempt from registration pursuant to Rule 144A under the Securities Act of 1933, as amended (the “Securities Act”), and to non-U.S. persons outside of the United States in compliance with Regulation S under the Securities Act. The Notes and the related subsidiary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security, nor shall there be any sales of securities in any jurisdiction in which such offer, solicitation or sale would be unlawful prior to registration or qualification under the securities laws of any jurisdiction. This press release is being issued pursuant to and in accordance with Rule 135c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 in New BellRing to Post shareholders, including the amount of New BellRing equity Post intends to distribute, the form of the distribution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and are distributed across a diverse network of 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2022-03-01T11:30:00Z</dcterms:created>
  <dcterms:modified xsi:type="dcterms:W3CDTF">2022-03-01T11:30:00Z</dcterms:modified>
</cp:coreProperties>
</file>