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120015</wp:posOffset>
            </wp:positionV>
            <wp:extent cx="149987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BellRing Brands, Inc.</w:t>
      </w:r>
    </w:p>
    <w:p>
      <w:pPr>
        <w:spacing w:after="0" w:line="152"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6840" w:type="dxa"/>
            <w:vAlign w:val="bottom"/>
            <w:gridSpan w:val="3"/>
          </w:tcPr>
          <w:p>
            <w:pPr>
              <w:jc w:val="center"/>
              <w:ind w:left="282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580" w:type="dxa"/>
            <w:vAlign w:val="bottom"/>
          </w:tcPr>
          <w:p>
            <w:pPr>
              <w:spacing w:after="0"/>
              <w:rPr>
                <w:sz w:val="20"/>
                <w:szCs w:val="20"/>
                <w:color w:val="auto"/>
              </w:rPr>
            </w:pPr>
          </w:p>
        </w:tc>
      </w:tr>
      <w:tr>
        <w:trPr>
          <w:trHeight w:val="27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1880" w:type="dxa"/>
            <w:vAlign w:val="bottom"/>
          </w:tcPr>
          <w:p>
            <w:pPr>
              <w:jc w:val="center"/>
              <w:ind w:left="844"/>
              <w:spacing w:after="0"/>
              <w:rPr>
                <w:sz w:val="20"/>
                <w:szCs w:val="20"/>
                <w:color w:val="auto"/>
              </w:rPr>
            </w:pPr>
            <w:r>
              <w:rPr>
                <w:rFonts w:ascii="Times New Roman" w:cs="Times New Roman" w:eastAsia="Times New Roman" w:hAnsi="Times New Roman"/>
                <w:sz w:val="20"/>
                <w:szCs w:val="20"/>
                <w:b w:val="1"/>
                <w:bCs w:val="1"/>
                <w:color w:val="auto"/>
                <w:w w:val="99"/>
              </w:rPr>
              <w:t>001-39093</w:t>
            </w:r>
          </w:p>
        </w:tc>
        <w:tc>
          <w:tcPr>
            <w:tcW w:w="1500" w:type="dxa"/>
            <w:vAlign w:val="bottom"/>
          </w:tcPr>
          <w:p>
            <w:pPr>
              <w:spacing w:after="0"/>
              <w:rPr>
                <w:sz w:val="24"/>
                <w:szCs w:val="24"/>
                <w:color w:val="auto"/>
              </w:rPr>
            </w:pPr>
          </w:p>
        </w:tc>
        <w:tc>
          <w:tcPr>
            <w:tcW w:w="2580" w:type="dxa"/>
            <w:vAlign w:val="bottom"/>
          </w:tcPr>
          <w:p>
            <w:pPr>
              <w:jc w:val="right"/>
              <w:ind w:right="686"/>
              <w:spacing w:after="0"/>
              <w:rPr>
                <w:sz w:val="20"/>
                <w:szCs w:val="20"/>
                <w:color w:val="auto"/>
              </w:rPr>
            </w:pPr>
            <w:r>
              <w:rPr>
                <w:rFonts w:ascii="Times New Roman" w:cs="Times New Roman" w:eastAsia="Times New Roman" w:hAnsi="Times New Roman"/>
                <w:sz w:val="20"/>
                <w:szCs w:val="20"/>
                <w:b w:val="1"/>
                <w:bCs w:val="1"/>
                <w:color w:val="auto"/>
              </w:rPr>
              <w:t>87-3296749</w:t>
            </w:r>
          </w:p>
        </w:tc>
      </w:tr>
      <w:tr>
        <w:trPr>
          <w:trHeight w:val="237"/>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8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80" w:type="dxa"/>
            <w:vAlign w:val="bottom"/>
          </w:tcPr>
          <w:p>
            <w:pPr>
              <w:jc w:val="center"/>
              <w:ind w:left="6"/>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8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2503 S. Hanley Road</w:t>
            </w:r>
          </w:p>
        </w:tc>
        <w:tc>
          <w:tcPr>
            <w:tcW w:w="188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St. Louis</w:t>
            </w:r>
          </w:p>
        </w:tc>
        <w:tc>
          <w:tcPr>
            <w:tcW w:w="15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Missouri</w:t>
            </w:r>
          </w:p>
        </w:tc>
        <w:tc>
          <w:tcPr>
            <w:tcW w:w="2580" w:type="dxa"/>
            <w:vAlign w:val="bottom"/>
          </w:tcPr>
          <w:p>
            <w:pPr>
              <w:jc w:val="right"/>
              <w:ind w:right="906"/>
              <w:spacing w:after="0"/>
              <w:rPr>
                <w:sz w:val="20"/>
                <w:szCs w:val="20"/>
                <w:color w:val="auto"/>
              </w:rPr>
            </w:pPr>
            <w:r>
              <w:rPr>
                <w:rFonts w:ascii="Times New Roman" w:cs="Times New Roman" w:eastAsia="Times New Roman" w:hAnsi="Times New Roman"/>
                <w:sz w:val="20"/>
                <w:szCs w:val="20"/>
                <w:b w:val="1"/>
                <w:bCs w:val="1"/>
                <w:color w:val="auto"/>
              </w:rPr>
              <w:t>63144</w:t>
            </w:r>
          </w:p>
        </w:tc>
      </w:tr>
      <w:tr>
        <w:trPr>
          <w:trHeight w:val="237"/>
        </w:trPr>
        <w:tc>
          <w:tcPr>
            <w:tcW w:w="53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9"/>
          <w:szCs w:val="19"/>
          <w:b w:val="1"/>
          <w:bCs w:val="1"/>
          <w:color w:val="auto"/>
        </w:rPr>
        <w:t>(314) 644-7600</w:t>
      </w:r>
    </w:p>
    <w:p>
      <w:pPr>
        <w:spacing w:after="0" w:line="19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264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380" w:type="dxa"/>
            <w:vAlign w:val="bottom"/>
          </w:tcPr>
          <w:p>
            <w:pPr>
              <w:spacing w:after="0"/>
              <w:rPr>
                <w:sz w:val="21"/>
                <w:szCs w:val="21"/>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BRBR</w:t>
            </w:r>
          </w:p>
        </w:tc>
        <w:tc>
          <w:tcPr>
            <w:tcW w:w="4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1"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213995</wp:posOffset>
            </wp:positionV>
            <wp:extent cx="6026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240030</wp:posOffset>
            </wp:positionV>
            <wp:extent cx="6026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line="2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43"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18"/>
          <w:szCs w:val="18"/>
          <w:color w:val="auto"/>
        </w:rPr>
        <w:t>On November 19, 2025, the Board of Directors (the “Board”) of BellRing Brands, Inc. (the “Company”) approved, effective November 19, 2025 (the “Effective Date”), a $600 million share repurchase authorization (the “New Authorization”) and cancelled, effective November 19, 2025, its existing $400 million share repurchase authorization, which was approved by the Board and became effective on September 2, 2025 (the “Existing Authorization”). The Company had repurchased approximately $123 million of shares of common stock under the Existing Authorization as of November 19, 2025. The New Authorization extends for a two-year period beginning on the Effective Date, and the Company may begin repurchasing shares under the New Authorization on the Effective Date. Repurchases may be made from time to time in the open market, in private purchases, through forward, derivative, accelerated repurchase or automatic purchase transactions, or otherwise. The New Authorization does not, however, obligate the Company to acquire any particular amount of shares, and repurchases may be suspended or terminated at any time at the Company’s discretion. The amount and timing of repurchases are subject to a variety of factors including liquidity, share price, market conditions and legal requirements. A press release announcing the approval of the New Authorization and the cancellation of the Existing Authorization is attached as Exhibit 99.1 hereto and is incorporated herein by reference.</w:t>
      </w:r>
    </w:p>
    <w:p>
      <w:pPr>
        <w:spacing w:after="0" w:line="20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400" w:type="dxa"/>
            <w:vAlign w:val="bottom"/>
          </w:tcPr>
          <w:p>
            <w:pPr>
              <w:spacing w:after="0"/>
              <w:rPr>
                <w:sz w:val="24"/>
                <w:szCs w:val="24"/>
                <w:color w:val="auto"/>
              </w:rPr>
            </w:pPr>
          </w:p>
        </w:tc>
        <w:tc>
          <w:tcPr>
            <w:tcW w:w="2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November 20, 2025</w:t>
            </w:r>
          </w:p>
        </w:tc>
        <w:tc>
          <w:tcPr>
            <w:tcW w:w="6080" w:type="dxa"/>
            <w:vAlign w:val="bottom"/>
          </w:tcPr>
          <w:p>
            <w:pPr>
              <w:spacing w:after="0"/>
              <w:rPr>
                <w:sz w:val="24"/>
                <w:szCs w:val="24"/>
                <w:color w:val="auto"/>
              </w:rPr>
            </w:pPr>
          </w:p>
        </w:tc>
      </w:tr>
      <w:tr>
        <w:trPr>
          <w:trHeight w:val="25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tcPr>
          <w:p>
            <w:pPr>
              <w:spacing w:after="0"/>
              <w:rPr>
                <w:sz w:val="21"/>
                <w:szCs w:val="21"/>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iXBRL tags are embedded within the Inline XBRL document)</w:t>
            </w:r>
          </w:p>
        </w:tc>
      </w:tr>
      <w:tr>
        <w:trPr>
          <w:trHeight w:val="3368"/>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20, 2025</w:t>
            </w: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338"/>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(Registrant)</w:t>
            </w:r>
          </w:p>
        </w:tc>
        <w:tc>
          <w:tcPr>
            <w:tcW w:w="4600" w:type="dxa"/>
            <w:vAlign w:val="bottom"/>
          </w:tcPr>
          <w:p>
            <w:pPr>
              <w:spacing w:after="0"/>
              <w:rPr>
                <w:sz w:val="24"/>
                <w:szCs w:val="24"/>
                <w:color w:val="auto"/>
              </w:rPr>
            </w:pPr>
          </w:p>
        </w:tc>
      </w:tr>
      <w:tr>
        <w:trPr>
          <w:trHeight w:val="675"/>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L. Rosenthal</w:t>
            </w:r>
          </w:p>
        </w:tc>
      </w:tr>
      <w:tr>
        <w:trPr>
          <w:trHeight w:val="313"/>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L. Rosenthal</w:t>
            </w:r>
          </w:p>
        </w:tc>
      </w:tr>
      <w:tr>
        <w:trPr>
          <w:trHeight w:val="234"/>
        </w:trPr>
        <w:tc>
          <w:tcPr>
            <w:tcW w:w="3680" w:type="dxa"/>
            <w:vAlign w:val="bottom"/>
          </w:tcPr>
          <w:p>
            <w:pPr>
              <w:spacing w:after="0"/>
              <w:rPr>
                <w:sz w:val="20"/>
                <w:szCs w:val="20"/>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5445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44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BellRing Brands Announces New Share Repurchase Authorization of $600 Million</w:t>
      </w:r>
    </w:p>
    <w:p>
      <w:pPr>
        <w:spacing w:after="0" w:line="300"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St. Louis – November 20, 2025 </w:t>
      </w:r>
      <w:r>
        <w:rPr>
          <w:rFonts w:ascii="Times New Roman" w:cs="Times New Roman" w:eastAsia="Times New Roman" w:hAnsi="Times New Roman"/>
          <w:sz w:val="18"/>
          <w:szCs w:val="18"/>
          <w:color w:val="auto"/>
        </w:rPr>
        <w:t>– BellRing Brands, Inc. (NYSE:BRBR) today announced its Board of Directors approved a $600 million share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over the next two years, with share repurchases under the new authorization beginning on November 19, 2025. As of November 19, 2025, BellRing had repurchased approximately $123 million under its previous $400 million share repurchase authorization, which became effective on September 2, 2025, and has been cancelled effective November 19, 2025.</w:t>
      </w:r>
    </w:p>
    <w:p>
      <w:pPr>
        <w:spacing w:after="0" w:line="188"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Repurchases may be made from time to time in the open market, private purchases, through forward, derivative, alternative, accelerated repurchase or automatic purchase transactions, or otherwise. The authorization does not, however, obligate BellRing to acquire any particular amount of shares, and repurchases may be suspended or terminated at any time at BellRing’s discretion. The amount and timing of repurchases are subject to a variety of factors including liquidity, share price, market conditions and legal requirements.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Language</w:t>
      </w:r>
    </w:p>
    <w:p>
      <w:pPr>
        <w:spacing w:after="0" w:line="270"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and Section 21E of the Securities Exchange Act of 1934, as amended, are made in this press release.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press release. All forward-looking statements are subject to a number of important factors, risks, uncertainties and assumptions that could cause actual results to differ materially from those described in any forward-looking statements. These factors and risks include, but are not limited to, unanticipated developments that prevent, delay or negatively impact the repurchases and other financial, operational and legal risks and uncertainties detailed from time to time in BellRing’s cautionary statements contained in its filings with the Securities and Exchange Commission. These forward-looking statements represent BellRing’s judgment as of the date of this press release. BellRing disclaims, however, any intent or obligation to update these forward-looking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BellRing Brands, Inc.</w:t>
      </w:r>
    </w:p>
    <w:p>
      <w:pPr>
        <w:spacing w:after="0" w:line="21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xml:space="preserve">BellRing Brands, Inc. (NYSE: BRBR) is a dynamic and fast-growing consumer brands business with the purpose of Changing Lives with Good Energy. Focused on growing the convenient nutrition category, the company’s brands include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the #1 ready-to-drink protein and convenient nutrition brand,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the brand behind the #1 hydrolyzed protein powder. A culture-driven, pure-play company, BellRing Brands believes nutrition is at the core of a healthy world and produces products with best-in-class nutritional profiles and exceptional flavors. Its products are distributed in over 90 countries across club, mass, food, eCommerce, specialty, drug and convenience. To learn more visit www.bellring.com.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Meyer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jennifer.meyer@bellringbrands.com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 814-9388</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2025-11-20T07:07:04Z</dcterms:created>
  <dcterms:modified xsi:type="dcterms:W3CDTF">2025-11-20T07:07:04Z</dcterms:modified>
</cp:coreProperties>
</file>