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783590</wp:posOffset>
            </wp:positionH>
            <wp:positionV relativeFrom="page">
              <wp:posOffset>688975</wp:posOffset>
            </wp:positionV>
            <wp:extent cx="6003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page">
              <wp:posOffset>783590</wp:posOffset>
            </wp:positionH>
            <wp:positionV relativeFrom="page">
              <wp:posOffset>706120</wp:posOffset>
            </wp:positionV>
            <wp:extent cx="6003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0"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379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BellRing Brands, Inc.</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tbl>
      <w:tblPr>
        <w:tblLayout w:type="fixed"/>
        <w:tblInd w:w="1700" w:type="dxa"/>
        <w:tblCellMar>
          <w:top w:w="0" w:type="dxa"/>
          <w:left w:w="0" w:type="dxa"/>
          <w:bottom w:w="0" w:type="dxa"/>
          <w:right w:w="0" w:type="dxa"/>
        </w:tblCellMar>
      </w:tblPr>
      <w:tr>
        <w:trPr>
          <w:trHeight w:val="256"/>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91"/>
              </w:rPr>
              <w:t>Delaware</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001-39093</w:t>
            </w:r>
          </w:p>
        </w:tc>
        <w:tc>
          <w:tcPr>
            <w:tcW w:w="1040" w:type="dxa"/>
            <w:vAlign w:val="bottom"/>
          </w:tcPr>
          <w:p>
            <w:pPr>
              <w:spacing w:after="0"/>
              <w:rPr>
                <w:sz w:val="22"/>
                <w:szCs w:val="22"/>
                <w:color w:val="auto"/>
              </w:rPr>
            </w:pPr>
          </w:p>
        </w:tc>
        <w:tc>
          <w:tcPr>
            <w:tcW w:w="2740" w:type="dxa"/>
            <w:vAlign w:val="bottom"/>
          </w:tcPr>
          <w:p>
            <w:pPr>
              <w:jc w:val="right"/>
              <w:ind w:right="665"/>
              <w:spacing w:after="0"/>
              <w:rPr>
                <w:sz w:val="20"/>
                <w:szCs w:val="20"/>
                <w:color w:val="auto"/>
              </w:rPr>
            </w:pPr>
            <w:r>
              <w:rPr>
                <w:rFonts w:ascii="Arial" w:cs="Arial" w:eastAsia="Arial" w:hAnsi="Arial"/>
                <w:sz w:val="20"/>
                <w:szCs w:val="20"/>
                <w:b w:val="1"/>
                <w:bCs w:val="1"/>
                <w:color w:val="auto"/>
              </w:rPr>
              <w:t>83-4096323</w:t>
            </w:r>
          </w:p>
        </w:tc>
      </w:tr>
      <w:tr>
        <w:trPr>
          <w:trHeight w:val="252"/>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2"/>
              </w:rPr>
              <w:t>(State or other jurisdiction of</w:t>
            </w:r>
          </w:p>
        </w:tc>
        <w:tc>
          <w:tcPr>
            <w:tcW w:w="2960" w:type="dxa"/>
            <w:vAlign w:val="bottom"/>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4"/>
              </w:rPr>
              <w:t>incorporation)</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63"/>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89"/>
              </w:rPr>
              <w:t>2503 S. Hanley Road</w:t>
            </w:r>
          </w:p>
        </w:tc>
        <w:tc>
          <w:tcPr>
            <w:tcW w:w="1920" w:type="dxa"/>
            <w:vAlign w:val="bottom"/>
          </w:tcPr>
          <w:p>
            <w:pPr>
              <w:ind w:left="440"/>
              <w:spacing w:after="0"/>
              <w:rPr>
                <w:sz w:val="20"/>
                <w:szCs w:val="20"/>
                <w:color w:val="auto"/>
              </w:rPr>
            </w:pPr>
            <w:r>
              <w:rPr>
                <w:rFonts w:ascii="Arial" w:cs="Arial" w:eastAsia="Arial" w:hAnsi="Arial"/>
                <w:sz w:val="20"/>
                <w:szCs w:val="20"/>
                <w:b w:val="1"/>
                <w:bCs w:val="1"/>
                <w:color w:val="auto"/>
              </w:rPr>
              <w:t>St. Louis</w:t>
            </w:r>
          </w:p>
        </w:tc>
        <w:tc>
          <w:tcPr>
            <w:tcW w:w="1040" w:type="dxa"/>
            <w:vAlign w:val="bottom"/>
          </w:tcPr>
          <w:p>
            <w:pPr>
              <w:ind w:left="20"/>
              <w:spacing w:after="0"/>
              <w:rPr>
                <w:sz w:val="20"/>
                <w:szCs w:val="20"/>
                <w:color w:val="auto"/>
              </w:rPr>
            </w:pPr>
            <w:r>
              <w:rPr>
                <w:rFonts w:ascii="Arial" w:cs="Arial" w:eastAsia="Arial" w:hAnsi="Arial"/>
                <w:sz w:val="20"/>
                <w:szCs w:val="20"/>
                <w:b w:val="1"/>
                <w:bCs w:val="1"/>
                <w:color w:val="auto"/>
              </w:rPr>
              <w:t>Missouri</w:t>
            </w:r>
          </w:p>
        </w:tc>
        <w:tc>
          <w:tcPr>
            <w:tcW w:w="2740" w:type="dxa"/>
            <w:vAlign w:val="bottom"/>
          </w:tcPr>
          <w:p>
            <w:pPr>
              <w:jc w:val="right"/>
              <w:ind w:right="885"/>
              <w:spacing w:after="0"/>
              <w:rPr>
                <w:sz w:val="20"/>
                <w:szCs w:val="20"/>
                <w:color w:val="auto"/>
              </w:rPr>
            </w:pPr>
            <w:r>
              <w:rPr>
                <w:rFonts w:ascii="Arial" w:cs="Arial" w:eastAsia="Arial" w:hAnsi="Arial"/>
                <w:sz w:val="20"/>
                <w:szCs w:val="20"/>
                <w:b w:val="1"/>
                <w:bCs w:val="1"/>
                <w:color w:val="auto"/>
              </w:rPr>
              <w:t>63144</w:t>
            </w:r>
          </w:p>
        </w:tc>
      </w:tr>
      <w:tr>
        <w:trPr>
          <w:trHeight w:val="266"/>
        </w:trPr>
        <w:tc>
          <w:tcPr>
            <w:tcW w:w="4440" w:type="dxa"/>
            <w:vAlign w:val="bottom"/>
            <w:gridSpan w:val="2"/>
          </w:tcPr>
          <w:p>
            <w:pPr>
              <w:ind w:left="106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3"/>
                <w:szCs w:val="23"/>
                <w:color w:val="auto"/>
              </w:rPr>
            </w:pP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(Zip Code)</w:t>
            </w: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29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38"/>
        </w:trPr>
        <w:tc>
          <w:tcPr>
            <w:tcW w:w="2200" w:type="dxa"/>
            <w:vAlign w:val="bottom"/>
          </w:tcPr>
          <w:p>
            <w:pPr>
              <w:spacing w:after="0"/>
              <w:rPr>
                <w:sz w:val="24"/>
                <w:szCs w:val="24"/>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2"/>
        </w:trPr>
        <w:tc>
          <w:tcPr>
            <w:tcW w:w="50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BRBR</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2200" w:type="dxa"/>
            <w:vAlign w:val="bottom"/>
          </w:tcPr>
          <w:p>
            <w:pPr>
              <w:spacing w:after="0"/>
              <w:rPr>
                <w:sz w:val="20"/>
                <w:szCs w:val="20"/>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1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271780</wp:posOffset>
            </wp:positionV>
            <wp:extent cx="6003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288925</wp:posOffset>
            </wp:positionV>
            <wp:extent cx="6003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38" w:orient="portrait"/>
          <w:cols w:equalWidth="0" w:num="1">
            <w:col w:w="11360"/>
          </w:cols>
          <w:pgMar w:left="240" w:top="1309"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December 3, 2019, Premier Nutrition Company, LLC (“Premier Nutrition”), a subsidiary of BellRing Brands, Inc. (the “Company”), executed a Master Purchase Commitment (“Master Purchase Commitment”) with Fonterra (USA) Inc. (“Fonterra”), pursuant to a Master Supply Agreement between Premier Nutrition and Fonterra dated December 3, 2019 (“Master Supply Agreement”).</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Master Purchase Commitment Fonterra will supply milk protein concentrate (“Product”) beginning in January 2020. Under the terms of the Master Purchase Commitment, Premier Nutrition is required to purchase, pursuant to purchase orders, a minimum amount of Product every six months, and has the right (but not the obligation) to order quantities in excess of such amount on a spot basis as agreed by the parties. The Master Purchase Commitment contains provisions describing the determination of the prices for the Products and a most-favored nation provision with respect to the pricing made available to Premier Nutrition for the Product during the term. The Master Supply Agreement contains provisions regarding the product specifications and quality standards for the Products, the rights of a party in the event the other party does not comply with its obligations under the Master Supply Agreement or the Master Purchase Commitment (or other purchase orders between the parties) and other customary contractual terms and conditions.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Master Purchase Commitment runs for an initial term of two years, with subsequent automatic renewals for two-year periods, subject to early termination by either party upon six months’ notice. The Master Supply Agreement runs for an initial term of five years from October 31, 2019 and will automatically renew for additional periods of five years unless a party determines not to renew upon at least twelve months prior notice.</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description of the Master Purchase Commitment and Master Supply Agreement does not purport to be complete and is qualified in its entirety by reference to such agreements, which the Company expects to file as exhibits to its Quarterly Report on Form 10-Q for the quarter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140"/>
        <w:spacing w:after="0"/>
        <w:tabs>
          <w:tab w:leader="none" w:pos="5460" w:val="left"/>
        </w:tabs>
        <w:rPr>
          <w:sz w:val="20"/>
          <w:szCs w:val="20"/>
          <w:color w:val="auto"/>
        </w:rPr>
      </w:pPr>
      <w:r>
        <w:rPr>
          <w:rFonts w:ascii="Arial" w:cs="Arial" w:eastAsia="Arial" w:hAnsi="Arial"/>
          <w:sz w:val="18"/>
          <w:szCs w:val="18"/>
          <w:color w:val="auto"/>
        </w:rPr>
        <w:t>Date: December 9, 2019</w:t>
      </w:r>
      <w:r>
        <w:rPr>
          <w:sz w:val="20"/>
          <w:szCs w:val="20"/>
          <w:color w:val="auto"/>
        </w:rPr>
        <w:tab/>
      </w:r>
      <w:r>
        <w:rPr>
          <w:rFonts w:ascii="Arial" w:cs="Arial" w:eastAsia="Arial" w:hAnsi="Arial"/>
          <w:sz w:val="16"/>
          <w:szCs w:val="16"/>
          <w:b w:val="1"/>
          <w:bCs w:val="1"/>
          <w:color w:val="auto"/>
        </w:rPr>
        <w:t>BellRing Brands, Inc.</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ind w:left="80"/>
              <w:spacing w:after="0"/>
              <w:rPr>
                <w:sz w:val="20"/>
                <w:szCs w:val="20"/>
                <w:color w:val="auto"/>
              </w:rPr>
            </w:pPr>
            <w:r>
              <w:rPr>
                <w:rFonts w:ascii="Arial" w:cs="Arial" w:eastAsia="Arial" w:hAnsi="Arial"/>
                <w:sz w:val="18"/>
                <w:szCs w:val="18"/>
                <w:color w:val="auto"/>
              </w:rPr>
              <w:t>/s/ Craig L. Rosenthal</w:t>
            </w:r>
          </w:p>
        </w:tc>
      </w:tr>
      <w:tr>
        <w:trPr>
          <w:trHeight w:val="54"/>
        </w:trPr>
        <w:tc>
          <w:tcPr>
            <w:tcW w:w="76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ind w:left="80"/>
              <w:spacing w:after="0"/>
              <w:rPr>
                <w:sz w:val="20"/>
                <w:szCs w:val="20"/>
                <w:color w:val="auto"/>
              </w:rPr>
            </w:pPr>
            <w:r>
              <w:rPr>
                <w:rFonts w:ascii="Arial" w:cs="Arial" w:eastAsia="Arial" w:hAnsi="Arial"/>
                <w:sz w:val="18"/>
                <w:szCs w:val="18"/>
                <w:color w:val="auto"/>
              </w:rPr>
              <w:t>Craig L. Rosenthal</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rPr>
              <w:t>Senior Vice President and General Counsel</w:t>
            </w:r>
          </w:p>
        </w:tc>
      </w:tr>
      <w:tr>
        <w:trPr>
          <w:trHeight w:val="702"/>
        </w:trPr>
        <w:tc>
          <w:tcPr>
            <w:tcW w:w="76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44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59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2019-12-09T15:42:26Z</dcterms:created>
  <dcterms:modified xsi:type="dcterms:W3CDTF">2019-12-09T15:42:26Z</dcterms:modified>
</cp:coreProperties>
</file>