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CLO &amp;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267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604 RSUs in accordance with Rule 16b-3.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2025-11-12T18:38:58Z</dcterms:created>
  <dcterms:modified xsi:type="dcterms:W3CDTF">2025-11-12T18:38:58Z</dcterms:modified>
</cp:coreProperties>
</file>