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__________________</w:t>
      </w:r>
    </w:p>
    <w:p>
      <w:pPr>
        <w:pStyle w:val="TextBody"/>
        <w:bidi w:val="0"/>
        <w:spacing w:lineRule="auto" w:line="240" w:before="18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__________________</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 to _____</w:t>
      </w:r>
    </w:p>
    <w:p>
      <w:pPr>
        <w:pStyle w:val="TextBody"/>
        <w:bidi w:val="0"/>
        <w:spacing w:lineRule="auto" w:line="288" w:before="180" w:after="120"/>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20"/>
        </w:rPr>
        <w:t xml:space="preserve">1-39093 </w:t>
      </w:r>
    </w:p>
    <w:p>
      <w:pPr>
        <w:pStyle w:val="TextBody"/>
        <w:bidi w:val="0"/>
        <w:spacing w:before="180" w:after="120"/>
        <w:jc w:val="center"/>
        <w:rPr/>
      </w:pPr>
      <w:r>
        <w:rPr/>
        <w:drawing>
          <wp:inline distT="0" distB="0" distL="0" distR="0">
            <wp:extent cx="15144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334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BellRing Brands,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87-3296749</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 N Brentwood Blvd., Suite 1550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St. Louis, Missouri 63105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(314) 644-7652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67" w:type="dxa"/>
        <w:jc w:val="left"/>
        <w:tblInd w:w="0" w:type="dxa"/>
        <w:tblLayout w:type="fixed"/>
        <w:tblCellMar>
          <w:top w:w="28" w:type="dxa"/>
          <w:left w:w="28" w:type="dxa"/>
          <w:bottom w:w="28" w:type="dxa"/>
          <w:right w:w="28" w:type="dxa"/>
        </w:tblCellMar>
      </w:tblPr>
      <w:tblGrid>
        <w:gridCol w:w="1205"/>
        <w:gridCol w:w="1062"/>
        <w:gridCol w:w="1077"/>
        <w:gridCol w:w="484"/>
        <w:gridCol w:w="484"/>
        <w:gridCol w:w="486"/>
        <w:gridCol w:w="956"/>
        <w:gridCol w:w="956"/>
        <w:gridCol w:w="135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BRBR</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8"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12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120"/>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p>
      <w:pPr>
        <w:pStyle w:val="TextBody"/>
        <w:bidi w:val="0"/>
        <w:spacing w:lineRule="auto" w:line="288" w:before="120" w:after="6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 – 116,278,194 shares as of July 28, 2026</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BELLRING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820" w:type="dxa"/>
        <w:jc w:val="center"/>
        <w:tblInd w:w="0" w:type="dxa"/>
        <w:tblLayout w:type="fixed"/>
        <w:tblCellMar>
          <w:top w:w="28" w:type="dxa"/>
          <w:left w:w="28" w:type="dxa"/>
          <w:bottom w:w="28" w:type="dxa"/>
          <w:right w:w="28" w:type="dxa"/>
        </w:tblCellMar>
      </w:tblPr>
      <w:tblGrid>
        <w:gridCol w:w="320"/>
        <w:gridCol w:w="281"/>
        <w:gridCol w:w="283"/>
        <w:gridCol w:w="2454"/>
        <w:gridCol w:w="2454"/>
        <w:gridCol w:w="2457"/>
        <w:gridCol w:w="167"/>
        <w:gridCol w:w="167"/>
        <w:gridCol w:w="23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0">
              <w:r>
                <w:rPr>
                  <w:rStyle w:val="InternetLink"/>
                  <w:rFonts w:ascii="Times New Roman;serif" w:hAnsi="Times New Roman;serif"/>
                  <w:b/>
                  <w:color w:val="0000FF"/>
                  <w:sz w:val="20"/>
                  <w:u w:val="single"/>
                </w:rPr>
                <w:t>FINANCIAL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0">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0">
              <w:r>
                <w:rPr>
                  <w:rStyle w:val="InternetLink"/>
                  <w:rFonts w:ascii="Times New Roman;serif" w:hAnsi="Times New Roman;serif"/>
                  <w:b w:val="false"/>
                  <w:color w:val="0000FF"/>
                  <w:sz w:val="20"/>
                  <w:u w:val="singl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3">
              <w:r>
                <w:rPr>
                  <w:rStyle w:val="InternetLink"/>
                  <w:rFonts w:ascii="Times New Roman;serif" w:hAnsi="Times New Roman;serif"/>
                  <w:b w:val="false"/>
                  <w:color w:val="0000FF"/>
                  <w:sz w:val="20"/>
                  <w:u w:val="single"/>
                </w:rPr>
                <w:t>Condensed Consolidated Statements of Operations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3">
              <w:r>
                <w:rPr>
                  <w:rStyle w:val="InternetLink"/>
                  <w:rFonts w:ascii="Times New Roman;serif" w:hAnsi="Times New Roman;serif"/>
                  <w:b w:val="false"/>
                  <w:color w:val="0000FF"/>
                  <w:sz w:val="20"/>
                  <w:u w:val="single"/>
                </w:rPr>
                <w:t>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6">
              <w:r>
                <w:rPr>
                  <w:rStyle w:val="InternetLink"/>
                  <w:rFonts w:ascii="Times New Roman;serif" w:hAnsi="Times New Roman;serif"/>
                  <w:b w:val="false"/>
                  <w:color w:val="0000FF"/>
                  <w:sz w:val="20"/>
                  <w:u w:val="single"/>
                </w:rPr>
                <w:t>Condensed Consolidated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6">
              <w:r>
                <w:rPr>
                  <w:rStyle w:val="InternetLink"/>
                  <w:rFonts w:ascii="Times New Roman;serif" w:hAnsi="Times New Roman;serif"/>
                  <w:b w:val="false"/>
                  <w:color w:val="0000FF"/>
                  <w:sz w:val="20"/>
                  <w:u w:val="single"/>
                </w:rPr>
                <w:t>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9">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9">
              <w:r>
                <w:rPr>
                  <w:rStyle w:val="InternetLink"/>
                  <w:rFonts w:ascii="Times New Roman;serif" w:hAnsi="Times New Roman;serif"/>
                  <w:b w:val="false"/>
                  <w:color w:val="0000FF"/>
                  <w:sz w:val="20"/>
                  <w:u w:val="single"/>
                </w:rPr>
                <w:t>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25">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25">
              <w:r>
                <w:rPr>
                  <w:rStyle w:val="InternetLink"/>
                  <w:rFonts w:ascii="Times New Roman;serif" w:hAnsi="Times New Roman;serif"/>
                  <w:b w:val="false"/>
                  <w:color w:val="0000FF"/>
                  <w:sz w:val="20"/>
                  <w:u w:val="single"/>
                </w:rPr>
                <w:t>4</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28">
              <w:r>
                <w:rPr>
                  <w:rStyle w:val="InternetLink"/>
                  <w:rFonts w:ascii="Times New Roman;serif" w:hAnsi="Times New Roman;serif"/>
                  <w:b w:val="false"/>
                  <w:color w:val="0000FF"/>
                  <w:sz w:val="20"/>
                  <w:u w:val="single"/>
                </w:rPr>
                <w:t>Condensed Consolidated Statements of Stockholders’ Deficit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28">
              <w:r>
                <w:rPr>
                  <w:rStyle w:val="InternetLink"/>
                  <w:rFonts w:ascii="Times New Roman;serif" w:hAnsi="Times New Roman;serif"/>
                  <w:b w:val="false"/>
                  <w:color w:val="0000FF"/>
                  <w:sz w:val="20"/>
                  <w:u w:val="single"/>
                </w:rPr>
                <w:t>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31">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31">
              <w:r>
                <w:rPr>
                  <w:rStyle w:val="InternetLink"/>
                  <w:rFonts w:ascii="Times New Roman;serif" w:hAnsi="Times New Roman;serif"/>
                  <w:b w:val="false"/>
                  <w:color w:val="0000FF"/>
                  <w:sz w:val="20"/>
                  <w:u w:val="single"/>
                </w:rPr>
                <w:t>6</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18">
              <w:r>
                <w:rPr>
                  <w:rStyle w:val="InternetLink"/>
                  <w:rFonts w:ascii="Times New Roman;serif" w:hAnsi="Times New Roman;serif"/>
                  <w:b w:val="false"/>
                  <w:color w:val="0000FF"/>
                  <w:sz w:val="20"/>
                  <w:u w:val="single"/>
                </w:rPr>
                <w:t>15</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36">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36">
              <w:r>
                <w:rPr>
                  <w:rStyle w:val="InternetLink"/>
                  <w:rFonts w:ascii="Times New Roman;serif" w:hAnsi="Times New Roman;serif"/>
                  <w:b w:val="false"/>
                  <w:color w:val="0000FF"/>
                  <w:sz w:val="20"/>
                  <w:u w:val="single"/>
                </w:rPr>
                <w:t>20</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42">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42">
              <w:r>
                <w:rPr>
                  <w:rStyle w:val="InternetLink"/>
                  <w:rFonts w:ascii="Times New Roman;serif" w:hAnsi="Times New Roman;serif"/>
                  <w:b w:val="false"/>
                  <w:color w:val="0000FF"/>
                  <w:sz w:val="20"/>
                  <w:u w:val="single"/>
                </w:rPr>
                <w:t>21</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45">
              <w:r>
                <w:rPr>
                  <w:rStyle w:val="InternetLink"/>
                  <w:rFonts w:ascii="Times New Roman;serif" w:hAnsi="Times New Roman;serif"/>
                  <w:b/>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48">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48">
              <w:r>
                <w:rPr>
                  <w:rStyle w:val="InternetLink"/>
                  <w:rFonts w:ascii="Times New Roman;serif" w:hAnsi="Times New Roman;serif"/>
                  <w:b w:val="false"/>
                  <w:color w:val="0000FF"/>
                  <w:sz w:val="20"/>
                  <w:u w:val="single"/>
                </w:rPr>
                <w:t>22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51">
              <w:r>
                <w:rPr>
                  <w:rStyle w:val="InternetLink"/>
                  <w:rFonts w:ascii="Times New Roman;serif" w:hAnsi="Times New Roman;serif"/>
                  <w:b w:val="false"/>
                  <w:color w:val="0000FF"/>
                  <w:sz w:val="20"/>
                  <w:u w:val="single"/>
                </w:rPr>
                <w:t>Risk Factors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51">
              <w:r>
                <w:rPr>
                  <w:rStyle w:val="InternetLink"/>
                  <w:rFonts w:ascii="Times New Roman;serif" w:hAnsi="Times New Roman;serif"/>
                  <w:b w:val="false"/>
                  <w:color w:val="0000FF"/>
                  <w:sz w:val="20"/>
                  <w:u w:val="single"/>
                </w:rPr>
                <w:t>22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5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57">
              <w:r>
                <w:rPr>
                  <w:rStyle w:val="InternetLink"/>
                  <w:rFonts w:ascii="Times New Roman;serif" w:hAnsi="Times New Roman;serif"/>
                  <w:b w:val="false"/>
                  <w:color w:val="0000FF"/>
                  <w:sz w:val="20"/>
                  <w:u w:val="single"/>
                </w:rPr>
                <w:t>22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60">
              <w:r>
                <w:rPr>
                  <w:rStyle w:val="InternetLink"/>
                  <w:rFonts w:ascii="Times New Roman;serif" w:hAnsi="Times New Roman;serif"/>
                  <w:b w:val="false"/>
                  <w:color w:val="0000FF"/>
                  <w:sz w:val="20"/>
                  <w:u w:val="single"/>
                </w:rPr>
                <w:t>Other Information</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60">
              <w:r>
                <w:rPr>
                  <w:rStyle w:val="InternetLink"/>
                  <w:rFonts w:ascii="Times New Roman;serif" w:hAnsi="Times New Roman;serif"/>
                  <w:b w:val="false"/>
                  <w:color w:val="0000FF"/>
                  <w:sz w:val="20"/>
                  <w:u w:val="single"/>
                </w:rPr>
                <w:t>22</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66">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66">
              <w:r>
                <w:rPr>
                  <w:rStyle w:val="InternetLink"/>
                  <w:rFonts w:ascii="Times New Roman;serif" w:hAnsi="Times New Roman;serif"/>
                  <w:b w:val="false"/>
                  <w:color w:val="0000FF"/>
                  <w:sz w:val="20"/>
                  <w:u w:val="single"/>
                </w:rPr>
                <w:t>23</w:t>
              </w:r>
            </w:hyperlink>
          </w:p>
        </w:tc>
      </w:tr>
      <w:tr>
        <w:trPr/>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e7347fba154f9c8d4b154a15a52dff_169">
              <w:r>
                <w:rPr>
                  <w:rStyle w:val="InternetLink"/>
                  <w:rFonts w:ascii="Times New Roman;serif" w:hAnsi="Times New Roman;serif"/>
                  <w:b w:val="false"/>
                  <w:color w:val="0000FF"/>
                  <w:sz w:val="20"/>
                  <w:u w:val="single"/>
                </w:rPr>
                <w:t>SIGNATURES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92e7347fba154f9c8d4b154a15a52dff_169">
              <w:r>
                <w:rPr>
                  <w:rStyle w:val="InternetLink"/>
                  <w:rFonts w:ascii="Times New Roman;serif" w:hAnsi="Times New Roman;serif"/>
                  <w:b w:val="false"/>
                  <w:color w:val="0000FF"/>
                  <w:sz w:val="20"/>
                  <w:u w:val="single"/>
                </w:rPr>
                <w:t>24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 xml:space="preserve">BELLRING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0"/>
        <w:jc w:val="center"/>
        <w:rPr/>
      </w:pPr>
      <w:r>
        <w:rPr/>
      </w:r>
    </w:p>
    <w:tbl>
      <w:tblPr>
        <w:tblW w:w="9359" w:type="dxa"/>
        <w:jc w:val="center"/>
        <w:tblInd w:w="0" w:type="dxa"/>
        <w:tblLayout w:type="fixed"/>
        <w:tblCellMar>
          <w:top w:w="28" w:type="dxa"/>
          <w:left w:w="28" w:type="dxa"/>
          <w:bottom w:w="28" w:type="dxa"/>
          <w:right w:w="28" w:type="dxa"/>
        </w:tblCellMar>
      </w:tblPr>
      <w:tblGrid>
        <w:gridCol w:w="1550"/>
        <w:gridCol w:w="1367"/>
        <w:gridCol w:w="137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Income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shd w:fill="FFFFFF" w:val="clear"/>
        </w:rPr>
      </w:pPr>
      <w:r>
        <w:rPr>
          <w:color w:val="000000"/>
          <w:shd w:fill="FFFFFF" w:val="clear"/>
        </w:rPr>
        <w:t> </w:t>
      </w:r>
      <w:r>
        <w:rPr>
          <w:rFonts w:ascii="Times New Roman;serif" w:hAnsi="Times New Roman;serif"/>
          <w:b w:val="false"/>
          <w:color w:val="000000"/>
          <w:sz w:val="20"/>
          <w:shd w:fill="FFFFFF" w:val="clear"/>
        </w:rPr>
        <w:t>See accompanying Notes to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BELLRING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880" w:type="dxa"/>
        <w:jc w:val="center"/>
        <w:tblInd w:w="0" w:type="dxa"/>
        <w:tblLayout w:type="fixed"/>
        <w:tblCellMar>
          <w:top w:w="28" w:type="dxa"/>
          <w:left w:w="28" w:type="dxa"/>
          <w:bottom w:w="28" w:type="dxa"/>
          <w:right w:w="28" w:type="dxa"/>
        </w:tblCellMar>
      </w:tblPr>
      <w:tblGrid>
        <w:gridCol w:w="1563"/>
        <w:gridCol w:w="1377"/>
        <w:gridCol w:w="1380"/>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currency translation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 (Unaudited).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BELLRING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6317" w:type="dxa"/>
        <w:jc w:val="center"/>
        <w:tblInd w:w="0" w:type="dxa"/>
        <w:tblLayout w:type="fixed"/>
        <w:tblCellMar>
          <w:top w:w="28" w:type="dxa"/>
          <w:left w:w="28" w:type="dxa"/>
          <w:bottom w:w="28" w:type="dxa"/>
          <w:right w:w="28" w:type="dxa"/>
        </w:tblCellMar>
      </w:tblPr>
      <w:tblGrid>
        <w:gridCol w:w="1324"/>
        <w:gridCol w:w="1164"/>
        <w:gridCol w:w="1172"/>
        <w:gridCol w:w="211"/>
        <w:gridCol w:w="766"/>
        <w:gridCol w:w="109"/>
        <w:gridCol w:w="109"/>
        <w:gridCol w:w="109"/>
        <w:gridCol w:w="109"/>
        <w:gridCol w:w="267"/>
        <w:gridCol w:w="782"/>
        <w:gridCol w:w="195"/>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631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1" w:name="ia2baca69cf3c4bb690edd613f6cee3c3_9-1-1-"/>
            <w:bookmarkEnd w:id="1"/>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1,394.9 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Deficit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BELLRING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9054" w:type="dxa"/>
        <w:jc w:val="center"/>
        <w:tblInd w:w="0" w:type="dxa"/>
        <w:tblLayout w:type="fixed"/>
        <w:tblCellMar>
          <w:top w:w="28" w:type="dxa"/>
          <w:left w:w="28" w:type="dxa"/>
          <w:bottom w:w="28" w:type="dxa"/>
          <w:right w:w="28" w:type="dxa"/>
        </w:tblCellMar>
      </w:tblPr>
      <w:tblGrid>
        <w:gridCol w:w="2467"/>
        <w:gridCol w:w="2165"/>
        <w:gridCol w:w="2178"/>
        <w:gridCol w:w="211"/>
        <w:gridCol w:w="616"/>
        <w:gridCol w:w="109"/>
        <w:gridCol w:w="109"/>
        <w:gridCol w:w="109"/>
        <w:gridCol w:w="109"/>
        <w:gridCol w:w="211"/>
        <w:gridCol w:w="616"/>
        <w:gridCol w:w="154"/>
      </w:tblGrid>
      <w:tr>
        <w:trPr/>
        <w:tc>
          <w:tcPr>
            <w:tcW w:w="246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receivables,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and 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payments related to stock compensation plans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color w:val="000000"/>
        </w:rPr>
        <w:t> </w:t>
      </w:r>
      <w:r>
        <w:rPr>
          <w:rFonts w:ascii="Times New Roman;serif" w:hAnsi="Times New Roman;serif"/>
          <w:b w:val="false"/>
          <w:color w:val="000000"/>
          <w:sz w:val="20"/>
        </w:rPr>
        <w:t xml:space="preserve">See accompanying Notes to Condensed Consolidated Financial Statements </w:t>
      </w:r>
      <w:r>
        <w:rPr>
          <w:rFonts w:ascii="Times New Roman;serif" w:hAnsi="Times New Roman;serif"/>
          <w:b w:val="false"/>
          <w:color w:val="000000"/>
          <w:sz w:val="20"/>
          <w:shd w:fill="FFFFFF" w:val="clear"/>
        </w:rPr>
        <w:t>(Unaudited)</w:t>
      </w:r>
      <w:r>
        <w:rPr>
          <w:rFonts w:ascii="Times New Roman;serif" w:hAnsi="Times New Roman;serif"/>
          <w:b w:val="false"/>
          <w:color w:val="000000"/>
          <w:sz w:val="20"/>
        </w:rPr>
        <w:t>.</w:t>
      </w: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BELLRING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 (Unaudited)</w:t>
      </w:r>
    </w:p>
    <w:p>
      <w:pPr>
        <w:pStyle w:val="TextBody"/>
        <w:bidi w:val="0"/>
        <w:spacing w:lineRule="auto" w:line="288" w:before="0" w:after="0"/>
        <w:jc w:val="center"/>
        <w:rPr/>
      </w:pPr>
      <w:r>
        <w:rPr>
          <w:rFonts w:ascii="Times New Roman;serif" w:hAnsi="Times New Roman;serif"/>
          <w:b/>
          <w:color w:val="000000"/>
          <w:sz w:val="20"/>
        </w:rPr>
        <w:t>(in millions</w:t>
      </w:r>
      <w:r>
        <w:rPr>
          <w:rFonts w:ascii="Times New Roman;serif" w:hAnsi="Times New Roman;serif"/>
          <w:b w:val="false"/>
          <w:color w:val="000000"/>
          <w:sz w:val="20"/>
        </w:rPr>
        <w:t>)</w:t>
      </w:r>
    </w:p>
    <w:p>
      <w:pPr>
        <w:pStyle w:val="TextBody"/>
        <w:bidi w:val="0"/>
        <w:spacing w:before="0" w:after="0"/>
        <w:jc w:val="center"/>
        <w:rPr/>
      </w:pPr>
      <w:r>
        <w:rPr/>
      </w:r>
    </w:p>
    <w:tbl>
      <w:tblPr>
        <w:tblW w:w="9569" w:type="dxa"/>
        <w:jc w:val="center"/>
        <w:tblInd w:w="0" w:type="dxa"/>
        <w:tblLayout w:type="fixed"/>
        <w:tblCellMar>
          <w:top w:w="28" w:type="dxa"/>
          <w:left w:w="28" w:type="dxa"/>
          <w:bottom w:w="28" w:type="dxa"/>
          <w:right w:w="28" w:type="dxa"/>
        </w:tblCellMar>
      </w:tblPr>
      <w:tblGrid>
        <w:gridCol w:w="1628"/>
        <w:gridCol w:w="1432"/>
        <w:gridCol w:w="143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6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w:t>
              <w:b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w:t>
              <w:br/>
              <w:t xml:space="preserve"> Nine Months Ended </w:t>
              <w:br/>
              <w:t>June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and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under stock and deferred compensation plans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Retained Earnings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treasury stock</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Deficit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color w:val="000000"/>
        </w:rPr>
        <w:t> </w:t>
      </w:r>
      <w:r>
        <w:rPr>
          <w:rFonts w:ascii="Times New Roman;serif" w:hAnsi="Times New Roman;serif"/>
          <w:b w:val="false"/>
          <w:color w:val="000000"/>
          <w:sz w:val="20"/>
        </w:rPr>
        <w:t xml:space="preserve">See accompanying Notes to Condensed Consolidated Financial Statements </w:t>
      </w:r>
      <w:r>
        <w:rPr>
          <w:rFonts w:ascii="Times New Roman;serif" w:hAnsi="Times New Roman;serif"/>
          <w:b w:val="false"/>
          <w:color w:val="000000"/>
          <w:sz w:val="20"/>
          <w:shd w:fill="FFFFFF" w:val="clear"/>
        </w:rPr>
        <w:t>(Unaudited)</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BELLRING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information and where indicated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 — BACKGROUND AND BASIS OF PRESENTATION</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BellRing Brands, Inc. is a consumer products holding company operating in the global proactive wellness category and is a provider of ready-to-drink (“RTD”) protein shakes and powders. The Company’s principal products are protein-based consumer goods and its primary brands are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Dymatize</w:t>
      </w:r>
      <w:r>
        <w:rPr>
          <w:rFonts w:ascii="Times New Roman;serif" w:hAnsi="Times New Roman;serif"/>
          <w:b w:val="false"/>
          <w:color w:val="000000"/>
          <w:sz w:val="20"/>
        </w:rPr>
        <w: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stated or the context otherwise indicates, all references in these financial statements and notes to “BellRing,” the “Company,” “us,” “our” or “we” mean BellRing Brands, Inc. and its subsidiaries.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2025. These unaudited condensed consolidated financial statements should be read in conjunction with such audited consolidated financial statements, which are included in the Company’s Annual Report on Form 10-K for the fiscal year ended September 30, 2025, filed with the SEC on November 18,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include all adjustments (consisting of normal recurring adjustments and accruals) that management considers necessary for a fair statement of the Company’s results of operations, comprehensive income, financial condition, cash flows and stockholders’ equity for the interim periods presented. Interim results are not necessarily indicative of the results for any other interim period or for the entire fiscal year. Certain reclassifications have been made to previously reported financial information to conform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2 — RECENTLY ISSUED ACCOUNTING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related disclosures based on current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(the “FASB”) issued Accounting Standards Update (“ASU”) 2025-06, “Intangibles — Goodwill and Other — Internal-Use Software (Subtopic 350-40): Targeted Improvements to the Accounting for Internal-Use Software.” This ASU is effective for fiscal years beginning after December 15, 2027 (i.e., the Company’s annual financial statements for the year ended September 30, 2029), with early adoption permitted. This ASU can be adopted either (i) prospectively, (ii) using a modified transition approach or (iii) retrospectively. The Company is currently evaluating the impact of this standard.</w:t>
      </w:r>
    </w:p>
    <w:p>
      <w:pPr>
        <w:pStyle w:val="TextBody"/>
        <w:bidi w:val="0"/>
        <w:spacing w:lineRule="auto" w:line="288" w:before="0" w:after="120"/>
        <w:ind w:left="0" w:right="0" w:firstLine="360"/>
        <w:jc w:val="both"/>
        <w:rPr/>
      </w:pPr>
      <w:r>
        <w:rPr>
          <w:rFonts w:ascii="Times New Roman;serif" w:hAnsi="Times New Roman;serif"/>
          <w:b w:val="false"/>
          <w:color w:val="000000"/>
          <w:sz w:val="20"/>
        </w:rPr>
        <w:t>In November 2024, the FASB issued ASU 2024-03, “Income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Upon adoption, the impact of ASU 2023-09 will be limited to certain notes to the Company’s annual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product.</w:t>
      </w:r>
    </w:p>
    <w:tbl>
      <w:tblPr>
        <w:tblW w:w="6134" w:type="dxa"/>
        <w:jc w:val="left"/>
        <w:tblInd w:w="0" w:type="dxa"/>
        <w:tblLayout w:type="fixed"/>
        <w:tblCellMar>
          <w:top w:w="28" w:type="dxa"/>
          <w:left w:w="28" w:type="dxa"/>
          <w:bottom w:w="28" w:type="dxa"/>
          <w:right w:w="28" w:type="dxa"/>
        </w:tblCellMar>
      </w:tblPr>
      <w:tblGrid>
        <w:gridCol w:w="384"/>
        <w:gridCol w:w="338"/>
        <w:gridCol w:w="342"/>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Shakes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 RELATED PARTY TRANSACTIONS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Transactions between the Company and Post Holdings, Inc. (“Post”) are considered related party transactions as certain of the Company’s directors serve as officers and/or directors of Post.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MSA Fees and Royalties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used certain functions and services performed by Post under a master services agreement (the “MSA”), which expired during March 2026. These functions and services included finance, internal audit, treasury, information technology support, insurance and tax matters, the use of office and/or data center space, tax compliance services and, prior to January 2025, payroll processing services. All of these functions and services were fully transferred prior to the expiration of the MSA. No fees were incurred under the MSA during the three months ended June 30, 2026, compared to $0.7 during the three months ended June 30, 2025. Fees under the MSA were $1.0 and $2.3 during the nine months ended June 30, 2026 and 2025, respectively. MSA fees were reported in “Selling, general and administrative expenses” in the Condensed Consolidated Statements of Operations.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Company licenses certain intellectual property to and from Post and its subsidiaries based upon prices governed by agreements between the Company and Post and its subsidiaries, consistent with prices of similar arm's-length transactions</w:t>
      </w:r>
      <w:r>
        <w:rPr>
          <w:rFonts w:ascii="Times New Roman;serif" w:hAnsi="Times New Roman;serif"/>
          <w:b w:val="false"/>
          <w:color w:val="000000"/>
          <w:sz w:val="20"/>
          <w:shd w:fill="FFFFFF" w:val="clear"/>
        </w:rPr>
        <w:t>. During both the three and nine months ended June 30, 2026 and 2025, royalties paid to and received from Post and its subsidiaries were immaterial.</w:t>
      </w:r>
      <w:r>
        <w:rPr>
          <w:color w:val="000000"/>
        </w:rPr>
        <w:t xml:space="preserv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Co-Packing Agreement</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Premier Nutrition </w:t>
      </w:r>
      <w:r>
        <w:rPr>
          <w:rFonts w:ascii="Times New Roman;serif" w:hAnsi="Times New Roman;serif"/>
          <w:b w:val="false"/>
          <w:color w:val="000000"/>
          <w:sz w:val="20"/>
        </w:rPr>
        <w:t>Company, LLC (“Premier Nutrition”)</w:t>
      </w:r>
      <w:r>
        <w:rPr>
          <w:rFonts w:ascii="Times New Roman;serif" w:hAnsi="Times New Roman;serif"/>
          <w:b w:val="false"/>
          <w:color w:val="000000"/>
          <w:sz w:val="20"/>
          <w:shd w:fill="FFFFFF" w:val="clear"/>
        </w:rPr>
        <w:t xml:space="preserve">, a subsidiary of the Company, has a co-packing agreement with Comet Processing, Inc. (“Comet”), a wholly-owned subsidiary of Post (the “Co-Packing Agreement”). </w:t>
      </w:r>
      <w:r>
        <w:rPr>
          <w:rFonts w:ascii="Times New Roman;serif" w:hAnsi="Times New Roman;serif"/>
          <w:b w:val="false"/>
          <w:color w:val="000000"/>
          <w:sz w:val="20"/>
        </w:rPr>
        <w:t>Under the Co-Packing Agreement, Premier Nutrition procures certain packaging materials for Comet that Comet utilizes in the production of RTD shakes for Premier Nutrition. The Company purchased $34.1 and</w:t>
      </w:r>
      <w:r>
        <w:rPr>
          <w:color w:val="000000"/>
          <w:shd w:fill="FFFFFF" w:val="clear"/>
        </w:rPr>
        <w:t xml:space="preserve"> </w:t>
      </w:r>
      <w:r>
        <w:rPr>
          <w:rFonts w:ascii="Times New Roman;serif" w:hAnsi="Times New Roman;serif"/>
          <w:b w:val="false"/>
          <w:color w:val="000000"/>
          <w:sz w:val="20"/>
          <w:shd w:fill="FFFFFF" w:val="clear"/>
        </w:rPr>
        <w:t>$80.6</w:t>
      </w:r>
      <w:r>
        <w:rPr>
          <w:color w:val="000000"/>
        </w:rPr>
        <w:t xml:space="preserve"> </w:t>
      </w:r>
      <w:r>
        <w:rPr>
          <w:rFonts w:ascii="Times New Roman;serif" w:hAnsi="Times New Roman;serif"/>
          <w:b w:val="false"/>
          <w:color w:val="000000"/>
          <w:sz w:val="20"/>
          <w:shd w:fill="FFFFFF" w:val="clear"/>
        </w:rPr>
        <w:t>of RTD shakes from Comet during the three and nine</w:t>
      </w:r>
      <w:r>
        <w:rPr>
          <w:color w:val="000000"/>
        </w:rPr>
        <w:t xml:space="preserve"> </w:t>
      </w:r>
      <w:r>
        <w:rPr>
          <w:rFonts w:ascii="Times New Roman;serif" w:hAnsi="Times New Roman;serif"/>
          <w:b w:val="false"/>
          <w:color w:val="000000"/>
          <w:sz w:val="20"/>
        </w:rPr>
        <w:t>months ended June 30, 2026, respectively, and $17.1 and $44.2 of RTD shakes from Comet during the three and nine months ended June 30, 2025, respectively.</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and September 30, 2025, the Company had current payables with Post and its subsidiaries of $15.0 and $3.7, respectively, related to RTD shake purchases and MSA fees, which were included in</w:t>
      </w:r>
      <w:r>
        <w:rPr>
          <w:color w:val="000000"/>
          <w:shd w:fill="FFFFFF" w:val="clear"/>
        </w:rPr>
        <w:t xml:space="preserve"> “</w:t>
      </w:r>
      <w:r>
        <w:rPr>
          <w:rFonts w:ascii="Times New Roman;serif" w:hAnsi="Times New Roman;serif"/>
          <w:b w:val="false"/>
          <w:color w:val="000000"/>
          <w:sz w:val="20"/>
          <w:shd w:fill="FFFFFF" w:val="clear"/>
        </w:rPr>
        <w:t>Accounts payable” on the Condensed Consolidated Balance Sheets. Current receivables with Post and its subsidiaries at both</w:t>
      </w:r>
      <w:r>
        <w:rPr>
          <w:color w:val="000000"/>
        </w:rPr>
        <w:t xml:space="preserve"> </w:t>
      </w:r>
      <w:r>
        <w:rPr>
          <w:rFonts w:ascii="Times New Roman;serif" w:hAnsi="Times New Roman;serif"/>
          <w:b w:val="false"/>
          <w:color w:val="000000"/>
          <w:sz w:val="20"/>
        </w:rPr>
        <w:t>June 30, 2026 and September 30, 2025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0"/>
          <w:shd w:fill="FFFFFF" w:val="clear"/>
        </w:rPr>
        <w:t xml:space="preserve">NOTE 5 </w:t>
      </w:r>
      <w:r>
        <w:rPr>
          <w:color w:val="000000"/>
        </w:rPr>
        <w:t>—</w:t>
      </w:r>
      <w:r>
        <w:rPr>
          <w:color w:val="000000"/>
          <w:shd w:fill="FFFFFF" w:val="clear"/>
        </w:rPr>
        <w:t xml:space="preserve"> </w:t>
      </w:r>
      <w:r>
        <w:rPr>
          <w:rFonts w:ascii="Times New Roman;serif" w:hAnsi="Times New Roman;serif"/>
          <w:b/>
          <w:color w:val="000000"/>
          <w:sz w:val="20"/>
        </w:rPr>
        <w:t>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computation of basic and diluted earnings per share. </w:t>
      </w:r>
    </w:p>
    <w:tbl>
      <w:tblPr>
        <w:tblW w:w="9105" w:type="dxa"/>
        <w:jc w:val="left"/>
        <w:tblInd w:w="0" w:type="dxa"/>
        <w:tblLayout w:type="fixed"/>
        <w:tblCellMar>
          <w:top w:w="28" w:type="dxa"/>
          <w:left w:w="28" w:type="dxa"/>
          <w:bottom w:w="28" w:type="dxa"/>
          <w:right w:w="28" w:type="dxa"/>
        </w:tblCellMar>
      </w:tblPr>
      <w:tblGrid>
        <w:gridCol w:w="1647"/>
        <w:gridCol w:w="1443"/>
        <w:gridCol w:w="1455"/>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164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basic earnings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Stock options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Restricted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Performance-based restricted stock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for diluted earnings per share</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securities that have been excluded from the calculation of weighted-average shares for diluted earnings per share as they were anti-dilutive.</w:t>
      </w:r>
    </w:p>
    <w:tbl>
      <w:tblPr>
        <w:tblW w:w="7300" w:type="dxa"/>
        <w:jc w:val="left"/>
        <w:tblInd w:w="0" w:type="dxa"/>
        <w:tblLayout w:type="fixed"/>
        <w:tblCellMar>
          <w:top w:w="28" w:type="dxa"/>
          <w:left w:w="28" w:type="dxa"/>
          <w:bottom w:w="28" w:type="dxa"/>
          <w:right w:w="28" w:type="dxa"/>
        </w:tblCellMar>
      </w:tblPr>
      <w:tblGrid>
        <w:gridCol w:w="1223"/>
        <w:gridCol w:w="1071"/>
        <w:gridCol w:w="1080"/>
        <w:gridCol w:w="221"/>
        <w:gridCol w:w="195"/>
        <w:gridCol w:w="195"/>
        <w:gridCol w:w="195"/>
        <w:gridCol w:w="195"/>
        <w:gridCol w:w="195"/>
        <w:gridCol w:w="221"/>
        <w:gridCol w:w="195"/>
        <w:gridCol w:w="195"/>
        <w:gridCol w:w="109"/>
        <w:gridCol w:w="109"/>
        <w:gridCol w:w="109"/>
        <w:gridCol w:w="205"/>
        <w:gridCol w:w="201"/>
        <w:gridCol w:w="181"/>
        <w:gridCol w:w="181"/>
        <w:gridCol w:w="181"/>
        <w:gridCol w:w="181"/>
        <w:gridCol w:w="205"/>
        <w:gridCol w:w="201"/>
        <w:gridCol w:w="256"/>
      </w:tblGrid>
      <w:tr>
        <w:trPr/>
        <w:tc>
          <w:tcPr>
            <w:tcW w:w="122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shares in millions</w:t>
            </w:r>
          </w:p>
        </w:tc>
        <w:tc>
          <w:tcPr>
            <w:tcW w:w="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6 — INVENTORIES</w:t>
      </w:r>
    </w:p>
    <w:tbl>
      <w:tblPr>
        <w:tblW w:w="4832" w:type="dxa"/>
        <w:jc w:val="left"/>
        <w:tblInd w:w="0" w:type="dxa"/>
        <w:tblLayout w:type="fixed"/>
        <w:tblCellMar>
          <w:top w:w="28" w:type="dxa"/>
          <w:left w:w="28" w:type="dxa"/>
          <w:bottom w:w="28" w:type="dxa"/>
          <w:right w:w="28" w:type="dxa"/>
        </w:tblCellMar>
      </w:tblPr>
      <w:tblGrid>
        <w:gridCol w:w="842"/>
        <w:gridCol w:w="739"/>
        <w:gridCol w:w="744"/>
        <w:gridCol w:w="211"/>
        <w:gridCol w:w="616"/>
        <w:gridCol w:w="109"/>
        <w:gridCol w:w="109"/>
        <w:gridCol w:w="109"/>
        <w:gridCol w:w="109"/>
        <w:gridCol w:w="267"/>
        <w:gridCol w:w="782"/>
        <w:gridCol w:w="19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7 — PROPERTY, NET</w:t>
      </w:r>
    </w:p>
    <w:tbl>
      <w:tblPr>
        <w:tblW w:w="4668" w:type="dxa"/>
        <w:jc w:val="left"/>
        <w:tblInd w:w="0" w:type="dxa"/>
        <w:tblLayout w:type="fixed"/>
        <w:tblCellMar>
          <w:top w:w="28" w:type="dxa"/>
          <w:left w:w="28" w:type="dxa"/>
          <w:bottom w:w="28" w:type="dxa"/>
          <w:right w:w="28" w:type="dxa"/>
        </w:tblCellMar>
      </w:tblPr>
      <w:tblGrid>
        <w:gridCol w:w="820"/>
        <w:gridCol w:w="720"/>
        <w:gridCol w:w="725"/>
        <w:gridCol w:w="211"/>
        <w:gridCol w:w="511"/>
        <w:gridCol w:w="109"/>
        <w:gridCol w:w="109"/>
        <w:gridCol w:w="109"/>
        <w:gridCol w:w="109"/>
        <w:gridCol w:w="300"/>
        <w:gridCol w:w="726"/>
        <w:gridCol w:w="219"/>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at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Property,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8 — GOODWILL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“Goodwill” on the Condensed Consolidated Balance Sheets at both June 30, 2026 and September 30, 2025 are presented in the following table.</w:t>
      </w:r>
    </w:p>
    <w:tbl>
      <w:tblPr>
        <w:tblW w:w="3681" w:type="dxa"/>
        <w:jc w:val="left"/>
        <w:tblInd w:w="0" w:type="dxa"/>
        <w:tblLayout w:type="fixed"/>
        <w:tblCellMar>
          <w:top w:w="28" w:type="dxa"/>
          <w:left w:w="28" w:type="dxa"/>
          <w:bottom w:w="28" w:type="dxa"/>
          <w:right w:w="28" w:type="dxa"/>
        </w:tblCellMar>
      </w:tblPr>
      <w:tblGrid>
        <w:gridCol w:w="978"/>
        <w:gridCol w:w="858"/>
        <w:gridCol w:w="864"/>
        <w:gridCol w:w="211"/>
        <w:gridCol w:w="61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Goodwill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9 — INTANGIBLE ASSETS, NET</w:t>
      </w:r>
    </w:p>
    <w:tbl>
      <w:tblPr>
        <w:tblW w:w="9716" w:type="dxa"/>
        <w:jc w:val="left"/>
        <w:tblInd w:w="0" w:type="dxa"/>
        <w:tblLayout w:type="fixed"/>
        <w:tblCellMar>
          <w:top w:w="28" w:type="dxa"/>
          <w:left w:w="28" w:type="dxa"/>
          <w:bottom w:w="28" w:type="dxa"/>
          <w:right w:w="28" w:type="dxa"/>
        </w:tblCellMar>
      </w:tblPr>
      <w:tblGrid>
        <w:gridCol w:w="739"/>
        <w:gridCol w:w="649"/>
        <w:gridCol w:w="652"/>
        <w:gridCol w:w="211"/>
        <w:gridCol w:w="616"/>
        <w:gridCol w:w="109"/>
        <w:gridCol w:w="109"/>
        <w:gridCol w:w="109"/>
        <w:gridCol w:w="109"/>
        <w:gridCol w:w="249"/>
        <w:gridCol w:w="747"/>
        <w:gridCol w:w="130"/>
        <w:gridCol w:w="109"/>
        <w:gridCol w:w="109"/>
        <w:gridCol w:w="109"/>
        <w:gridCol w:w="211"/>
        <w:gridCol w:w="616"/>
        <w:gridCol w:w="109"/>
        <w:gridCol w:w="109"/>
        <w:gridCol w:w="109"/>
        <w:gridCol w:w="109"/>
        <w:gridCol w:w="211"/>
        <w:gridCol w:w="616"/>
        <w:gridCol w:w="109"/>
        <w:gridCol w:w="109"/>
        <w:gridCol w:w="109"/>
        <w:gridCol w:w="109"/>
        <w:gridCol w:w="249"/>
        <w:gridCol w:w="747"/>
        <w:gridCol w:w="130"/>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br/>
              <w:t>Amount</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brands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Intangible assets,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10 — DERIVATIVE FINANCIAL INSTRUMENTS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is exposed to commodity price risks relating to the purchases of raw materials. The Company utilizes exchange-traded derivative instruments, such as futures and option contracts, as well as over-the-counter swap contracts to manage certain of these exposures by hedging when it is practical to do so. The Company does not hold or issue financial instruments for speculative or trading purposes.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Company’s derivative instruments, none of which were designated as hedging instruments under Accounting Standards Codification (“ASC”) Topic 815, “Derivatives and Hedging,” consisted of commodity futures, option, and swap contracts which relate to inputs that generally will be utilized within the next twelve months. The notional amounts of the commodity contracts were $168.1 and $136.6 at June 30, 2026 and September 30, 2025,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balance sheet location and fair value of the Company’s commodity contracts. The Company does not offset derivative assets and liabilities within the Condensed Consolidated Balance Sheets. </w:t>
      </w:r>
    </w:p>
    <w:tbl>
      <w:tblPr>
        <w:tblW w:w="6205" w:type="dxa"/>
        <w:jc w:val="left"/>
        <w:tblInd w:w="0" w:type="dxa"/>
        <w:tblLayout w:type="fixed"/>
        <w:tblCellMar>
          <w:top w:w="28" w:type="dxa"/>
          <w:left w:w="28" w:type="dxa"/>
          <w:bottom w:w="28" w:type="dxa"/>
          <w:right w:w="28" w:type="dxa"/>
        </w:tblCellMar>
      </w:tblPr>
      <w:tblGrid>
        <w:gridCol w:w="1249"/>
        <w:gridCol w:w="1096"/>
        <w:gridCol w:w="1104"/>
        <w:gridCol w:w="218"/>
        <w:gridCol w:w="419"/>
        <w:gridCol w:w="112"/>
        <w:gridCol w:w="109"/>
        <w:gridCol w:w="109"/>
        <w:gridCol w:w="109"/>
        <w:gridCol w:w="348"/>
        <w:gridCol w:w="670"/>
        <w:gridCol w:w="181"/>
        <w:gridCol w:w="109"/>
        <w:gridCol w:w="109"/>
        <w:gridCol w:w="109"/>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commodity derivative (gains) losses, which were recorded in “Cost of goods sold” in the Condensed Consolidated Statements of Operations.</w:t>
      </w:r>
    </w:p>
    <w:tbl>
      <w:tblPr>
        <w:tblW w:w="7379" w:type="dxa"/>
        <w:jc w:val="left"/>
        <w:tblInd w:w="0" w:type="dxa"/>
        <w:tblLayout w:type="fixed"/>
        <w:tblCellMar>
          <w:top w:w="28" w:type="dxa"/>
          <w:left w:w="28" w:type="dxa"/>
          <w:bottom w:w="28" w:type="dxa"/>
          <w:right w:w="28" w:type="dxa"/>
        </w:tblCellMar>
      </w:tblPr>
      <w:tblGrid>
        <w:gridCol w:w="1120"/>
        <w:gridCol w:w="983"/>
        <w:gridCol w:w="986"/>
        <w:gridCol w:w="211"/>
        <w:gridCol w:w="511"/>
        <w:gridCol w:w="109"/>
        <w:gridCol w:w="109"/>
        <w:gridCol w:w="109"/>
        <w:gridCol w:w="109"/>
        <w:gridCol w:w="211"/>
        <w:gridCol w:w="481"/>
        <w:gridCol w:w="109"/>
        <w:gridCol w:w="109"/>
        <w:gridCol w:w="109"/>
        <w:gridCol w:w="109"/>
        <w:gridCol w:w="211"/>
        <w:gridCol w:w="586"/>
        <w:gridCol w:w="109"/>
        <w:gridCol w:w="109"/>
        <w:gridCol w:w="109"/>
        <w:gridCol w:w="109"/>
        <w:gridCol w:w="211"/>
        <w:gridCol w:w="40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derivatives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(gain) loss on derivatives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required to maintain cash margin accounts with clearing brokers in connection with its exchange-traded commodity derivative instruments. As of June 30, 2026, the Company had received cash collateral from counterparties of $2.3, which was recorded within “Other current liabilities” on the Condensed Consolidated Balance Sheets. As of June 30, 2026 and September 30, 2025, the Company had posted cash collateral to counterparties of $0.6 and $17.3, respectively, which was recorded as “Restricted cash”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11 — 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the income approach to measure fair value for its commodity derivatives using Level 2 inputs. The income approach uses pricing models that rely on market observable inputs such as yield curves and forward prices. Refer to Note 10 for the classification of changes in fair value of derivative assets and liabilities measured at fair value on a recurring basis within the Condensed Consolidated Statements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also include cash, cash equivalents and restricted cash, receivables and accounts payable for which the carrying value approximates fair value due to their short maturities (less than 12 months). The Company does not record its long-term debt at fair value on the Condensed Consolidated Balance Sheets. The fair value of any outstanding borrowings under the Revolving Credit Facility (as defined in Note 12) approximated its carrying value. Based on market rates, the fair value (Level 2) of the Company’s debt, excluding any outstanding borrowings under the Revolving Credit Facility, was $840.2 and $869.0 as of June 30, 2026 and September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including property, goodwill and other intangible assets, are measured at fair value on a non-recurring basis using Level 3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NOTE 12 — LONG-TERM DEBT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“Long-term debt” on the Condensed Consolidated Balance Sheets.</w:t>
      </w:r>
    </w:p>
    <w:tbl>
      <w:tblPr>
        <w:tblW w:w="6346" w:type="dxa"/>
        <w:jc w:val="left"/>
        <w:tblInd w:w="0" w:type="dxa"/>
        <w:tblLayout w:type="fixed"/>
        <w:tblCellMar>
          <w:top w:w="28" w:type="dxa"/>
          <w:left w:w="28" w:type="dxa"/>
          <w:bottom w:w="28" w:type="dxa"/>
          <w:right w:w="28" w:type="dxa"/>
        </w:tblCellMar>
      </w:tblPr>
      <w:tblGrid>
        <w:gridCol w:w="1336"/>
        <w:gridCol w:w="1172"/>
        <w:gridCol w:w="1181"/>
        <w:gridCol w:w="211"/>
        <w:gridCol w:w="766"/>
        <w:gridCol w:w="109"/>
        <w:gridCol w:w="109"/>
        <w:gridCol w:w="109"/>
        <w:gridCol w:w="109"/>
        <w:gridCol w:w="232"/>
        <w:gridCol w:w="843"/>
        <w:gridCol w:w="169"/>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7.00% senior notes maturing in March 2030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principal amount of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10, 2022, the Company entered into a credit agreement (as amended, the “Credit Agreement”), which provided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22, 2025, the Company entered into a First Amendment to the Credit Agreement (the “Amendment”) by and among the Company, as borrower, certain of the Company’s subsidiaries, as guarantors, JPMorgan Chase Bank, N.A. as administrative agent and each lender (as defined in the Credit Agreement).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Amendment amended the Company’s Credit Agreement to, among other matters, (i) increase the aggregate principal amount available under the Revolving Credit Facility to $500.0, (ii) extend the maturity date of the Revolving Credit Facility to August 22, 2030, provided that if on December 14, 2029, the Company’s 7.00% Senior Notes have not been redeemed in full in cash or refinanced and replaced in full with notes and/or loans maturing at least 91 days after August 22, 2030, then the maturity date of the Revolving Credit Facility will be December 14, 2029, (iii) reduce the interest rate on borrowings under the Revolving Credit Facility (as discussed below) and (iv) broaden certain exceptions to covenants contained in the Credit Agreement that would otherwise restrict certain activities by the Company, such as repurchases by the Company of its common stock.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Amendment, borrowings under the Revolving Credit Facility bear interest at an annual rate equal to: (i) in the case of loans denominated in U.S. Dollars, at the Company’s option, the base rate (as defined in the Credit Agreement) plus a margin which will range from 1.00% to 1.75% depending on the Company’s secured net leverage ratio (as defined in the Credit Agreement), or the term SOFR rate (as defined in the Credit Agreement) for the applicable interest period plus a margin which will range from 2.00% to 2.75% depending on the Company’s secured net leverage ratio; (ii) in the case of loans denominated in Euros, the adjusted Eurodollar rate (as defined in the Credit Agreement) for the applicable interest period plus a margin which will range from 2.00% to 2.75% depending on the Company’s secured net leverage ratio; and (iii) in the case of loans denominated in U.K. Pounds Sterling, the daily simple RFR (as defined in the Credit Agreement) plus a margin which will range from 2.00% to 2.75% depending on the Company’s secured net leverage ratio. Facility fees on the daily unused amount of commitments under the Revolving Credit Facility initially will accrue at rates ranging from 0.25% to 0.35% per annum, depending on the Company’s secured net leverage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the Amendment, borrowings under the Revolving Credit Facility bore interest at an annual rate equal to: (i) in the case of loans denominated in U.S. Dollars, at the Company’s option, the base rate (as defined in the Credit Agreement) plus a margin which ranged from 2.00% to 2.75% depending on the Company’s secured net leverage ratio (as defined in the Credit Agreement), or the adjusted term SOFR rate (as defined in the Credit Agreement) for the applicable interest period plus a margin which ranged from 3.00% to 3.75% depending on the Company’s secured net leverage ratio; (ii) in the case of loans denominated in Euros, the adjusted Eurodollar rate (as defined in the Credit Agreement) for the applicable interest period plus a margin which ranged from 3.00% to 3.75% depending on the Company’s secured net leverage ratio; and (iii) in the case of loans denominated in U.K. Pounds Sterling, the adjusted daily simple RFR (as defined in the Credit Agreement) plus a margin which ranged from 3.00% to 3.75% depending on the Company’s secured net leverage ratio. Facility fees on the daily unused amount of commitments under the Revolving Credit Facility accrued at rates ranging from 0.25% to 0.375% per annum, depending on the Company’s secured net leverage ratio.</w:t>
      </w:r>
    </w:p>
    <w:p>
      <w:pPr>
        <w:pStyle w:val="TextBody"/>
        <w:bidi w:val="0"/>
        <w:spacing w:lineRule="auto" w:line="288" w:before="0" w:after="120"/>
        <w:ind w:left="0" w:right="0" w:firstLine="360"/>
        <w:jc w:val="both"/>
        <w:rPr/>
      </w:pPr>
      <w:r>
        <w:rPr>
          <w:rFonts w:ascii="Times New Roman;serif" w:hAnsi="Times New Roman;serif"/>
          <w:b w:val="false"/>
          <w:color w:val="000000"/>
          <w:sz w:val="20"/>
        </w:rPr>
        <w:t>During the</w:t>
      </w:r>
      <w:r>
        <w:rPr>
          <w:color w:val="000000"/>
          <w:shd w:fill="FFFFFF" w:val="clear"/>
        </w:rPr>
        <w:t xml:space="preserve"> </w:t>
      </w:r>
      <w:r>
        <w:rPr>
          <w:rFonts w:ascii="Times New Roman;serif" w:hAnsi="Times New Roman;serif"/>
          <w:b w:val="false"/>
          <w:color w:val="000000"/>
          <w:sz w:val="20"/>
        </w:rPr>
        <w:t xml:space="preserve">nine months ended June 30, 2026, the Company borrowed $325.0 and repaid $275.0 under the </w:t>
      </w:r>
      <w:r>
        <w:rPr>
          <w:rFonts w:ascii="Times New Roman;serif" w:hAnsi="Times New Roman;serif"/>
          <w:b w:val="false"/>
          <w:color w:val="000000"/>
          <w:sz w:val="20"/>
          <w:shd w:fill="FFFFFF" w:val="clear"/>
        </w:rPr>
        <w:t xml:space="preserve">Revolving Credit Facility. </w:t>
      </w:r>
      <w:r>
        <w:rPr>
          <w:rFonts w:ascii="Times New Roman;serif" w:hAnsi="Times New Roman;serif"/>
          <w:b w:val="false"/>
          <w:color w:val="000000"/>
          <w:sz w:val="20"/>
        </w:rPr>
        <w:t>During the</w:t>
      </w:r>
      <w:r>
        <w:rPr>
          <w:color w:val="000000"/>
          <w:shd w:fill="FFFFFF" w:val="clear"/>
        </w:rPr>
        <w:t xml:space="preserve"> </w:t>
      </w:r>
      <w:r>
        <w:rPr>
          <w:rFonts w:ascii="Times New Roman;serif" w:hAnsi="Times New Roman;serif"/>
          <w:b w:val="false"/>
          <w:color w:val="000000"/>
          <w:sz w:val="20"/>
        </w:rPr>
        <w:t xml:space="preserve">nine months ended June 30, 2025, the Company borrowed $360.0 and repaid $185.0 under the </w:t>
      </w:r>
      <w:r>
        <w:rPr>
          <w:rFonts w:ascii="Times New Roman;serif" w:hAnsi="Times New Roman;serif"/>
          <w:b w:val="false"/>
          <w:color w:val="000000"/>
          <w:sz w:val="20"/>
          <w:shd w:fill="FFFFFF" w:val="clear"/>
        </w:rPr>
        <w:t xml:space="preserve">Revolving Credit Facility. As of June 30, 2026, the interest rate on the utilized portion of the Revolving Credit Facility was </w:t>
      </w:r>
      <w:r>
        <w:rPr>
          <w:rFonts w:ascii="Times New Roman;serif" w:hAnsi="Times New Roman;serif"/>
          <w:b w:val="false"/>
          <w:color w:val="000000"/>
          <w:sz w:val="20"/>
        </w:rPr>
        <w:t>5.62%</w:t>
      </w:r>
      <w:r>
        <w:rPr>
          <w:color w:val="000000"/>
          <w:shd w:fill="FFFFFF" w:val="clear"/>
        </w:rPr>
        <w:t xml:space="preserve"> </w:t>
      </w:r>
      <w:r>
        <w:rPr>
          <w:rFonts w:ascii="Times New Roman;serif" w:hAnsi="Times New Roman;serif"/>
          <w:b w:val="false"/>
          <w:color w:val="000000"/>
          <w:sz w:val="20"/>
          <w:shd w:fill="FFFFFF" w:val="clear"/>
        </w:rPr>
        <w:t xml:space="preserve">and the available borrowing capacity under the Revolving Credit Facility was </w:t>
      </w:r>
      <w:r>
        <w:rPr>
          <w:rFonts w:ascii="Times New Roman;serif" w:hAnsi="Times New Roman;serif"/>
          <w:b w:val="false"/>
          <w:color w:val="000000"/>
          <w:sz w:val="20"/>
        </w:rPr>
        <w:t xml:space="preserve">$197.6, taking into account the $2.4 in outstanding letters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20"/>
        </w:rPr>
        <w:t>of credit, which reduces the amount available for borrowing under the Revolving Credit Facility.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September 30, 2025, the interest rate on the utilized portion of the Revolving Credit Facility was 6.14%</w:t>
      </w:r>
      <w:r>
        <w:rPr>
          <w:color w:val="000000"/>
          <w:shd w:fill="FFFFFF" w:val="clear"/>
        </w:rPr>
        <w:t xml:space="preserve"> </w:t>
      </w:r>
      <w:r>
        <w:rPr>
          <w:rFonts w:ascii="Times New Roman;serif" w:hAnsi="Times New Roman;serif"/>
          <w:b w:val="false"/>
          <w:color w:val="000000"/>
          <w:sz w:val="20"/>
          <w:shd w:fill="FFFFFF" w:val="clear"/>
        </w:rPr>
        <w:t xml:space="preserve">and the available borrowing capacity under the Revolving Credit Facility was $247.6, taking into account the </w:t>
      </w:r>
      <w:r>
        <w:rPr>
          <w:rFonts w:ascii="Times New Roman;serif" w:hAnsi="Times New Roman;serif"/>
          <w:b w:val="false"/>
          <w:color w:val="000000"/>
          <w:sz w:val="20"/>
        </w:rPr>
        <w:t>$2.4 in outstanding letters of credit</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w:t>
      </w:r>
      <w:r>
        <w:rPr>
          <w:rFonts w:ascii="Times New Roman;serif" w:hAnsi="Times New Roman;serif"/>
          <w:b w:val="false"/>
          <w:color w:val="000000"/>
          <w:sz w:val="20"/>
          <w:shd w:fill="FFFFFF" w:val="clear"/>
        </w:rPr>
        <w:t>June 30,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13 — COMMITMENTS AND CONTINGENCIES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Joint Juice Litigation</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serif" w:hAnsi="Times New Roman;serif"/>
          <w:b w:val="false"/>
          <w:i/>
          <w:color w:val="000000"/>
          <w:sz w:val="20"/>
        </w:rPr>
        <w:t>Joint Juice</w:t>
      </w:r>
      <w:r>
        <w:rPr>
          <w:color w:val="000000"/>
        </w:rPr>
        <w:t xml:space="preserve"> </w:t>
      </w:r>
      <w:r>
        <w:rPr>
          <w:rFonts w:ascii="Times New Roman;serif" w:hAnsi="Times New Roman;serif"/>
          <w:b w:val="false"/>
          <w:color w:val="000000"/>
          <w:sz w:val="20"/>
        </w:rPr>
        <w:t xml:space="preserve">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 In April 2018, the district court dismissed the California Federal Class Lawsuit with prejudice. This dismissal was upheld on appeal by the U.S. Court of Appeals for the Ninth Circuit in 2020, and plaintiff’s petition for an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rehearing by the Ninth Circuit was denied.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2020, the same lead counsel re-filed the California Federal Class Lawsuit against Premier Nutrition in the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action on behalf of New York consumers described in more detail below (the “New York Case”). In January 2025, the plaintiff filed a motion for the application of issue preclusion arising from certain rulings in the New York Case. On May 14, 2025, the court entered an order holding that issue preclusion will apply on certain issues.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banc rehearing with the Ninth Circuit Court of Appeals was denied in October 2024. On January 25, 2025, the Ninth Circuit affirmed the trial court’s attorneys’ fees award. On February 3, 2025, the trial court entered an order awarding $0.9 in attorneys’ fees and costs. On March 10, 2025, the trial court entered an order again limiting statutory damages to $8.3 under the due process clause. Each plaintiff and Premier Nutrition filed Notices of Appeal to the Ninth Circuit on the damages award. On March 13, 2025, Premier Nutrition filed a certiorari petition with the United States Supreme Court seeking review of the Ninth Circuit’s merits decision. </w:t>
      </w:r>
    </w:p>
    <w:p>
      <w:pPr>
        <w:pStyle w:val="TextBody"/>
        <w:bidi w:val="0"/>
        <w:spacing w:lineRule="auto" w:line="288" w:before="0" w:after="120"/>
        <w:ind w:left="0" w:right="0" w:firstLine="360"/>
        <w:jc w:val="both"/>
        <w:rPr/>
      </w:pPr>
      <w:r>
        <w:rPr>
          <w:rFonts w:ascii="Times New Roman;serif" w:hAnsi="Times New Roman;serif"/>
          <w:b w:val="false"/>
          <w:color w:val="231F20"/>
          <w:sz w:val="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serif" w:hAnsi="Times New Roman;serif"/>
          <w:b w:val="false"/>
          <w:color w:val="000000"/>
          <w:sz w:val="20"/>
        </w:rPr>
        <w:t>se. On May 2, 2025, the trial court entered an order holding that issue preclusion will apply in the Illinois Case on the issues of deceptiveness, materiality, the measure of damages, and the First Amendment, but not on the issues of causation, intent, or punitive damages. The court certified individual state classes in each of the seven other Related Federal Actions (except New Mexico).</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(the “California State Case”). In July 2020, the court issued an order certifying a statewide class. Premier Nutrition moved for summary judgment in July 2023, which motion remains pending. In January 2025, the plaintiff filed a motion for the application of issue preclusion arising from certain rulings in the New York Case decision. </w:t>
      </w:r>
      <w:r>
        <w:rPr>
          <w:rFonts w:ascii="Times New Roman;serif" w:hAnsi="Times New Roman;serif"/>
          <w:b w:val="false"/>
          <w:color w:val="231F20"/>
          <w:sz w:val="20"/>
        </w:rPr>
        <w:t xml:space="preserve">On May 14, 2025, the court entered an order holding that issue preclusion will apply on certain issues.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On June 25, 2025, the parties reached a class-wide settlement in principle related to the </w:t>
      </w:r>
      <w:r>
        <w:rPr>
          <w:rFonts w:ascii="Times New Roman;serif" w:hAnsi="Times New Roman;serif"/>
          <w:b w:val="false"/>
          <w:i/>
          <w:color w:val="000000"/>
          <w:sz w:val="20"/>
        </w:rPr>
        <w:t xml:space="preserve">Joint Juice Litigation, </w:t>
      </w:r>
      <w:r>
        <w:rPr>
          <w:rFonts w:ascii="Times New Roman;serif" w:hAnsi="Times New Roman;serif"/>
          <w:b w:val="false"/>
          <w:color w:val="000000"/>
          <w:sz w:val="20"/>
        </w:rPr>
        <w:t xml:space="preserve">which includes the California Federal Class Lawsuit, all of the Related Federal Actions and the California State Case through a court-ordered settlement conference, which settlement in principle is subject to judicial approval. On June 26, 2025, the parties filed a joint motion with the United States Supreme Court to hold the certiorari petition in the New York Case in abeyance pending approval of the class settlement. On July 2, 2025, the parties filed a joint motion with the Ninth Circuit to hold the appeal in the New York Case in abeyance pending approval of the class settlement. </w:t>
      </w:r>
    </w:p>
    <w:p>
      <w:pPr>
        <w:pStyle w:val="TextBody"/>
        <w:bidi w:val="0"/>
        <w:spacing w:lineRule="auto" w:line="288" w:before="0" w:after="120"/>
        <w:ind w:left="0" w:right="0" w:firstLine="360"/>
        <w:jc w:val="left"/>
        <w:rPr/>
      </w:pPr>
      <w:r>
        <w:rPr>
          <w:rFonts w:ascii="Times New Roman;serif" w:hAnsi="Times New Roman;serif"/>
          <w:b w:val="false"/>
          <w:color w:val="000000"/>
          <w:sz w:val="20"/>
          <w:shd w:fill="FFFFFF" w:val="clear"/>
        </w:rPr>
        <w:t xml:space="preserve">On October 17, 2025, the parties executed a Stipulation of Settlement in the New York Case (the “New York Settlement”). On October 20, 2025, Plaintiff filed an unopposed motion for preliminary approval of the New York Settlement. On December 5, 2025, the court granted preliminary approval of the New York Settlement and, on May 14, 2026, the court granted final approval of the New York Settlement. Pursuant to the terms of the New York Settlement, the Company paid </w:t>
      </w:r>
      <w:r>
        <w:rPr>
          <w:rFonts w:ascii="Times New Roman;serif" w:hAnsi="Times New Roman;serif"/>
          <w:b w:val="false"/>
          <w:color w:val="000000"/>
          <w:sz w:val="20"/>
        </w:rPr>
        <w:t xml:space="preserve">$2.0 </w:t>
      </w:r>
      <w:r>
        <w:rPr>
          <w:rFonts w:ascii="Times New Roman;serif" w:hAnsi="Times New Roman;serif"/>
          <w:b w:val="false"/>
          <w:color w:val="000000"/>
          <w:sz w:val="20"/>
          <w:shd w:fill="FFFFFF" w:val="clear"/>
        </w:rPr>
        <w:t xml:space="preserve">into a settlement fund and, on or before August 10, 2026, the Company will pay an additional </w:t>
      </w:r>
      <w:r>
        <w:rPr>
          <w:rFonts w:ascii="Times New Roman;serif" w:hAnsi="Times New Roman;serif"/>
          <w:b w:val="false"/>
          <w:color w:val="000000"/>
          <w:sz w:val="20"/>
        </w:rPr>
        <w:t>$17.2</w:t>
      </w:r>
      <w:r>
        <w:rPr>
          <w:color w:val="000000"/>
          <w:shd w:fill="FFFFFF" w:val="clear"/>
        </w:rPr>
        <w:t xml:space="preserve"> </w:t>
      </w:r>
      <w:r>
        <w:rPr>
          <w:rFonts w:ascii="Times New Roman;serif" w:hAnsi="Times New Roman;serif"/>
          <w:b w:val="false"/>
          <w:color w:val="000000"/>
          <w:sz w:val="20"/>
          <w:shd w:fill="FFFFFF" w:val="clear"/>
        </w:rPr>
        <w:t>into that settlement fund to resolve the New York Case. The New York Settlement does not constitute an admission of liability or wrongdoing by the Company or any of its current or former directors or officers.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On October 22, 2025, the parties executed a Stipulation of Settlement in the California State Case (the “Multistate Settlement”). The Multistate Settlement also encompasses the California Federal Class Lawsuit (which has been consolidated with the California State Case) and the Related Federal Actions (which were added to the California State Case via a stipulated amended complaint pursuant to the terms of the Multistate Settlement) excluding New York and New Mexico. On October 23, 2025, Plaintiffs filed an unopposed motion for preliminary approval of the Multistate Settlement. On January 8, 2026, the court granted preliminary approval of the Multistate Settlement and, on May 26, 2026, the court granted final approval of the Multistate Settlement.</w:t>
      </w:r>
      <w:r>
        <w:rPr>
          <w:color w:val="EE2724"/>
          <w:shd w:fill="FFFFFF" w:val="clear"/>
        </w:rPr>
        <w:t xml:space="preserve"> </w:t>
      </w:r>
      <w:r>
        <w:rPr>
          <w:rFonts w:ascii="Times New Roman;serif" w:hAnsi="Times New Roman;serif"/>
          <w:b w:val="false"/>
          <w:color w:val="000000"/>
          <w:sz w:val="20"/>
          <w:shd w:fill="FFFFFF" w:val="clear"/>
        </w:rPr>
        <w:t xml:space="preserve">Pursuant to the terms of the Multistate Settlement, the Company paid </w:t>
      </w:r>
      <w:r>
        <w:rPr>
          <w:rFonts w:ascii="Times New Roman;serif" w:hAnsi="Times New Roman;serif"/>
          <w:b w:val="false"/>
          <w:color w:val="000000"/>
          <w:sz w:val="20"/>
        </w:rPr>
        <w:t xml:space="preserve">$2.0 </w:t>
      </w:r>
      <w:r>
        <w:rPr>
          <w:rFonts w:ascii="Times New Roman;serif" w:hAnsi="Times New Roman;serif"/>
          <w:b w:val="false"/>
          <w:color w:val="000000"/>
          <w:sz w:val="20"/>
          <w:shd w:fill="FFFFFF" w:val="clear"/>
        </w:rPr>
        <w:t xml:space="preserve">into a settlement fund and, on or before August 10, 2026, the Company will pay an additional </w:t>
      </w:r>
      <w:r>
        <w:rPr>
          <w:rFonts w:ascii="Times New Roman;serif" w:hAnsi="Times New Roman;serif"/>
          <w:b w:val="false"/>
          <w:color w:val="000000"/>
          <w:sz w:val="20"/>
        </w:rPr>
        <w:t xml:space="preserve">$68.8 </w:t>
      </w:r>
      <w:r>
        <w:rPr>
          <w:rFonts w:ascii="Times New Roman;serif" w:hAnsi="Times New Roman;serif"/>
          <w:b w:val="false"/>
          <w:color w:val="000000"/>
          <w:sz w:val="20"/>
          <w:shd w:fill="FFFFFF" w:val="clear"/>
        </w:rPr>
        <w:t>into a settlement fund to resolve the California State Case, California Federal Class Lawsuit, and Related Federal Actions excluding New York and New Mexico. The Multistate Settlement does not constitute an admission of liability or wrongdoing by the Company or any of its current or former directors or officers.</w:t>
      </w:r>
    </w:p>
    <w:p>
      <w:pPr>
        <w:pStyle w:val="TextBody"/>
        <w:bidi w:val="0"/>
        <w:spacing w:lineRule="auto" w:line="288" w:before="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12, 2025, the parties entered into a confidential settlement agreement and release in the New Mexico Federal Related Action, which is not subject to court approval. Pursuant to the terms of the settlement agreement, the Company made an immaterial payment to resolve the New Mexico action and plaintiff filed a notice of voluntary dismissal with prejudice on December 15,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legal fees, no expense related to this litigation was incurred during the three or nine months ended June 30, 2026. During the three and nine months ended June 30, 2025, the Company expensed $68.1 and $69.0, respectively, related to the legal matter and plaintiff legal fees in connection with the Joint Juice litigation, which was included in “Selling, general and administrative expenses” on the Condensed Consolidated Statements of Operations. At June 30, 2026 and September 30, 2025, the Company had an estimated liability of $86.0 and $90.0, respectively, related to these matters that was included in “Other current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Putative Securities Class Action and Consolidated Derivative Action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On January 22, 2026, a putative securities class action captioned </w:t>
      </w:r>
      <w:r>
        <w:rPr>
          <w:rFonts w:ascii="Times New Roman;serif" w:hAnsi="Times New Roman;serif"/>
          <w:b w:val="false"/>
          <w:i/>
          <w:color w:val="000000"/>
          <w:sz w:val="20"/>
        </w:rPr>
        <w:t>Denha v. BellRing Brands, Inc.</w:t>
      </w:r>
      <w:r>
        <w:rPr>
          <w:color w:val="000000"/>
        </w:rPr>
        <w:t xml:space="preserve"> </w:t>
      </w:r>
      <w:r>
        <w:rPr>
          <w:rFonts w:ascii="Times New Roman;serif" w:hAnsi="Times New Roman;serif"/>
          <w:b w:val="false"/>
          <w:color w:val="000000"/>
          <w:sz w:val="20"/>
        </w:rPr>
        <w:t xml:space="preserve">was filed in the U.S. District Court for the Southern District of New York against the Company and Darcy Horn Davenport, the Company’s then-President and Chief Executive Officer, and Paul Rode, the Company’s Chief Financial Officer and Treasurer. The complaint alleges violations of Sections 10(b) and 20(a) of the Securities Exchange Act of 1934 and Rule 10b-5 based on alleged misstatements regarding the Company’s financial performance and prospects during the period from November 19, 2024 through August 4, 2025. The plaintiff sought unspecified compensatory damages, attorneys’ fees and other relief as the court may deem appropriate. The court appointed lead plaintiff and lead counsel on April 10, 2026. On April 13, 2026, the court recaptioned the case </w:t>
      </w:r>
      <w:r>
        <w:rPr>
          <w:rFonts w:ascii="Times New Roman;serif" w:hAnsi="Times New Roman;serif"/>
          <w:b w:val="false"/>
          <w:i/>
          <w:color w:val="000000"/>
          <w:sz w:val="20"/>
        </w:rPr>
        <w:t>In re: BellRing Brands, Inc. Securities Litigation</w:t>
      </w:r>
      <w:r>
        <w:rPr>
          <w:color w:val="000000"/>
        </w:rPr>
        <w:t xml:space="preserve"> </w:t>
      </w:r>
      <w:r>
        <w:rPr>
          <w:rFonts w:ascii="Times New Roman;serif" w:hAnsi="Times New Roman;serif"/>
          <w:b w:val="false"/>
          <w:color w:val="000000"/>
          <w:sz w:val="20"/>
        </w:rPr>
        <w:t xml:space="preserve">(the “Securities Action”). On May 8, 2026, the lead plaintiff filed an amended complaint that added Robert V. Vitale, Chairman of the Company’s Board of Directors, as a defendant and expanded the alleged class period to August 6, 2024 through May 4, 2026. Briefing on the defendants’ motion to dismiss the amended complaint has been completed, and the court heard oral argument on the motion on July 16, 2026. On July 28, 2026, the Court granted in part and denied in part defendant’s motion to dismiss.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been and continues to defend the Securities Action vigorously. Given the early stage of this litigation, the Company is unable to predict the outcome or estimate the amount of loss, if any, that may result from the litigation.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On March 18, 2026, William Miller filed a shareholder derivative action in the U.S. District Court for the District of Delaware purportedly on behalf of, and for the benefit of, BellRing Brands, Inc. against Darcy Horn Davenport (the Company’s then-President and Chief Executive Officer), Robert V. Vitale, Thomas P. Erickson, Elliot H. Stein, Jr., Jennifer Kuperman Johnson, Chonda J. Nwamu, Shawn W. Conway, and David I. Finkelstein (the “</w:t>
      </w:r>
      <w:r>
        <w:rPr>
          <w:rFonts w:ascii="Times New Roman;serif" w:hAnsi="Times New Roman;serif"/>
          <w:b w:val="false"/>
          <w:i/>
          <w:color w:val="000000"/>
          <w:sz w:val="20"/>
        </w:rPr>
        <w:t>Miller</w:t>
      </w:r>
      <w:r>
        <w:rPr>
          <w:color w:val="000000"/>
        </w:rPr>
        <w:t xml:space="preserve"> </w:t>
      </w:r>
      <w:r>
        <w:rPr>
          <w:rFonts w:ascii="Times New Roman;serif" w:hAnsi="Times New Roman;serif"/>
          <w:b w:val="false"/>
          <w:color w:val="000000"/>
          <w:sz w:val="20"/>
        </w:rPr>
        <w:t xml:space="preserve">Action”). On March 11, 2026, Joshua Green filed a shareholder derivative action in the U.S. District Court for the Southern District of New York purportedly on behalf of, and for the benefit of, BellRing against the </w:t>
      </w:r>
      <w:r>
        <w:rPr>
          <w:rFonts w:ascii="Times New Roman;serif" w:hAnsi="Times New Roman;serif"/>
          <w:b w:val="false"/>
          <w:i/>
          <w:color w:val="000000"/>
          <w:sz w:val="20"/>
        </w:rPr>
        <w:t xml:space="preserve">Miller </w:t>
      </w:r>
      <w:r>
        <w:rPr>
          <w:rFonts w:ascii="Times New Roman;serif" w:hAnsi="Times New Roman;serif"/>
          <w:b w:val="false"/>
          <w:color w:val="000000"/>
          <w:sz w:val="20"/>
        </w:rPr>
        <w:t xml:space="preserve">Action defendants, excluding Mr. Finkelstein, and Paul Rode, which complaint was amended on March 12, 2026 and voluntarily dismissed on March 17, 2026. On March 26, 2026, Joshua Green re-filed his shareholder derivative action in the U.S. District Court for the District of Delaware purportedly on behalf of, and for the benefit of, BellRing against the </w:t>
      </w:r>
      <w:r>
        <w:rPr>
          <w:rFonts w:ascii="Times New Roman;serif" w:hAnsi="Times New Roman;serif"/>
          <w:b w:val="false"/>
          <w:i/>
          <w:color w:val="000000"/>
          <w:sz w:val="20"/>
        </w:rPr>
        <w:t xml:space="preserve">Miller </w:t>
      </w:r>
      <w:r>
        <w:rPr>
          <w:rFonts w:ascii="Times New Roman;serif" w:hAnsi="Times New Roman;serif"/>
          <w:b w:val="false"/>
          <w:color w:val="000000"/>
          <w:sz w:val="20"/>
        </w:rPr>
        <w:t>Action defendants, excluding Mr. Finkelstein, and Paul Rode, (the “</w:t>
      </w:r>
      <w:r>
        <w:rPr>
          <w:rFonts w:ascii="Times New Roman;serif" w:hAnsi="Times New Roman;serif"/>
          <w:b w:val="false"/>
          <w:i/>
          <w:color w:val="000000"/>
          <w:sz w:val="20"/>
        </w:rPr>
        <w:t>Green</w:t>
      </w:r>
      <w:r>
        <w:rPr>
          <w:color w:val="000000"/>
        </w:rPr>
        <w:t xml:space="preserve"> </w:t>
      </w:r>
      <w:r>
        <w:rPr>
          <w:rFonts w:ascii="Times New Roman;serif" w:hAnsi="Times New Roman;serif"/>
          <w:b w:val="false"/>
          <w:color w:val="000000"/>
          <w:sz w:val="20"/>
        </w:rPr>
        <w:t xml:space="preserve">Action,” and, with the </w:t>
      </w:r>
      <w:r>
        <w:rPr>
          <w:rFonts w:ascii="Times New Roman;serif" w:hAnsi="Times New Roman;serif"/>
          <w:b w:val="false"/>
          <w:i/>
          <w:color w:val="000000"/>
          <w:sz w:val="20"/>
        </w:rPr>
        <w:t>Miller</w:t>
      </w:r>
      <w:r>
        <w:rPr>
          <w:color w:val="000000"/>
        </w:rPr>
        <w:t xml:space="preserve"> </w:t>
      </w:r>
      <w:r>
        <w:rPr>
          <w:rFonts w:ascii="Times New Roman;serif" w:hAnsi="Times New Roman;serif"/>
          <w:b w:val="false"/>
          <w:color w:val="000000"/>
          <w:sz w:val="20"/>
        </w:rPr>
        <w:t xml:space="preserve">Action, the “Related Shareholder Derivative Actions”). The complaints in the Related Shareholder Derivative Actions allege violations of federal securities laws and related state law claims based on allegations substantially similar to the allegations in the Securities Action and seek, among other things, awarding the Company unspecified monetary damages, equitable relief to remedy breaches of fiduciary duties, improvements in the Company's compliance, internal control systems, and corporate governance practices, restitution from the individual defendants and disgorgement of profits, benefits, and other compensation, attorney's fees and expenses, and such other relief as the court deems proper. On May 5, 2026, the U.S. District Court for the District of Delaware entered a stipulation and order consolidating the </w:t>
      </w:r>
      <w:r>
        <w:rPr>
          <w:rFonts w:ascii="Times New Roman;serif" w:hAnsi="Times New Roman;serif"/>
          <w:b w:val="false"/>
          <w:i/>
          <w:color w:val="000000"/>
          <w:sz w:val="20"/>
        </w:rPr>
        <w:t>Miller</w:t>
      </w:r>
      <w:r>
        <w:rPr>
          <w:color w:val="000000"/>
        </w:rPr>
        <w:t xml:space="preserve"> </w:t>
      </w:r>
      <w:r>
        <w:rPr>
          <w:rFonts w:ascii="Times New Roman;serif" w:hAnsi="Times New Roman;serif"/>
          <w:b w:val="false"/>
          <w:color w:val="000000"/>
          <w:sz w:val="20"/>
        </w:rPr>
        <w:t xml:space="preserve">Action and the </w:t>
      </w:r>
      <w:r>
        <w:rPr>
          <w:rFonts w:ascii="Times New Roman;serif" w:hAnsi="Times New Roman;serif"/>
          <w:b w:val="false"/>
          <w:i/>
          <w:color w:val="000000"/>
          <w:sz w:val="20"/>
        </w:rPr>
        <w:t>Green</w:t>
      </w:r>
      <w:r>
        <w:rPr>
          <w:color w:val="000000"/>
        </w:rPr>
        <w:t xml:space="preserve"> </w:t>
      </w:r>
      <w:r>
        <w:rPr>
          <w:rFonts w:ascii="Times New Roman;serif" w:hAnsi="Times New Roman;serif"/>
          <w:b w:val="false"/>
          <w:color w:val="000000"/>
          <w:sz w:val="20"/>
        </w:rPr>
        <w:t xml:space="preserve">Action into a single action captioned </w:t>
      </w:r>
      <w:r>
        <w:rPr>
          <w:rFonts w:ascii="Times New Roman;serif" w:hAnsi="Times New Roman;serif"/>
          <w:b w:val="false"/>
          <w:i/>
          <w:color w:val="000000"/>
          <w:sz w:val="20"/>
        </w:rPr>
        <w:t>In re BellRing Brands, Inc., Stockholder Derivative Litigation</w:t>
      </w:r>
      <w:r>
        <w:rPr>
          <w:rFonts w:ascii="Times New Roman;serif" w:hAnsi="Times New Roman;serif"/>
          <w:b w:val="false"/>
          <w:color w:val="000000"/>
          <w:sz w:val="20"/>
        </w:rPr>
        <w:t>, Lead Case No. 1:26-cv-00294-MN (the “Consolidated Derivative Action”), and staying all proceedings in the Consolidated Derivative Action while the motion to dismiss in the Securities Action is pending.</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the early stage of the Consolidated Derivative Action, the Company is unable to predict the outcome or estimate the amount of loss, if any, that may result from it.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pPr>
      <w:r>
        <w:rPr>
          <w:rFonts w:ascii="Times New Roman;serif" w:hAnsi="Times New Roman;serif"/>
          <w:b/>
          <w:color w:val="000000"/>
          <w:sz w:val="20"/>
          <w:shd w:fill="FFFFFF" w:val="clear"/>
        </w:rPr>
        <w:t>NOTE </w:t>
      </w:r>
      <w:r>
        <w:rPr>
          <w:rFonts w:ascii="Times New Roman;serif" w:hAnsi="Times New Roman;serif"/>
          <w:b/>
          <w:color w:val="000000"/>
          <w:sz w:val="20"/>
        </w:rPr>
        <w:t>14</w:t>
      </w:r>
      <w:r>
        <w:rPr>
          <w:color w:val="000000"/>
          <w:shd w:fill="FFFFFF" w:val="clear"/>
        </w:rPr>
        <w:t xml:space="preserve"> — </w:t>
      </w:r>
      <w:r>
        <w:rPr>
          <w:rFonts w:ascii="Times New Roman;serif" w:hAnsi="Times New Roman;serif"/>
          <w:b/>
          <w:color w:val="000000"/>
          <w:sz w:val="20"/>
          <w:shd w:fill="FFFFFF" w:val="clear"/>
        </w:rPr>
        <w:t>STOCKHOLDERS’ DEFICIT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following table summarizes </w:t>
      </w:r>
      <w:r>
        <w:rPr>
          <w:rFonts w:ascii="Times New Roman;serif" w:hAnsi="Times New Roman;serif"/>
          <w:b w:val="false"/>
          <w:color w:val="000000"/>
          <w:sz w:val="20"/>
          <w:shd w:fill="FFFFFF" w:val="clear"/>
        </w:rPr>
        <w:t>the Company’s repurchases of its common stock</w:t>
      </w:r>
      <w:r>
        <w:rPr>
          <w:rFonts w:ascii="Times New Roman;serif" w:hAnsi="Times New Roman;serif"/>
          <w:b w:val="false"/>
          <w:color w:val="000000"/>
          <w:sz w:val="20"/>
        </w:rPr>
        <w:t xml:space="preserve">. </w:t>
      </w:r>
    </w:p>
    <w:tbl>
      <w:tblPr>
        <w:tblW w:w="7364" w:type="dxa"/>
        <w:jc w:val="left"/>
        <w:tblInd w:w="0" w:type="dxa"/>
        <w:tblLayout w:type="fixed"/>
        <w:tblCellMar>
          <w:top w:w="28" w:type="dxa"/>
          <w:left w:w="28" w:type="dxa"/>
          <w:bottom w:w="28" w:type="dxa"/>
          <w:right w:w="28" w:type="dxa"/>
        </w:tblCellMar>
      </w:tblPr>
      <w:tblGrid>
        <w:gridCol w:w="939"/>
        <w:gridCol w:w="826"/>
        <w:gridCol w:w="82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share repurchase cost</w:t>
            </w:r>
            <w:r>
              <w:rPr>
                <w:color w:val="EE2724"/>
              </w:rPr>
              <w:t xml:space="preserve"> </w:t>
            </w:r>
            <w:r>
              <w:rPr>
                <w:rFonts w:ascii="Times New Roman;serif" w:hAnsi="Times New Roman;serif"/>
                <w:b w:val="false"/>
                <w:color w:val="000000"/>
                <w:sz w:val="20"/>
              </w:rPr>
              <w:t>(b)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(a)Average price per share excludes any accrued excise tax and broker’s commissions, which are included in “Total share repurchase cost” within this table.</w:t>
      </w:r>
    </w:p>
    <w:p>
      <w:pPr>
        <w:pStyle w:val="TextBody"/>
        <w:bidi w:val="0"/>
        <w:spacing w:lineRule="auto" w:line="288" w:before="0" w:after="120"/>
        <w:ind w:left="0" w:right="0" w:hanging="360"/>
        <w:jc w:val="both"/>
        <w:rPr/>
      </w:pPr>
      <w:r>
        <w:rPr>
          <w:rFonts w:ascii="Times New Roman;serif" w:hAnsi="Times New Roman;serif"/>
          <w:b w:val="false"/>
          <w:color w:val="000000"/>
          <w:sz w:val="18"/>
        </w:rPr>
        <w:t>(b)</w:t>
      </w:r>
      <w:r>
        <w:rPr>
          <w:color w:val="000000"/>
        </w:rPr>
        <w:t>“</w:t>
      </w:r>
      <w:r>
        <w:rPr>
          <w:rFonts w:ascii="Times New Roman;serif" w:hAnsi="Times New Roman;serif"/>
          <w:b w:val="false"/>
          <w:color w:val="000000"/>
          <w:sz w:val="18"/>
        </w:rPr>
        <w:t xml:space="preserve">Purchases of treasury stock” in the Condensed Consolidated Statements of Cash Flows for the nine months ended June 30, 2026 excluded $1.2 of accrued excise tax that had not been paid as of June 30, 2026 and included $3.9 of accrued excise tax payments that had been accrued in fiscal 2025. “Purchases of treasury stock” in the Condensed Consolidated Statements of Cash Flows for the </w:t>
      </w:r>
      <w:r>
        <w:rPr>
          <w:rFonts w:ascii="Times New Roman;serif" w:hAnsi="Times New Roman;serif"/>
          <w:b w:val="false"/>
          <w:color w:val="000000"/>
          <w:sz w:val="20"/>
        </w:rPr>
        <w:t>nine</w:t>
      </w:r>
      <w:r>
        <w:rPr>
          <w:color w:val="000000"/>
        </w:rPr>
        <w:t xml:space="preserve"> </w:t>
      </w:r>
      <w:r>
        <w:rPr>
          <w:rFonts w:ascii="Times New Roman;serif" w:hAnsi="Times New Roman;serif"/>
          <w:b w:val="false"/>
          <w:color w:val="000000"/>
          <w:sz w:val="18"/>
        </w:rPr>
        <w:t>months ended June 30, 2025 excluded $1.9 of accrued excise tax that had not been paid as of June 30, 2025 and included $2.2 of accrued excise tax payments that had been accrued in prior fiscal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15 — SEGMENTS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on a consolidated basis through one operating and reportable segment. The Company’s Chief Operating Decision Maker (“CODM”) is the President and Chief Executive Officer of BellRing. The CODM utilizes consolidated single-segment net earnings (reported on the Condensed Consolidated Statements of Operations as “Net Earnings”) to evaluate financial performance, allocate resources and forecast future period financial results. The CODM evaluates performance by comparing actual to budgeted results and utilizes this information to decide whether to reinvest into the segment or into other parts of the entity, such as for acquisitions or to repurchase shares. The measure of segment assets is reported on the Condensed Consolidated Balance Sheets as “Total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the significant expense categories reviewed by the CODM and net earnings of the Company.</w:t>
      </w:r>
    </w:p>
    <w:tbl>
      <w:tblPr>
        <w:tblW w:w="7875" w:type="dxa"/>
        <w:jc w:val="left"/>
        <w:tblInd w:w="0" w:type="dxa"/>
        <w:tblLayout w:type="fixed"/>
        <w:tblCellMar>
          <w:top w:w="28" w:type="dxa"/>
          <w:left w:w="28" w:type="dxa"/>
          <w:bottom w:w="28" w:type="dxa"/>
          <w:right w:w="28" w:type="dxa"/>
        </w:tblCellMar>
      </w:tblPr>
      <w:tblGrid>
        <w:gridCol w:w="1017"/>
        <w:gridCol w:w="890"/>
        <w:gridCol w:w="898"/>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expenses (a)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(a)Other segment expenses includes employee-related expenses, marketing and distribution, outside professional services, research and development, depreciation and other general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pPr>
      <w:r>
        <w:rPr>
          <w:rFonts w:ascii="Times New Roman;serif" w:hAnsi="Times New Roman;serif"/>
          <w:b/>
          <w:color w:val="000000"/>
          <w:sz w:val="20"/>
        </w:rPr>
        <w:t>ITEM 2.    MANAGEMENT’S DISCUSSION AND ANALYSIS OF FINANCIAL CONDITION AND RESULTS OF OPERATIONS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2025 and the “Cautionary Statement on Forward-Looking Statements” section included below. The terms “our,” “we,” “us,” “Company” and “BellRing” refer to BellRing Brands, Inc. and its consolidated subsidiaries.</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We are a consumer products holding company operating in the global proactive wellness category and are a provider of ready-to-drink (“RTD”) protein shakes and powders. We have a single operating and reportable segment, with our principal products being protein-based consumer goods. Our primary brands are </w:t>
      </w:r>
      <w:r>
        <w:rPr>
          <w:rFonts w:ascii="Times New Roman;serif" w:hAnsi="Times New Roman;serif"/>
          <w:b w:val="false"/>
          <w:i/>
          <w:color w:val="000000"/>
          <w:sz w:val="20"/>
        </w:rPr>
        <w:t>Premier Protein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Dymatize</w:t>
      </w:r>
      <w:r>
        <w:rPr>
          <w:rFonts w:ascii="Times New Roman;serif" w:hAnsi="Times New Roman;serif"/>
          <w:b w:val="false"/>
          <w:color w:val="000000"/>
          <w:sz w:val="20"/>
        </w:rPr>
        <w: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Market Trends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fiscal 2026, input costs, including raw materials, packaging, manufacturing, and freight have been subject to inflationary pressures, in part due to the impact of tariffs, evolving global trade policies, and logistical constraints. Existing tariffs, as well as potential future increases or modifications, may further contribute to supply chain disruption, commodity cost volatility and broader economic uncertainty. We have implemented mitigation initiatives, including pricing actions, cost optimization, supply chain adjustments, and inventory optimization actions, which may only partially offset these pressures. However, if such cost increases persist and we are unable to fully mitigate their impact, they could have a material adverse effect on our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a military conflict began in the Middle East. While we do not have operations in the region, the conflict has disrupted global energy markets, which has resulted in higher energy prices and increased inflationary pressures. A prolonged conflict has the potential to disrupt global supply chains and consumer demand. We continue to monitor developments in the region and assess potential impacts on our business. At this time, we do not expect the conflict to have a material adverse effect on our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additional discussion, refer to “Liquidity and Capital Resources” and “Cautionary Statement on Forward-Looking Statements” within this section.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Items Affecting Comparability</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and nine months ended June 30, 2026 and 2025, operating profit was impacted by the following item:</w:t>
      </w:r>
    </w:p>
    <w:p>
      <w:pPr>
        <w:pStyle w:val="TextBody"/>
        <w:bidi w:val="0"/>
        <w:spacing w:lineRule="auto" w:line="288" w:before="240" w:after="120"/>
        <w:ind w:left="0" w:right="0" w:hanging="360"/>
        <w:jc w:val="left"/>
        <w:rPr/>
      </w:pPr>
      <w:r>
        <w:rPr>
          <w:color w:val="000000"/>
        </w:rPr>
        <w:t>•</w:t>
      </w:r>
      <w:r>
        <w:rPr>
          <w:rFonts w:ascii="Times New Roman;serif" w:hAnsi="Times New Roman;serif"/>
          <w:b w:val="false"/>
          <w:color w:val="000000"/>
          <w:sz w:val="20"/>
        </w:rPr>
        <w:t>Provision for legal matters of $68.1 million and $69.0 million for the three and nine months ended June 30, 2025, respectively, which was included in “Selling, general and administrative expenses” on the Condensed Consolidated Statements of Operations. For additional information, refer to Note 13 within “Notes to Consolidated Financial Statements” in Item 1 of this report.</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further discussion, refer to “Results of Operations” below.</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RESULTS OF OPERATIONS</w:t>
      </w:r>
    </w:p>
    <w:tbl>
      <w:tblPr>
        <w:tblW w:w="10385" w:type="dxa"/>
        <w:jc w:val="center"/>
        <w:tblInd w:w="0" w:type="dxa"/>
        <w:tblLayout w:type="fixed"/>
        <w:tblCellMar>
          <w:top w:w="28" w:type="dxa"/>
          <w:left w:w="28" w:type="dxa"/>
          <w:bottom w:w="28" w:type="dxa"/>
          <w:right w:w="28" w:type="dxa"/>
        </w:tblCellMar>
      </w:tblPr>
      <w:tblGrid>
        <w:gridCol w:w="493"/>
        <w:gridCol w:w="241"/>
        <w:gridCol w:w="21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32"/>
        <w:gridCol w:w="234"/>
        <w:gridCol w:w="271"/>
        <w:gridCol w:w="109"/>
        <w:gridCol w:w="109"/>
        <w:gridCol w:w="109"/>
        <w:gridCol w:w="211"/>
        <w:gridCol w:w="766"/>
        <w:gridCol w:w="109"/>
        <w:gridCol w:w="109"/>
        <w:gridCol w:w="109"/>
        <w:gridCol w:w="109"/>
        <w:gridCol w:w="211"/>
        <w:gridCol w:w="766"/>
        <w:gridCol w:w="109"/>
        <w:gridCol w:w="109"/>
        <w:gridCol w:w="109"/>
        <w:gridCol w:w="109"/>
        <w:gridCol w:w="211"/>
        <w:gridCol w:w="526"/>
        <w:gridCol w:w="109"/>
        <w:gridCol w:w="109"/>
        <w:gridCol w:w="109"/>
        <w:gridCol w:w="109"/>
        <w:gridCol w:w="188"/>
        <w:gridCol w:w="188"/>
        <w:gridCol w:w="316"/>
      </w:tblGrid>
      <w:tr>
        <w:trPr/>
        <w:tc>
          <w:tcPr>
            <w:tcW w:w="4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192" w:type="dxa"/>
            <w:gridSpan w:val="1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color w:val="000000"/>
                <w:sz w:val="20"/>
              </w:rPr>
            </w:pPr>
            <w:r>
              <w:rPr>
                <w:rFonts w:ascii="Times New Roman;serif" w:hAnsi="Times New Roman;serif"/>
                <w:b/>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Net s</w:t>
      </w:r>
      <w:r>
        <w:rPr>
          <w:rFonts w:ascii="Times New Roman;serif" w:hAnsi="Times New Roman;serif"/>
          <w:b w:val="false"/>
          <w:color w:val="000000"/>
          <w:sz w:val="20"/>
        </w:rPr>
        <w:t>ales increased $22.9 million, or 4%, du</w:t>
      </w:r>
      <w:r>
        <w:rPr>
          <w:rFonts w:ascii="Times New Roman;serif" w:hAnsi="Times New Roman;serif"/>
          <w:b w:val="false"/>
          <w:color w:val="000000"/>
          <w:sz w:val="20"/>
          <w:shd w:fill="FFFFFF" w:val="clear"/>
        </w:rPr>
        <w:t>ring the three months ended June 30, 2026 compared to the prior year period. Sales</w:t>
      </w:r>
      <w:r>
        <w:rPr>
          <w:color w:val="000000"/>
        </w:rPr>
        <w:t xml:space="preserve"> </w:t>
      </w:r>
      <w:r>
        <w:rPr>
          <w:rFonts w:ascii="Times New Roman;serif" w:hAnsi="Times New Roman;serif"/>
          <w:b w:val="false"/>
          <w:color w:val="000000"/>
          <w:sz w:val="20"/>
        </w:rPr>
        <w:t>of </w:t>
      </w:r>
      <w:r>
        <w:rPr>
          <w:rFonts w:ascii="Times New Roman;serif" w:hAnsi="Times New Roman;serif"/>
          <w:b w:val="false"/>
          <w:i/>
          <w:color w:val="000000"/>
          <w:sz w:val="20"/>
        </w:rPr>
        <w:t>Premier Protein</w:t>
      </w:r>
      <w:r>
        <w:rPr>
          <w:color w:val="000000"/>
        </w:rPr>
        <w:t> </w:t>
      </w:r>
      <w:r>
        <w:rPr>
          <w:rFonts w:ascii="Times New Roman;serif" w:hAnsi="Times New Roman;serif"/>
          <w:b w:val="false"/>
          <w:color w:val="000000"/>
          <w:sz w:val="20"/>
        </w:rPr>
        <w:t>products were up $3.1 million, or</w:t>
      </w:r>
      <w:r>
        <w:rPr>
          <w:color w:val="EE2724"/>
        </w:rPr>
        <w:t> </w:t>
      </w:r>
      <w:r>
        <w:rPr>
          <w:rFonts w:ascii="Times New Roman;serif" w:hAnsi="Times New Roman;serif"/>
          <w:b w:val="false"/>
          <w:color w:val="000000"/>
          <w:sz w:val="20"/>
        </w:rPr>
        <w:t>1%, on 2% higher volumes and partially offset by lower average net selling prices. Volumes rose primarily due to distribution gains. Average net selling prices decreased due to incremental promotional investment. Sal</w:t>
      </w:r>
      <w:r>
        <w:rPr>
          <w:rFonts w:ascii="Times New Roman;serif" w:hAnsi="Times New Roman;serif"/>
          <w:b w:val="false"/>
          <w:color w:val="000000"/>
          <w:sz w:val="20"/>
          <w:shd w:fill="FFFFFF" w:val="clear"/>
        </w:rPr>
        <w:t>es o</w:t>
      </w:r>
      <w:r>
        <w:rPr>
          <w:rFonts w:ascii="Times New Roman;serif" w:hAnsi="Times New Roman;serif"/>
          <w:b w:val="false"/>
          <w:color w:val="000000"/>
          <w:sz w:val="20"/>
        </w:rPr>
        <w:t>f </w:t>
      </w:r>
      <w:r>
        <w:rPr>
          <w:rFonts w:ascii="Times New Roman;serif" w:hAnsi="Times New Roman;serif"/>
          <w:b w:val="false"/>
          <w:i/>
          <w:color w:val="000000"/>
          <w:sz w:val="20"/>
        </w:rPr>
        <w:t>Dymatize</w:t>
      </w:r>
      <w:r>
        <w:rPr>
          <w:color w:val="000000"/>
        </w:rPr>
        <w:t> </w:t>
      </w:r>
      <w:r>
        <w:rPr>
          <w:rFonts w:ascii="Times New Roman;serif" w:hAnsi="Times New Roman;serif"/>
          <w:b w:val="false"/>
          <w:color w:val="000000"/>
          <w:sz w:val="20"/>
        </w:rPr>
        <w:t xml:space="preserve">products were up $18.5 million, or 27%, driven by 21% higher average net selling prices and higher volumes. Average net selling prices increased primarily due to targeted price increases. Volume increases were driven by international distribution gains. Sales of </w:t>
      </w:r>
      <w:r>
        <w:rPr>
          <w:rFonts w:ascii="Times New Roman;serif" w:hAnsi="Times New Roman;serif"/>
          <w:b w:val="false"/>
          <w:color w:val="000000"/>
          <w:sz w:val="20"/>
          <w:shd w:fill="FFFFFF" w:val="clear"/>
        </w:rPr>
        <w:t xml:space="preserve">all other products </w:t>
      </w:r>
      <w:r>
        <w:rPr>
          <w:rFonts w:ascii="Times New Roman;serif" w:hAnsi="Times New Roman;serif"/>
          <w:b w:val="false"/>
          <w:color w:val="000000"/>
          <w:sz w:val="20"/>
        </w:rPr>
        <w:t>were up $1.3 million.</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Net s</w:t>
      </w:r>
      <w:r>
        <w:rPr>
          <w:rFonts w:ascii="Times New Roman;serif" w:hAnsi="Times New Roman;serif"/>
          <w:b w:val="false"/>
          <w:color w:val="000000"/>
          <w:sz w:val="20"/>
        </w:rPr>
        <w:t>ales increased $38.0 million, or 2%, du</w:t>
      </w:r>
      <w:r>
        <w:rPr>
          <w:rFonts w:ascii="Times New Roman;serif" w:hAnsi="Times New Roman;serif"/>
          <w:b w:val="false"/>
          <w:color w:val="000000"/>
          <w:sz w:val="20"/>
          <w:shd w:fill="FFFFFF" w:val="clear"/>
        </w:rPr>
        <w:t>ring the nine months ended June 30, 2026 compared to the prior year period. Sales</w:t>
      </w:r>
      <w:r>
        <w:rPr>
          <w:color w:val="000000"/>
        </w:rPr>
        <w:t xml:space="preserve"> </w:t>
      </w:r>
      <w:r>
        <w:rPr>
          <w:rFonts w:ascii="Times New Roman;serif" w:hAnsi="Times New Roman;serif"/>
          <w:b w:val="false"/>
          <w:color w:val="000000"/>
          <w:sz w:val="20"/>
        </w:rPr>
        <w:t>of </w:t>
      </w:r>
      <w:r>
        <w:rPr>
          <w:rFonts w:ascii="Times New Roman;serif" w:hAnsi="Times New Roman;serif"/>
          <w:b w:val="false"/>
          <w:i/>
          <w:color w:val="000000"/>
          <w:sz w:val="20"/>
        </w:rPr>
        <w:t>Premier Protein</w:t>
      </w:r>
      <w:r>
        <w:rPr>
          <w:color w:val="000000"/>
        </w:rPr>
        <w:t> </w:t>
      </w:r>
      <w:r>
        <w:rPr>
          <w:rFonts w:ascii="Times New Roman;serif" w:hAnsi="Times New Roman;serif"/>
          <w:b w:val="false"/>
          <w:color w:val="000000"/>
          <w:sz w:val="20"/>
        </w:rPr>
        <w:t>products were up $6.4 million, or less than 1%, on 5% higher volumes and partially offset by lower average net selling prices. Volumes increased primarily due to increased promotional activity and distribution gains. Average net selling prices decreased due to incremental promotional investment and unfavorable mix. Sal</w:t>
      </w:r>
      <w:r>
        <w:rPr>
          <w:rFonts w:ascii="Times New Roman;serif" w:hAnsi="Times New Roman;serif"/>
          <w:b w:val="false"/>
          <w:color w:val="000000"/>
          <w:sz w:val="20"/>
          <w:shd w:fill="FFFFFF" w:val="clear"/>
        </w:rPr>
        <w:t>es o</w:t>
      </w:r>
      <w:r>
        <w:rPr>
          <w:rFonts w:ascii="Times New Roman;serif" w:hAnsi="Times New Roman;serif"/>
          <w:b w:val="false"/>
          <w:color w:val="000000"/>
          <w:sz w:val="20"/>
        </w:rPr>
        <w:t>f </w:t>
      </w:r>
      <w:r>
        <w:rPr>
          <w:rFonts w:ascii="Times New Roman;serif" w:hAnsi="Times New Roman;serif"/>
          <w:b w:val="false"/>
          <w:i/>
          <w:color w:val="000000"/>
          <w:sz w:val="20"/>
        </w:rPr>
        <w:t>Dymatize</w:t>
      </w:r>
      <w:r>
        <w:rPr>
          <w:color w:val="000000"/>
        </w:rPr>
        <w:t> </w:t>
      </w:r>
      <w:r>
        <w:rPr>
          <w:rFonts w:ascii="Times New Roman;serif" w:hAnsi="Times New Roman;serif"/>
          <w:b w:val="false"/>
          <w:color w:val="000000"/>
          <w:sz w:val="20"/>
        </w:rPr>
        <w:t xml:space="preserve">products were up $27.1 million, or 14%, driven by 9% higher volumes and higher average net selling prices. Volumes increased primarily due to international business growth. In addition, average net selling prices increased due to targeted price increases. Sales of </w:t>
      </w:r>
      <w:r>
        <w:rPr>
          <w:rFonts w:ascii="Times New Roman;serif" w:hAnsi="Times New Roman;serif"/>
          <w:b w:val="false"/>
          <w:color w:val="000000"/>
          <w:sz w:val="20"/>
          <w:shd w:fill="FFFFFF" w:val="clear"/>
        </w:rPr>
        <w:t xml:space="preserve">all other products </w:t>
      </w:r>
      <w:r>
        <w:rPr>
          <w:rFonts w:ascii="Times New Roman;serif" w:hAnsi="Times New Roman;serif"/>
          <w:b w:val="false"/>
          <w:color w:val="000000"/>
          <w:sz w:val="20"/>
        </w:rPr>
        <w:t>were up $4.5 million.</w:t>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Profit</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Operating pro</w:t>
      </w:r>
      <w:r>
        <w:rPr>
          <w:rFonts w:ascii="Times New Roman;serif" w:hAnsi="Times New Roman;serif"/>
          <w:b w:val="false"/>
          <w:color w:val="000000"/>
          <w:sz w:val="20"/>
        </w:rPr>
        <w:t>fit increased $20.6 million, or 46%, d</w:t>
      </w:r>
      <w:r>
        <w:rPr>
          <w:rFonts w:ascii="Times New Roman;serif" w:hAnsi="Times New Roman;serif"/>
          <w:b w:val="false"/>
          <w:color w:val="000000"/>
          <w:sz w:val="20"/>
          <w:shd w:fill="FFFFFF" w:val="clear"/>
        </w:rPr>
        <w:t>uring the three months ended June 30, 2026, compared to the prior year period. This</w:t>
      </w:r>
      <w:r>
        <w:rPr>
          <w:color w:val="000000"/>
        </w:rPr>
        <w:t xml:space="preserve"> </w:t>
      </w:r>
      <w:r>
        <w:rPr>
          <w:rFonts w:ascii="Times New Roman;serif" w:hAnsi="Times New Roman;serif"/>
          <w:b w:val="false"/>
          <w:color w:val="000000"/>
          <w:sz w:val="20"/>
        </w:rPr>
        <w:t>increase w</w:t>
      </w:r>
      <w:r>
        <w:rPr>
          <w:rFonts w:ascii="Times New Roman;serif" w:hAnsi="Times New Roman;serif"/>
          <w:b w:val="false"/>
          <w:color w:val="000000"/>
          <w:sz w:val="20"/>
          <w:shd w:fill="FFFFFF" w:val="clear"/>
        </w:rPr>
        <w:t>as primarily attributable to a $68.1 million provision for legal matters in the prior year period, and higher net sales, as previously discussed. These impacts were partially offset by higher net product costs of $48.6 million, increased advertising expenses of $6.7 million, and $5.4 million of reorganization charges. Higher net product costs were primarily driven by higher raw material, manufacturing, and freight costs, including a $10.0 million charge related to a finished products inventory reserve.</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Operating pro</w:t>
      </w:r>
      <w:r>
        <w:rPr>
          <w:rFonts w:ascii="Times New Roman;serif" w:hAnsi="Times New Roman;serif"/>
          <w:b w:val="false"/>
          <w:color w:val="000000"/>
          <w:sz w:val="20"/>
        </w:rPr>
        <w:t>fit decreased $45.3 million, or 18%, d</w:t>
      </w:r>
      <w:r>
        <w:rPr>
          <w:rFonts w:ascii="Times New Roman;serif" w:hAnsi="Times New Roman;serif"/>
          <w:b w:val="false"/>
          <w:color w:val="000000"/>
          <w:sz w:val="20"/>
          <w:shd w:fill="FFFFFF" w:val="clear"/>
        </w:rPr>
        <w:t>uring the nine months ended June 30, 2026 compared to the prior year period. This</w:t>
      </w:r>
      <w:r>
        <w:rPr>
          <w:color w:val="000000"/>
        </w:rPr>
        <w:t xml:space="preserve"> </w:t>
      </w:r>
      <w:r>
        <w:rPr>
          <w:rFonts w:ascii="Times New Roman;serif" w:hAnsi="Times New Roman;serif"/>
          <w:b w:val="false"/>
          <w:color w:val="000000"/>
          <w:sz w:val="20"/>
        </w:rPr>
        <w:t>decrease w</w:t>
      </w:r>
      <w:r>
        <w:rPr>
          <w:rFonts w:ascii="Times New Roman;serif" w:hAnsi="Times New Roman;serif"/>
          <w:b w:val="false"/>
          <w:color w:val="000000"/>
          <w:sz w:val="20"/>
          <w:shd w:fill="FFFFFF" w:val="clear"/>
        </w:rPr>
        <w:t>as primarily driven by higher net product costs of $94.3 million, increased advertising expenses of $12.7 million, and $5.9 million of reorganization charges. Higher net product costs were primarily driven by higher manufacturing, raw material, and freight costs, including an $11.3 million inventory-related charge associated with a third-party supplied ingredient that did not meet our quality requirements and a $10.0 million charge related to a finished products inventory reserve. These higher net product costs were partially offset by a $30.9 million favorable change in (gains) losses on commodity derivatives. The negative impacts on operating profit were partially offset by a $69.0 million provision for legal matters in the prior year period, and higher net sales, as previously discussed.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Interest Expense, Net</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Interest expense, net</w:t>
      </w:r>
      <w:r>
        <w:rPr>
          <w:color w:val="000000"/>
        </w:rPr>
        <w:t xml:space="preserve"> </w:t>
      </w:r>
      <w:r>
        <w:rPr>
          <w:rFonts w:ascii="Times New Roman;serif" w:hAnsi="Times New Roman;serif"/>
          <w:b w:val="false"/>
          <w:color w:val="000000"/>
          <w:sz w:val="20"/>
        </w:rPr>
        <w:t>increased $1.5 million during the three months ended June 30, 2026 compared to the prior year period primarily due to higher outstanding borrowings under our Revolving Credit Facility (as defined in “Liquidity and Capital Resources” below). The weighted-average interest rate on our total outstanding debt was</w:t>
      </w:r>
      <w:r>
        <w:rPr>
          <w:color w:val="EE2724"/>
        </w:rPr>
        <w:t xml:space="preserve"> </w:t>
      </w:r>
      <w:r>
        <w:rPr>
          <w:rFonts w:ascii="Times New Roman;serif" w:hAnsi="Times New Roman;serif"/>
          <w:b w:val="false"/>
          <w:color w:val="000000"/>
          <w:sz w:val="20"/>
        </w:rPr>
        <w:t xml:space="preserve">6.7% and 7.4% for the three months ended June 30, 2026 and 2025, respectively. </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Interest expense, net</w:t>
      </w:r>
      <w:r>
        <w:rPr>
          <w:color w:val="000000"/>
        </w:rPr>
        <w:t xml:space="preserve"> </w:t>
      </w:r>
      <w:r>
        <w:rPr>
          <w:rFonts w:ascii="Times New Roman;serif" w:hAnsi="Times New Roman;serif"/>
          <w:b w:val="false"/>
          <w:color w:val="000000"/>
          <w:sz w:val="20"/>
        </w:rPr>
        <w:t>increased $10.7 million during the nine months ended June 30, 2026 compared to the prior year period primarily due to higher outstanding borrowings under our Revolving Credit Facility. The weighted-average interest rate on our total outstanding debt was 6.7% and 7.2% for the nine months ended June 30, 2026 and 2025, respectively. See Note 12 within “Notes to Condensed Consolidated Financial Statements” for additional information on our debt.</w:t>
      </w:r>
    </w:p>
    <w:p>
      <w:pPr>
        <w:pStyle w:val="TextBody"/>
        <w:bidi w:val="0"/>
        <w:spacing w:lineRule="auto" w:line="288" w:before="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Income Tax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income tax rate was 24.8% and 20.5% for the three months ended June 30, 2026 and 2025, respectively, and 25.4% and 23.9% for the nine months ended June 30, 2026 and 2025, respectively. The increase in our effective income tax rate during the three months ended June 30, 2026, compared to the prior year period was primarily due to discrete tax benefits recognized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ind w:left="0" w:right="0" w:firstLine="360"/>
        <w:jc w:val="both"/>
        <w:rPr/>
      </w:pPr>
      <w:r>
        <w:rPr>
          <w:rFonts w:ascii="Times New Roman;serif" w:hAnsi="Times New Roman;serif"/>
          <w:b w:val="false"/>
          <w:color w:val="000000"/>
          <w:sz w:val="20"/>
        </w:rPr>
        <w:t>During the</w:t>
      </w:r>
      <w:r>
        <w:rPr>
          <w:color w:val="000000"/>
          <w:shd w:fill="FFFFFF" w:val="clear"/>
        </w:rPr>
        <w:t xml:space="preserve"> </w:t>
      </w:r>
      <w:r>
        <w:rPr>
          <w:rFonts w:ascii="Times New Roman;serif" w:hAnsi="Times New Roman;serif"/>
          <w:b w:val="false"/>
          <w:color w:val="000000"/>
          <w:sz w:val="20"/>
        </w:rPr>
        <w:t xml:space="preserve">nine months ended June 30, 2026, we borrowed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and repaid </w:t>
      </w:r>
      <w:r>
        <w:rPr>
          <w:rFonts w:ascii="Times New Roman;serif" w:hAnsi="Times New Roman;serif"/>
          <w:b w:val="false"/>
          <w:color w:val="000000"/>
          <w:sz w:val="20"/>
          <w:shd w:fill="FFFFFF" w:val="clear"/>
        </w:rPr>
        <w:t>$275.0 million</w:t>
      </w:r>
      <w:r>
        <w:rPr>
          <w:color w:val="000000"/>
        </w:rPr>
        <w:t xml:space="preserve"> </w:t>
      </w:r>
      <w:r>
        <w:rPr>
          <w:rFonts w:ascii="Times New Roman;serif" w:hAnsi="Times New Roman;serif"/>
          <w:b w:val="false"/>
          <w:color w:val="000000"/>
          <w:sz w:val="20"/>
        </w:rPr>
        <w:t xml:space="preserve">under our revolving credit facility, which is provided for under our amended credit agreement (the "Credit Agreement") in an aggregate principal amount of $500.0 million (the "Revolving Credit Facility"). As of June 30, 2026, we had </w:t>
      </w:r>
      <w:r>
        <w:rPr>
          <w:rFonts w:ascii="Times New Roman;serif" w:hAnsi="Times New Roman;serif"/>
          <w:b w:val="false"/>
          <w:color w:val="000000"/>
          <w:sz w:val="20"/>
          <w:shd w:fill="FFFFFF" w:val="clear"/>
        </w:rPr>
        <w:t xml:space="preserve">$197.6 million of available borrowing capacity, taking into account the </w:t>
      </w:r>
      <w:r>
        <w:rPr>
          <w:rFonts w:ascii="Times New Roman;serif" w:hAnsi="Times New Roman;serif"/>
          <w:b w:val="false"/>
          <w:color w:val="000000"/>
          <w:sz w:val="20"/>
        </w:rPr>
        <w:t>$2.4 million</w:t>
      </w:r>
      <w:r>
        <w:rPr>
          <w:color w:val="000000"/>
          <w:shd w:fill="FFFFFF" w:val="clear"/>
        </w:rPr>
        <w:t xml:space="preserve"> </w:t>
      </w:r>
      <w:r>
        <w:rPr>
          <w:rFonts w:ascii="Times New Roman;serif" w:hAnsi="Times New Roman;serif"/>
          <w:b w:val="false"/>
          <w:color w:val="000000"/>
          <w:sz w:val="20"/>
          <w:shd w:fill="FFFFFF" w:val="clear"/>
        </w:rPr>
        <w:t>letters of credit outstanding under the Revolving Credit Facility, which reduce the amount available for borrowing under the Revolving Credit Facility</w:t>
      </w:r>
      <w:r>
        <w:rPr>
          <w:rFonts w:ascii="Times New Roman;serif" w:hAnsi="Times New Roman;serif"/>
          <w:b w:val="false"/>
          <w:color w:val="000000"/>
          <w:sz w:val="20"/>
        </w:rPr>
        <w:t>.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During the nine months ended June 30, 2026,</w:t>
      </w:r>
      <w:r>
        <w:rPr>
          <w:color w:val="000000"/>
          <w:shd w:fill="FFFFFF" w:val="clear"/>
        </w:rPr>
        <w:t xml:space="preserve"> </w:t>
      </w:r>
      <w:r>
        <w:rPr>
          <w:rFonts w:ascii="Times New Roman;serif" w:hAnsi="Times New Roman;serif"/>
          <w:b w:val="false"/>
          <w:color w:val="000000"/>
          <w:sz w:val="20"/>
          <w:shd w:fill="FFFFFF" w:val="clear"/>
        </w:rPr>
        <w:t>we repurchas</w:t>
      </w:r>
      <w:r>
        <w:rPr>
          <w:rFonts w:ascii="Times New Roman;serif" w:hAnsi="Times New Roman;serif"/>
          <w:b w:val="false"/>
          <w:color w:val="000000"/>
          <w:sz w:val="20"/>
        </w:rPr>
        <w:t>ed 4.9 million shares of our common stock at an average share price of $27.41 per share and at a total cost, including any accrued excise tax and broker’s commissions, of $134.5 million. In addition, during the nine months ended June 30, 2026, we paid $3.9 million of excise tax that related to fiscal 2025 share repurchases.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generate positive cash flows from operations over the next twelve months and believe our cash on hand, cash flows from operations and available borrowing capacity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Short-term financing needs primarily consist of working capital requirements, interest payments on our 7.00% senior notes maturing in March 2030 (the “7.00% Senior Notes”) and on outstanding borrowings under our Revolving Credit Facility and payments on our provision for legal matters, which we currently expect to make during the three months ended September 30, 2026. Long-term financing needs include the repayment of our 7.00% Senior Notes and outstanding borrowings under our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 cash flow data, which is discussed below.</w:t>
      </w:r>
    </w:p>
    <w:tbl>
      <w:tblPr>
        <w:tblW w:w="8513" w:type="dxa"/>
        <w:jc w:val="left"/>
        <w:tblInd w:w="0" w:type="dxa"/>
        <w:tblLayout w:type="fixed"/>
        <w:tblCellMar>
          <w:top w:w="28" w:type="dxa"/>
          <w:left w:w="28" w:type="dxa"/>
          <w:bottom w:w="28" w:type="dxa"/>
          <w:right w:w="28" w:type="dxa"/>
        </w:tblCellMar>
      </w:tblPr>
      <w:tblGrid>
        <w:gridCol w:w="2287"/>
        <w:gridCol w:w="2009"/>
        <w:gridCol w:w="2033"/>
        <w:gridCol w:w="211"/>
        <w:gridCol w:w="586"/>
        <w:gridCol w:w="109"/>
        <w:gridCol w:w="109"/>
        <w:gridCol w:w="109"/>
        <w:gridCol w:w="109"/>
        <w:gridCol w:w="211"/>
        <w:gridCol w:w="58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45"/>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Cash provided by operating activities for the nine months ended June 30, 2026 </w:t>
      </w:r>
      <w:r>
        <w:rPr>
          <w:rFonts w:ascii="Times New Roman;serif" w:hAnsi="Times New Roman;serif"/>
          <w:b w:val="false"/>
          <w:color w:val="000000"/>
          <w:sz w:val="20"/>
        </w:rPr>
        <w:t xml:space="preserve">decreased $26.5 million compared to the prior year period. </w:t>
      </w:r>
      <w:r>
        <w:rPr>
          <w:rFonts w:ascii="Times New Roman;serif" w:hAnsi="Times New Roman;serif"/>
          <w:b w:val="false"/>
          <w:color w:val="000000"/>
          <w:sz w:val="20"/>
          <w:shd w:fill="FFFFFF" w:val="clear"/>
        </w:rPr>
        <w:t>This decrease was primarily</w:t>
      </w:r>
      <w:r>
        <w:rPr>
          <w:color w:val="000000"/>
        </w:rPr>
        <w:t xml:space="preserve"> </w:t>
      </w:r>
      <w:r>
        <w:rPr>
          <w:rFonts w:ascii="Times New Roman;serif" w:hAnsi="Times New Roman;serif"/>
          <w:b w:val="false"/>
          <w:color w:val="000000"/>
          <w:sz w:val="20"/>
        </w:rPr>
        <w:t>due to lower net earnings, which included noncash gains and losses from commodity derivative remeasurement, higher investment in inventory in the current year, and cash outflows related to other assets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These impacts were partially offset by </w:t>
      </w:r>
      <w:r>
        <w:rPr>
          <w:rFonts w:ascii="Times New Roman;serif" w:hAnsi="Times New Roman;serif"/>
          <w:b w:val="false"/>
          <w:color w:val="000000"/>
          <w:sz w:val="20"/>
          <w:shd w:fill="FFFFFF" w:val="clear"/>
        </w:rPr>
        <w:t>a favorable year-over-year change in deferred income taxes,</w:t>
      </w:r>
      <w:r>
        <w:rPr>
          <w:color w:val="EE2724"/>
        </w:rPr>
        <w:t xml:space="preserve"> </w:t>
      </w:r>
      <w:r>
        <w:rPr>
          <w:rFonts w:ascii="Times New Roman;serif" w:hAnsi="Times New Roman;serif"/>
          <w:b w:val="false"/>
          <w:color w:val="000000"/>
          <w:sz w:val="20"/>
        </w:rPr>
        <w:t>fluctuations in the timing of collections of trade receivables, and lower use of cash for prepaid expenses and other current assets compared to the prior year.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Cash used in investing activities for the </w:t>
      </w:r>
      <w:r>
        <w:rPr>
          <w:rFonts w:ascii="Times New Roman;serif" w:hAnsi="Times New Roman;serif"/>
          <w:b w:val="false"/>
          <w:color w:val="000000"/>
          <w:sz w:val="20"/>
        </w:rPr>
        <w:t>nine months ended June 30, 2026</w:t>
      </w:r>
      <w:r>
        <w:rPr>
          <w:color w:val="000000"/>
          <w:shd w:fill="FFFFFF" w:val="clear"/>
        </w:rPr>
        <w:t xml:space="preserv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$4.4 million compared to the prior year period</w:t>
      </w:r>
      <w:r>
        <w:rPr>
          <w:color w:val="000000"/>
          <w:shd w:fill="FFFFFF" w:val="clear"/>
        </w:rPr>
        <w:t xml:space="preserve"> </w:t>
      </w:r>
      <w:r>
        <w:rPr>
          <w:rFonts w:ascii="Times New Roman;serif" w:hAnsi="Times New Roman;serif"/>
          <w:b w:val="false"/>
          <w:color w:val="000000"/>
          <w:sz w:val="20"/>
          <w:shd w:fill="FFFFFF" w:val="clear"/>
        </w:rPr>
        <w:t>driven by an increase in capital expenditures.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Cash used in financing activities for the nine months ended June 30, 2026 </w:t>
      </w:r>
      <w:r>
        <w:rPr>
          <w:rFonts w:ascii="Times New Roman;serif" w:hAnsi="Times New Roman;serif"/>
          <w:b w:val="false"/>
          <w:color w:val="000000"/>
          <w:sz w:val="20"/>
        </w:rPr>
        <w:t xml:space="preserve">decreased $8.9 million compared to the prior year period, driven by lower payments of $130.7 million, including broker’s commissions, for the repurchase of our common stock, and lower </w:t>
      </w:r>
      <w:bookmarkStart w:id="2" w:name="i554b4b7a559e480680faac345838689b_7225"/>
      <w:bookmarkEnd w:id="2"/>
      <w:r>
        <w:rPr>
          <w:rFonts w:ascii="Times New Roman;serif" w:hAnsi="Times New Roman;serif"/>
          <w:b w:val="false"/>
          <w:color w:val="000000"/>
          <w:sz w:val="20"/>
        </w:rPr>
        <w:t>tax withholding payments related to stock compensation plans of $3.2 million. These drivers were partially offset by lower net borrowings of $125.0 million under our Revolving Credit Facility.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Debt Covenants</w:t>
      </w:r>
    </w:p>
    <w:p>
      <w:pPr>
        <w:pStyle w:val="TextBody"/>
        <w:bidi w:val="0"/>
        <w:spacing w:lineRule="auto" w:line="288" w:before="0" w:after="120"/>
        <w:ind w:left="0" w:right="0" w:firstLine="360"/>
        <w:jc w:val="both"/>
        <w:rPr/>
      </w:pPr>
      <w:r>
        <w:rPr>
          <w:rFonts w:ascii="Times New Roman;serif" w:hAnsi="Times New Roman;serif"/>
          <w:b w:val="false"/>
          <w:color w:val="000000"/>
          <w:sz w:val="20"/>
          <w:shd w:fill="FFFFFF" w:val="clear"/>
        </w:rPr>
        <w:t xml:space="preserve">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w:t>
      </w:r>
      <w:r>
        <w:rPr>
          <w:rFonts w:ascii="Times New Roman;serif" w:hAnsi="Times New Roman;serif"/>
          <w:b w:val="false"/>
          <w:color w:val="000000"/>
          <w:sz w:val="20"/>
        </w:rPr>
        <w:t xml:space="preserve">6.00:1.00, measured as of the last day of each fiscal quarter. We were in compliance with the financial covenant as of </w:t>
      </w:r>
      <w:r>
        <w:rPr>
          <w:rFonts w:ascii="Times New Roman;serif" w:hAnsi="Times New Roman;serif"/>
          <w:b w:val="false"/>
          <w:color w:val="000000"/>
          <w:sz w:val="20"/>
          <w:shd w:fill="FFFFFF" w:val="clear"/>
        </w:rPr>
        <w:t>June 30, 2026, and we do not believe non-compliance is reasonably likely in the foreseeable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more fully described in our Annual Report on Form 10-K for the year ended September 30, 2025, as filed with the Securities and Exchange Commission (the “SEC”) on November 18, 2025. There have been no significant changes to our critical accounting estimates since September 30, 2025. </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within “Notes to Condensed Consolidated Financial Statements” for a discussion regarding recently issued accounting standards.</w: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CAUTIONARY STATEMENT ON FORWARD-LOOKING STATEMENTS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Forward-looking statements, within the meaning of Section 27A of the Securities Act of 1933, as amended, and Section 21E of the Exchange Act, are made throughout this report, including statements regarding </w:t>
      </w:r>
      <w:r>
        <w:rPr>
          <w:rFonts w:ascii="Times New Roman;serif" w:hAnsi="Times New Roman;serif"/>
          <w:b w:val="false"/>
          <w:color w:val="000000"/>
          <w:sz w:val="20"/>
          <w:shd w:fill="FFFFFF" w:val="clear"/>
        </w:rPr>
        <w:t>unanticipated developments that negatively impact our common stock. T</w:t>
      </w:r>
      <w:r>
        <w:rPr>
          <w:rFonts w:ascii="Times New Roman;serif" w:hAnsi="Times New Roman;serif"/>
          <w:b w:val="false"/>
          <w:color w:val="000000"/>
          <w:sz w:val="20"/>
        </w:rPr>
        <w:t xml:space="preserve">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dependence on sales from our RTD protein shakes;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continue to compete in our product categories and our ability to retain our market position and favorable perceptions of our brands;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dependence on third-party contract manufacturers for the manufacture of most of our products, including one manufacturer for nearly half of our RTD protein shakes;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our third-party contract manufacturers to produce an amount of our products that enables us to meet customer and consumer demand for the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reliance on a limited number of third-party suppliers to provide certain ingredients and packaging;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 volatility in the cost or availability of inputs to our business (including freight, raw materials, packaging, energy, labor and other supplies), including as a result of tariffs or inflationary pressures;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anticipate and respond to changes in consumer and customer preferences and behaviors and introduce new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expand existing market penetration and enter into new markets;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consolidation in our distribution channels;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loss of, a significant reduction of purchases by or the bankruptcy of a major customer;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our business due to changes in our promotional activities and seasonality;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maintain the net selling prices of our products and manage promotional activities with respect to our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obtain additional financing (including both secured and unsecured debt) and our ability to service our outstanding debt (including covenants that restrict the operation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ultimate impact litigation or other regulatory matters may have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accuracy of our market data and attributes and related information;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critical accounting estimates;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uncertain or unfavorable economic conditions that limit customer and consumer demand for our products or increase our costs;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risks related to our ongoing relationship with Post Holdings, Inc. (“Post”) following our separation from Post and Post’s distribution of our stock to its shareholders (the “Spin-off”), including our obligations under various agreements with Post;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conflicting interests or the appearance of conflicting interests resulting from certain of our directors also serving as officers and/or directors of Post;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risks related to the previously completed Spin-off;</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risks associated with our international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protect our intellectual property and other assets and to continue to use third-party intellectual property subject to intellectual property licenses;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costs, business disruptions and reputational damage associated with technology failures, cybersecurity incidents and corruption of our data privacy protections;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impairment in the carrying value of goodwill or other intangible assets or other long-lived 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identify, complete and integrate or otherwise effectively execute acquisitions or other strategic transactions and effectively manage our growth;</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hire and retain talented personnel, employee absenteeism, labor strikes, work stoppages or unionization efforts;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satisfy the requirements of Section 404 of the Sarbanes-Oxley Act of 2002;</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 differences in our actual operating results from any guidance we may give regarding our performance;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other risks and uncertainties included under “Risk Factors” in this report and in our Annual Report on Form 10-K for the fiscal year ended September 30, 2025, filed with the SEC on November 18,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is exposed to commodity price risks relating to the purchases of raw materials. The Company may use futures, option, and swap contracts to manage certain of these exposures when it is practical to do so. A hypothetical 10% adverse change in the underlying market prices of the Company’s principal hedged commodity (non-fat dry milk), reflecting the sensitivity of the Company’s outstanding derivative positions to changes in commodity prices, would have changed the fair value of the Company’s commodity-related derivatives portfolio by approximately $12 million as of June 30, 2026 and September 30, 2025, respectively. This volatility analysis ignores changes in the exposures inherent in the underlying hedged transactions. Because the Company does not hold or trade derivatives for speculation or profit, all changes in derivative values are effectively offset by corresponding changes in the underlying commodity exposures.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the Company’s commodity contracts, see Note 10 within “Notes to Condensed Consolidated Financial Statements.”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Related to Active Nutrition International GmbH, a subsidiary of the Company whose functional currency is the Euro, the Company is exposed to risks of fluctuations in future cash flows and earnings due to changes in foreign currency exchange rates. Related to Premier Nutrition Company, LLC, a subsidiary of the Company whose functional currency is the U.S. Dollar, the Company is exposed to foreign currency transactional risk as it sells to certain customers in Canadian dollars (“CAD”).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foreign currency balance sheet exposures as a result of these CAD transactions are not expected to result in a significant impact on future earnings or cash flows.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20"/>
        <w:ind w:left="0" w:right="0" w:firstLine="360"/>
        <w:jc w:val="both"/>
        <w:rPr/>
      </w:pPr>
      <w:r>
        <w:rPr>
          <w:rFonts w:ascii="Times New Roman;serif" w:hAnsi="Times New Roman;serif"/>
          <w:b w:val="false"/>
          <w:color w:val="000000"/>
          <w:sz w:val="20"/>
        </w:rPr>
        <w:t>As of both June 30, 2026 and September 30, 2025, the Company had outstanding principal value indebtedness of</w:t>
      </w:r>
      <w:r>
        <w:rPr>
          <w:color w:val="EE2724"/>
        </w:rPr>
        <w:t xml:space="preserve"> </w:t>
      </w:r>
      <w:r>
        <w:rPr>
          <w:rFonts w:ascii="Times New Roman;serif" w:hAnsi="Times New Roman;serif"/>
          <w:b w:val="false"/>
          <w:color w:val="000000"/>
          <w:sz w:val="20"/>
        </w:rPr>
        <w:t>$840.0 million related to its 7.00% Senior Notes. Additionally, the Company had outstanding borrowings of $300.0 million and $250.0 million under its Revolving Credit Facility as of June 30, 2026 and September 30, 2025, respectively. Borrowings under the Revolving Credit Facility had a variable interest rate of 5.62%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6.14%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September 30, 2025, respectively</w:t>
      </w:r>
      <w:r>
        <w:rPr>
          <w:rFonts w:ascii="Times New Roman;serif" w:hAnsi="Times New Roman;serif"/>
          <w:b w:val="false"/>
          <w:color w:val="000000"/>
          <w:sz w:val="20"/>
          <w:shd w:fill="FFFFFF" w:val="clear"/>
        </w:rPr>
        <w: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September 30, 2025, the fair value of the Company’s debt, excluding any borrowings under its Revolving Credit Facility, was $840.2 million and $869.0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changed the fair value of the fixed rate debt by approximately $12 million and $5 million as of June 30, 2026 and September 30, 2025, respectively. A hypothetical 10% increase in interest rates would have had an immaterial impact on both interest expense and interest paid during the three and nine months ended June 30, 2026 and 2025, respectively. For additional information regarding the Company’s debt, see Note 12 within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Evaluation of Disclosure Controls and Procedures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Changes in Internal Control Over Financial Reporting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significant changes in the Company’s internal control over financial reporting during the quarter ended June 30,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under this Item 1 is set forth in Note 13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elsewhere in this Quarterly Report on Form 10-Q (the “Quarterly Report”), you should carefully consider the risk factors we previously disclosed in our Annual Report on Form 10-K, filed with the SEC on November 18, 2025, as of and for the year ended September 30, 2025 (the “Annual Report”). You should also carefully consider the risk factor update we previously disclosed in our Quarterly Report on Form 10-Q for the quarter ended March 31, 2026, filed with the SEC on May 5, 2026 (the "Previous Quarterly Report"). As of the date of this Quarterly Report, other than as set forth above, there have been no material changes to the risk factors previously disclosed in the Annual Report and the Previous Quarterly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repurchases of shares of our common stock during the three months ended June 30, 2026 and our common stock repurchase authorization.</w:t>
      </w:r>
    </w:p>
    <w:tbl>
      <w:tblPr>
        <w:tblW w:w="10205" w:type="dxa"/>
        <w:jc w:val="left"/>
        <w:tblInd w:w="0" w:type="dxa"/>
        <w:tblLayout w:type="fixed"/>
        <w:tblCellMar>
          <w:top w:w="28" w:type="dxa"/>
          <w:left w:w="28" w:type="dxa"/>
          <w:bottom w:w="28" w:type="dxa"/>
          <w:right w:w="28" w:type="dxa"/>
        </w:tblCellMar>
      </w:tblPr>
      <w:tblGrid>
        <w:gridCol w:w="406"/>
        <w:gridCol w:w="357"/>
        <w:gridCol w:w="359"/>
        <w:gridCol w:w="618"/>
        <w:gridCol w:w="491"/>
        <w:gridCol w:w="493"/>
        <w:gridCol w:w="567"/>
        <w:gridCol w:w="436"/>
        <w:gridCol w:w="438"/>
        <w:gridCol w:w="956"/>
        <w:gridCol w:w="860"/>
        <w:gridCol w:w="863"/>
        <w:gridCol w:w="1275"/>
        <w:gridCol w:w="858"/>
        <w:gridCol w:w="1228"/>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 (a)</w:t>
            </w:r>
          </w:p>
        </w:tc>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 (b)</w:t>
            </w:r>
          </w:p>
        </w:tc>
        <w:tc>
          <w:tcPr>
            <w:tcW w:w="3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 (b)</w:t>
            </w:r>
          </w:p>
        </w:tc>
      </w:tr>
      <w:tr>
        <w:trPr/>
        <w:tc>
          <w:tcPr>
            <w:tcW w:w="112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638,643 </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638,643 </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$506,851,543 </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$506,851,543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$506,851,543 </w:t>
            </w:r>
          </w:p>
        </w:tc>
        <w:tc>
          <w:tcPr>
            <w:tcW w:w="1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0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638,643 </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4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638,643 </w:t>
            </w:r>
          </w:p>
        </w:tc>
        <w:tc>
          <w:tcPr>
            <w:tcW w:w="8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$506,851,543 </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(a)Does not include broker’s commissions or accrued excise tax, if any.</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(b)On November 19, 2025, the Company’s Board of Directors approved a $600,000,000 repurchase authorization with respect to shares of the Company’s common stock (the “Authorization”). The Authorization was effective on November 19, 2025 and has an expiration date of November 19, 2027. Repurchases may be made from time to time in the open market, private purchases, through forward, derivative, accelerated repurchase or automatic purchase transactions,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as defined in Rule 16a-1(f) under the Securities Exchange Act of 1934, as amended, adopted or terminated the “Rule 10b5-1 trading arrangements”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6.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provided with this Form 10-Q or are incorporated herein by reference.</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680"/>
        <w:gridCol w:w="2555"/>
        <w:gridCol w:w="363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3051F2"/>
                  <w:sz w:val="20"/>
                  <w:u w:val="single"/>
                </w:rPr>
                <w:t>Transaction Agreement and Plan of Merger, dated as of October 26, 2021, by and among Post Holdings, Inc., BellRing Brands, Inc., BellRing Distribution, LLC and BellRing Merger Sub Corporation (Incorporated by reference to Exhibit 2.1 to the Company’s Form 8-K filed on October 27, 2021)</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3051F2"/>
                  <w:sz w:val="20"/>
                  <w:u w:val="single"/>
                </w:rPr>
                <w:t>Amendment No. 1 to Transaction Agreement and Plan of Merger, dated as of February 28, 2022, by and among Post Holdings, Inc., BellRing Brands, Inc., BellRing Distribution, LLC and BellRing Merger Sub Corporation (Incorporated by reference to Exhibit 2.1 to the Company’s Form 8-K filed on February 28, 2022)</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3051F2"/>
                  <w:sz w:val="20"/>
                  <w:u w:val="single"/>
                </w:rPr>
                <w:t>BellRing Brands, Inc. Restated Certificate of Incorporation (Incorporated by reference to Exhibit 3.1 to the Company’s Form 8-K filed on January 31, 2025)</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3051F2"/>
                  <w:sz w:val="20"/>
                  <w:u w:val="single"/>
                </w:rPr>
                <w:t>BellRing Brands, Inc. amended and restated Bylaws (Incorporated by reference to Exhibit 3.2 to the Company’s Form 8-K filed on January 31, 2025)</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3051F2"/>
                  <w:sz w:val="20"/>
                  <w:u w:val="single"/>
                </w:rPr>
                <w:t>Indenture, dated March 10, 2022, by and among BellRing Brands, Inc. and Computershare Trust Company, N.A., as trustee (Incorporated by reference to Exhibit 4.1 to the Company’s Second Form 8-K filed on March 10, 2022)</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3051F2"/>
                  <w:sz w:val="20"/>
                  <w:u w:val="single"/>
                </w:rPr>
                <w:t>Form of Note (Incorporated by reference to Exhibit 4.2 to the Company’s Second Form 8-K filed on March 10, 2022, which Exhibit 4.2 is referenced in Exhibit 4.1 to such filing)</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rbrq32026ex311.htm">
              <w:r>
                <w:rPr>
                  <w:rStyle w:val="InternetLink"/>
                  <w:rFonts w:ascii="Times New Roman;serif" w:hAnsi="Times New Roman;serif"/>
                  <w:b w:val="false"/>
                  <w:color w:val="000080"/>
                  <w:sz w:val="20"/>
                  <w:u w:val="single"/>
                </w:rPr>
                <w:t xml:space="preserve">Certification of </w:t>
              </w:r>
            </w:hyperlink>
            <w:hyperlink w:anchor="brbrq32026ex311.htm">
              <w:r>
                <w:rPr>
                  <w:rStyle w:val="InternetLink"/>
                  <w:rFonts w:ascii="Times New Roman;serif" w:hAnsi="Times New Roman;serif"/>
                  <w:b w:val="false"/>
                  <w:color w:val="000080"/>
                  <w:sz w:val="20"/>
                  <w:u w:val="single"/>
                </w:rPr>
                <w:t>Michael</w:t>
              </w:r>
            </w:hyperlink>
            <w:hyperlink w:anchor="brbrq32026ex311.htm">
              <w:r>
                <w:rPr>
                  <w:rStyle w:val="InternetLink"/>
                  <w:rFonts w:ascii="Times New Roman;serif" w:hAnsi="Times New Roman;serif"/>
                  <w:b w:val="false"/>
                  <w:color w:val="000080"/>
                  <w:sz w:val="20"/>
                  <w:u w:val="single"/>
                </w:rPr>
                <w:t xml:space="preserve"> C.</w:t>
              </w:r>
            </w:hyperlink>
            <w:hyperlink w:anchor="brbrq32026ex311.htm">
              <w:r>
                <w:rPr>
                  <w:rStyle w:val="InternetLink"/>
                  <w:rFonts w:ascii="Times New Roman;serif" w:hAnsi="Times New Roman;serif"/>
                  <w:b w:val="false"/>
                  <w:color w:val="000080"/>
                  <w:sz w:val="20"/>
                  <w:u w:val="single"/>
                </w:rPr>
                <w:t xml:space="preserve"> Axelrod</w:t>
              </w:r>
            </w:hyperlink>
            <w:hyperlink w:anchor="brbrq32026ex311.htm">
              <w:r>
                <w:rPr>
                  <w:rStyle w:val="InternetLink"/>
                  <w:rFonts w:ascii="Times New Roman;serif" w:hAnsi="Times New Roman;serif"/>
                  <w:b w:val="false"/>
                  <w:color w:val="000080"/>
                  <w:sz w:val="20"/>
                  <w:u w:val="single"/>
                </w:rPr>
                <w:t xml:space="preserve"> pursuant to Rule 13a-14(a), as adopted pursuant to Section 302 of the Sarbanes-Oxley Act of 2002, dated </w:t>
              </w:r>
            </w:hyperlink>
            <w:hyperlink w:anchor="brbrq32026ex311.htm">
              <w:r>
                <w:rPr>
                  <w:rStyle w:val="InternetLink"/>
                  <w:rFonts w:ascii="Times New Roman;serif" w:hAnsi="Times New Roman;serif"/>
                  <w:b w:val="false"/>
                  <w:color w:val="000080"/>
                  <w:sz w:val="20"/>
                  <w:u w:val="single"/>
                </w:rPr>
                <w:t>August 4</w:t>
              </w:r>
            </w:hyperlink>
            <w:hyperlink w:anchor="brbrq32026ex311.htm">
              <w:r>
                <w:rPr>
                  <w:rStyle w:val="InternetLink"/>
                  <w:rFonts w:ascii="Times New Roman;serif" w:hAnsi="Times New Roman;serif"/>
                  <w:b w:val="false"/>
                  <w:color w:val="000080"/>
                  <w:sz w:val="20"/>
                  <w:u w:val="single"/>
                </w:rPr>
                <w:t>, 2026</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rbrq32026ex312.htm">
              <w:r>
                <w:rPr>
                  <w:rStyle w:val="InternetLink"/>
                  <w:rFonts w:ascii="Times New Roman;serif" w:hAnsi="Times New Roman;serif"/>
                  <w:b w:val="false"/>
                  <w:color w:val="000080"/>
                  <w:sz w:val="20"/>
                  <w:u w:val="single"/>
                </w:rPr>
                <w:t xml:space="preserve">Certification of Paul A. Rode pursuant to Rule 13a-14(a), as adopted pursuant to Section 302 of the Sarbanes-Oxley Act of 2002, dated </w:t>
              </w:r>
            </w:hyperlink>
            <w:hyperlink w:anchor="brbrq32026ex312.htm">
              <w:r>
                <w:rPr>
                  <w:rStyle w:val="InternetLink"/>
                  <w:rFonts w:ascii="Times New Roman;serif" w:hAnsi="Times New Roman;serif"/>
                  <w:b w:val="false"/>
                  <w:color w:val="000080"/>
                  <w:sz w:val="20"/>
                  <w:u w:val="single"/>
                </w:rPr>
                <w:t>August 4</w:t>
              </w:r>
            </w:hyperlink>
            <w:hyperlink w:anchor="brbrq32026ex312.htm">
              <w:r>
                <w:rPr>
                  <w:rStyle w:val="InternetLink"/>
                  <w:rFonts w:ascii="Times New Roman;serif" w:hAnsi="Times New Roman;serif"/>
                  <w:b w:val="false"/>
                  <w:color w:val="000080"/>
                  <w:sz w:val="20"/>
                  <w:u w:val="single"/>
                </w:rPr>
                <w:t>, 2026</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rbrq32026ex321.htm">
              <w:r>
                <w:rPr>
                  <w:rStyle w:val="InternetLink"/>
                  <w:rFonts w:ascii="Times New Roman;serif" w:hAnsi="Times New Roman;serif"/>
                  <w:b w:val="false"/>
                  <w:color w:val="000080"/>
                  <w:sz w:val="20"/>
                  <w:u w:val="single"/>
                </w:rPr>
                <w:t xml:space="preserve">Certification of </w:t>
              </w:r>
            </w:hyperlink>
            <w:hyperlink w:anchor="brbrq32026ex321.htm">
              <w:r>
                <w:rPr>
                  <w:rStyle w:val="InternetLink"/>
                  <w:rFonts w:ascii="Times New Roman;serif" w:hAnsi="Times New Roman;serif"/>
                  <w:b w:val="false"/>
                  <w:color w:val="000080"/>
                  <w:sz w:val="20"/>
                  <w:u w:val="single"/>
                </w:rPr>
                <w:t xml:space="preserve">Michael </w:t>
              </w:r>
            </w:hyperlink>
            <w:hyperlink w:anchor="brbrq32026ex321.htm">
              <w:r>
                <w:rPr>
                  <w:rStyle w:val="InternetLink"/>
                  <w:rFonts w:ascii="Times New Roman;serif" w:hAnsi="Times New Roman;serif"/>
                  <w:b w:val="false"/>
                  <w:color w:val="000080"/>
                  <w:sz w:val="20"/>
                  <w:u w:val="single"/>
                </w:rPr>
                <w:t xml:space="preserve">C. </w:t>
              </w:r>
            </w:hyperlink>
            <w:hyperlink w:anchor="brbrq32026ex321.htm">
              <w:r>
                <w:rPr>
                  <w:rStyle w:val="InternetLink"/>
                  <w:rFonts w:ascii="Times New Roman;serif" w:hAnsi="Times New Roman;serif"/>
                  <w:b w:val="false"/>
                  <w:color w:val="000080"/>
                  <w:sz w:val="20"/>
                  <w:u w:val="single"/>
                </w:rPr>
                <w:t>A</w:t>
              </w:r>
            </w:hyperlink>
            <w:hyperlink w:anchor="brbrq32026ex321.htm">
              <w:r>
                <w:rPr>
                  <w:rStyle w:val="InternetLink"/>
                  <w:rFonts w:ascii="Times New Roman;serif" w:hAnsi="Times New Roman;serif"/>
                  <w:b w:val="false"/>
                  <w:color w:val="000080"/>
                  <w:sz w:val="20"/>
                  <w:u w:val="single"/>
                </w:rPr>
                <w:t>xelrod</w:t>
              </w:r>
            </w:hyperlink>
            <w:hyperlink w:anchor="brbrq32026ex321.htm">
              <w:r>
                <w:rPr>
                  <w:rStyle w:val="InternetLink"/>
                  <w:rFonts w:ascii="Times New Roman;serif" w:hAnsi="Times New Roman;serif"/>
                  <w:b w:val="false"/>
                  <w:color w:val="000080"/>
                  <w:sz w:val="20"/>
                  <w:u w:val="single"/>
                </w:rPr>
                <w:t xml:space="preserve"> and Paul A. Rode, pursuant to 18 U.S.C. Section 1350 as adopted pursuant to Section 906 of the Sarbanes-Oxley Act of 2002, dated </w:t>
              </w:r>
            </w:hyperlink>
            <w:hyperlink w:anchor="brbrq32026ex321.htm">
              <w:r>
                <w:rPr>
                  <w:rStyle w:val="InternetLink"/>
                  <w:rFonts w:ascii="Times New Roman;serif" w:hAnsi="Times New Roman;serif"/>
                  <w:b w:val="false"/>
                  <w:color w:val="000080"/>
                  <w:sz w:val="20"/>
                  <w:u w:val="single"/>
                </w:rPr>
                <w:t>August 4</w:t>
              </w:r>
            </w:hyperlink>
            <w:hyperlink w:anchor="brbrq32026ex321.htm">
              <w:r>
                <w:rPr>
                  <w:rStyle w:val="InternetLink"/>
                  <w:rFonts w:ascii="Times New Roman;serif" w:hAnsi="Times New Roman;serif"/>
                  <w:b w:val="false"/>
                  <w:color w:val="000080"/>
                  <w:sz w:val="20"/>
                  <w:u w:val="single"/>
                </w:rPr>
                <w:t>, 2026</w:t>
              </w:r>
            </w:hyperlink>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Interactive Data File (Form 10-Q for the quarterly period ended June 30, 2026 filed in iXBRL (Inline eXtensible Business Reporting Language)). The financial information contained in the iXBRL-related documents is “unaudited” and “unreviewed.”</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Form 10-Q for the quarterly period ended June 30, 2026, formatted in iXBRL (Inline eXtensible Business Reporting Language) and contained in Exhibit 101</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Exhibits and schedules have been omitted pursuant to Item 601(a)(5) of Regulation S-K. The Company agrees to furnish supplementally to the Securities and Exchange Commission (the “SEC”) a copy of any omitted exhibit or schedule upon request by the SEC.</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2e7347fba154f9c8d4b154a15a52dff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BellRing Brands, Inc. has duly caused this report to be signed on its behalf by the undersigned thereunto duly authorized. </w:t>
      </w:r>
    </w:p>
    <w:tbl>
      <w:tblPr>
        <w:tblW w:w="983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373"/>
        <w:gridCol w:w="373"/>
        <w:gridCol w:w="373"/>
        <w:gridCol w:w="1989"/>
        <w:gridCol w:w="1989"/>
        <w:gridCol w:w="2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BELLRING BRANDS,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 (Principal Financial and Accounting Officer)</w:t>
            </w:r>
          </w:p>
        </w:tc>
      </w:tr>
    </w:tbl>
    <w:p>
      <w:pPr>
        <w:pStyle w:val="TextBody"/>
        <w:bidi w:val="0"/>
        <w:spacing w:before="0" w:after="120"/>
        <w:ind w:left="0" w:right="0" w:firstLine="3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Certification pursuant to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C. Axelrod,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BellRing Brands,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72"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34"/>
        <w:gridCol w:w="134"/>
        <w:gridCol w:w="136"/>
        <w:gridCol w:w="938"/>
        <w:gridCol w:w="938"/>
        <w:gridCol w:w="13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Axelrod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Axelrod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Certification pursuant to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Paul A. Rode,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BellRing Brands,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972"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34"/>
        <w:gridCol w:w="134"/>
        <w:gridCol w:w="136"/>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Certification Pursuant to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 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the President and Chief Executive Officer of BellRing Brands, Inc. (the “Company”), hereby certifies that, to his knowledge on the date hereof:</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quarterly report on Form 10-Q for the period ended June 30, 2026, filed on the date hereof with the Securities and Exchange Commission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information contained in the Report fairly presents, in all material respects, the financial condition and results of operations of the Company.</w:t>
      </w:r>
    </w:p>
    <w:p>
      <w:pPr>
        <w:pStyle w:val="TextBody"/>
        <w:bidi w:val="0"/>
        <w:spacing w:before="0" w:after="0"/>
        <w:jc w:val="left"/>
        <w:rPr/>
      </w:pPr>
      <w:r>
        <w:rPr/>
      </w:r>
    </w:p>
    <w:tbl>
      <w:tblPr>
        <w:tblW w:w="6172"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34"/>
        <w:gridCol w:w="134"/>
        <w:gridCol w:w="136"/>
        <w:gridCol w:w="938"/>
        <w:gridCol w:w="938"/>
        <w:gridCol w:w="13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Axelrod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Axelrod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BellRing Brands, Inc. and will be retained by BellRing Brands, Inc. and furnished to the Securities and Exchange Commission or its staff upon request.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Certification Pursuant to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18 U.S.C. Section 1350, as adopted pursuant to</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undersigned, the Chief Financial Officer of BellRing Brands, Inc. (the “Company”), hereby certifies that, to his knowledge on the date hereof:</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the quarterly report on Form 10-Q for the period ended June 30, 2026, filed on the date hereof with the Securities and Exchange Commission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information contained in the Report fairly presents, in all material respects, the financial condition and results of operations of the Company.</w:t>
      </w:r>
    </w:p>
    <w:p>
      <w:pPr>
        <w:pStyle w:val="TextBody"/>
        <w:bidi w:val="0"/>
        <w:spacing w:before="0" w:after="0"/>
        <w:jc w:val="left"/>
        <w:rPr/>
      </w:pPr>
      <w:r>
        <w:rPr/>
      </w:r>
    </w:p>
    <w:tbl>
      <w:tblPr>
        <w:tblW w:w="4972"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134"/>
        <w:gridCol w:w="134"/>
        <w:gridCol w:w="136"/>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A. Rode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BellRing Brands, Inc. and will be retained by BellRing Brands, Inc. and furnished to the Securities and Exchange Commission or its staff upon request.</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2016/000119312521308736/d232418dex21.htm" TargetMode="External"/><Relationship Id="rId4" Type="http://schemas.openxmlformats.org/officeDocument/2006/relationships/hyperlink" Target="https://www.sec.gov/Archives/edgar/data/1772016/000119312522055719/d405795dex21.htm" TargetMode="External"/><Relationship Id="rId5" Type="http://schemas.openxmlformats.org/officeDocument/2006/relationships/hyperlink" Target="https://www.sec.gov/Archives/edgar/data/1772016/000119312525018382/d925487dex31.htm" TargetMode="External"/><Relationship Id="rId6" Type="http://schemas.openxmlformats.org/officeDocument/2006/relationships/hyperlink" Target="https://www.sec.gov/Archives/edgar/data/1772016/000119312525018382/d925487dex32.htm" TargetMode="External"/><Relationship Id="rId7" Type="http://schemas.openxmlformats.org/officeDocument/2006/relationships/hyperlink" Target="https://www.sec.gov/Archives/edgar/data/1772016/000119312522072132/d319129dex41.htm" TargetMode="External"/><Relationship Id="rId8" Type="http://schemas.openxmlformats.org/officeDocument/2006/relationships/hyperlink" Target="https://www.sec.gov/Archives/edgar/data/1772016/000119312522072132/d319129dex4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13966</Words>
  <Characters>77133</Characters>
  <CharactersWithSpaces>90286</CharactersWithSpaces>
  <Paragraphs>1347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