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BellRing Brands,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079823100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October 17, 2019</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the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 :</w:t>
      </w:r>
    </w:p>
    <w:p>
      <w:pPr>
        <w:spacing w:after="0" w:line="225" w:lineRule="exact"/>
        <w:rPr>
          <w:sz w:val="24"/>
          <w:szCs w:val="24"/>
          <w:color w:val="auto"/>
        </w:rPr>
      </w:pPr>
    </w:p>
    <w:p>
      <w:pPr>
        <w:ind w:left="5120" w:hanging="217"/>
        <w:spacing w:after="0"/>
        <w:tabs>
          <w:tab w:leader="none" w:pos="5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120" w:hanging="212"/>
        <w:spacing w:after="0"/>
        <w:tabs>
          <w:tab w:leader="none" w:pos="51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3" w:lineRule="exact"/>
        <w:rPr>
          <w:sz w:val="24"/>
          <w:szCs w:val="24"/>
          <w:color w:val="auto"/>
        </w:rPr>
      </w:pPr>
    </w:p>
    <w:p>
      <w:pPr>
        <w:jc w:val="center"/>
        <w:ind w:right="-39"/>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Rule 13d-1(d)</w:t>
      </w:r>
    </w:p>
    <w:p>
      <w:pPr>
        <w:spacing w:after="0" w:line="285" w:lineRule="exact"/>
        <w:rPr>
          <w:sz w:val="24"/>
          <w:szCs w:val="24"/>
          <w:color w:val="auto"/>
        </w:rPr>
      </w:pPr>
    </w:p>
    <w:p>
      <w:pPr>
        <w:ind w:left="440" w:right="20" w:hanging="436"/>
        <w:spacing w:after="0" w:line="308" w:lineRule="auto"/>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517" w:right="479" w:bottom="1440" w:gutter="0" w:footer="0" w:header="0"/>
        </w:sectPr>
      </w:pPr>
    </w:p>
    <w:bookmarkStart w:id="1" w:name="page2"/>
    <w:bookmarkEnd w:id="1"/>
    <w:p>
      <w:pPr>
        <w:jc w:val="center"/>
        <w:ind w:left="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3"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2 of 5 Pages</w:t>
      </w:r>
    </w:p>
    <w:p>
      <w:pPr>
        <w:spacing w:after="0" w:line="400" w:lineRule="exact"/>
        <w:rPr>
          <w:sz w:val="20"/>
          <w:szCs w:val="20"/>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08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08571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GIC Private Limited</w:t>
      </w:r>
    </w:p>
    <w:p>
      <w:pPr>
        <w:spacing w:after="0" w:line="36" w:lineRule="exact"/>
        <w:rPr>
          <w:sz w:val="20"/>
          <w:szCs w:val="20"/>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0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Republic of Singapore</w:t>
      </w:r>
    </w:p>
    <w:p>
      <w:pPr>
        <w:spacing w:after="0" w:line="36"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3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Borders>
              <w:bottom w:val="single" w:sz="8" w:color="auto"/>
            </w:tcBorders>
          </w:tcPr>
          <w:p>
            <w:pPr>
              <w:spacing w:after="0"/>
              <w:rPr>
                <w:sz w:val="21"/>
                <w:szCs w:val="21"/>
                <w:color w:val="auto"/>
              </w:rPr>
            </w:pPr>
          </w:p>
        </w:tc>
        <w:tc>
          <w:tcPr>
            <w:tcW w:w="91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1,899,868</w:t>
            </w: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9100" w:type="dxa"/>
            <w:vAlign w:val="bottom"/>
            <w:vMerge w:val="restart"/>
          </w:tcPr>
          <w:p>
            <w:pPr>
              <w:ind w:left="120"/>
              <w:spacing w:after="0"/>
              <w:rPr>
                <w:sz w:val="20"/>
                <w:szCs w:val="20"/>
                <w:color w:val="auto"/>
              </w:rPr>
            </w:pPr>
            <w:r>
              <w:rPr>
                <w:rFonts w:ascii="Arial" w:cs="Arial" w:eastAsia="Arial" w:hAnsi="Arial"/>
                <w:sz w:val="18"/>
                <w:szCs w:val="18"/>
                <w:color w:val="auto"/>
              </w:rPr>
              <w:t>200,132</w:t>
            </w:r>
          </w:p>
        </w:tc>
        <w:tc>
          <w:tcPr>
            <w:tcW w:w="0" w:type="dxa"/>
            <w:vAlign w:val="bottom"/>
          </w:tcPr>
          <w:p>
            <w:pPr>
              <w:spacing w:after="0"/>
              <w:rPr>
                <w:sz w:val="1"/>
                <w:szCs w:val="1"/>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Borders>
              <w:bottom w:val="single" w:sz="8" w:color="auto"/>
            </w:tcBorders>
          </w:tcPr>
          <w:p>
            <w:pPr>
              <w:spacing w:after="0"/>
              <w:rPr>
                <w:sz w:val="20"/>
                <w:szCs w:val="20"/>
                <w:color w:val="auto"/>
              </w:rPr>
            </w:pPr>
          </w:p>
        </w:tc>
        <w:tc>
          <w:tcPr>
            <w:tcW w:w="9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00" w:type="dxa"/>
            <w:vAlign w:val="bottom"/>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18"/>
                <w:szCs w:val="18"/>
                <w:color w:val="auto"/>
              </w:rPr>
            </w:pPr>
          </w:p>
        </w:tc>
        <w:tc>
          <w:tcPr>
            <w:tcW w:w="9100" w:type="dxa"/>
            <w:vAlign w:val="bottom"/>
          </w:tcPr>
          <w:p>
            <w:pPr>
              <w:ind w:left="120"/>
              <w:spacing w:after="0"/>
              <w:rPr>
                <w:sz w:val="20"/>
                <w:szCs w:val="20"/>
                <w:color w:val="auto"/>
              </w:rPr>
            </w:pPr>
            <w:r>
              <w:rPr>
                <w:rFonts w:ascii="Arial" w:cs="Arial" w:eastAsia="Arial" w:hAnsi="Arial"/>
                <w:sz w:val="18"/>
                <w:szCs w:val="18"/>
                <w:color w:val="auto"/>
              </w:rPr>
              <w:t>1,899,868</w:t>
            </w: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5"/>
                <w:szCs w:val="5"/>
                <w:color w:val="auto"/>
              </w:rPr>
            </w:pPr>
          </w:p>
        </w:tc>
        <w:tc>
          <w:tcPr>
            <w:tcW w:w="9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60" w:type="dxa"/>
            <w:vAlign w:val="bottom"/>
            <w:vMerge w:val="continue"/>
          </w:tcPr>
          <w:p>
            <w:pPr>
              <w:spacing w:after="0"/>
              <w:rPr>
                <w:sz w:val="12"/>
                <w:szCs w:val="12"/>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0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200,132</w:t>
      </w:r>
    </w:p>
    <w:p>
      <w:pPr>
        <w:spacing w:after="0" w:line="36" w:lineRule="exact"/>
        <w:rPr>
          <w:sz w:val="20"/>
          <w:szCs w:val="20"/>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2,100,000</w:t>
      </w:r>
    </w:p>
    <w:p>
      <w:pPr>
        <w:spacing w:after="0" w:line="23" w:lineRule="exact"/>
        <w:rPr>
          <w:sz w:val="20"/>
          <w:szCs w:val="20"/>
          <w:color w:val="auto"/>
        </w:rPr>
      </w:pPr>
    </w:p>
    <w:p>
      <w:pPr>
        <w:ind w:left="620" w:hanging="459"/>
        <w:spacing w:after="0" w:line="207" w:lineRule="exact"/>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91" w:lineRule="exact"/>
        <w:rPr>
          <w:rFonts w:ascii="Arial" w:cs="Arial" w:eastAsia="Arial" w:hAnsi="Arial"/>
          <w:sz w:val="18"/>
          <w:szCs w:val="18"/>
          <w:color w:val="auto"/>
        </w:rPr>
      </w:pPr>
    </w:p>
    <w:p>
      <w:pPr>
        <w:ind w:left="620" w:hanging="459"/>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6.13% (1)</w:t>
      </w:r>
    </w:p>
    <w:p>
      <w:pPr>
        <w:spacing w:after="0" w:line="36" w:lineRule="exact"/>
        <w:rPr>
          <w:rFonts w:ascii="Arial" w:cs="Arial" w:eastAsia="Arial" w:hAnsi="Arial"/>
          <w:sz w:val="18"/>
          <w:szCs w:val="18"/>
          <w:color w:val="auto"/>
        </w:rPr>
      </w:pPr>
    </w:p>
    <w:p>
      <w:pPr>
        <w:ind w:left="620" w:hanging="459"/>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40" w:right="280" w:hanging="436"/>
        <w:spacing w:after="0" w:line="277"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8"/>
          <w:szCs w:val="18"/>
          <w:color w:val="auto"/>
        </w:rPr>
        <w:t>Based on 34,285,714 Class A Shares outstanding as of October 16, 2019, according to the Prospectus filed by the Issuer with the Securities and Exchange Commission on October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63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ectPr>
          <w:pgSz w:w="11900" w:h="16838" w:orient="portrait"/>
          <w:cols w:equalWidth="0" w:num="1">
            <w:col w:w="11040"/>
          </w:cols>
          <w:pgMar w:left="440" w:top="274" w:right="419" w:bottom="1440" w:gutter="0" w:footer="0" w:header="0"/>
        </w:sectPr>
      </w:pPr>
    </w:p>
    <w:bookmarkStart w:id="2" w:name="page3"/>
    <w:bookmarkEnd w:id="2"/>
    <w:p>
      <w:pPr>
        <w:jc w:val="center"/>
        <w:ind w:left="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3"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3 of 5 Pages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Persons Filing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GIC Private Limited (“GIC”)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168 Robinson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#37-01 Capital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068912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079823100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in filed pursuant to §§240.13d-1(b), or 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 - c) The aggregate number of securities and percentage of the class of securities of the Issuer beneficially owned by the Reporting Person named in Item 2(a), as well as the number of securities as to which such person is deemed to have sole power to vote or to direct the vote, shared power to vote or to direct the vote, sole power to dispose or to direct the disposition, shared power to dispose or direct the disposition, is set forth in the following tables: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1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No. of Securities</w:t>
            </w:r>
          </w:p>
        </w:tc>
        <w:tc>
          <w:tcPr>
            <w:tcW w:w="1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Percent of Class (3)</w:t>
            </w:r>
          </w:p>
        </w:tc>
        <w:tc>
          <w:tcPr>
            <w:tcW w:w="230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Voting Power</w:t>
            </w:r>
          </w:p>
        </w:tc>
        <w:tc>
          <w:tcPr>
            <w:tcW w:w="20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Dispositive Power</w:t>
            </w:r>
          </w:p>
        </w:tc>
        <w:tc>
          <w:tcPr>
            <w:tcW w:w="0" w:type="dxa"/>
            <w:vAlign w:val="bottom"/>
          </w:tcPr>
          <w:p>
            <w:pPr>
              <w:spacing w:after="0"/>
              <w:rPr>
                <w:sz w:val="1"/>
                <w:szCs w:val="1"/>
                <w:color w:val="auto"/>
              </w:rPr>
            </w:pPr>
          </w:p>
        </w:tc>
      </w:tr>
      <w:tr>
        <w:trPr>
          <w:trHeight w:val="165"/>
        </w:trPr>
        <w:tc>
          <w:tcPr>
            <w:tcW w:w="2580" w:type="dxa"/>
            <w:vAlign w:val="bottom"/>
            <w:gridSpan w:val="3"/>
            <w:vMerge w:val="continue"/>
          </w:tcPr>
          <w:p>
            <w:pPr>
              <w:spacing w:after="0"/>
              <w:rPr>
                <w:sz w:val="14"/>
                <w:szCs w:val="14"/>
                <w:color w:val="auto"/>
              </w:rPr>
            </w:pPr>
          </w:p>
        </w:tc>
        <w:tc>
          <w:tcPr>
            <w:tcW w:w="23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Beneficially Owned</w:t>
            </w:r>
          </w:p>
        </w:tc>
        <w:tc>
          <w:tcPr>
            <w:tcW w:w="1820" w:type="dxa"/>
            <w:vAlign w:val="bottom"/>
            <w:gridSpan w:val="3"/>
            <w:vMerge w:val="continue"/>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5"/>
              </w:rPr>
              <w:t>Sole (1), (2)</w:t>
            </w:r>
          </w:p>
        </w:tc>
        <w:tc>
          <w:tcPr>
            <w:tcW w:w="120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Shared (1), (2)</w:t>
            </w:r>
          </w:p>
        </w:tc>
        <w:tc>
          <w:tcPr>
            <w:tcW w:w="32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Sole (1), (2)</w:t>
            </w:r>
          </w:p>
        </w:tc>
        <w:tc>
          <w:tcPr>
            <w:tcW w:w="120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Shared (1),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GIC Private Limited</w:t>
            </w:r>
          </w:p>
        </w:tc>
        <w:tc>
          <w:tcPr>
            <w:tcW w:w="2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5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1,899,868</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200,132</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1,899,868</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40" w:right="120" w:hanging="436"/>
        <w:spacing w:after="0" w:line="30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GIC is a fund manager and only has 2 clients – the Government of Singapore (“GoS”) and the Monetary Authority of Singapore (“MAS”). Under the investment management agreement with GoS, GIC has been given the sole discretion to exercise the voting rights attached to, and the disposition of, any shares managed on behalf of GoS. As such, GIC has the sole power to vote and power to dispose of the 1,899,868 securities beneficially owned by it. GIC shares power to vote and dispose of 200,132 securities beneficially owned by it with MAS.</w:t>
      </w:r>
    </w:p>
    <w:p>
      <w:pPr>
        <w:sectPr>
          <w:pgSz w:w="11900" w:h="16838" w:orient="portrait"/>
          <w:cols w:equalWidth="0" w:num="1">
            <w:col w:w="11040"/>
          </w:cols>
          <w:pgMar w:left="440" w:top="274" w:right="419" w:bottom="1440" w:gutter="0" w:footer="0" w:header="0"/>
        </w:sectPr>
      </w:pPr>
    </w:p>
    <w:bookmarkStart w:id="3" w:name="page4"/>
    <w:bookmarkEnd w:id="3"/>
    <w:p>
      <w:pPr>
        <w:jc w:val="center"/>
        <w:ind w:left="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3"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4 of 5 Pages</w:t>
      </w:r>
    </w:p>
    <w:p>
      <w:pPr>
        <w:spacing w:after="0" w:line="265"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GIC disclaims membership in a group.</w:t>
      </w:r>
    </w:p>
    <w:p>
      <w:pPr>
        <w:spacing w:after="0" w:line="23" w:lineRule="exact"/>
        <w:rPr>
          <w:rFonts w:ascii="Arial" w:cs="Arial" w:eastAsia="Arial" w:hAnsi="Arial"/>
          <w:sz w:val="18"/>
          <w:szCs w:val="18"/>
          <w:color w:val="auto"/>
        </w:rPr>
      </w:pPr>
    </w:p>
    <w:p>
      <w:pPr>
        <w:ind w:left="440" w:right="260" w:hanging="436"/>
        <w:spacing w:after="0" w:line="261"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34,285,714 Class A Shares outstanding as of October 16, 2019, according to the Prospectus filed by the Issuer with the Securities and Exchange Commission on October 17,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534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right="340"/>
        <w:spacing w:after="0" w:line="407"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74" w:right="439" w:bottom="1440" w:gutter="0" w:footer="0" w:header="0"/>
        </w:sectPr>
      </w:pPr>
    </w:p>
    <w:bookmarkStart w:id="4" w:name="page5"/>
    <w:bookmarkEnd w:id="4"/>
    <w:p>
      <w:pPr>
        <w:jc w:val="center"/>
        <w:ind w:left="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3"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5 of 5 Pages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as of October 25, 2019.</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PRIVATE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Ng Bee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Ng Bee 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Toh Tze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Toh Tze Meng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
    </w:lvl>
    <w:lvl w:ilvl="1">
      <w:lvlJc w:val="left"/>
      <w:lvlText w:val="%2"/>
      <w:numFmt w:val="decimal"/>
      <w:start w:val="10"/>
    </w:lvl>
  </w:abstractNum>
  <w:abstractNum w:abstractNumId="8">
    <w:nsid w:val="4DB127F8"/>
    <w:multiLevelType w:val="hybridMultilevel"/>
    <w:lvl w:ilvl="0">
      <w:lvlJc w:val="left"/>
      <w:lvlText w:val="(%1)"/>
      <w:numFmt w:val="decimal"/>
      <w:start w:val="1"/>
    </w:lvl>
    <w:lvl w:ilvl="1">
      <w:lvlJc w:val="left"/>
      <w:lvlText w:val="%2"/>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2019-12-04T22:54:02Z</dcterms:created>
  <dcterms:modified xsi:type="dcterms:W3CDTF">2019-12-04T22:54:02Z</dcterms:modified>
</cp:coreProperties>
</file>