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218" w:lineRule="exact"/>
        <w:rPr>
          <w:sz w:val="24"/>
          <w:szCs w:val="24"/>
          <w:color w:val="auto"/>
        </w:rPr>
      </w:pPr>
    </w:p>
    <w:p>
      <w:pPr>
        <w:jc w:val="center"/>
        <w:ind w:left="4000" w:right="1400" w:hanging="2596"/>
        <w:spacing w:after="0" w:line="290" w:lineRule="auto"/>
        <w:tabs>
          <w:tab w:leader="none" w:pos="16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2023</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jc w:val="center"/>
        <w:ind w:left="4040" w:right="1400" w:hanging="2640"/>
        <w:spacing w:after="0" w:line="294" w:lineRule="auto"/>
        <w:tabs>
          <w:tab w:leader="none" w:pos="15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130175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28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60" w:type="dxa"/>
            <w:vAlign w:val="bottom"/>
            <w:gridSpan w:val="2"/>
          </w:tcPr>
          <w:p>
            <w:pPr>
              <w:jc w:val="right"/>
              <w:ind w:right="1659"/>
              <w:spacing w:after="0"/>
              <w:rPr>
                <w:sz w:val="20"/>
                <w:szCs w:val="20"/>
                <w:color w:val="auto"/>
              </w:rPr>
            </w:pPr>
            <w:r>
              <w:rPr>
                <w:rFonts w:ascii="Times New Roman" w:cs="Times New Roman" w:eastAsia="Times New Roman" w:hAnsi="Times New Roman"/>
                <w:sz w:val="18"/>
                <w:szCs w:val="18"/>
                <w:b w:val="1"/>
                <w:bCs w:val="1"/>
                <w:color w:val="auto"/>
              </w:rPr>
              <w:t>87-3296749</w:t>
            </w:r>
          </w:p>
        </w:tc>
      </w:tr>
      <w:tr>
        <w:trPr>
          <w:trHeight w:val="210"/>
        </w:trPr>
        <w:tc>
          <w:tcPr>
            <w:tcW w:w="6900" w:type="dxa"/>
            <w:vAlign w:val="bottom"/>
            <w:gridSpan w:val="6"/>
          </w:tcPr>
          <w:p>
            <w:pPr>
              <w:jc w:val="center"/>
              <w:ind w:right="11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6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0"/>
        </w:trPr>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80" w:type="dxa"/>
            <w:vAlign w:val="bottom"/>
            <w:gridSpan w:val="3"/>
          </w:tcPr>
          <w:p>
            <w:pPr>
              <w:jc w:val="center"/>
              <w:ind w:left="434"/>
              <w:spacing w:after="0"/>
              <w:rPr>
                <w:sz w:val="20"/>
                <w:szCs w:val="20"/>
                <w:color w:val="auto"/>
              </w:rPr>
            </w:pPr>
            <w:r>
              <w:rPr>
                <w:rFonts w:ascii="Times New Roman" w:cs="Times New Roman" w:eastAsia="Times New Roman" w:hAnsi="Times New Roman"/>
                <w:sz w:val="18"/>
                <w:szCs w:val="18"/>
                <w:b w:val="1"/>
                <w:bCs w:val="1"/>
                <w:color w:val="auto"/>
                <w:w w:val="99"/>
              </w:rPr>
              <w:t>2503 S. Hanley Road</w:t>
            </w: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97"/>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80" w:type="dxa"/>
            <w:vAlign w:val="bottom"/>
            <w:gridSpan w:val="3"/>
          </w:tcPr>
          <w:p>
            <w:pPr>
              <w:jc w:val="center"/>
              <w:ind w:left="454"/>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 Louis, Missouri 63144</w:t>
            </w:r>
          </w:p>
        </w:tc>
        <w:tc>
          <w:tcPr>
            <w:tcW w:w="78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303"/>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gridSpan w:val="2"/>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(314) 644-7600</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180" w:type="dxa"/>
            <w:vAlign w:val="bottom"/>
          </w:tcPr>
          <w:p>
            <w:pPr>
              <w:spacing w:after="0"/>
              <w:rPr>
                <w:sz w:val="16"/>
                <w:szCs w:val="16"/>
                <w:color w:val="auto"/>
              </w:rPr>
            </w:pP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7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2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18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7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9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4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85" w:lineRule="exact"/>
        <w:rPr>
          <w:sz w:val="24"/>
          <w:szCs w:val="24"/>
          <w:color w:val="auto"/>
        </w:rPr>
      </w:pPr>
    </w:p>
    <w:tbl>
      <w:tblPr>
        <w:tblLayout w:type="fixed"/>
        <w:tblInd w:w="300" w:type="dxa"/>
        <w:tblCellMar>
          <w:top w:w="0" w:type="dxa"/>
          <w:left w:w="0" w:type="dxa"/>
          <w:bottom w:w="0" w:type="dxa"/>
          <w:right w:w="0" w:type="dxa"/>
        </w:tblCellMar>
      </w:tblPr>
      <w:tr>
        <w:trPr>
          <w:trHeight w:val="254"/>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24"/>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Times New Roman" w:cs="Times New Roman" w:eastAsia="Times New Roman" w:hAnsi="Times New Roman"/>
          <w:sz w:val="16"/>
          <w:szCs w:val="16"/>
          <w:color w:val="auto"/>
        </w:rPr>
        <w:t>Act.</w:t>
      </w:r>
    </w:p>
    <w:p>
      <w:pPr>
        <w:spacing w:after="0" w:line="8" w:lineRule="exact"/>
        <w:rPr>
          <w:sz w:val="24"/>
          <w:szCs w:val="24"/>
          <w:color w:val="auto"/>
        </w:rPr>
      </w:pPr>
    </w:p>
    <w:p>
      <w:pPr>
        <w:ind w:right="580"/>
        <w:spacing w:after="0" w:line="20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Common Stock, $0.01 par value per share – 132,802,631 shares as of May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1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50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tcBorders>
              <w:top w:val="single" w:sz="8" w:color="CCEEFF"/>
            </w:tcBorders>
            <w:gridSpan w:val="1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6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3"/>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Including Redeemable Noncontrolling Interest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redeemable noncontrolling interest</w:t>
            </w: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3"/>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Available to Common Stockholders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of Common Stock:</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bl>
    <w:p>
      <w:pPr>
        <w:spacing w:after="0" w:line="2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62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Including Redeemable Noncontrolling Interest</w:t>
            </w:r>
          </w:p>
        </w:tc>
        <w:tc>
          <w:tcPr>
            <w:tcW w:w="72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Hedging adjustments: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Reclassifications to net earnings</w:t>
            </w:r>
          </w:p>
        </w:tc>
        <w:tc>
          <w:tcPr>
            <w:tcW w:w="7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expense on other comprehensive income:</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Reclassifications to net earnings</w:t>
            </w:r>
          </w:p>
        </w:tc>
        <w:tc>
          <w:tcPr>
            <w:tcW w:w="7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155"/>
        </w:trPr>
        <w:tc>
          <w:tcPr>
            <w:tcW w:w="62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Other Comprehensive Income Including Redeemable Noncontrolling</w:t>
            </w:r>
          </w:p>
        </w:tc>
        <w:tc>
          <w:tcPr>
            <w:tcW w:w="7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7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w:t>
            </w:r>
          </w:p>
        </w:tc>
        <w:tc>
          <w:tcPr>
            <w:tcW w:w="7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Available to Common Stockholders</w:t>
            </w:r>
          </w:p>
        </w:tc>
        <w:tc>
          <w:tcPr>
            <w:tcW w:w="7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31.2</w:t>
            </w: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
        </w:trPr>
        <w:tc>
          <w:tcPr>
            <w:tcW w:w="6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2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82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including redeemable noncontrolling interest</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r>
      <w:tr>
        <w:trPr>
          <w:trHeight w:val="165"/>
        </w:trPr>
        <w:tc>
          <w:tcPr>
            <w:tcW w:w="8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Adjustments to reconcile net earnings including redeemable noncontrolling interest to net cash provided by operating</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extinguishment of debt, net</w:t>
            </w: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changes in operating assets and liabilities: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in receivables, net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inventories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in prepaid expenses and other current assets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in other assets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(decrease) in accounts payable and other current liabilities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in non-current liabilities</w:t>
            </w: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7"/>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53"/>
        </w:trPr>
        <w:tc>
          <w:tcPr>
            <w:tcW w:w="8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7"/>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53"/>
        </w:trPr>
        <w:tc>
          <w:tcPr>
            <w:tcW w:w="8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merger consideration</w:t>
            </w:r>
          </w:p>
        </w:tc>
        <w:tc>
          <w:tcPr>
            <w:tcW w:w="9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debt issuance, extinguishment costs and deferred financing fees</w:t>
            </w: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Post Holdings, Inc., net</w:t>
            </w:r>
          </w:p>
        </w:tc>
        <w:tc>
          <w:tcPr>
            <w:tcW w:w="9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547.2</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7"/>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noncash information:</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issued to Post Holdings, Inc. in connection with Spin-off</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As of and for the</w:t>
            </w:r>
          </w:p>
        </w:tc>
        <w:tc>
          <w:tcPr>
            <w:tcW w:w="240" w:type="dxa"/>
            <w:vAlign w:val="bottom"/>
          </w:tcPr>
          <w:p>
            <w:pPr>
              <w:spacing w:after="0"/>
              <w:rPr>
                <w:sz w:val="16"/>
                <w:szCs w:val="16"/>
                <w:color w:val="auto"/>
              </w:rPr>
            </w:pPr>
          </w:p>
        </w:tc>
        <w:tc>
          <w:tcPr>
            <w:tcW w:w="2100" w:type="dxa"/>
            <w:vAlign w:val="bottom"/>
            <w:gridSpan w:val="4"/>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of and for the</w:t>
            </w:r>
          </w:p>
        </w:tc>
      </w:tr>
      <w:tr>
        <w:trPr>
          <w:trHeight w:val="162"/>
        </w:trPr>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center"/>
              <w:ind w:right="179"/>
              <w:spacing w:after="0" w:line="162" w:lineRule="exact"/>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6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Impact of Spin-off</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7"/>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Additional Paid-in Capital</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Activity under stock and deferred compensation plans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6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Redemption value adjustment to redeemable noncontrolling interest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7"/>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(3,059.7)</w:t>
            </w:r>
          </w:p>
        </w:tc>
      </w:tr>
      <w:tr>
        <w:trPr>
          <w:trHeight w:val="21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earnings available to common stockholders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6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 to Post Holdings, Inc.</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Redemption value adjustment to redeemable noncontrolling interest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w:t>
            </w:r>
          </w:p>
        </w:tc>
      </w:tr>
      <w:tr>
        <w:trPr>
          <w:trHeight w:val="213"/>
        </w:trPr>
        <w:tc>
          <w:tcPr>
            <w:tcW w:w="6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Impact of Spin-off</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2,252.6</w:t>
            </w:r>
          </w:p>
        </w:tc>
      </w:tr>
      <w:tr>
        <w:trPr>
          <w:trHeight w:val="212"/>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w:t>
            </w:r>
          </w:p>
        </w:tc>
      </w:tr>
      <w:tr>
        <w:trPr>
          <w:trHeight w:val="214"/>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8"/>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Hedging Adjustments, net of tax</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Beginning of period</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change in hedges, net of tax</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7"/>
        </w:trPr>
        <w:tc>
          <w:tcPr>
            <w:tcW w:w="6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End of period</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 Adjustments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Beginning of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6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End of period</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3"/>
        </w:trPr>
        <w:tc>
          <w:tcPr>
            <w:tcW w:w="6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Impact of Spin-off</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(428.8)</w:t>
            </w:r>
          </w:p>
        </w:tc>
      </w:tr>
      <w:tr>
        <w:trPr>
          <w:trHeight w:val="20"/>
        </w:trPr>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millions, except per share information and where indicated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2019, BellRing Intermediate Holdings, Inc. (formerly known as BellRing Brands, Inc.) (“Old BellRing”) closed its initial public offering (the “IPO”) of 39.4 million shares of its Class A common stock, $0.01 par value per share (the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holder of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2022, Post completed its distribution of 80.1% of its ownership interest in BellRing Brands, Inc. (formerly known as BellRing Distribution, LLC) (“BellRing”) to Post’s shareholders. On March 9, 2022, pursuant to the Transaction Agreement and Plan of Merger, dated as of October 26, 2021 (as amended by Amendment No. 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of cash to BellRing (collectively, the “Contribution”) in exchange for certain limited liability company interests of BellRing (prior to the conversion of BellRing into a Delaware corporation) and the right to receive $840.0 in aggregate principal amount of BellRing’s 7.00% Senior Notes (as defined in Note 13).</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10, 2022, BellRing converted into a Delaware corporation and changed its name to “BellRing Brands, Inc.”, and Post distributed an aggregate of 78.1 million, or 80.1%, of its shares of BellRing common stock, $0.01 par value per share (“BellRing Common Stock”) to Post shareholders in a pro-rata distribution (the “Distribution”).</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and $2.97 in cash, or $115.5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pursuant to Rule 12g-3(a) promulgated thereunder.</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 Immediately following the Spin-off, Post owned 19.4 million shares, or 14.2% of BellRing Common Stock, which did not represent a controlling interest in BellRing. As a result of the Spin-off, the dual class voting structure in the BellRing business was eliminated.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11, 2022, Post transferred 14.8 million shares of its BellRing Common Stock to certain financial institutions in satisfaction of term loan obligations of Post, which reduced Post’s ownership of BellRing Common Stock to 3.4% as of September 30, 2022. In connection with this transaction, BellRing repurchased 0.8 million of the transferred shares from certain of the financial institutions.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25, 2022, Post transferred the remaining of its 4.6 million shares of BellRing Common Stock to certain financial institutions in satisfaction of term loan obligations of Post. In connection with this transaction, BellRing repurchased 0.9 million of the transferred shares from certain of the financial institutions. Post had no ownership of BellRing Common Stock as of March 31, 2023.</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separation-related expenses in connection with its separation from Post of $0.4 and $0.7 during the three and six months ended March 31, 2023, respectively, and $10.3 and $12.3 during the three and six months ended March 31, 2022, respectively. These expenses generally included third party costs for advisory services, fees charged by other service providers and government filing fees and were included in “Selling, general and administrative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 “Company” generally refers to Old BellRing and its consolidated subsidiaries during the periods prior to the Spin-off and to BellRing and its consolidated subsidiaries during the periods subsequent to the Spin-off, unless otherwise stated or context otherwise indicates. The term “Common Stock” generally refers to Old BellRing Class A Common Stock and Old BellRing Class B Common Stock during the periods prior to the Spin-off and to BellRing Common Stock during the periods subsequent to the Spin-off. The term “Net earnings available to common stockholders” generally refers to net earnings available to Old BellRing Class A common stockholders during the periods prior to the Spin-off and to net earnings available to BellRing common stockholders during the periods subsequent to the Spin-off.</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 consumer products holding company operating in the global convenient nutrition category and is a provider of ready-to-drink (“RTD”) protein shakes, other RTD beverages and powders. The Company has a single operating and reportable segment, with its principal products being protein-based consumer goods. The Company’s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accounting principles generally accepted in the United States of America (“GAAP”), under the rules and regulations of the United States (the “U.S.”) Securities and Exchange Commission (the “SEC”), and on a basis substantially consistent with the audited consolidated financial statements of the Company as of and for the fiscal year ended September 30, 2022. These unaudited condensed consolidated financial statements should be read in conjunction with such audited consolidated financial statements, which are included in the Company’s Annual Report on Form 10-K for the fiscal year ended September 30, 2022, filed with the SEC on November 17, 2022.</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 Certain reclassifications have been made to previously reported financial information to conform to the current period presentation.</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Spin-off, the financial results of BellRing LLC and its subsidiaries were consolidated with Old BellRing, and a portion of the consolidated net earnings of BellRing LLC was allocated to the redeemable noncontrolling interest (the “NCI”). The calculation of the NCI was based on Post’s ownership percentage of BellRing LLC units during each period prior to the Spin-off, and reflected the entitlement of Post to a portion of the consolidated net earnings of BellRing LLC prior to the Spin-off. During the periods subsequent to the Spin-off, any remaining ownership of BellRing by Post no longer represented a NCI to the Company (see Note 5). All intercompany balances and transactions have been eliminated. See Note 4 for further information on transactions with Post included in these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RECENTLY ISSUED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that had or will have a material impact on the Company’s results of operations, comprehensive income, financial position, cash flows, stockholders’ equity or related disclosures based on current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 and other beverages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w:t>
            </w:r>
          </w:p>
        </w:tc>
      </w:tr>
      <w:tr>
        <w:trPr>
          <w:trHeight w:val="21"/>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Both prior to and subsequent to the Spin-off, transactions with Post were considered related party transactions as certain of the Company’s directors continue to serve as officers or directors of Post.</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sells certain products to, purchases certain products from and licenses certain intellectual property to and from Post and its subsidiaries based upon pricing governed by agreements between the Company and Post and its subsidiaries,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consistent with pricing of similar arm's-length transactions. During each of the three and six months ended March 31, 2023 and 2022, net sales to, purchases from and royalties paid to and received from Post and its subsidiaries were immaterial.</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certain functions and services performed by Post under a master service agreement (the “MSA”). These functions and services include finance, internal audit, treasury, information technology support, insurance and tax matters, the use of office and/or data center space, payroll processing services and tax compliance services. The MSA was amended and restated upon completion of the Spin-off to provide for similar services following the Spin-off and such other services as BellRing and Post may agree. For the three and six months ended March 31, 2023, MSA fees were $1.0 and $2.3, respectively. For the three and six months ended March 31, 2022, MSA fees were </w:t>
      </w:r>
      <w:r>
        <w:rPr>
          <w:rFonts w:ascii="Times New Roman" w:cs="Times New Roman" w:eastAsia="Times New Roman" w:hAnsi="Times New Roman"/>
          <w:sz w:val="18"/>
          <w:szCs w:val="18"/>
          <w:color w:val="242424"/>
        </w:rPr>
        <w:t>$1.2 and $1.8, respective</w:t>
      </w:r>
      <w:r>
        <w:rPr>
          <w:rFonts w:ascii="Times New Roman" w:cs="Times New Roman" w:eastAsia="Times New Roman" w:hAnsi="Times New Roman"/>
          <w:sz w:val="18"/>
          <w:szCs w:val="18"/>
          <w:color w:val="auto"/>
        </w:rPr>
        <w:t>ly. MSA fees were reported in “Selling, general and administrative expenses” in the Condensed Consolidated Statements of Operations.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immaterial receivables and other current liabilities with Post at both March 31, 2023 and September 30, 2022 related to sales and royalty expense with Post and its subsidiaries. The Company had $0.4 and $1.4 of payables with Post at March 31, 2023 and September 30, 2022, respectively, related to MSA fees as well as related party purchases, which were recorded in “Accounts payable,” on the Condensed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Agreements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Spin-off, BellRing LLC made payments to Post related to quarterly tax distributions and state corporate tax withholdings made pursuant to the terms of the amended and restated limited liability company agreement of BellRing LLC (the “BellRing LLC Agreement”). During the six months ended March 31, 2022, BellRing LLC paid $3.2 to Post related to quarterly tax distributions.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and upon completion of the Spin-off, the Company entered into a tax matters agreement (the “Tax Matters Agreement”) by and among Post, BellRing and Old BellRing. The Tax Matters Agreement (i) governs the parties’ respective rights, responsibilities and obligations with respect to taxes, including taxes arising in the ordinary course of business and taxes, if any, that may be incurred if the Distribution fails to qualify for its intended tax treatment, (ii) addresses U.S. federal, state, local and non-U.S. tax matters and (iii) sets forth the respective obligations of the parties with respect to the filing of tax returns, the administration of tax contests and assistance and cooperation on tax matters.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Tax Matters Agreement, BellRing is expected to indemnify Post for (i) all taxes for which BellRing is responsible (as described in the Tax Matters Agreement) and (ii) all taxes incurred by reason of certain actions or events, or by reason of any breach by BellRing or any of its subsidiaries of any of their respective representations, warranties or covenants under the Tax Matters Agreement that, in each case, affect the intended tax-free treatment of the Spin-off. Additionally, Post is expected to indemnify BellRing for the (i) taxes for which Post is responsible (as described in the Tax Matters Agreement) and (ii) taxes attributable to a failure of the Spin-off to qualify as tax-free, to the extent incurred by any action or failure to take any action within the control of Post. There were no amounts incurred by BellRing or Post under the Tax Matters Agreement during each of the three and six months ended March 31, 2023 and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Agreement and Co-Packing Agreement</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2022, Premier Nutrition Company, LLC (“Premier Nutrition”), a subsidiary of the Company, and Michael Foods, Inc. (“MFI”), a subsidiary of Post, entered into a reimbursement agreement relating to MFI’s acquisition and development of property intended to be used as an aseptic processing plant for MFI or another subsidiary of Post to produce RTD shakes for Premier Nutrition (the “Reimbursement Agreement”). Pursuant to the Reimbursement Agreement, prior to the execution of a definitive agreement governing such production of RTD shakes for Premier Nutrition, Premier Nutrition would reimburse MFI for certain costs and expenses incurred in the acquisition and development of property for the processing plant. Premier Nutrition did not reimburse MFI for any amounts under the Reimbursement Agreement during fiscal 2022 and the Reimbursement Agreement terminated by its terms on September 30, 2022.</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30, 2022, Premier Nutrition entered into a Co-Packing Agreement with Comet Processing, Inc. (“Comet”), a wholly-owned subsidiary of Post. Under the Co-Packing Agreement, Comet will manufacture for Premier Nutrition, and Premier Nutrition will purchase from Comet, certain RTD shakes. Additionally, pursuant to the Co-Packing Agreement, Premier Nutrition will reimburse Comet for certain costs and expenses incurred in the acquisition and development of property for the processing plant. During the three and six months ended March 31, 2023, Premier Nutrition made no payments to Comet pursuant to the Co-Packing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REDEEMABLE NONCONTROLLING INTEREST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Prior to the Spin-off, Post had the right to redeem BellRing LLC units for, at BellRing LLC’s option (as determined by its Board of Managers), (i) shares of Old BellRing Class A Common Stock, at an initial redemption rate of one share of Old BellRing Class A Common Stock for one BellRing LLC unit, subject to customary redemption rate adjustments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stock splits, stock dividends and reclassification or (ii) cash (based on the market price of the shares of Old BellRing Class A Common Stock).</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Post’s ownership of BellRing LLC units prior to the Spin-off represented a NCI to the Company, which was classified outside of permanent stockholders’ equity as the BellRing LLC units were redeemable at the option of Post, through Post’s ownership of its share of Old BellRing Class B Common Stock (see Note 1). The carrying amount of the NCI was the greater of (i) the initial carrying amount, increased or decreased for the NCI’s share of net income or loss, other comprehensive income or loss (“OCI”) and distributions or dividends or (ii) the redemption value. Changes in the redemption value of the NCI were recorded to “Additional paid-in capital”, to the extent available, and “Accumulated deficit” on the Condensed Consolidated Statements of Stockholders’ Deficit.</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prior to the Spin-off, Old BellRing owned 28.5% of the outstanding BellRing LLC units. Prior to the Spin-off, the financial results of BellRing LLC and its subsidiaries were consolidated with Old BellRing, and the portion of the consolidated net earnings of BellRing LLC to which Post was entitled was allocated to the NCI during each period.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Immediately following the Spin-off, Post owned 14.2% of the BellRing Common Stock, which did not represent a controlling interest in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Spin-off, the carrying amount of the NCI was reduced to zero. As of March 31, 2023, Post had no ownership of BellRing Common Stock.</w:t>
      </w:r>
    </w:p>
    <w:p>
      <w:pPr>
        <w:spacing w:after="0" w:line="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changes to the Company’s NCI for the three and six months ended March 31, 2022. There were no changes to the Company’s NCI for the three and six months ended March 31, 2023 as the carrying amount of the NCI was reduced to zero immediately following the Spin-off in fiscal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As of and for the</w:t>
            </w:r>
          </w:p>
        </w:tc>
        <w:tc>
          <w:tcPr>
            <w:tcW w:w="280" w:type="dxa"/>
            <w:vAlign w:val="bottom"/>
          </w:tcPr>
          <w:p>
            <w:pPr>
              <w:spacing w:after="0"/>
              <w:rPr>
                <w:sz w:val="16"/>
                <w:szCs w:val="16"/>
                <w:color w:val="auto"/>
              </w:rPr>
            </w:pPr>
          </w:p>
        </w:tc>
        <w:tc>
          <w:tcPr>
            <w:tcW w:w="1900" w:type="dxa"/>
            <w:vAlign w:val="bottom"/>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rPr>
              <w:t>As of and for the</w:t>
            </w:r>
          </w:p>
        </w:tc>
      </w:tr>
      <w:tr>
        <w:trPr>
          <w:trHeight w:val="162"/>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2"/>
          </w:tcPr>
          <w:p>
            <w:pPr>
              <w:jc w:val="center"/>
              <w:ind w:right="48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4"/>
                <w:szCs w:val="14"/>
                <w:color w:val="auto"/>
              </w:rPr>
            </w:pPr>
          </w:p>
        </w:tc>
        <w:tc>
          <w:tcPr>
            <w:tcW w:w="1900" w:type="dxa"/>
            <w:vAlign w:val="bottom"/>
          </w:tcPr>
          <w:p>
            <w:pPr>
              <w:jc w:val="center"/>
              <w:ind w:right="213"/>
              <w:spacing w:after="0" w:line="162" w:lineRule="exact"/>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80" w:type="dxa"/>
            <w:vAlign w:val="bottom"/>
          </w:tcPr>
          <w:p>
            <w:pPr>
              <w:spacing w:after="0"/>
              <w:rPr>
                <w:sz w:val="18"/>
                <w:szCs w:val="18"/>
                <w:color w:val="auto"/>
              </w:rPr>
            </w:pPr>
          </w:p>
        </w:tc>
        <w:tc>
          <w:tcPr>
            <w:tcW w:w="190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March 31, 2022</w:t>
            </w:r>
          </w:p>
        </w:tc>
      </w:tr>
      <w:tr>
        <w:trPr>
          <w:trHeight w:val="225"/>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2,780.9</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w:t>
            </w: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attributable to NCI</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hedges, net of tax</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 adjustment to NCI</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(2,665.1)</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(2,665.1)</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effects of changes in NCI on the Company’s equity for the three and six months ended March 31, 2022. There were no transfers to or from NCI for the three and six months ended March 31, 2023 as the carrying amount of the NCI was reduced to zero immediately following the Spin-off in fiscal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19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80" w:type="dxa"/>
            <w:vAlign w:val="bottom"/>
          </w:tcPr>
          <w:p>
            <w:pPr>
              <w:spacing w:after="0"/>
              <w:rPr>
                <w:sz w:val="18"/>
                <w:szCs w:val="18"/>
                <w:color w:val="auto"/>
              </w:rPr>
            </w:pPr>
          </w:p>
        </w:tc>
        <w:tc>
          <w:tcPr>
            <w:tcW w:w="190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25"/>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Transfers from NCI:</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equity as a result of redemption value adjustment to NCI</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Increase in equity as a result of the Spin-off</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(2,665.1)</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(2,665.1)</w:t>
            </w:r>
          </w:p>
        </w:tc>
      </w:tr>
      <w:tr>
        <w:trPr>
          <w:trHeight w:val="248"/>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from net earnings available to common stockholders and transfers from NCI</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Old BellRing held an economic interest in BellRing LLC (see Note 1) which, as a result of the IPO and formation transactions, was treated as a partnership for U.S. federal income tax purposes. As a partnership, BellRing LLC itself was generally not subject to U.S. federal income tax under current U.S. tax laws. Generally, items of taxable income, gain, loss and deduction of BellRing LLC were passed through to its members, Old BellRing and Post. Old BellRing was responsible for its share of taxable income or loss of BellRing LLC allocated to it in accordance with the BellRing LLC Agreement and partnership tax rules and regulations.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the Spin-off, the Company reported 100% of the income, gain, loss and deduction of BellRing LLC for U.S. federal, state, and local income tax purposes.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25.0% and 45.1% for the three months ended March 31, 2023 and 2022, respectively. The decrease in the effective income tax rate compared to the prior year was primarily due to higher separation-related expenses incurred in connection with the Spin-off in the prior year period that were treated as non-deductible, partially offset by the Company reporting 100% of the income, gain, loss and deduction of BellRing LLC in the periods subsequent to the Spin-off.</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24.7% and 12.4% for the six months ended March 31, 2023 and 2022, respectively. The increase in the effective income tax rate compared to the prior year period was primarily due to the Company reporting 100% of the income, gain, loss and deduction of BellRing LLC in the periods subsequent to the Spin-off.</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on the Tax Matters Agreement by and among Post, BellRing and Old BellRing, see Note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basic earnings per share was based on the average number of shares of Old BellRing Class A Common Stock outstanding during each period. Diluted earnings per share was based on the average number of shares of Old BellRing Class A Common Stock used for the basic earnings per share calculation, adjusted for the dilutive effect of stock options and restricted stock units using the “treasury stock” method. In addition, “Net earnings available to common stockholders for diluted earnings per share” in the table below was adjusted for the dilutive impact of net earnings per share of Old BellRing Class A Common Stock attributable to NCI.</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the Spin-off, basic earnings per share is based on the average number of shares of BellRing Common Stock outstanding during each period. Diluted earnings per share is based on the average number of shares of BellRing Common Stock used for the basic earnings per share calculation, adjusted for the dilutive effect of stock options and restricted stock units using the “treasury stock” method.</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Spin-off, the share of Old BellRing Class B Common Stock did not have economic rights, including rights to dividends or distributions upon liquidation, and was therefore not a participating security. Subsequent to the Spin-off, the share of Old BellRing Class B Common Stock was no longer outstanding. As such, separate presentation of basic and diluted earnings per share of Old BellRing Class B Common Stock under the two-class method was not presented for any periods.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 for basic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impact of net earnings attributable to NCI</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 for diluted earnings per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of Common Stock</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share of Common Stock</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0.23</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0.56</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
        </w:trPr>
        <w:tc>
          <w:tcPr>
            <w:tcW w:w="63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6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securities that have been excluded from the calculation of weighted-average shares for diluted earnings per share as they were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960" w:type="dxa"/>
            <w:vAlign w:val="bottom"/>
            <w:gridSpan w:val="5"/>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1"/>
        </w:trPr>
        <w:tc>
          <w:tcPr>
            <w:tcW w:w="630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0.2</w:t>
            </w:r>
          </w:p>
        </w:tc>
        <w:tc>
          <w:tcPr>
            <w:tcW w:w="2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0.1</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760" w:type="dxa"/>
            <w:vAlign w:val="bottom"/>
          </w:tcPr>
          <w:p>
            <w:pPr>
              <w:spacing w:after="0"/>
              <w:rPr>
                <w:sz w:val="20"/>
                <w:szCs w:val="20"/>
                <w:color w:val="auto"/>
              </w:rPr>
            </w:pPr>
          </w:p>
        </w:tc>
        <w:tc>
          <w:tcPr>
            <w:tcW w:w="12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0.1</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522"/>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INVENTORIES</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63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23"/>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PROPERTY, NET</w:t>
            </w: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3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63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at cost</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7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“Goodwill” on the Condensed Consolidated Balance Sheets at both March 31, 2023 and September 30, 2022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 INTANGIBLE ASSETS, NET</w:t>
            </w: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intangible assets are as follows: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452"/>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FAIR VALUE MEASUREMENTS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assets and liabilities include cash and cash equivalents, receivables and accounts payable for which the carrying value approximates fair value due to their short maturities (less than 12 months). The Company does not record its long-term debt at fair value on the Condensed Consolidated Balance Sheets. The fair value of outstanding borrowings under the Revolving Credit Facility (as defined in Note 13) as of March 31, 2023 and September 30, 2022 approximated its carrying value. Based on current market rates, the fair value (Level 2) of the Company’s debt, excluding any borrowings under the Revolving Credit Facility, was $854.5 and $767.4 as of March 31, 2023 and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assets and liabilities, including property, plant and equipment, goodwill and other intangible assets, are measured at fair value on a non-recurring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“Long-term debt” on the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10, 2022, pursuant to the Transaction Agreement, the Company issued $840.0 aggregate principal amount of 7.00% senior notes maturing in March 2030 (the “7.00% Senior Notes”) to Post as partial consideration for the Contribution in connection with the Distribution. Post subsequently delivered the 7.00% Senior Notes to certain financial institutions in satisfaction of term loan obligations of Post in an equal principal amount.</w:t>
      </w:r>
    </w:p>
    <w:p>
      <w:pPr>
        <w:spacing w:after="0" w:line="68"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7.00% Senior Notes were issued at par, and the Company incurred debt issuance costs of $10.2, which were deferred and are being amortized to interest expense over the term of the 7.00% Senior Notes. Interest payments are due semi-annually each March 15 and September 15, and began on September 15, 2022. The 7.00% Senior Notes are senior unsecured obligations of BellRing and are guaranteed by BellRing’s existing and subsequently acquired or organized direct and indirect wholly-owned domestic subsidiaries (other than immaterial subsidiaries, certain excluded subsidiaries and subsidiaries the Company may designate as unrestricted subsidiaries). The maturity date of the 7.00% Senior Notes is March 15, 2030.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2022, pursuant to the Transaction Agreement, the Company entered into a credit agreement (as amended, the “Credit Agreement”), which provides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The outstanding amounts under the Credit Agreement must be repaid on or before March 10, 2027.</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an annual rate equal to: (i) in the case of loans denominated in U.S. Dollars, at the Company’s option, the base rate (as defined in the Credit Agreement) plus a margin which was initially 2.00% and thereafter will range from 2.00% to 2.75% depending on the Company’s secured net leverage ratio (as defined in the Credit Agreement), or the adjusted term SOFR rate (as defined in the Credit Agreement) for the applicable interest period plus a margin which was initially 3.00% and thereafter will range from 3.00% to 3.75% depending on the Company’s secured net leverage ratio; (ii) in the case of loans denominated in Euros, the adjusted Eurodollar rate (as defined in the Credit Agreement) for the applicable interest period plus a margin which was initially 3.00% and thereafter will range from 3.00% to 3.75% depending on the Company’s secured net leverage ratio; and (iii) in the case of loans denominated in U.K. Pounds Sterling, the adjusted daily simple RFR (as defined in the Credit Agreement) plus a margin which was initially 3.00% and thereafter will range from 3.00% to 3.75% depending on the Company’s secured net leverage ratio. Facility fees on the daily unused amount of commitments under the Revolving Credit Facility initially accrued at the rate of 0.25% per annum, and thereafter, will accrue at rates ranging from 0.25% to 0.375% per annum, depending on the Company’s secured net leverage ratio.</w:t>
      </w:r>
    </w:p>
    <w:p>
      <w:pPr>
        <w:spacing w:after="0" w:line="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incurred $1.5 of financing fees in connection with the Revolving Credit Facility, which were deferred and are being amortized to interest expense over the term of the Revolving Credit Facility. During the six months ended March 31, 2023 and 2022, the Company borrowed $115.0 and $109.0 under the Revolving Credit Facility, respectively, and repaid $75.0 and zero under the Revolving Credit Facility, respectively. The interest rates on the utilized portion of the Revolving Credit Facility ranged from 7.86% to 10.00% as of March 31, 2023 and 5.95% to 8.25% as of September 30, 2022. The available borrowing capacity under the Revolving Credit Facility was $111.0 and $151.0 as of March 31, 2023 and September 30, 2022, respectively. There were no outstanding letters of credit as of March 31, 2023 or September 30, 2022.</w:t>
      </w:r>
    </w:p>
    <w:p>
      <w:pPr>
        <w:spacing w:after="0" w:line="7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the Company is required to maintain a total net leverage ratio (as defined in the Credit Agreement) not to exceed 6.00:1.00, measured as of the last day of each fiscal quarter. The total net leverage ratio of the Company did not exceed this threshold as of March 31, 2023.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subsidiaries (other than immaterial subsidiaries, certain excluded subsidiaries and subsidiaries the Company may designate as unrestricted subsidiaries) and are secured by security interests in substantially all of the Company’s assets and the assets of its subsidiary guarantors, but excluding, in each case, real property.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Old Credit Agreement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21, 2019, BellRing LLC entered into a credit agreement (as subsequently amended, the “Old Credit Agreement”) which provided for a term B loan facility in an aggregate original principal amount of $700.0 (the “Term B Facility”) and a revolving credit facility in an aggregate principal amount of up to $200.0 (the “Old Revolving Credit Facility”), with the commitments under the Old Revolving Credit Facility to be made available to BellRing LLC in U.S. Dollars, Euros and U.K. Pounds Sterling. Letters of credit were available under the Old Credit Agreement in an aggregate amount of up to $20.0.</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10, 2022, with certain of the proceeds from the transactions related to the Spin-off, BellRing LLC repaid the aggregate outstanding principal balance of $519.8 on its Term B Facility and terminated all obligations and commitments under the Old Credit Agreement. The Company recorded a loss of $17.6 during the three and six months ended March 31, 2022, which was included in “Loss on extinguishment of debt, net” in the Condensed Consolidated Statements of Operations. This loss included (i) a $6.9 write-off of unamortized discounts and debt extinguishment fees, (ii) a $6.1 write-off of unamortized net hedging losses recorded within accumulated OCI related to the Term B Facility and (iii) a $4.6 write-off of debt issuance costs and deferred financing fees.</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the termination of the Old Credit Agreement, BellRing LLC and the guarantors had no further obligations under the Old Credit Agreement and the related guarantees other than customary indemnification obligations which continue.</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Term B Facility required quarterly scheduled amortization payments of $8.75 which began on March 31, 2020. Interest was paid on each Interest Payment Date (as defined in the Old Credit Agreement) during the periods prior to the termination of the Old Credit Agreement. The Term B Facility contained customary mandatory prepayment provisions, and during the six months ended March 31, 2022 and prior to the termination of the Old Credit Agreement, the Company repaid $81.4 on its Term B Facility as a mandatory prepayment from fiscal 2021 excess cash flow (as defined in the Old Credit Agreement), which was in addition to the scheduled amortization payments.</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borrowings under or repayments on the Old Revolving Credit Facility during the six months ended March 31, 2022 prior to the facility being terminated.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and chondroitin dietary supplement beverages were false and misleading. In April 2016, the district court certified a California-only class of consumers in this lawsuit (this lawsuit is hereinafter referred to as the “California Federal Class Lawsuit”).</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action on behalf of New York consumers was held beginning in May 2022, and the jury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delivered its verdict in favor of plaintiff in June 2022. In August 2022, the Court entered a judgment in that case in favor of plaintiff in the amount of $12.9, which includes statutory damages and prejudgment interest. In October 2022, each plaintiff and Premier Nutrition filed Notices of Appeal to the Ninth Circuit, on February 7, 2023 plaintiff filed its Opening Brief and on April 28, 2023 Premier Nutrition filed its Answering Brief. The other eight Related Federal Actions remain pending, and the court has certified individual state classes in each of those cases (except New Mexico).</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April 2018, the district court dismissed the California Federal Class Lawsuit with prejudice. This dismissal was upheld on appeal by the U.S. Court of Appeals for the Ninth Circuit in 2020, and plaintiff’s petition for an en banc rehearing by the Ninth Circuit was denied.</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2020, the same lead counsel re-filed the California Federal Class Lawsuit against Premier Nutrition in California Superior Court for the County of Alameda, alleging identical claims and seeking restitution and injunctive relief on behalf of the same putative class of California consumers as the California Federal Class Lawsuit. Following the federal district court’s denial of Premier Nutrition’s motion to permanently enjoin the Alameda action under the doctrine of </w:t>
      </w:r>
      <w:r>
        <w:rPr>
          <w:rFonts w:ascii="Times New Roman" w:cs="Times New Roman" w:eastAsia="Times New Roman" w:hAnsi="Times New Roman"/>
          <w:sz w:val="18"/>
          <w:szCs w:val="18"/>
          <w:i w:val="1"/>
          <w:iCs w:val="1"/>
          <w:color w:val="auto"/>
        </w:rPr>
        <w:t>res judicata</w:t>
      </w:r>
      <w:r>
        <w:rPr>
          <w:rFonts w:ascii="Times New Roman" w:cs="Times New Roman" w:eastAsia="Times New Roman" w:hAnsi="Times New Roman"/>
          <w:sz w:val="18"/>
          <w:szCs w:val="18"/>
          <w:color w:val="auto"/>
        </w:rPr>
        <w:t xml:space="preserve">, Premier Nutrition appealed to the Ninth Circuit. In September 2022, the Ninth Circuit affirmed the district court’s denial of Premier Nutrition’s motion to enjoin the Alameda action, holding that the Alameda Superior Court would have to decide whether plaintiff’s claims are barred by </w:t>
      </w:r>
      <w:r>
        <w:rPr>
          <w:rFonts w:ascii="Times New Roman" w:cs="Times New Roman" w:eastAsia="Times New Roman" w:hAnsi="Times New Roman"/>
          <w:sz w:val="18"/>
          <w:szCs w:val="18"/>
          <w:i w:val="1"/>
          <w:iCs w:val="1"/>
          <w:color w:val="auto"/>
        </w:rPr>
        <w:t>res judicata</w:t>
      </w:r>
      <w:r>
        <w:rPr>
          <w:rFonts w:ascii="Times New Roman" w:cs="Times New Roman" w:eastAsia="Times New Roman" w:hAnsi="Times New Roman"/>
          <w:sz w:val="18"/>
          <w:szCs w:val="18"/>
          <w:color w:val="auto"/>
        </w:rPr>
        <w:t xml:space="preserve">. The hearing on Premier Nutrition’s motion for judgment based on </w:t>
      </w:r>
      <w:r>
        <w:rPr>
          <w:rFonts w:ascii="Times New Roman" w:cs="Times New Roman" w:eastAsia="Times New Roman" w:hAnsi="Times New Roman"/>
          <w:sz w:val="18"/>
          <w:szCs w:val="18"/>
          <w:i w:val="1"/>
          <w:iCs w:val="1"/>
          <w:color w:val="auto"/>
        </w:rPr>
        <w:t>res judicata</w:t>
      </w:r>
      <w:r>
        <w:rPr>
          <w:rFonts w:ascii="Times New Roman" w:cs="Times New Roman" w:eastAsia="Times New Roman" w:hAnsi="Times New Roman"/>
          <w:sz w:val="18"/>
          <w:szCs w:val="18"/>
          <w:color w:val="auto"/>
        </w:rPr>
        <w:t xml:space="preserve"> currently in the Alameda Superior Court was held on February 24, 2023 and on March 23, 2023 the Court granted the motion in part and denied it in part. On April 14, 2023, Plaintiff filed a motion for reconsideration and Premier Nutrition filed a motion for judgment on the pleadings. Both motions remain pending. This case is set for trial in September 2023 and will be consolidated for trial with the case set forth in the following paragraph</w:t>
      </w:r>
      <w:r>
        <w:rPr>
          <w:rFonts w:ascii="Times New Roman" w:cs="Times New Roman" w:eastAsia="Times New Roman" w:hAnsi="Times New Roman"/>
          <w:sz w:val="18"/>
          <w:szCs w:val="18"/>
          <w:u w:val="single" w:color="auto"/>
          <w:color w:val="auto"/>
        </w:rPr>
        <w:t>.</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This case is set for trial in September 2023 and will be consolidated for trial with the case set forth in the immediately preceding paragraph</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continues to vigorously defend these cases and intends to appeal any adverse judgements and awards of damages. The Company does not believe that the ultimate resolution of these cases will have a material adverse effect on its financial condition, results of operations or cash flows.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legal fees, no expense related to this litigation was incurred during the three or six months ended March 31, 2023 or 2022. At both March 31, 2023 and September 30, 2022, the Company had an estimated liability of $16.0 related to these matters that was included in “Other current liabilities” on the Condensed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fourth quarter of fiscal 2022, a voluntary product recall was initiated by one of the Company’s contract manufacturers which produces RTD shakes for Premier Nutrition. The recall covered the Company’s products produced from December 8, 2021 through July 9, 2022 at one of the contract manufacturer’s facilities. The Company believes the impact of the recall on the financial condition, results of operations and cash flows of the Company has been and will continue to be immaterial.</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STOCKHOLDERS’ DEFICIT</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repurchases of BellRing Common Stock. There were no repurchases of BellRing Common Stock during the three and six months ended March 31,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190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80" w:type="dxa"/>
            <w:vAlign w:val="bottom"/>
          </w:tcPr>
          <w:p>
            <w:pPr>
              <w:spacing w:after="0"/>
              <w:rPr>
                <w:sz w:val="18"/>
                <w:szCs w:val="18"/>
                <w:color w:val="auto"/>
              </w:rPr>
            </w:pPr>
          </w:p>
        </w:tc>
        <w:tc>
          <w:tcPr>
            <w:tcW w:w="190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25"/>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Shares repurchased </w:t>
            </w:r>
            <w:r>
              <w:rPr>
                <w:rFonts w:ascii="Times New Roman" w:cs="Times New Roman" w:eastAsia="Times New Roman" w:hAnsi="Times New Roman"/>
                <w:sz w:val="18"/>
                <w:szCs w:val="18"/>
                <w:i w:val="1"/>
                <w:iCs w:val="1"/>
                <w:color w:val="auto"/>
              </w:rPr>
              <w:t>(in millions)</w:t>
            </w:r>
          </w:p>
        </w:tc>
        <w:tc>
          <w:tcPr>
            <w:tcW w:w="24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 cost (b)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bl>
    <w:p>
      <w:pPr>
        <w:spacing w:after="0" w:line="18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per share excludes accrued excise tax and broker’s commissions, which are included in “Total share repurchase cost” within this table.</w:t>
      </w:r>
    </w:p>
    <w:p>
      <w:pPr>
        <w:spacing w:after="0" w:line="113"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of treasury stock” in the Condensed Consolidated Statements of Cash Flows for the six months ended March 31, 2023 excluded $0.3 of accrued excise tax that had not been paid as of March 31, 2023 and was included in “Other current liabilities” on the Condensed Consolidated Balance Sheets at March 31, 2023.</w:t>
      </w:r>
    </w:p>
    <w:p>
      <w:pPr>
        <w:spacing w:after="0" w:line="6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repurchases of Old BellRing Class A Common Stock. There were no repurchases of Old BellRing Class A Common Stock during the three months ended March 31,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9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2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Shares repurchased </w:t>
            </w:r>
            <w:r>
              <w:rPr>
                <w:rFonts w:ascii="Times New Roman" w:cs="Times New Roman" w:eastAsia="Times New Roman" w:hAnsi="Times New Roman"/>
                <w:sz w:val="18"/>
                <w:szCs w:val="18"/>
                <w:i w:val="1"/>
                <w:iCs w:val="1"/>
                <w:color w:val="auto"/>
              </w:rPr>
              <w:t>(in millions)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 cost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bl>
    <w:p>
      <w:pPr>
        <w:spacing w:after="0" w:line="1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Average price per share excludes broker’s commissions, which are included in “Total share repurchase cost” within this table.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Spin-off, 0.8 million shares of Old BellRing Class A Common Stock held in treasury stock immediately prior to the Merger effective time were cancelled pursuant to the Transaction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(formally known as BellRing Distribution, LLC) (“BellRing”)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2022, and the “Cautionary Statement on Forward-Looking Statements” section included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2019, BellRing Intermediate Holdings, Inc. (formerly known as BellRing Brands, Inc.) (“Old BellRing”) closed its initial public offering (the “IPO”) of 39.4 million shares of its Class A common stock, $0.01 par value per share (the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holding company for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2022, Post completed its distribution of 80.1% of its ownership interest in BellRing to Post’s shareholders. On March 9, 2022, pursuant to the Transaction Agreement and Plan of Merger, dated as of October 26, 2021 (as amended by Amendment No. 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million of cash to BellRing (collectively, the “Contribution”) in exchange for certain limited liability company interests of BellRing (prior to the conversion of BellRing into a Delaware corporation) and the right to receive $840.0 million in aggregate principal amount of BellRing’s 7.00% senior notes maturing in 2030 (the “7.00% Senior Notes”).</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10, 2022, BellRing converted into a Delaware corporation and changed its name to “BellRing Brands, Inc.”, and Post distributed an aggregate of 78.1 million, or 80.1%, of its shares of BellRing common stock, $0.01 par value per share (“BellRing Common Stock”) to Post shareholders in a pro-rata distribution (the “Distribution”).</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plus $2.97 in cash, or $115.5 million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(the “Exchange Act”), pursuant to Rule 12g-3(a) promulgated thereunder.</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 Immediately following the Spin-off, Post owned 19.4 million shares, or 14.2% of BellRing Common Stock, which did not represent a controlling interest in BellRing. As a result of the Spin-off, the dual class voting structure in the BellRing business was eliminated.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11, 2022, Post transferred 14.8 million shares of its BellRing Common Stock to certain financial institutions in satisfaction of term loan obligations of Post, which reduced Post’s ownership of BellRing Common Stock to 3.4% as of September 30, 2022. In connection with this transaction, BellRing repurchased 0.8 million of the transferred shares from certain of the financial institutions.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25, 2022, Post transferred the remaining of its 4.6 million shares of BellRing Common Stock to certain financial institutions in satisfaction of term loan obligations of Post. In connection with this transaction, BellRing repurchased 0.9 million of the transferred shares from certain of the financial institutions. Post had no ownership of BellRing Common Stock as of March 31, 2023.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BellRing incurred separation-related expenses in connection with its separation from Post of $0.4 million and $0.7 million during the three and six months ended March 31, 2023, respectively, and $10.3 million and $12.3 million during the three and six months ended March 31, 2022, respectively. These expenses generally included third party costs for advisory services, fees charged by other service providers and government filing fees and were included in “Selling, general and administrative expenses” in the Condensed Consolidated Statements of Operations.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terms “our”, “we”, “us” and the “Company” generally refer to Old BellRing and its consolidated subsidiaries during the periods prior to the Spin-off and to us and our consolidated subsidiaries during the periods subsequent to the Spin-off unless otherwise stated or context otherwise indicates. The term “Common Stock” generally refers to Old BellRing Class A Common Stock and Old BellRing Class B Common Stock during the periods prior to the Spin-off and to BellRing Common Stock during the periods subsequent to the Spin-off. The term “Net earnings available to common stockholders” generally refers to net earnings available to Old BellRing Class A common stockholders during the periods prior to the Spin-off and to net earnings available to BellRing common stockholders during the periods subsequent to the Spin-off.</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convenient nutrition category and are a provider of ready-to-drink (“RTD”) protein shakes, other RTD beverages and powders.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Events such as the COVID-19 pandemic have resulted in certain ongoing impacts to the global economy, including market disruptions, supply chain challenges and inflationary pressures. During the first half of fiscal 2023, input cost inflation continued to pressure our supply chain. Raw material and packaging inflation has been widespread, rapid and significant and has put downward pressure on profit margins. As a result, we have taken pricing actions on nearly all products. We expect inflationary pressures to continue during the fiscal year, and this trend could have a materially adverse impact in the future if inflation rates were to significantly exceed our ability to achieve price increases or cost savings or if such price increases impact demand for our products.</w:t>
      </w:r>
    </w:p>
    <w:p>
      <w:pPr>
        <w:spacing w:after="0" w:line="7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For additional discussion, refer to “Liquidity and Capital Resources” and “Cautionary Statement on Forward-Looking Statements” within this section.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favorable/(unfavorable)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favorable/(unfavorable)</w:t>
            </w:r>
          </w:p>
        </w:tc>
        <w:tc>
          <w:tcPr>
            <w:tcW w:w="0" w:type="dxa"/>
            <w:vAlign w:val="bottom"/>
          </w:tcPr>
          <w:p>
            <w:pPr>
              <w:spacing w:after="0"/>
              <w:rPr>
                <w:sz w:val="1"/>
                <w:szCs w:val="1"/>
                <w:color w:val="auto"/>
              </w:rPr>
            </w:pPr>
          </w:p>
        </w:tc>
      </w:tr>
      <w:tr>
        <w:trPr>
          <w:trHeight w:val="225"/>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Pr>
          <w:p>
            <w:pPr>
              <w:spacing w:after="0"/>
              <w:rPr>
                <w:sz w:val="19"/>
                <w:szCs w:val="19"/>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9"/>
                <w:szCs w:val="19"/>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25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56"/>
        </w:trPr>
        <w:tc>
          <w:tcPr>
            <w:tcW w:w="2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earnings attributable to</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6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redeemable noncontrolling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55"/>
        </w:trPr>
        <w:tc>
          <w:tcPr>
            <w:tcW w:w="25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Earnings Available to</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2,277 %</w:t>
            </w:r>
          </w:p>
        </w:tc>
        <w:tc>
          <w:tcPr>
            <w:tcW w:w="2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Net sales increased $70.4 million, or 22%, during the three months ended March 31, 2023,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$65.1 million, or 26%, driven by higher average net selling prices. Average net selling prices increased in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March 31, 2023 due to targeted price increases taken to mitigate inflation. Volumes increased 6% primarily driven by higher production.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$5.8 million, or 11%, driven by higher average net selling prices, on 1% lower volumes. Average net selling prices increased in the three months ended March 31, 2023 due to targeted price increases, partially offset by increased promotional spending. Sales of all other products were down $0.5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Net sales increased $126.6 million, or 20%, during the six months ended March 31, 2023,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$122.3 million, or 25%, driven by higher average net selling prices. Average net selling prices increased in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March 31, 2023 primarily due to targeted price increases taken to mitigate inflation. Volumes increased 6% primarily driven by higher production.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$6.9 million, or 7%, driven by higher average net selling prices. Average net selling prices increased in the six months ended March 31, 2023 due to targeted price increases and favorable product mix, partially offset by increased promotional spending. This increase in average net selling prices was partially offset by volume decreases of 10%, which were primarily driven by the lapping of prior year product discontinuations. Sales of all other products were down $2.6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profit increased $24.8 million, or 75%, during the three months ended March 31, 2023, compared to the prior year period. This increase was primarily driven by higher net sales, as previously discussed, and $9.9 million of lower costs related to the separation from Post. These positive impacts were partially offset by higher net product costs of $26.2 million primarily driven by unfavorable raw material costs, partially offset by lower freight costs. In addition, advertising expenses increased by $7.4 million.</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profit increased $49.4 million, or 59%, during the six months ended March 31, 2023, compared to the prior year period. This increase was primarily driven by higher net sales, as previously discussed, and $11.6 million of lower costs related to the separation from Post. These positive impacts were partially offset by higher net product costs of $51.0 million primarily driven by unfavorable raw material costs partially offset by lower freight and manufacturing costs. In addition, we incurred higher advertising expenses of $8.4 million and higher employee related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increased $8.3 million during the three months ended March 31, 2023, compared to the prior year period. This increase was primarily due to higher outstanding principal amounts of debt and a higher weighted-average interest rate compared to the prior year period. The weighted-average interest rate on our total outstanding debt increased to 7.3% for the three months ended March 31, 2023 from 5.6% for the three months ended March 31, 2022, primarily driven by the issuance of our 7.00% Senior Notes in March of fiscal 2022.</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expense, net increased $16.6 million during the six months ended March 31, 2023, compared to the prior year period. This increase was primarily due to higher outstanding principal amounts of debt and a higher weighted-average interest rate compared to the prior year period. The weighted-average interest rate on our total outstanding debt increased to 7.2% for the six months ended March 31, 2023 from 5.2% for the six months ended March 31, 2022, primarily driven by the issuance of our 7.00% Senior Notes in March of fiscal 2022. See Note 13 within “Notes to Condensed Consolidated Financial Statements” for additional information on our debt.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 Net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March 31, 2022, we recognized a $17.6 million loss related to the termination of our credit agreement entered into on October 21, 2019 (as subsequently amended, the “Old Credit Agreement”). This loss included (i) a $6.9 million write-off of unamortized discounts and debt extinguishment fees, (ii) a $6.1 million write-off of unamortized net hedging losses recorded within accumulated other comprehensive income or loss related to BellRing LLC’s term loan B facility (the “Term B Facility”) and (iii) a $4.6 million write-off of debt issuance costs and deferred financing fees.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13 within “Notes to Condensed Consolidated Financial Statements” for additional information on our debt.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Old BellRing held an economic interest in BellRing LLC which, as a result of the IPO and formation transactions, was treated as a partnership for United States (“U.S.”) federal income tax purposes. As a partnership, BellRing LLC itself was generally not subject to U.S. federal income tax under applicable U.S. tax laws. Generally, items of taxable income, gain, loss and deduction of BellRing LLC were passed through to its members, Old BellRing and Post. Old BellRing was responsible for its share of taxable income or loss of BellRing LLC allocated to it in accordance with the amended and restated limited liability company agreement of BellRing LLC and partnership tax rules and regulations.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the Spin-off, we reported 100% of the income, gain, loss and deduction of BellRing LLC for U.S. federal, state and local income tax purposes.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25.0% and 45.1% for the three months ended March 31, 2023 and 2022, respectively. The decrease in our effective income tax rate compared to the prior year was primarily due to higher separation-related expenses incurred in connection with the Spin-off in the prior year period that were treated as non-deductible, partially offset by us reporting 100% of the income, gain, loss and deduction of BellRing LLC in the periods subsequent to the Spin-off.</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24.7% and 12.4% for the six months ended March 31, 2023 and 2022, respectively. The increase in our effective income tax rate compared to the prior year period was primarily due to us reporting 100% of the income, gain, loss and deduction of BellRing LLC in the periods subsequent to the Spin-off.</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740, “Income Taxes,” we recorded income tax expense for interim periods using the estimated annual effective income tax rate for the full fiscal year adjusted for the impact of discrete items occurring during the interim periods.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debt repayments, share repurchases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the remainder of fiscal 2023. 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 Additionally, we may seek to repurchase shares of our common stock. Such repurchases, if any, will depend on prevailing market conditions, our liquidity requirements, contractual restrictions and other factors. The amounts involved may be material.</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six months ended March 31, 2023, we borrowed $115.0 million under our revolving credit facility, which is provided for under our credit agreement entered into on March 10, 2022 (as amended, the “Credit Agreement”) in an aggregate principal amount of $250.0 million (the “Revolving Credit Facility”), and repaid $75.0 million under the Revolving Credit Facility. We had available borrowing capacity under the Revolving Credit Facility of $111.0 million and no outstanding letters of credit under the Revolving Credit Facility as of March 31, 2023. Letters of credit are available under the Revolving Credit Facility in an aggregate amount of up to $20.0 million. Our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on the amount as specified in the Credit Agreement.</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2023, we repurchased 2.7 million shares of BellRing Common Stock at an average share price of $25.52 per share and a total cost, including accrued excise tax and broker’s commissions, of $68.8 million.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2022, we entered into a co-manufacturing agreement for the manufacturing and packaging of our RTD shakes (the “Agreement”). The Agreement included a minimum purchase quantity requirement and a “take-or-pay” provision, which increased our purchase commitments by $200.0 million through fiscal 2028 (with $40.0 million due in the next 12 months).</w:t>
      </w:r>
    </w:p>
    <w:p>
      <w:pPr>
        <w:sectPr>
          <w:pgSz w:w="11900" w:h="16838" w:orient="portrait"/>
          <w:cols w:equalWidth="0" w:num="1">
            <w:col w:w="11240"/>
          </w:cols>
          <w:pgMar w:left="320" w:top="121" w:right="339" w:bottom="1440" w:gutter="0" w:footer="0" w:header="0"/>
        </w:sectPr>
      </w:pP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shows select cash flow data, which is discussed below.</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3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8180" w:space="720"/>
            <w:col w:w="2340"/>
          </w:cols>
          <w:pgMar w:left="320" w:top="121" w:right="339" w:bottom="1440" w:gutter="0" w:footer="0" w:header="0"/>
          <w:type w:val="continuous"/>
        </w:sect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March 31, 2023 increased $2.7 million compared to the prior year period. This increase was primarily driven by higher net earnings and favorable changes related to fluctuations in the timing of purchases and payments of trade payables and sales and collections of trade receivables. These positive impacts were partially offset by unfavorable changes related to an increase in inventory, which was driven by input cost inflation and higher raw material levels, increased tax payments (net of refunds) of $28.5 million and increased interest payments of $20.6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March 31, 2023 decreased $0.6 million compared to the prior year period resulting from a decrease in capital expenditures.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March 31, 2023</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March 31, 2023 was $30.7 million. We paid $68.5 million, including broker’s commissions, for the repurchase of shares of our Common Stock and repaid $75.0 million under the Revolving Credit Facility. Additionally, we borrowed $115.0 million under the Revolving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March 31, 2022</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March 31, 2022 was $99.5 million. We repaid the outstanding principal balance of the Term B Facility of $609.9 million, paid $115.5 million to Old BellRing Class A common stockholders pursuant to the Merger and paid $11.1 million of debt issuance costs, debt extinguishment costs and deferred financing fees related to the issuance of the 7.00% Senior Notes and the Revolving Credit Facility. Additionally, we paid $18.1 million, including broker’s commissions, for the repurchase of shares of Old BellRing Class A Common Stock prior to the Spin-off. We received $550.4 million of cash from Post in connection with the Spin-off, which was partially offset by cash distributions to Post of $3.2 million related to quarterly tax distributions pursuant to BellRing LLC’s amended and restated limited liability company agreement prior to the Spin-off. Additionally, we borrowed $109.0 million under the Revolving Credit Facility.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applicable to us and our restricted subsidiaries for agreements of this type, including delivery of financial and other information; compliance with laws; maintenance of property; existence, insurance and books and records;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March 31, 2023, and we do not believe non-compliance is reasonably likely in the foreseeable future.</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on the amount as specified in the Credit Agreement.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indenture governing the 7.00% Senior Notes contains customary negative covenants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transactions with affiliates; and sell assets or merge with other companies. Certain of these covenants are subject to suspension when and if the 7.00% Senior Notes receive investment grade ratings.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are more fully described in our Annual Report on Form 10-K for the year ended September 30, 2022, as filed with the Securities and Exchange Commission (the “SEC”) on November 17, 2022. There have been no significant changes to our critical accounting policies and estimates since September 30, 2022.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considered all new accounting pronouncements and have concluded there are no new pronouncements that had or will have a material impact on our results of operations, comprehensive income, financial position, cash flows, stockholders’ equity or related disclosures based on current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Exchange Act, are made throughout this report, including statements regarding unanticipated developments that negatively impact the BellRing Common Stock. These forward-looking statements are sometimes identified from the use of forward-looking words such as “believe,” “should,” “could,” “potential,” “continue,” “expect,” “project,” “estimate,” “predict,” “anticipate,” “aim,” “intend,” “plan,” “forecast,” “target,” “is likely,” “will,” “can,” “may” or “would” or the negative of these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6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third party contract manufacturers for the manufacturing of most of our products, including one manufacturer for the majority of our RTD protein shakes;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 party contract manufacturers to produce an amount of our products that enables us to meet customer and consumer demand for the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 party suppliers to provide certain ingredients and packaging;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leverage, our ability to obtain additional financing (including both secured and unsecured debt) and our ability to service our outstanding debt (including covenants that restrict the operation of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in critical accounting judgments;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following the Spin-off, including our obligations under various agreements with Post;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or directors of Post;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Spin-off, including our inability to take certain actions because such actions could jeopardize the tax-free status of the Distribution and our possible responsibility for U.S. federal tax liabilities related to the Distribution;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 party intellectual property subject to intellectual property licenses;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information technology failures, cybersecurity incidents and/or information security breaches;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this report and in our Annual Report on Form 10-K for the fiscal year ended September 30, 2022, filed with the SEC on November 17, 2022.</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ind w:right="3940"/>
        <w:spacing w:after="0" w:line="377"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Commodity Price Risk</w:t>
      </w:r>
    </w:p>
    <w:p>
      <w:pPr>
        <w:spacing w:after="0" w:line="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both March 31, 2023 and September 30, 2022, the Company had outstanding principal value of indebtedness of $840.0 million related to its 7.00% Senior Notes. Additionally, the Company had an aggregate principal amount of $139.0 million and $99.0 million outstanding under its Revolving Credit Facility as of March 31, 2023 and September 30, 2022, respectively. Borrowings under the Revolving Credit Facility bear interest at variable rates.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2023 and September 30, 2022, the fair value of the Company’s debt, excluding any borrowings under its Revolving Credit Facility, was $854.5 million and $767.4 million, respectively. Changes in interest rates impact fixed and variable rate debt differently. For fixed rate debt, a change in interest rates will only impact the fair value of the debt, whereas a change in the interest rates on variable rate debt will impact interest expense and cash flows. A hypothetical 10% decrease in interest rates would have increased the fair value of the fixed rate debt by approximately $14 million and $17 million as of March 31, 2023 and September 30, 2022, respectively. A hypothetical 10% increase in interest rates would have had an immaterial impact on both interest expense and interest paid during each of the three and six months ended March 31, 2023 and 2022. For additional information regarding the Company’s debt, see Note 13 within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with the Executive Chairman,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Executive Chairman, CEO and CFO concluded that, as of the end of the period covered by this report, the Company’s disclosure controls and procedures were effective to provide reasonable assurance of achieving the desired control objectives.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during the quarter ended March 31,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1 is set forth in Note 14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March 31, 2023.</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information set forth elsewhere in this Quarterly Report on Form 10-Q (the “Quarterly Report”), you should carefully consider the risk factors we previously disclosed in our Annual Report on Form 10-K, filed with the SEC on November 17, 2022, as of and for the year ended September 30, 2022 (the “Annual Report”). As of the date of this Quarterly Report, there have been no material changes to the risk factors previously disclosed in the Annual Report. These risks could materially and adversely affect our business, financial condition, results of operations and cash flows. The enumerated risks have been or may be heightened, or in some cases manifested, by the impacts of the COVID-19 pandemic and the ongoing conflict in Ukraine and are not the only risks we face. Additional risks and uncertainties not presently known to us or that we currently deem immaterial also may impair our business, financial condition, results of operations and cash flows.</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BellRing Common Stock, $0.01 par value per share, during the three months ended March 31, 2023 and our BellRing Common Stock repurchase authorization.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700" w:type="dxa"/>
            <w:vAlign w:val="bottom"/>
            <w:vMerge w:val="restart"/>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0" w:type="dxa"/>
            <w:vAlign w:val="bottom"/>
          </w:tcPr>
          <w:p>
            <w:pPr>
              <w:spacing w:after="0"/>
              <w:rPr>
                <w:sz w:val="17"/>
                <w:szCs w:val="17"/>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00" w:type="dxa"/>
            <w:vAlign w:val="bottom"/>
          </w:tcPr>
          <w:p>
            <w:pPr>
              <w:spacing w:after="0"/>
              <w:rPr>
                <w:sz w:val="17"/>
                <w:szCs w:val="17"/>
                <w:color w:val="auto"/>
              </w:rPr>
            </w:pPr>
          </w:p>
        </w:tc>
        <w:tc>
          <w:tcPr>
            <w:tcW w:w="25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Approximate Dollar Value of</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2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0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6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00" w:type="dxa"/>
            <w:vAlign w:val="bottom"/>
          </w:tcPr>
          <w:p>
            <w:pPr>
              <w:jc w:val="center"/>
              <w:ind w:left="37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16"/>
                <w:szCs w:val="16"/>
                <w:color w:val="auto"/>
              </w:rPr>
            </w:pPr>
          </w:p>
        </w:tc>
        <w:tc>
          <w:tcPr>
            <w:tcW w:w="94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2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Announced Plans or Programs</w:t>
            </w:r>
          </w:p>
        </w:tc>
        <w:tc>
          <w:tcPr>
            <w:tcW w:w="272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that May Yet be Purchased</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Under the Plans or Programs (b)</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2023 - January 31, 2023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112,494</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26,112,974</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2023 - February 28, 2023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21,282,114</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2023 - March 31, 2023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651,037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651,037</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1,598,541</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918,531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918,531</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1,598,541</w:t>
            </w:r>
          </w:p>
        </w:tc>
        <w:tc>
          <w:tcPr>
            <w:tcW w:w="0" w:type="dxa"/>
            <w:vAlign w:val="bottom"/>
          </w:tcPr>
          <w:p>
            <w:pPr>
              <w:spacing w:after="0"/>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broker’s commissions or accrued excise tax.</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5, 2022, the Company’s Board of Directors approved a $50,000,000 repurchase authorization with respect to shares of BellRing Common Stock (the “Prior Authorization”). The Prior Authorization was effective December 5, 2022 and had an expiration date of December 5, 2024. On May 3, 2023, the Company’s Board of Directors approved a new $80,000,000 repurchase authorization with respect to shares of BellRing Common Stock effective May 3, 2023 (the “New Authorization”) and terminated the Prior Authorization.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either provided with this Form 10-Q or are incorporated herein by reference.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60" w:type="dxa"/>
            <w:vAlign w:val="bottom"/>
            <w:gridSpan w:val="21"/>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300" w:type="dxa"/>
            <w:vAlign w:val="bottom"/>
          </w:tcPr>
          <w:p>
            <w:pPr>
              <w:jc w:val="center"/>
              <w:ind w:right="131"/>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9060" w:type="dxa"/>
            <w:vAlign w:val="bottom"/>
            <w:gridSpan w:val="21"/>
          </w:tcPr>
          <w:p>
            <w:pPr>
              <w:spacing w:after="0" w:line="195"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Transaction Agreement and Plan of Merger, dated as of October 26, 2021, by and among Post Holdings, Inc., BellRing</w:t>
              </w:r>
            </w:hyperlink>
          </w:p>
        </w:tc>
      </w:tr>
      <w:tr>
        <w:trPr>
          <w:trHeight w:val="156"/>
        </w:trPr>
        <w:tc>
          <w:tcPr>
            <w:tcW w:w="130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Brands, Inc., BellRing Distribution, LLC and BellRing Merger Sub Corporation (Incorporated by reference to Exhibit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9020" w:type="dxa"/>
            <w:vAlign w:val="bottom"/>
            <w:gridSpan w:val="19"/>
          </w:tcPr>
          <w:p>
            <w:pPr>
              <w:spacing w:after="0" w:line="169"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to the Company’s Form 8-K filed on October 27,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2.2</w:t>
            </w:r>
          </w:p>
        </w:tc>
        <w:tc>
          <w:tcPr>
            <w:tcW w:w="9060" w:type="dxa"/>
            <w:vAlign w:val="bottom"/>
            <w:gridSpan w:val="21"/>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Amendment No. 1 to Transaction Agreement and Plan of Merger, dated as of February 28, 2022, by and among Post</w:t>
              </w:r>
            </w:hyperlink>
          </w:p>
        </w:tc>
      </w:tr>
      <w:tr>
        <w:trPr>
          <w:trHeight w:val="156"/>
        </w:trPr>
        <w:tc>
          <w:tcPr>
            <w:tcW w:w="1300" w:type="dxa"/>
            <w:vAlign w:val="bottom"/>
          </w:tcPr>
          <w:p>
            <w:pPr>
              <w:spacing w:after="0"/>
              <w:rPr>
                <w:sz w:val="13"/>
                <w:szCs w:val="13"/>
                <w:color w:val="auto"/>
              </w:rPr>
            </w:pPr>
          </w:p>
        </w:tc>
        <w:tc>
          <w:tcPr>
            <w:tcW w:w="90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Holdings, Inc., BellRing Brands, Inc., BellRing Distribution, LLC and BellRing Merger Sub Corporation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896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reference to Exhibit 2.1 to the Company’s Form 8-K filed on February 28, 2022)</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3.1</w:t>
            </w:r>
          </w:p>
        </w:tc>
        <w:tc>
          <w:tcPr>
            <w:tcW w:w="9060" w:type="dxa"/>
            <w:vAlign w:val="bottom"/>
            <w:gridSpan w:val="21"/>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BellRing Brands, Inc. Certificate of Incorporation (Incorporated by reference to Exhibit 3.1 to the Company’s Second Form</w:t>
              </w:r>
            </w:hyperlink>
          </w:p>
        </w:tc>
      </w:tr>
      <w:tr>
        <w:trPr>
          <w:trHeight w:val="155"/>
        </w:trPr>
        <w:tc>
          <w:tcPr>
            <w:tcW w:w="130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8-K filed on March 10, 2022)</w:t>
              </w:r>
            </w:hyperlink>
          </w:p>
        </w:tc>
        <w:tc>
          <w:tcPr>
            <w:tcW w:w="67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3.2</w:t>
            </w:r>
          </w:p>
        </w:tc>
        <w:tc>
          <w:tcPr>
            <w:tcW w:w="9060" w:type="dxa"/>
            <w:vAlign w:val="bottom"/>
            <w:gridSpan w:val="21"/>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BellRing Brands, Inc. Bylaws (Incorporated by reference to Exhibit 3.2 to the Company’s Second Form 8-K filed on March</w:t>
              </w:r>
            </w:hyperlink>
          </w:p>
        </w:tc>
      </w:tr>
      <w:tr>
        <w:trPr>
          <w:trHeight w:val="156"/>
        </w:trPr>
        <w:tc>
          <w:tcPr>
            <w:tcW w:w="130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46">
              <w:r>
                <w:rPr>
                  <w:rFonts w:ascii="Times New Roman" w:cs="Times New Roman" w:eastAsia="Times New Roman" w:hAnsi="Times New Roman"/>
                  <w:sz w:val="18"/>
                  <w:szCs w:val="18"/>
                  <w:color w:val="0000FF"/>
                  <w:w w:val="98"/>
                </w:rPr>
                <w:t>10, 2022)</w:t>
              </w:r>
            </w:hyperlink>
          </w:p>
        </w:tc>
        <w:tc>
          <w:tcPr>
            <w:tcW w:w="1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*4.1</w:t>
            </w:r>
          </w:p>
        </w:tc>
        <w:tc>
          <w:tcPr>
            <w:tcW w:w="9060" w:type="dxa"/>
            <w:vAlign w:val="bottom"/>
            <w:gridSpan w:val="21"/>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Indenture, dated March 10, 2022, by and among BellRing Brands, Inc. and Computershare Trust Company, N.A., as trustee</w:t>
              </w:r>
            </w:hyperlink>
          </w:p>
        </w:tc>
      </w:tr>
      <w:tr>
        <w:trPr>
          <w:trHeight w:val="156"/>
        </w:trPr>
        <w:tc>
          <w:tcPr>
            <w:tcW w:w="1300" w:type="dxa"/>
            <w:vAlign w:val="bottom"/>
          </w:tcPr>
          <w:p>
            <w:pPr>
              <w:spacing w:after="0"/>
              <w:rPr>
                <w:sz w:val="13"/>
                <w:szCs w:val="13"/>
                <w:color w:val="auto"/>
              </w:rPr>
            </w:pPr>
          </w:p>
        </w:tc>
        <w:tc>
          <w:tcPr>
            <w:tcW w:w="89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(Incorporated by reference to Exhibit 4.1 to the Company’s Second Form 8-K filed on March 10, 2022)</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4.2</w:t>
            </w:r>
          </w:p>
        </w:tc>
        <w:tc>
          <w:tcPr>
            <w:tcW w:w="9060" w:type="dxa"/>
            <w:vAlign w:val="bottom"/>
            <w:gridSpan w:val="21"/>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Form of Note (Incorporated by reference to Exhibit 4.2 to the Company’s Second Form 8-K filed on March 10, 2022, which</w:t>
              </w:r>
            </w:hyperlink>
          </w:p>
        </w:tc>
      </w:tr>
      <w:tr>
        <w:trPr>
          <w:trHeight w:val="183"/>
        </w:trPr>
        <w:tc>
          <w:tcPr>
            <w:tcW w:w="1300" w:type="dxa"/>
            <w:vAlign w:val="bottom"/>
          </w:tcPr>
          <w:p>
            <w:pPr>
              <w:spacing w:after="0"/>
              <w:rPr>
                <w:sz w:val="15"/>
                <w:szCs w:val="15"/>
                <w:color w:val="auto"/>
              </w:rPr>
            </w:pPr>
          </w:p>
        </w:tc>
        <w:tc>
          <w:tcPr>
            <w:tcW w:w="386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Exhibit 4.2 is referenced in Exhibit 4.1 to such filing)</w:t>
              </w:r>
            </w:hyperlink>
          </w:p>
        </w:tc>
        <w:tc>
          <w:tcPr>
            <w:tcW w:w="518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31.1</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Robert V. Vitale pursuant to Rule 13a-14(a), as adopted pursuant to Section 302 of the Sarbanes-Oxley Act</w:t>
            </w:r>
          </w:p>
        </w:tc>
      </w:tr>
      <w:tr>
        <w:trPr>
          <w:trHeight w:val="156"/>
        </w:trPr>
        <w:tc>
          <w:tcPr>
            <w:tcW w:w="130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of 2002, dated May 9, 2023</w:t>
            </w:r>
          </w:p>
        </w:tc>
        <w:tc>
          <w:tcPr>
            <w:tcW w:w="688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31.2</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Darcy H. Davenport pursuant to Rule 13a-14(a), as adopted pursuant to Section 302 of the Sarbanes-Oxley</w:t>
            </w:r>
          </w:p>
        </w:tc>
      </w:tr>
      <w:tr>
        <w:trPr>
          <w:trHeight w:val="156"/>
        </w:trPr>
        <w:tc>
          <w:tcPr>
            <w:tcW w:w="1300" w:type="dxa"/>
            <w:vAlign w:val="bottom"/>
          </w:tcPr>
          <w:p>
            <w:pPr>
              <w:spacing w:after="0"/>
              <w:rPr>
                <w:sz w:val="13"/>
                <w:szCs w:val="13"/>
                <w:color w:val="auto"/>
              </w:rPr>
            </w:pPr>
          </w:p>
        </w:tc>
        <w:tc>
          <w:tcPr>
            <w:tcW w:w="894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Act of 2002, dated May 9, 2023</w:t>
            </w:r>
          </w:p>
        </w:tc>
        <w:tc>
          <w:tcPr>
            <w:tcW w:w="120" w:type="dxa"/>
            <w:vAlign w:val="bottom"/>
            <w:gridSpan w:val="6"/>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31.3</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Paul A. Rode pursuant to Rule 13a-14(a), as adopted pursuant to Section 302 of the Sarbanes-Oxley Act of</w:t>
            </w:r>
          </w:p>
        </w:tc>
      </w:tr>
      <w:tr>
        <w:trPr>
          <w:trHeight w:val="156"/>
        </w:trPr>
        <w:tc>
          <w:tcPr>
            <w:tcW w:w="1300" w:type="dxa"/>
            <w:vAlign w:val="bottom"/>
          </w:tcPr>
          <w:p>
            <w:pPr>
              <w:spacing w:after="0"/>
              <w:rPr>
                <w:sz w:val="13"/>
                <w:szCs w:val="13"/>
                <w:color w:val="auto"/>
              </w:rPr>
            </w:pPr>
          </w:p>
        </w:tc>
        <w:tc>
          <w:tcPr>
            <w:tcW w:w="88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2002, dated May 9, 2023</w:t>
            </w:r>
          </w:p>
        </w:tc>
        <w:tc>
          <w:tcPr>
            <w:tcW w:w="200" w:type="dxa"/>
            <w:vAlign w:val="bottom"/>
            <w:gridSpan w:val="10"/>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3360" w:type="dxa"/>
            <w:vAlign w:val="bottom"/>
            <w:gridSpan w:val="13"/>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32.1</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Robert V. Vitale, Darcy H. Davenport and Paul A. Rode, pursuant to 18 U.S.C. Section 1350 as adopted</w:t>
            </w:r>
          </w:p>
        </w:tc>
      </w:tr>
      <w:tr>
        <w:trPr>
          <w:trHeight w:val="155"/>
        </w:trPr>
        <w:tc>
          <w:tcPr>
            <w:tcW w:w="1300" w:type="dxa"/>
            <w:vAlign w:val="bottom"/>
          </w:tcPr>
          <w:p>
            <w:pPr>
              <w:spacing w:after="0"/>
              <w:rPr>
                <w:sz w:val="13"/>
                <w:szCs w:val="13"/>
                <w:color w:val="auto"/>
              </w:rPr>
            </w:pPr>
          </w:p>
        </w:tc>
        <w:tc>
          <w:tcPr>
            <w:tcW w:w="900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 dated May 9, 2023</w:t>
            </w:r>
          </w:p>
        </w:tc>
        <w:tc>
          <w:tcPr>
            <w:tcW w:w="60" w:type="dxa"/>
            <w:vAlign w:val="bottom"/>
            <w:gridSpan w:val="3"/>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320" w:right="980" w:hanging="900"/>
        <w:spacing w:after="0" w:line="231"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10-Q for the quarterly period ended March 31, 2023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320" w:right="980" w:hanging="900"/>
        <w:spacing w:after="0" w:line="234" w:lineRule="auto"/>
        <w:tabs>
          <w:tab w:leader="none" w:pos="13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10-Q for the quarterly period ended March 31, 2023, formatted in iXBRL (Inline eXtensible Business Reporting Language) and contained in Exhibit 101</w:t>
      </w:r>
    </w:p>
    <w:p>
      <w:pPr>
        <w:spacing w:after="0" w:line="239" w:lineRule="exact"/>
        <w:rPr>
          <w:rFonts w:ascii="Times New Roman" w:cs="Times New Roman" w:eastAsia="Times New Roman" w:hAnsi="Times New Roman"/>
          <w:sz w:val="18"/>
          <w:szCs w:val="18"/>
          <w:color w:val="auto"/>
        </w:rPr>
      </w:pPr>
    </w:p>
    <w:p>
      <w:pPr>
        <w:ind w:left="1060" w:right="1200" w:hanging="1039"/>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The Company agrees to furnish supplementally to the Securities and Exchange Commission (the “SEC”) a copy of any omitted exhibit or schedule upon request by the SEC.</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agreements and other documents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other documents and that may not be reflected in such agreements and other documents.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and other documents.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720" w:right="2040" w:hanging="7437"/>
        <w:spacing w:after="0" w:line="273" w:lineRule="auto"/>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2023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wp:posOffset>
            </wp:positionV>
            <wp:extent cx="24085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0"/>
          </w:cols>
          <w:pgMar w:left="320" w:top="121" w:right="39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40" w:val="left"/>
          <w:tab w:leader="none" w:pos="4540" w:val="left"/>
          <w:tab w:leader="none" w:pos="4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20745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Robert V. Vitale</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Executive Chairman</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40" w:val="left"/>
          <w:tab w:leader="none" w:pos="4540" w:val="left"/>
          <w:tab w:leader="none" w:pos="4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20745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40" w:val="left"/>
          <w:tab w:leader="none" w:pos="4540" w:val="left"/>
          <w:tab w:leader="none" w:pos="4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20745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Paul A. Rode</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the Chief Executive of BellRing Brands, Inc. (the “Company”), hereby certifies that, to his knowledge on the date hereof:</w:t>
      </w:r>
    </w:p>
    <w:p>
      <w:pPr>
        <w:spacing w:after="0" w:line="252" w:lineRule="exact"/>
        <w:rPr>
          <w:sz w:val="20"/>
          <w:szCs w:val="20"/>
          <w:color w:val="auto"/>
        </w:rPr>
      </w:pPr>
    </w:p>
    <w:p>
      <w:pPr>
        <w:ind w:left="660" w:right="920" w:hanging="652"/>
        <w:spacing w:after="0" w:line="266" w:lineRule="auto"/>
        <w:tabs>
          <w:tab w:leader="none" w:pos="3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2023,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1500" w:hanging="652"/>
        <w:spacing w:after="0" w:line="282" w:lineRule="auto"/>
        <w:tabs>
          <w:tab w:leader="none" w:pos="4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760" w:val="left"/>
          <w:tab w:leader="none" w:pos="4440" w:val="left"/>
          <w:tab w:leader="none" w:pos="4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1342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Robert V. Vitale</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Chief Executive Chairman</w:t>
      </w:r>
    </w:p>
    <w:p>
      <w:pPr>
        <w:spacing w:after="0" w:line="34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32" w:name="page33"/>
    <w:bookmarkEnd w:id="32"/>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her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2023,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760" w:val="left"/>
          <w:tab w:leader="none" w:pos="4440" w:val="left"/>
          <w:tab w:leader="none" w:pos="4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1342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0460"/>
          </w:cols>
          <w:pgMar w:left="320" w:top="1440" w:right="1119" w:bottom="1440" w:gutter="0" w:footer="0" w:header="0"/>
        </w:sectPr>
      </w:pPr>
    </w:p>
    <w:bookmarkStart w:id="33" w:name="page34"/>
    <w:bookmarkEnd w:id="33"/>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2023,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760" w:val="left"/>
          <w:tab w:leader="none" w:pos="4440" w:val="left"/>
          <w:tab w:leader="none" w:pos="4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1342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Paul A. Rode</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101"/>
    </w:lvl>
  </w:abstractNum>
  <w:abstractNum w:abstractNumId="7">
    <w:nsid w:val="1F16E9E8"/>
    <w:multiLevelType w:val="hybridMultilevel"/>
    <w:lvl w:ilvl="0">
      <w:lvlJc w:val="left"/>
      <w:lvlText w:val="*"/>
      <w:numFmt w:val="bullet"/>
      <w:start w:val="1"/>
    </w:lvl>
    <w:lvl w:ilvl="1">
      <w:lvlJc w:val="left"/>
      <w:lvlText w:val="%2"/>
      <w:numFmt w:val="decimal"/>
      <w:start w:val="104"/>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43" Type="http://schemas.openxmlformats.org/officeDocument/2006/relationships/hyperlink" Target="http://www.sec.gov/Archives/edgar/data/1772016/000119312521308736/d232418dex21.htm" TargetMode="External"/><Relationship Id="rId44" Type="http://schemas.openxmlformats.org/officeDocument/2006/relationships/hyperlink" Target="http://www.sec.gov/Archives/edgar/data/1772016/000119312522055719/d405795dex21.htm" TargetMode="External"/><Relationship Id="rId45" Type="http://schemas.openxmlformats.org/officeDocument/2006/relationships/hyperlink" Target="http://www.sec.gov/Archives/edgar/data/1772016/000119312522072132/d319129dex31.htm" TargetMode="External"/><Relationship Id="rId46" Type="http://schemas.openxmlformats.org/officeDocument/2006/relationships/hyperlink" Target="http://www.sec.gov/Archives/edgar/data/1772016/000119312522072132/d319129dex32.htm" TargetMode="External"/><Relationship Id="rId47" Type="http://schemas.openxmlformats.org/officeDocument/2006/relationships/hyperlink" Target="http://www.sec.gov/Archives/edgar/data/1772016/000119312522072132/d3191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2023-05-09T11:18:30Z</dcterms:created>
  <dcterms:modified xsi:type="dcterms:W3CDTF">2023-05-09T11:18:30Z</dcterms:modified>
</cp:coreProperties>
</file>